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5.200001pt;margin-top:49.079983pt;width:484.9pt;height:.1pt;mso-position-horizontal-relative:page;mso-position-vertical-relative:page;z-index:0" coordorigin="1104,982" coordsize="9698,2">
            <v:shape style="position:absolute;left:1104;top:982;width:9698;height:2" coordorigin="1104,982" coordsize="9698,0" path="m1104,982l10802,982e" filled="false" stroked="true" strokeweight=".72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3"/>
          <w:szCs w:val="13"/>
        </w:rPr>
      </w:pPr>
    </w:p>
    <w:p>
      <w:pPr>
        <w:spacing w:line="2093" w:lineRule="exact"/>
        <w:ind w:left="3861"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41"/>
          <w:sz w:val="20"/>
          <w:szCs w:val="20"/>
        </w:rPr>
        <w:drawing>
          <wp:inline distT="0" distB="0" distL="0" distR="0">
            <wp:extent cx="1405571" cy="1329594"/>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7" cstate="print"/>
                    <a:stretch>
                      <a:fillRect/>
                    </a:stretch>
                  </pic:blipFill>
                  <pic:spPr>
                    <a:xfrm>
                      <a:off x="0" y="0"/>
                      <a:ext cx="1405571" cy="1329594"/>
                    </a:xfrm>
                    <a:prstGeom prst="rect">
                      <a:avLst/>
                    </a:prstGeom>
                  </pic:spPr>
                </pic:pic>
              </a:graphicData>
            </a:graphic>
          </wp:inline>
        </w:drawing>
      </w:r>
      <w:r>
        <w:rPr>
          <w:rFonts w:ascii="Times New Roman" w:hAnsi="Times New Roman" w:cs="Times New Roman" w:eastAsia="Times New Roman" w:hint="default"/>
          <w:position w:val="-41"/>
          <w:sz w:val="20"/>
          <w:szCs w:val="20"/>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8"/>
          <w:szCs w:val="18"/>
        </w:rPr>
      </w:pPr>
    </w:p>
    <w:p>
      <w:pPr>
        <w:spacing w:line="501" w:lineRule="exact" w:before="0"/>
        <w:ind w:left="2793" w:right="2793" w:firstLine="0"/>
        <w:jc w:val="center"/>
        <w:rPr>
          <w:rFonts w:ascii="Microsoft JhengHei" w:hAnsi="Microsoft JhengHei" w:cs="Microsoft JhengHei" w:eastAsia="Microsoft JhengHei" w:hint="default"/>
          <w:sz w:val="36"/>
          <w:szCs w:val="36"/>
        </w:rPr>
      </w:pPr>
      <w:r>
        <w:rPr>
          <w:rFonts w:ascii="Microsoft JhengHei" w:hAnsi="Microsoft JhengHei" w:cs="Microsoft JhengHei" w:eastAsia="Microsoft JhengHei" w:hint="default"/>
          <w:b/>
          <w:bCs/>
          <w:sz w:val="36"/>
          <w:szCs w:val="36"/>
        </w:rPr>
        <w:t>广东群兴玩具股份有限公司</w:t>
      </w:r>
      <w:r>
        <w:rPr>
          <w:rFonts w:ascii="Microsoft JhengHei" w:hAnsi="Microsoft JhengHei" w:cs="Microsoft JhengHei" w:eastAsia="Microsoft JhengHei" w:hint="default"/>
          <w:sz w:val="36"/>
          <w:szCs w:val="36"/>
        </w:rPr>
      </w:r>
    </w:p>
    <w:p>
      <w:pPr>
        <w:spacing w:before="261"/>
        <w:ind w:left="2792" w:right="2793" w:firstLine="0"/>
        <w:jc w:val="center"/>
        <w:rPr>
          <w:rFonts w:ascii="Microsoft JhengHei" w:hAnsi="Microsoft JhengHei" w:cs="Microsoft JhengHei" w:eastAsia="Microsoft JhengHei" w:hint="default"/>
          <w:sz w:val="32"/>
          <w:szCs w:val="32"/>
        </w:rPr>
      </w:pPr>
      <w:r>
        <w:rPr>
          <w:rFonts w:ascii="Times New Roman" w:hAnsi="Times New Roman" w:cs="Times New Roman" w:eastAsia="Times New Roman" w:hint="default"/>
          <w:b/>
          <w:bCs/>
          <w:sz w:val="32"/>
          <w:szCs w:val="32"/>
        </w:rPr>
        <w:t>2017</w:t>
      </w:r>
      <w:r>
        <w:rPr>
          <w:rFonts w:ascii="Times New Roman" w:hAnsi="Times New Roman" w:cs="Times New Roman" w:eastAsia="Times New Roman" w:hint="default"/>
          <w:b/>
          <w:bCs/>
          <w:spacing w:val="3"/>
          <w:sz w:val="32"/>
          <w:szCs w:val="32"/>
        </w:rPr>
        <w:t> </w:t>
      </w:r>
      <w:r>
        <w:rPr>
          <w:rFonts w:ascii="Microsoft JhengHei" w:hAnsi="Microsoft JhengHei" w:cs="Microsoft JhengHei" w:eastAsia="Microsoft JhengHei" w:hint="default"/>
          <w:b/>
          <w:bCs/>
          <w:sz w:val="32"/>
          <w:szCs w:val="32"/>
        </w:rPr>
        <w:t>年年度报告</w:t>
      </w:r>
      <w:r>
        <w:rPr>
          <w:rFonts w:ascii="Microsoft JhengHei" w:hAnsi="Microsoft JhengHei" w:cs="Microsoft JhengHei" w:eastAsia="Microsoft JhengHei" w:hint="default"/>
          <w:sz w:val="32"/>
          <w:szCs w:val="32"/>
        </w:rPr>
      </w:r>
    </w:p>
    <w:p>
      <w:pPr>
        <w:spacing w:line="240" w:lineRule="auto" w:before="0"/>
        <w:rPr>
          <w:rFonts w:ascii="Microsoft JhengHei" w:hAnsi="Microsoft JhengHei" w:cs="Microsoft JhengHei" w:eastAsia="Microsoft JhengHei" w:hint="default"/>
          <w:b/>
          <w:bCs/>
          <w:sz w:val="34"/>
          <w:szCs w:val="34"/>
        </w:rPr>
      </w:pPr>
    </w:p>
    <w:p>
      <w:pPr>
        <w:spacing w:line="240" w:lineRule="auto" w:before="0"/>
        <w:rPr>
          <w:rFonts w:ascii="Microsoft JhengHei" w:hAnsi="Microsoft JhengHei" w:cs="Microsoft JhengHei" w:eastAsia="Microsoft JhengHei" w:hint="default"/>
          <w:b/>
          <w:bCs/>
          <w:sz w:val="34"/>
          <w:szCs w:val="34"/>
        </w:rPr>
      </w:pPr>
    </w:p>
    <w:p>
      <w:pPr>
        <w:spacing w:line="240" w:lineRule="auto" w:before="0"/>
        <w:rPr>
          <w:rFonts w:ascii="Microsoft JhengHei" w:hAnsi="Microsoft JhengHei" w:cs="Microsoft JhengHei" w:eastAsia="Microsoft JhengHei" w:hint="default"/>
          <w:b/>
          <w:bCs/>
          <w:sz w:val="34"/>
          <w:szCs w:val="34"/>
        </w:rPr>
      </w:pPr>
    </w:p>
    <w:p>
      <w:pPr>
        <w:spacing w:line="240" w:lineRule="auto" w:before="0"/>
        <w:rPr>
          <w:rFonts w:ascii="Microsoft JhengHei" w:hAnsi="Microsoft JhengHei" w:cs="Microsoft JhengHei" w:eastAsia="Microsoft JhengHei" w:hint="default"/>
          <w:b/>
          <w:bCs/>
          <w:sz w:val="34"/>
          <w:szCs w:val="34"/>
        </w:rPr>
      </w:pPr>
    </w:p>
    <w:p>
      <w:pPr>
        <w:spacing w:line="240" w:lineRule="auto" w:before="0"/>
        <w:rPr>
          <w:rFonts w:ascii="Microsoft JhengHei" w:hAnsi="Microsoft JhengHei" w:cs="Microsoft JhengHei" w:eastAsia="Microsoft JhengHei" w:hint="default"/>
          <w:b/>
          <w:bCs/>
          <w:sz w:val="34"/>
          <w:szCs w:val="34"/>
        </w:rPr>
      </w:pPr>
    </w:p>
    <w:p>
      <w:pPr>
        <w:spacing w:line="240" w:lineRule="auto" w:before="0"/>
        <w:rPr>
          <w:rFonts w:ascii="Microsoft JhengHei" w:hAnsi="Microsoft JhengHei" w:cs="Microsoft JhengHei" w:eastAsia="Microsoft JhengHei" w:hint="default"/>
          <w:b/>
          <w:bCs/>
          <w:sz w:val="34"/>
          <w:szCs w:val="34"/>
        </w:rPr>
      </w:pPr>
    </w:p>
    <w:p>
      <w:pPr>
        <w:spacing w:line="240" w:lineRule="auto" w:before="0"/>
        <w:rPr>
          <w:rFonts w:ascii="Microsoft JhengHei" w:hAnsi="Microsoft JhengHei" w:cs="Microsoft JhengHei" w:eastAsia="Microsoft JhengHei" w:hint="default"/>
          <w:b/>
          <w:bCs/>
          <w:sz w:val="34"/>
          <w:szCs w:val="34"/>
        </w:rPr>
      </w:pPr>
    </w:p>
    <w:p>
      <w:pPr>
        <w:spacing w:line="240" w:lineRule="auto" w:before="0"/>
        <w:rPr>
          <w:rFonts w:ascii="Microsoft JhengHei" w:hAnsi="Microsoft JhengHei" w:cs="Microsoft JhengHei" w:eastAsia="Microsoft JhengHei" w:hint="default"/>
          <w:b/>
          <w:bCs/>
          <w:sz w:val="34"/>
          <w:szCs w:val="34"/>
        </w:rPr>
      </w:pPr>
    </w:p>
    <w:p>
      <w:pPr>
        <w:spacing w:line="240" w:lineRule="auto" w:before="0"/>
        <w:rPr>
          <w:rFonts w:ascii="Microsoft JhengHei" w:hAnsi="Microsoft JhengHei" w:cs="Microsoft JhengHei" w:eastAsia="Microsoft JhengHei" w:hint="default"/>
          <w:b/>
          <w:bCs/>
          <w:sz w:val="34"/>
          <w:szCs w:val="34"/>
        </w:rPr>
      </w:pPr>
    </w:p>
    <w:p>
      <w:pPr>
        <w:spacing w:line="240" w:lineRule="auto" w:before="9"/>
        <w:rPr>
          <w:rFonts w:ascii="Microsoft JhengHei" w:hAnsi="Microsoft JhengHei" w:cs="Microsoft JhengHei" w:eastAsia="Microsoft JhengHei" w:hint="default"/>
          <w:b/>
          <w:bCs/>
          <w:sz w:val="30"/>
          <w:szCs w:val="30"/>
        </w:rPr>
      </w:pPr>
    </w:p>
    <w:p>
      <w:pPr>
        <w:spacing w:before="0"/>
        <w:ind w:left="2793" w:right="2793" w:firstLine="0"/>
        <w:jc w:val="center"/>
        <w:rPr>
          <w:rFonts w:ascii="Microsoft JhengHei" w:hAnsi="Microsoft JhengHei" w:cs="Microsoft JhengHei" w:eastAsia="Microsoft JhengHei" w:hint="default"/>
          <w:sz w:val="32"/>
          <w:szCs w:val="32"/>
        </w:rPr>
      </w:pPr>
      <w:r>
        <w:rPr>
          <w:rFonts w:ascii="Times New Roman" w:hAnsi="Times New Roman" w:cs="Times New Roman" w:eastAsia="Times New Roman" w:hint="default"/>
          <w:b/>
          <w:bCs/>
          <w:sz w:val="32"/>
          <w:szCs w:val="32"/>
        </w:rPr>
        <w:t>2018 </w:t>
      </w:r>
      <w:r>
        <w:rPr>
          <w:rFonts w:ascii="Microsoft JhengHei" w:hAnsi="Microsoft JhengHei" w:cs="Microsoft JhengHei" w:eastAsia="Microsoft JhengHei" w:hint="default"/>
          <w:b/>
          <w:bCs/>
          <w:sz w:val="32"/>
          <w:szCs w:val="32"/>
        </w:rPr>
        <w:t>年 </w:t>
      </w:r>
      <w:r>
        <w:rPr>
          <w:rFonts w:ascii="Times New Roman" w:hAnsi="Times New Roman" w:cs="Times New Roman" w:eastAsia="Times New Roman" w:hint="default"/>
          <w:b/>
          <w:bCs/>
          <w:sz w:val="32"/>
          <w:szCs w:val="32"/>
        </w:rPr>
        <w:t>04</w:t>
      </w:r>
      <w:r>
        <w:rPr>
          <w:rFonts w:ascii="Times New Roman" w:hAnsi="Times New Roman" w:cs="Times New Roman" w:eastAsia="Times New Roman" w:hint="default"/>
          <w:b/>
          <w:bCs/>
          <w:spacing w:val="1"/>
          <w:sz w:val="32"/>
          <w:szCs w:val="32"/>
        </w:rPr>
        <w:t> </w:t>
      </w:r>
      <w:r>
        <w:rPr>
          <w:rFonts w:ascii="Microsoft JhengHei" w:hAnsi="Microsoft JhengHei" w:cs="Microsoft JhengHei" w:eastAsia="Microsoft JhengHei" w:hint="default"/>
          <w:b/>
          <w:bCs/>
          <w:sz w:val="32"/>
          <w:szCs w:val="32"/>
        </w:rPr>
        <w:t>月</w:t>
      </w:r>
      <w:r>
        <w:rPr>
          <w:rFonts w:ascii="Microsoft JhengHei" w:hAnsi="Microsoft JhengHei" w:cs="Microsoft JhengHei" w:eastAsia="Microsoft JhengHei" w:hint="default"/>
          <w:sz w:val="32"/>
          <w:szCs w:val="32"/>
        </w:rPr>
      </w:r>
    </w:p>
    <w:p>
      <w:pPr>
        <w:spacing w:after="0"/>
        <w:jc w:val="center"/>
        <w:rPr>
          <w:rFonts w:ascii="Microsoft JhengHei" w:hAnsi="Microsoft JhengHei" w:cs="Microsoft JhengHei" w:eastAsia="Microsoft JhengHei" w:hint="default"/>
          <w:sz w:val="32"/>
          <w:szCs w:val="32"/>
        </w:rPr>
        <w:sectPr>
          <w:headerReference w:type="default" r:id="rId5"/>
          <w:footerReference w:type="default" r:id="rId6"/>
          <w:type w:val="continuous"/>
          <w:pgSz w:w="11910" w:h="16840"/>
          <w:pgMar w:header="745" w:footer="979" w:top="1060" w:bottom="1160" w:left="980" w:right="980"/>
        </w:sectPr>
      </w:pPr>
    </w:p>
    <w:p>
      <w:pPr>
        <w:spacing w:line="240" w:lineRule="auto" w:before="2"/>
        <w:rPr>
          <w:rFonts w:ascii="Microsoft JhengHei" w:hAnsi="Microsoft JhengHei" w:cs="Microsoft JhengHei" w:eastAsia="Microsoft JhengHei" w:hint="default"/>
          <w:b/>
          <w:bCs/>
          <w:sz w:val="2"/>
          <w:szCs w:val="2"/>
        </w:rPr>
      </w:pPr>
    </w:p>
    <w:p>
      <w:pPr>
        <w:spacing w:line="20" w:lineRule="exact"/>
        <w:ind w:left="116" w:right="0" w:firstLine="0"/>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Microsoft JhengHei" w:hAnsi="Microsoft JhengHei" w:cs="Microsoft JhengHei" w:eastAsia="Microsoft JhengHei" w:hint="default"/>
          <w:sz w:val="2"/>
          <w:szCs w:val="2"/>
        </w:rPr>
      </w:r>
    </w:p>
    <w:p>
      <w:pPr>
        <w:spacing w:line="240" w:lineRule="auto" w:before="0"/>
        <w:rPr>
          <w:rFonts w:ascii="Microsoft JhengHei" w:hAnsi="Microsoft JhengHei" w:cs="Microsoft JhengHei" w:eastAsia="Microsoft JhengHei" w:hint="default"/>
          <w:b/>
          <w:bCs/>
          <w:sz w:val="20"/>
          <w:szCs w:val="20"/>
        </w:rPr>
      </w:pPr>
    </w:p>
    <w:p>
      <w:pPr>
        <w:spacing w:line="240" w:lineRule="auto" w:before="4"/>
        <w:rPr>
          <w:rFonts w:ascii="Microsoft JhengHei" w:hAnsi="Microsoft JhengHei" w:cs="Microsoft JhengHei" w:eastAsia="Microsoft JhengHei" w:hint="default"/>
          <w:b/>
          <w:bCs/>
          <w:sz w:val="24"/>
          <w:szCs w:val="24"/>
        </w:rPr>
      </w:pPr>
    </w:p>
    <w:p>
      <w:pPr>
        <w:pStyle w:val="Heading1"/>
        <w:spacing w:line="456" w:lineRule="exact"/>
        <w:ind w:left="2803" w:right="0"/>
        <w:jc w:val="left"/>
        <w:rPr>
          <w:b w:val="0"/>
          <w:bCs w:val="0"/>
        </w:rPr>
      </w:pPr>
      <w:bookmarkStart w:name="_bookmark0" w:id="1"/>
      <w:bookmarkEnd w:id="1"/>
      <w:r>
        <w:rPr>
          <w:b w:val="0"/>
          <w:bCs w:val="0"/>
        </w:rPr>
      </w:r>
      <w:r>
        <w:rPr/>
        <w:t>第一节 </w:t>
      </w:r>
      <w:r>
        <w:rPr>
          <w:spacing w:val="12"/>
        </w:rPr>
        <w:t> </w:t>
      </w:r>
      <w:r>
        <w:rPr/>
        <w:t>重要提示、目录和释义</w:t>
      </w:r>
      <w:r>
        <w:rPr>
          <w:b w:val="0"/>
          <w:bCs w:val="0"/>
        </w:rPr>
      </w:r>
    </w:p>
    <w:p>
      <w:pPr>
        <w:spacing w:line="240" w:lineRule="auto" w:before="3"/>
        <w:rPr>
          <w:rFonts w:ascii="Microsoft JhengHei" w:hAnsi="Microsoft JhengHei" w:cs="Microsoft JhengHei" w:eastAsia="Microsoft JhengHei" w:hint="default"/>
          <w:b/>
          <w:bCs/>
          <w:sz w:val="29"/>
          <w:szCs w:val="29"/>
        </w:rPr>
      </w:pPr>
    </w:p>
    <w:p>
      <w:pPr>
        <w:spacing w:line="307" w:lineRule="auto" w:before="0"/>
        <w:ind w:left="152" w:right="156" w:firstLine="562"/>
        <w:jc w:val="both"/>
        <w:rPr>
          <w:rFonts w:ascii="Microsoft JhengHei" w:hAnsi="Microsoft JhengHei" w:cs="Microsoft JhengHei" w:eastAsia="Microsoft JhengHei" w:hint="default"/>
          <w:sz w:val="28"/>
          <w:szCs w:val="28"/>
        </w:rPr>
      </w:pPr>
      <w:r>
        <w:rPr>
          <w:rFonts w:ascii="Microsoft JhengHei" w:hAnsi="Microsoft JhengHei" w:cs="Microsoft JhengHei" w:eastAsia="Microsoft JhengHei" w:hint="default"/>
          <w:b/>
          <w:bCs/>
          <w:spacing w:val="2"/>
          <w:sz w:val="28"/>
          <w:szCs w:val="28"/>
        </w:rPr>
        <w:t>公司董事会、监事会及董事、监事、高级管理人员保证年度报告内容的真</w:t>
      </w:r>
      <w:r>
        <w:rPr>
          <w:rFonts w:ascii="Microsoft JhengHei" w:hAnsi="Microsoft JhengHei" w:cs="Microsoft JhengHei" w:eastAsia="Microsoft JhengHei" w:hint="default"/>
          <w:b/>
          <w:bCs/>
          <w:w w:val="100"/>
          <w:sz w:val="28"/>
          <w:szCs w:val="28"/>
        </w:rPr>
        <w:t> </w:t>
      </w:r>
      <w:r>
        <w:rPr>
          <w:rFonts w:ascii="Microsoft JhengHei" w:hAnsi="Microsoft JhengHei" w:cs="Microsoft JhengHei" w:eastAsia="Microsoft JhengHei" w:hint="default"/>
          <w:b/>
          <w:bCs/>
          <w:spacing w:val="2"/>
          <w:sz w:val="28"/>
          <w:szCs w:val="28"/>
        </w:rPr>
        <w:t>实、准确、完整，不存在虚假记载、误导性陈述或重大遗漏，并承担个别和连</w:t>
      </w:r>
      <w:r>
        <w:rPr>
          <w:rFonts w:ascii="Microsoft JhengHei" w:hAnsi="Microsoft JhengHei" w:cs="Microsoft JhengHei" w:eastAsia="Microsoft JhengHei" w:hint="default"/>
          <w:b/>
          <w:bCs/>
          <w:spacing w:val="-38"/>
          <w:sz w:val="28"/>
          <w:szCs w:val="28"/>
        </w:rPr>
        <w:t> </w:t>
      </w:r>
      <w:r>
        <w:rPr>
          <w:rFonts w:ascii="Microsoft JhengHei" w:hAnsi="Microsoft JhengHei" w:cs="Microsoft JhengHei" w:eastAsia="Microsoft JhengHei" w:hint="default"/>
          <w:b/>
          <w:bCs/>
          <w:spacing w:val="-38"/>
          <w:sz w:val="28"/>
          <w:szCs w:val="28"/>
        </w:rPr>
      </w:r>
      <w:r>
        <w:rPr>
          <w:rFonts w:ascii="Microsoft JhengHei" w:hAnsi="Microsoft JhengHei" w:cs="Microsoft JhengHei" w:eastAsia="Microsoft JhengHei" w:hint="default"/>
          <w:b/>
          <w:bCs/>
          <w:sz w:val="28"/>
          <w:szCs w:val="28"/>
        </w:rPr>
        <w:t>带的法律责任。</w:t>
      </w:r>
      <w:r>
        <w:rPr>
          <w:rFonts w:ascii="Microsoft JhengHei" w:hAnsi="Microsoft JhengHei" w:cs="Microsoft JhengHei" w:eastAsia="Microsoft JhengHei" w:hint="default"/>
          <w:sz w:val="28"/>
          <w:szCs w:val="28"/>
        </w:rPr>
      </w:r>
    </w:p>
    <w:p>
      <w:pPr>
        <w:spacing w:line="307" w:lineRule="auto" w:before="133"/>
        <w:ind w:left="152" w:right="156" w:firstLine="562"/>
        <w:jc w:val="both"/>
        <w:rPr>
          <w:rFonts w:ascii="Microsoft JhengHei" w:hAnsi="Microsoft JhengHei" w:cs="Microsoft JhengHei" w:eastAsia="Microsoft JhengHei" w:hint="default"/>
          <w:sz w:val="28"/>
          <w:szCs w:val="28"/>
        </w:rPr>
      </w:pPr>
      <w:r>
        <w:rPr>
          <w:rFonts w:ascii="Microsoft JhengHei" w:hAnsi="Microsoft JhengHei" w:cs="Microsoft JhengHei" w:eastAsia="Microsoft JhengHei" w:hint="default"/>
          <w:b/>
          <w:bCs/>
          <w:spacing w:val="2"/>
          <w:sz w:val="28"/>
          <w:szCs w:val="28"/>
        </w:rPr>
        <w:t>公司负责人纪晓文、主管会计工作负责人朱小艳及会计机构负责人（会计</w:t>
      </w:r>
      <w:r>
        <w:rPr>
          <w:rFonts w:ascii="Microsoft JhengHei" w:hAnsi="Microsoft JhengHei" w:cs="Microsoft JhengHei" w:eastAsia="Microsoft JhengHei" w:hint="default"/>
          <w:b/>
          <w:bCs/>
          <w:w w:val="100"/>
          <w:sz w:val="28"/>
          <w:szCs w:val="28"/>
        </w:rPr>
        <w:t> </w:t>
      </w:r>
      <w:r>
        <w:rPr>
          <w:rFonts w:ascii="Microsoft JhengHei" w:hAnsi="Microsoft JhengHei" w:cs="Microsoft JhengHei" w:eastAsia="Microsoft JhengHei" w:hint="default"/>
          <w:b/>
          <w:bCs/>
          <w:sz w:val="28"/>
          <w:szCs w:val="28"/>
        </w:rPr>
        <w:t>主管人员）陈轲声明：保证年度报告中财务报告的真实、准确、完整。</w:t>
      </w:r>
      <w:r>
        <w:rPr>
          <w:rFonts w:ascii="Microsoft JhengHei" w:hAnsi="Microsoft JhengHei" w:cs="Microsoft JhengHei" w:eastAsia="Microsoft JhengHei" w:hint="default"/>
          <w:sz w:val="28"/>
          <w:szCs w:val="28"/>
        </w:rPr>
      </w:r>
    </w:p>
    <w:p>
      <w:pPr>
        <w:spacing w:line="355" w:lineRule="auto" w:before="133"/>
        <w:ind w:left="714" w:right="0" w:firstLine="0"/>
        <w:jc w:val="left"/>
        <w:rPr>
          <w:rFonts w:ascii="Microsoft JhengHei" w:hAnsi="Microsoft JhengHei" w:cs="Microsoft JhengHei" w:eastAsia="Microsoft JhengHei" w:hint="default"/>
          <w:sz w:val="28"/>
          <w:szCs w:val="28"/>
        </w:rPr>
      </w:pPr>
      <w:r>
        <w:rPr>
          <w:rFonts w:ascii="Microsoft JhengHei" w:hAnsi="Microsoft JhengHei" w:cs="Microsoft JhengHei" w:eastAsia="Microsoft JhengHei" w:hint="default"/>
          <w:b/>
          <w:bCs/>
          <w:sz w:val="28"/>
          <w:szCs w:val="28"/>
        </w:rPr>
        <w:t>所有董事均已出席了审议本报告的董事会会议。</w:t>
      </w:r>
      <w:r>
        <w:rPr>
          <w:rFonts w:ascii="Microsoft JhengHei" w:hAnsi="Microsoft JhengHei" w:cs="Microsoft JhengHei" w:eastAsia="Microsoft JhengHei" w:hint="default"/>
          <w:b/>
          <w:bCs/>
          <w:spacing w:val="-48"/>
          <w:sz w:val="28"/>
          <w:szCs w:val="28"/>
        </w:rPr>
        <w:t> </w:t>
      </w:r>
      <w:r>
        <w:rPr>
          <w:rFonts w:ascii="Microsoft JhengHei" w:hAnsi="Microsoft JhengHei" w:cs="Microsoft JhengHei" w:eastAsia="Microsoft JhengHei" w:hint="default"/>
          <w:b/>
          <w:bCs/>
          <w:spacing w:val="-48"/>
          <w:sz w:val="28"/>
          <w:szCs w:val="28"/>
        </w:rPr>
      </w:r>
      <w:r>
        <w:rPr>
          <w:rFonts w:ascii="Microsoft JhengHei" w:hAnsi="Microsoft JhengHei" w:cs="Microsoft JhengHei" w:eastAsia="Microsoft JhengHei" w:hint="default"/>
          <w:b/>
          <w:bCs/>
          <w:spacing w:val="2"/>
          <w:sz w:val="28"/>
          <w:szCs w:val="28"/>
        </w:rPr>
        <w:t>本报告中涉及的未来发展陈述，属于计划性事项，不构成公司对投资者的</w:t>
      </w:r>
      <w:r>
        <w:rPr>
          <w:rFonts w:ascii="Microsoft JhengHei" w:hAnsi="Microsoft JhengHei" w:cs="Microsoft JhengHei" w:eastAsia="Microsoft JhengHei" w:hint="default"/>
          <w:spacing w:val="2"/>
          <w:sz w:val="28"/>
          <w:szCs w:val="28"/>
        </w:rPr>
      </w:r>
    </w:p>
    <w:p>
      <w:pPr>
        <w:spacing w:line="446" w:lineRule="exact" w:before="0"/>
        <w:ind w:left="152" w:right="0" w:firstLine="0"/>
        <w:jc w:val="left"/>
        <w:rPr>
          <w:rFonts w:ascii="Microsoft JhengHei" w:hAnsi="Microsoft JhengHei" w:cs="Microsoft JhengHei" w:eastAsia="Microsoft JhengHei" w:hint="default"/>
          <w:sz w:val="28"/>
          <w:szCs w:val="28"/>
        </w:rPr>
      </w:pPr>
      <w:r>
        <w:rPr>
          <w:rFonts w:ascii="Microsoft JhengHei" w:hAnsi="Microsoft JhengHei" w:cs="Microsoft JhengHei" w:eastAsia="Microsoft JhengHei" w:hint="default"/>
          <w:b/>
          <w:bCs/>
          <w:sz w:val="28"/>
          <w:szCs w:val="28"/>
        </w:rPr>
        <w:t>实质承诺，敬请投资者注意投资风险。</w:t>
      </w:r>
      <w:r>
        <w:rPr>
          <w:rFonts w:ascii="Microsoft JhengHei" w:hAnsi="Microsoft JhengHei" w:cs="Microsoft JhengHei" w:eastAsia="Microsoft JhengHei" w:hint="default"/>
          <w:sz w:val="28"/>
          <w:szCs w:val="28"/>
        </w:rPr>
      </w:r>
    </w:p>
    <w:p>
      <w:pPr>
        <w:spacing w:line="307" w:lineRule="auto" w:before="237"/>
        <w:ind w:left="152" w:right="148" w:firstLine="562"/>
        <w:jc w:val="both"/>
        <w:rPr>
          <w:rFonts w:ascii="Microsoft JhengHei" w:hAnsi="Microsoft JhengHei" w:cs="Microsoft JhengHei" w:eastAsia="Microsoft JhengHei" w:hint="default"/>
          <w:sz w:val="28"/>
          <w:szCs w:val="28"/>
        </w:rPr>
      </w:pPr>
      <w:r>
        <w:rPr>
          <w:rFonts w:ascii="Microsoft JhengHei" w:hAnsi="Microsoft JhengHei" w:cs="Microsoft JhengHei" w:eastAsia="Microsoft JhengHei" w:hint="default"/>
          <w:b/>
          <w:bCs/>
          <w:spacing w:val="2"/>
          <w:sz w:val="28"/>
          <w:szCs w:val="28"/>
        </w:rPr>
        <w:t>本公司请投资者认真阅读本报告，公司在本报告</w:t>
      </w:r>
      <w:r>
        <w:rPr>
          <w:rFonts w:ascii="Times New Roman" w:hAnsi="Times New Roman" w:cs="Times New Roman" w:eastAsia="Times New Roman" w:hint="default"/>
          <w:b/>
          <w:bCs/>
          <w:spacing w:val="2"/>
          <w:sz w:val="28"/>
          <w:szCs w:val="28"/>
        </w:rPr>
        <w:t>“</w:t>
      </w:r>
      <w:r>
        <w:rPr>
          <w:rFonts w:ascii="Microsoft JhengHei" w:hAnsi="Microsoft JhengHei" w:cs="Microsoft JhengHei" w:eastAsia="Microsoft JhengHei" w:hint="default"/>
          <w:b/>
          <w:bCs/>
          <w:spacing w:val="2"/>
          <w:sz w:val="28"/>
          <w:szCs w:val="28"/>
        </w:rPr>
        <w:t>经营情况讨论与分析</w:t>
      </w:r>
      <w:r>
        <w:rPr>
          <w:rFonts w:ascii="Times New Roman" w:hAnsi="Times New Roman" w:cs="Times New Roman" w:eastAsia="Times New Roman" w:hint="default"/>
          <w:b/>
          <w:bCs/>
          <w:spacing w:val="2"/>
          <w:sz w:val="28"/>
          <w:szCs w:val="28"/>
        </w:rPr>
        <w:t>”</w:t>
      </w:r>
      <w:r>
        <w:rPr>
          <w:rFonts w:ascii="Microsoft JhengHei" w:hAnsi="Microsoft JhengHei" w:cs="Microsoft JhengHei" w:eastAsia="Microsoft JhengHei" w:hint="default"/>
          <w:b/>
          <w:bCs/>
          <w:spacing w:val="2"/>
          <w:sz w:val="28"/>
          <w:szCs w:val="28"/>
        </w:rPr>
        <w:t>中</w:t>
      </w:r>
      <w:r>
        <w:rPr>
          <w:rFonts w:ascii="Microsoft JhengHei" w:hAnsi="Microsoft JhengHei" w:cs="Microsoft JhengHei" w:eastAsia="Microsoft JhengHei" w:hint="default"/>
          <w:b/>
          <w:bCs/>
          <w:w w:val="100"/>
          <w:sz w:val="28"/>
          <w:szCs w:val="28"/>
        </w:rPr>
        <w:t> </w:t>
      </w:r>
      <w:r>
        <w:rPr>
          <w:rFonts w:ascii="Times New Roman" w:hAnsi="Times New Roman" w:cs="Times New Roman" w:eastAsia="Times New Roman" w:hint="default"/>
          <w:b/>
          <w:bCs/>
          <w:spacing w:val="2"/>
          <w:sz w:val="28"/>
          <w:szCs w:val="28"/>
        </w:rPr>
        <w:t>“</w:t>
      </w:r>
      <w:r>
        <w:rPr>
          <w:rFonts w:ascii="Microsoft JhengHei" w:hAnsi="Microsoft JhengHei" w:cs="Microsoft JhengHei" w:eastAsia="Microsoft JhengHei" w:hint="default"/>
          <w:b/>
          <w:bCs/>
          <w:spacing w:val="2"/>
          <w:sz w:val="28"/>
          <w:szCs w:val="28"/>
        </w:rPr>
        <w:t>公司未来发展的展望</w:t>
      </w:r>
      <w:r>
        <w:rPr>
          <w:rFonts w:ascii="Times New Roman" w:hAnsi="Times New Roman" w:cs="Times New Roman" w:eastAsia="Times New Roman" w:hint="default"/>
          <w:b/>
          <w:bCs/>
          <w:spacing w:val="2"/>
          <w:sz w:val="28"/>
          <w:szCs w:val="28"/>
        </w:rPr>
        <w:t>”</w:t>
      </w:r>
      <w:r>
        <w:rPr>
          <w:rFonts w:ascii="Microsoft JhengHei" w:hAnsi="Microsoft JhengHei" w:cs="Microsoft JhengHei" w:eastAsia="Microsoft JhengHei" w:hint="default"/>
          <w:b/>
          <w:bCs/>
          <w:spacing w:val="2"/>
          <w:sz w:val="28"/>
          <w:szCs w:val="28"/>
        </w:rPr>
        <w:t>部分，描述了公司未来经营可能面临的主要风险，敬请</w:t>
      </w:r>
      <w:r>
        <w:rPr>
          <w:rFonts w:ascii="Microsoft JhengHei" w:hAnsi="Microsoft JhengHei" w:cs="Microsoft JhengHei" w:eastAsia="Microsoft JhengHei" w:hint="default"/>
          <w:b/>
          <w:bCs/>
          <w:spacing w:val="-36"/>
          <w:sz w:val="28"/>
          <w:szCs w:val="28"/>
        </w:rPr>
        <w:t> </w:t>
      </w:r>
      <w:r>
        <w:rPr>
          <w:rFonts w:ascii="Microsoft JhengHei" w:hAnsi="Microsoft JhengHei" w:cs="Microsoft JhengHei" w:eastAsia="Microsoft JhengHei" w:hint="default"/>
          <w:b/>
          <w:bCs/>
          <w:spacing w:val="-36"/>
          <w:sz w:val="28"/>
          <w:szCs w:val="28"/>
        </w:rPr>
      </w:r>
      <w:r>
        <w:rPr>
          <w:rFonts w:ascii="Microsoft JhengHei" w:hAnsi="Microsoft JhengHei" w:cs="Microsoft JhengHei" w:eastAsia="Microsoft JhengHei" w:hint="default"/>
          <w:b/>
          <w:bCs/>
          <w:sz w:val="28"/>
          <w:szCs w:val="28"/>
        </w:rPr>
        <w:t>广大投资者注意风险。</w:t>
      </w:r>
      <w:r>
        <w:rPr>
          <w:rFonts w:ascii="Microsoft JhengHei" w:hAnsi="Microsoft JhengHei" w:cs="Microsoft JhengHei" w:eastAsia="Microsoft JhengHei" w:hint="default"/>
          <w:sz w:val="28"/>
          <w:szCs w:val="28"/>
        </w:rPr>
      </w:r>
    </w:p>
    <w:p>
      <w:pPr>
        <w:spacing w:before="133"/>
        <w:ind w:left="714" w:right="0" w:firstLine="0"/>
        <w:jc w:val="left"/>
        <w:rPr>
          <w:rFonts w:ascii="Microsoft JhengHei" w:hAnsi="Microsoft JhengHei" w:cs="Microsoft JhengHei" w:eastAsia="Microsoft JhengHei" w:hint="default"/>
          <w:sz w:val="28"/>
          <w:szCs w:val="28"/>
        </w:rPr>
      </w:pPr>
      <w:r>
        <w:rPr>
          <w:rFonts w:ascii="Microsoft JhengHei" w:hAnsi="Microsoft JhengHei" w:cs="Microsoft JhengHei" w:eastAsia="Microsoft JhengHei" w:hint="default"/>
          <w:b/>
          <w:bCs/>
          <w:sz w:val="28"/>
          <w:szCs w:val="28"/>
        </w:rPr>
        <w:t>公司计划不派发现金红利，不送红股，不以公积金转增股本。</w:t>
      </w:r>
      <w:r>
        <w:rPr>
          <w:rFonts w:ascii="Microsoft JhengHei" w:hAnsi="Microsoft JhengHei" w:cs="Microsoft JhengHei" w:eastAsia="Microsoft JhengHei" w:hint="default"/>
          <w:sz w:val="28"/>
          <w:szCs w:val="28"/>
        </w:rPr>
      </w:r>
    </w:p>
    <w:p>
      <w:pPr>
        <w:spacing w:after="0"/>
        <w:jc w:val="left"/>
        <w:rPr>
          <w:rFonts w:ascii="Microsoft JhengHei" w:hAnsi="Microsoft JhengHei" w:cs="Microsoft JhengHei" w:eastAsia="Microsoft JhengHei" w:hint="default"/>
          <w:sz w:val="28"/>
          <w:szCs w:val="28"/>
        </w:rPr>
        <w:sectPr>
          <w:footerReference w:type="default" r:id="rId8"/>
          <w:pgSz w:w="11910" w:h="16840"/>
          <w:pgMar w:footer="979" w:header="745" w:top="1060" w:bottom="1160" w:left="980" w:right="980"/>
          <w:pgNumType w:start="2"/>
        </w:sectPr>
      </w:pPr>
    </w:p>
    <w:p>
      <w:pPr>
        <w:spacing w:line="240" w:lineRule="auto" w:before="2"/>
        <w:rPr>
          <w:rFonts w:ascii="Microsoft JhengHei" w:hAnsi="Microsoft JhengHei" w:cs="Microsoft JhengHei" w:eastAsia="Microsoft JhengHei" w:hint="default"/>
          <w:b/>
          <w:bCs/>
          <w:sz w:val="2"/>
          <w:szCs w:val="2"/>
        </w:rPr>
      </w:pPr>
    </w:p>
    <w:p>
      <w:pPr>
        <w:spacing w:line="20" w:lineRule="exact"/>
        <w:ind w:left="116" w:right="0" w:firstLine="0"/>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Microsoft JhengHei" w:hAnsi="Microsoft JhengHei" w:cs="Microsoft JhengHei" w:eastAsia="Microsoft JhengHei" w:hint="default"/>
          <w:sz w:val="2"/>
          <w:szCs w:val="2"/>
        </w:rPr>
      </w: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13"/>
        <w:rPr>
          <w:rFonts w:ascii="Microsoft JhengHei" w:hAnsi="Microsoft JhengHei" w:cs="Microsoft JhengHei" w:eastAsia="Microsoft JhengHei" w:hint="default"/>
          <w:b/>
          <w:bCs/>
          <w:sz w:val="14"/>
          <w:szCs w:val="14"/>
        </w:rPr>
      </w:pPr>
    </w:p>
    <w:p>
      <w:pPr>
        <w:spacing w:line="501" w:lineRule="exact" w:before="0"/>
        <w:ind w:left="2793" w:right="2793" w:firstLine="0"/>
        <w:jc w:val="center"/>
        <w:rPr>
          <w:rFonts w:ascii="Microsoft JhengHei" w:hAnsi="Microsoft JhengHei" w:cs="Microsoft JhengHei" w:eastAsia="Microsoft JhengHei" w:hint="default"/>
          <w:sz w:val="36"/>
          <w:szCs w:val="36"/>
        </w:rPr>
      </w:pPr>
      <w:r>
        <w:rPr>
          <w:rFonts w:ascii="Microsoft JhengHei" w:hAnsi="Microsoft JhengHei" w:cs="Microsoft JhengHei" w:eastAsia="Microsoft JhengHei" w:hint="default"/>
          <w:b/>
          <w:bCs/>
          <w:sz w:val="36"/>
          <w:szCs w:val="36"/>
        </w:rPr>
        <w:t>目录</w:t>
      </w:r>
      <w:r>
        <w:rPr>
          <w:rFonts w:ascii="Microsoft JhengHei" w:hAnsi="Microsoft JhengHei" w:cs="Microsoft JhengHei" w:eastAsia="Microsoft JhengHei" w:hint="default"/>
          <w:sz w:val="36"/>
          <w:szCs w:val="36"/>
        </w:rPr>
      </w:r>
    </w:p>
    <w:p>
      <w:pPr>
        <w:spacing w:line="240" w:lineRule="auto" w:before="0"/>
        <w:rPr>
          <w:rFonts w:ascii="Microsoft JhengHei" w:hAnsi="Microsoft JhengHei" w:cs="Microsoft JhengHei" w:eastAsia="Microsoft JhengHei" w:hint="default"/>
          <w:b/>
          <w:bCs/>
          <w:sz w:val="36"/>
          <w:szCs w:val="36"/>
        </w:rPr>
      </w:pPr>
    </w:p>
    <w:p>
      <w:pPr>
        <w:spacing w:line="240" w:lineRule="auto" w:before="9"/>
        <w:rPr>
          <w:rFonts w:ascii="Microsoft JhengHei" w:hAnsi="Microsoft JhengHei" w:cs="Microsoft JhengHei" w:eastAsia="Microsoft JhengHei" w:hint="default"/>
          <w:b/>
          <w:bCs/>
          <w:sz w:val="47"/>
          <w:szCs w:val="47"/>
        </w:rPr>
      </w:pPr>
    </w:p>
    <w:sdt>
      <w:sdtPr>
        <w:docPartObj>
          <w:docPartGallery w:val="Table of Contents"/>
          <w:docPartUnique/>
        </w:docPartObj>
      </w:sdtPr>
      <w:sdtEndPr/>
      <w:sdtContent>
        <w:p>
          <w:pPr>
            <w:pStyle w:val="TOC1"/>
            <w:tabs>
              <w:tab w:pos="9783" w:val="right" w:leader="dot"/>
            </w:tabs>
            <w:spacing w:line="240" w:lineRule="auto" w:before="0"/>
            <w:ind w:right="0"/>
            <w:jc w:val="left"/>
            <w:rPr>
              <w:rFonts w:ascii="Trebuchet MS" w:hAnsi="Trebuchet MS" w:cs="Trebuchet MS" w:eastAsia="Trebuchet MS" w:hint="default"/>
              <w:b w:val="0"/>
              <w:bCs w:val="0"/>
            </w:rPr>
          </w:pPr>
          <w:r>
            <w:fldChar w:fldCharType="begin"/>
          </w:r>
          <w:r>
            <w:instrText>TOC \o "1-1" \h \z \u </w:instrText>
          </w:r>
          <w:r>
            <w:fldChar w:fldCharType="separate"/>
          </w:r>
          <w:hyperlink w:history="true" w:anchor="_bookmark0">
            <w:r>
              <w:rPr/>
              <w:t>第一节 </w:t>
            </w:r>
            <w:r>
              <w:rPr>
                <w:spacing w:val="2"/>
              </w:rPr>
              <w:t> </w:t>
            </w:r>
            <w:r>
              <w:rPr/>
              <w:t>重要提示、目录和释义</w:t>
            </w:r>
            <w:r>
              <w:rPr>
                <w:rFonts w:ascii="Trebuchet MS" w:hAnsi="Trebuchet MS" w:cs="Trebuchet MS" w:eastAsia="Trebuchet MS" w:hint="default"/>
              </w:rPr>
              <w:tab/>
              <w:t>2</w:t>
            </w:r>
            <w:r>
              <w:rPr>
                <w:rFonts w:ascii="Trebuchet MS" w:hAnsi="Trebuchet MS" w:cs="Trebuchet MS" w:eastAsia="Trebuchet MS" w:hint="default"/>
                <w:b w:val="0"/>
                <w:bCs w:val="0"/>
              </w:rPr>
            </w:r>
          </w:hyperlink>
        </w:p>
        <w:p>
          <w:pPr>
            <w:pStyle w:val="TOC1"/>
            <w:tabs>
              <w:tab w:pos="9783" w:val="right" w:leader="dot"/>
            </w:tabs>
            <w:spacing w:line="240" w:lineRule="auto"/>
            <w:ind w:right="0"/>
            <w:jc w:val="left"/>
            <w:rPr>
              <w:rFonts w:ascii="Trebuchet MS" w:hAnsi="Trebuchet MS" w:cs="Trebuchet MS" w:eastAsia="Trebuchet MS" w:hint="default"/>
              <w:b w:val="0"/>
              <w:bCs w:val="0"/>
            </w:rPr>
          </w:pPr>
          <w:hyperlink w:history="true" w:anchor="_bookmark1">
            <w:r>
              <w:rPr/>
              <w:t>第二节 </w:t>
            </w:r>
            <w:r>
              <w:rPr>
                <w:spacing w:val="2"/>
              </w:rPr>
              <w:t> </w:t>
            </w:r>
            <w:r>
              <w:rPr/>
              <w:t>公司简介和主要财务指标</w:t>
            </w:r>
            <w:r>
              <w:rPr>
                <w:rFonts w:ascii="Trebuchet MS" w:hAnsi="Trebuchet MS" w:cs="Trebuchet MS" w:eastAsia="Trebuchet MS" w:hint="default"/>
              </w:rPr>
              <w:tab/>
              <w:t>5</w:t>
            </w:r>
            <w:r>
              <w:rPr>
                <w:rFonts w:ascii="Trebuchet MS" w:hAnsi="Trebuchet MS" w:cs="Trebuchet MS" w:eastAsia="Trebuchet MS" w:hint="default"/>
                <w:b w:val="0"/>
                <w:bCs w:val="0"/>
              </w:rPr>
            </w:r>
          </w:hyperlink>
        </w:p>
        <w:p>
          <w:pPr>
            <w:pStyle w:val="TOC1"/>
            <w:tabs>
              <w:tab w:pos="9783" w:val="right" w:leader="dot"/>
            </w:tabs>
            <w:spacing w:line="240" w:lineRule="auto" w:before="88"/>
            <w:ind w:right="0"/>
            <w:jc w:val="left"/>
            <w:rPr>
              <w:rFonts w:ascii="Trebuchet MS" w:hAnsi="Trebuchet MS" w:cs="Trebuchet MS" w:eastAsia="Trebuchet MS" w:hint="default"/>
              <w:b w:val="0"/>
              <w:bCs w:val="0"/>
            </w:rPr>
          </w:pPr>
          <w:hyperlink w:history="true" w:anchor="_bookmark2">
            <w:r>
              <w:rPr/>
              <w:t>第三节 </w:t>
            </w:r>
            <w:r>
              <w:rPr>
                <w:spacing w:val="2"/>
              </w:rPr>
              <w:t> </w:t>
            </w:r>
            <w:r>
              <w:rPr/>
              <w:t>公司业务概要</w:t>
            </w:r>
            <w:r>
              <w:rPr>
                <w:rFonts w:ascii="Trebuchet MS" w:hAnsi="Trebuchet MS" w:cs="Trebuchet MS" w:eastAsia="Trebuchet MS" w:hint="default"/>
              </w:rPr>
              <w:tab/>
              <w:t>9</w:t>
            </w:r>
            <w:r>
              <w:rPr>
                <w:rFonts w:ascii="Trebuchet MS" w:hAnsi="Trebuchet MS" w:cs="Trebuchet MS" w:eastAsia="Trebuchet MS" w:hint="default"/>
                <w:b w:val="0"/>
                <w:bCs w:val="0"/>
              </w:rPr>
            </w:r>
          </w:hyperlink>
        </w:p>
        <w:p>
          <w:pPr>
            <w:pStyle w:val="TOC1"/>
            <w:tabs>
              <w:tab w:pos="9785" w:val="right" w:leader="dot"/>
            </w:tabs>
            <w:spacing w:line="240" w:lineRule="auto"/>
            <w:ind w:right="0"/>
            <w:jc w:val="left"/>
            <w:rPr>
              <w:rFonts w:ascii="Trebuchet MS" w:hAnsi="Trebuchet MS" w:cs="Trebuchet MS" w:eastAsia="Trebuchet MS" w:hint="default"/>
              <w:b w:val="0"/>
              <w:bCs w:val="0"/>
            </w:rPr>
          </w:pPr>
          <w:hyperlink w:history="true" w:anchor="_bookmark3">
            <w:r>
              <w:rPr/>
              <w:t>第四节 </w:t>
            </w:r>
            <w:r>
              <w:rPr>
                <w:spacing w:val="2"/>
              </w:rPr>
              <w:t> </w:t>
            </w:r>
            <w:r>
              <w:rPr/>
              <w:t>经营情况讨论与分析</w:t>
            </w:r>
            <w:r>
              <w:rPr>
                <w:rFonts w:ascii="Trebuchet MS" w:hAnsi="Trebuchet MS" w:cs="Trebuchet MS" w:eastAsia="Trebuchet MS" w:hint="default"/>
              </w:rPr>
              <w:tab/>
              <w:t>11</w:t>
            </w:r>
            <w:r>
              <w:rPr>
                <w:rFonts w:ascii="Trebuchet MS" w:hAnsi="Trebuchet MS" w:cs="Trebuchet MS" w:eastAsia="Trebuchet MS" w:hint="default"/>
                <w:b w:val="0"/>
                <w:bCs w:val="0"/>
              </w:rPr>
            </w:r>
          </w:hyperlink>
        </w:p>
        <w:p>
          <w:pPr>
            <w:pStyle w:val="TOC1"/>
            <w:tabs>
              <w:tab w:pos="9785" w:val="right" w:leader="dot"/>
            </w:tabs>
            <w:spacing w:line="240" w:lineRule="auto"/>
            <w:ind w:right="0"/>
            <w:jc w:val="left"/>
            <w:rPr>
              <w:rFonts w:ascii="Trebuchet MS" w:hAnsi="Trebuchet MS" w:cs="Trebuchet MS" w:eastAsia="Trebuchet MS" w:hint="default"/>
              <w:b w:val="0"/>
              <w:bCs w:val="0"/>
            </w:rPr>
          </w:pPr>
          <w:hyperlink w:history="true" w:anchor="_bookmark4">
            <w:r>
              <w:rPr/>
              <w:t>第五节 </w:t>
            </w:r>
            <w:r>
              <w:rPr>
                <w:spacing w:val="2"/>
              </w:rPr>
              <w:t> </w:t>
            </w:r>
            <w:r>
              <w:rPr/>
              <w:t>重要事项</w:t>
            </w:r>
            <w:r>
              <w:rPr>
                <w:rFonts w:ascii="Trebuchet MS" w:hAnsi="Trebuchet MS" w:cs="Trebuchet MS" w:eastAsia="Trebuchet MS" w:hint="default"/>
              </w:rPr>
              <w:tab/>
              <w:t>23</w:t>
            </w:r>
            <w:r>
              <w:rPr>
                <w:rFonts w:ascii="Trebuchet MS" w:hAnsi="Trebuchet MS" w:cs="Trebuchet MS" w:eastAsia="Trebuchet MS" w:hint="default"/>
                <w:b w:val="0"/>
                <w:bCs w:val="0"/>
              </w:rPr>
            </w:r>
          </w:hyperlink>
        </w:p>
        <w:p>
          <w:pPr>
            <w:pStyle w:val="TOC1"/>
            <w:tabs>
              <w:tab w:pos="9785" w:val="right" w:leader="dot"/>
            </w:tabs>
            <w:spacing w:line="240" w:lineRule="auto" w:before="88"/>
            <w:ind w:right="0"/>
            <w:jc w:val="left"/>
            <w:rPr>
              <w:rFonts w:ascii="Trebuchet MS" w:hAnsi="Trebuchet MS" w:cs="Trebuchet MS" w:eastAsia="Trebuchet MS" w:hint="default"/>
              <w:b w:val="0"/>
              <w:bCs w:val="0"/>
            </w:rPr>
          </w:pPr>
          <w:hyperlink w:history="true" w:anchor="_bookmark5">
            <w:r>
              <w:rPr/>
              <w:t>第六节 </w:t>
            </w:r>
            <w:r>
              <w:rPr>
                <w:spacing w:val="2"/>
              </w:rPr>
              <w:t> </w:t>
            </w:r>
            <w:r>
              <w:rPr/>
              <w:t>股份变动及股东情况</w:t>
            </w:r>
            <w:r>
              <w:rPr>
                <w:rFonts w:ascii="Trebuchet MS" w:hAnsi="Trebuchet MS" w:cs="Trebuchet MS" w:eastAsia="Trebuchet MS" w:hint="default"/>
              </w:rPr>
              <w:tab/>
              <w:t>37</w:t>
            </w:r>
            <w:r>
              <w:rPr>
                <w:rFonts w:ascii="Trebuchet MS" w:hAnsi="Trebuchet MS" w:cs="Trebuchet MS" w:eastAsia="Trebuchet MS" w:hint="default"/>
                <w:b w:val="0"/>
                <w:bCs w:val="0"/>
              </w:rPr>
            </w:r>
          </w:hyperlink>
        </w:p>
        <w:p>
          <w:pPr>
            <w:pStyle w:val="TOC1"/>
            <w:tabs>
              <w:tab w:pos="9785" w:val="right" w:leader="dot"/>
            </w:tabs>
            <w:spacing w:line="240" w:lineRule="auto"/>
            <w:ind w:right="0"/>
            <w:jc w:val="left"/>
            <w:rPr>
              <w:rFonts w:ascii="Trebuchet MS" w:hAnsi="Trebuchet MS" w:cs="Trebuchet MS" w:eastAsia="Trebuchet MS" w:hint="default"/>
              <w:b w:val="0"/>
              <w:bCs w:val="0"/>
            </w:rPr>
          </w:pPr>
          <w:hyperlink w:history="true" w:anchor="_bookmark6">
            <w:r>
              <w:rPr/>
              <w:t>第七节 </w:t>
            </w:r>
            <w:r>
              <w:rPr>
                <w:spacing w:val="2"/>
              </w:rPr>
              <w:t> </w:t>
            </w:r>
            <w:r>
              <w:rPr/>
              <w:t>优先股相关情况</w:t>
            </w:r>
            <w:r>
              <w:rPr>
                <w:rFonts w:ascii="Trebuchet MS" w:hAnsi="Trebuchet MS" w:cs="Trebuchet MS" w:eastAsia="Trebuchet MS" w:hint="default"/>
              </w:rPr>
              <w:tab/>
              <w:t>42</w:t>
            </w:r>
            <w:r>
              <w:rPr>
                <w:rFonts w:ascii="Trebuchet MS" w:hAnsi="Trebuchet MS" w:cs="Trebuchet MS" w:eastAsia="Trebuchet MS" w:hint="default"/>
                <w:b w:val="0"/>
                <w:bCs w:val="0"/>
              </w:rPr>
            </w:r>
          </w:hyperlink>
        </w:p>
        <w:p>
          <w:pPr>
            <w:pStyle w:val="TOC1"/>
            <w:tabs>
              <w:tab w:pos="9785" w:val="right" w:leader="dot"/>
            </w:tabs>
            <w:spacing w:line="240" w:lineRule="auto"/>
            <w:ind w:right="0"/>
            <w:jc w:val="left"/>
            <w:rPr>
              <w:rFonts w:ascii="Trebuchet MS" w:hAnsi="Trebuchet MS" w:cs="Trebuchet MS" w:eastAsia="Trebuchet MS" w:hint="default"/>
              <w:b w:val="0"/>
              <w:bCs w:val="0"/>
            </w:rPr>
          </w:pPr>
          <w:hyperlink w:history="true" w:anchor="_bookmark7">
            <w:r>
              <w:rPr/>
              <w:t>第八节 </w:t>
            </w:r>
            <w:r>
              <w:rPr>
                <w:spacing w:val="2"/>
              </w:rPr>
              <w:t> </w:t>
            </w:r>
            <w:r>
              <w:rPr/>
              <w:t>董事、监事、高级管理人员和员工情况</w:t>
            </w:r>
            <w:r>
              <w:rPr>
                <w:rFonts w:ascii="Trebuchet MS" w:hAnsi="Trebuchet MS" w:cs="Trebuchet MS" w:eastAsia="Trebuchet MS" w:hint="default"/>
              </w:rPr>
              <w:tab/>
              <w:t>43</w:t>
            </w:r>
            <w:r>
              <w:rPr>
                <w:rFonts w:ascii="Trebuchet MS" w:hAnsi="Trebuchet MS" w:cs="Trebuchet MS" w:eastAsia="Trebuchet MS" w:hint="default"/>
                <w:b w:val="0"/>
                <w:bCs w:val="0"/>
              </w:rPr>
            </w:r>
          </w:hyperlink>
        </w:p>
        <w:p>
          <w:pPr>
            <w:pStyle w:val="TOC1"/>
            <w:tabs>
              <w:tab w:pos="9785" w:val="right" w:leader="dot"/>
            </w:tabs>
            <w:spacing w:line="240" w:lineRule="auto" w:before="88"/>
            <w:ind w:right="0"/>
            <w:jc w:val="left"/>
            <w:rPr>
              <w:rFonts w:ascii="Trebuchet MS" w:hAnsi="Trebuchet MS" w:cs="Trebuchet MS" w:eastAsia="Trebuchet MS" w:hint="default"/>
              <w:b w:val="0"/>
              <w:bCs w:val="0"/>
            </w:rPr>
          </w:pPr>
          <w:hyperlink w:history="true" w:anchor="_bookmark8">
            <w:r>
              <w:rPr/>
              <w:t>第九节 </w:t>
            </w:r>
            <w:r>
              <w:rPr>
                <w:spacing w:val="2"/>
              </w:rPr>
              <w:t> </w:t>
            </w:r>
            <w:r>
              <w:rPr/>
              <w:t>公司治理</w:t>
            </w:r>
            <w:r>
              <w:rPr>
                <w:rFonts w:ascii="Trebuchet MS" w:hAnsi="Trebuchet MS" w:cs="Trebuchet MS" w:eastAsia="Trebuchet MS" w:hint="default"/>
              </w:rPr>
              <w:tab/>
              <w:t>49</w:t>
            </w:r>
            <w:r>
              <w:rPr>
                <w:rFonts w:ascii="Trebuchet MS" w:hAnsi="Trebuchet MS" w:cs="Trebuchet MS" w:eastAsia="Trebuchet MS" w:hint="default"/>
                <w:b w:val="0"/>
                <w:bCs w:val="0"/>
              </w:rPr>
            </w:r>
          </w:hyperlink>
        </w:p>
        <w:p>
          <w:pPr>
            <w:pStyle w:val="TOC1"/>
            <w:tabs>
              <w:tab w:pos="9785" w:val="right" w:leader="dot"/>
            </w:tabs>
            <w:spacing w:line="240" w:lineRule="auto"/>
            <w:ind w:right="0"/>
            <w:jc w:val="left"/>
            <w:rPr>
              <w:rFonts w:ascii="Trebuchet MS" w:hAnsi="Trebuchet MS" w:cs="Trebuchet MS" w:eastAsia="Trebuchet MS" w:hint="default"/>
              <w:b w:val="0"/>
              <w:bCs w:val="0"/>
            </w:rPr>
          </w:pPr>
          <w:hyperlink w:history="true" w:anchor="_bookmark9">
            <w:r>
              <w:rPr/>
              <w:t>第十节 </w:t>
            </w:r>
            <w:r>
              <w:rPr>
                <w:spacing w:val="2"/>
              </w:rPr>
              <w:t> </w:t>
            </w:r>
            <w:r>
              <w:rPr/>
              <w:t>公司债券相关情况</w:t>
            </w:r>
            <w:r>
              <w:rPr>
                <w:rFonts w:ascii="Trebuchet MS" w:hAnsi="Trebuchet MS" w:cs="Trebuchet MS" w:eastAsia="Trebuchet MS" w:hint="default"/>
              </w:rPr>
              <w:tab/>
              <w:t>55</w:t>
            </w:r>
            <w:r>
              <w:rPr>
                <w:rFonts w:ascii="Trebuchet MS" w:hAnsi="Trebuchet MS" w:cs="Trebuchet MS" w:eastAsia="Trebuchet MS" w:hint="default"/>
                <w:b w:val="0"/>
                <w:bCs w:val="0"/>
              </w:rPr>
            </w:r>
          </w:hyperlink>
        </w:p>
        <w:p>
          <w:pPr>
            <w:pStyle w:val="TOC1"/>
            <w:tabs>
              <w:tab w:pos="9785" w:val="right" w:leader="dot"/>
            </w:tabs>
            <w:spacing w:line="240" w:lineRule="auto"/>
            <w:ind w:right="0"/>
            <w:jc w:val="left"/>
            <w:rPr>
              <w:rFonts w:ascii="Trebuchet MS" w:hAnsi="Trebuchet MS" w:cs="Trebuchet MS" w:eastAsia="Trebuchet MS" w:hint="default"/>
              <w:b w:val="0"/>
              <w:bCs w:val="0"/>
            </w:rPr>
          </w:pPr>
          <w:hyperlink w:history="true" w:anchor="_bookmark10">
            <w:r>
              <w:rPr/>
              <w:t>第十一节</w:t>
            </w:r>
            <w:r>
              <w:rPr>
                <w:spacing w:val="59"/>
              </w:rPr>
              <w:t> </w:t>
            </w:r>
            <w:r>
              <w:rPr/>
              <w:t>财务报告</w:t>
            </w:r>
            <w:r>
              <w:rPr>
                <w:rFonts w:ascii="Trebuchet MS" w:hAnsi="Trebuchet MS" w:cs="Trebuchet MS" w:eastAsia="Trebuchet MS" w:hint="default"/>
              </w:rPr>
              <w:tab/>
              <w:t>56</w:t>
            </w:r>
            <w:r>
              <w:rPr>
                <w:rFonts w:ascii="Trebuchet MS" w:hAnsi="Trebuchet MS" w:cs="Trebuchet MS" w:eastAsia="Trebuchet MS" w:hint="default"/>
                <w:b w:val="0"/>
                <w:bCs w:val="0"/>
              </w:rPr>
            </w:r>
          </w:hyperlink>
        </w:p>
        <w:p>
          <w:pPr>
            <w:pStyle w:val="TOC1"/>
            <w:tabs>
              <w:tab w:pos="9783" w:val="right" w:leader="dot"/>
            </w:tabs>
            <w:spacing w:line="240" w:lineRule="auto" w:before="88"/>
            <w:ind w:right="0"/>
            <w:jc w:val="left"/>
            <w:rPr>
              <w:rFonts w:ascii="Trebuchet MS" w:hAnsi="Trebuchet MS" w:cs="Trebuchet MS" w:eastAsia="Trebuchet MS" w:hint="default"/>
              <w:b w:val="0"/>
              <w:bCs w:val="0"/>
            </w:rPr>
          </w:pPr>
          <w:hyperlink w:history="true" w:anchor="_bookmark11">
            <w:r>
              <w:rPr/>
              <w:t>第十二节</w:t>
            </w:r>
            <w:r>
              <w:rPr>
                <w:spacing w:val="59"/>
              </w:rPr>
              <w:t> </w:t>
            </w:r>
            <w:r>
              <w:rPr/>
              <w:t>备查文件目录</w:t>
            </w:r>
            <w:r>
              <w:rPr>
                <w:rFonts w:ascii="Trebuchet MS" w:hAnsi="Trebuchet MS" w:cs="Trebuchet MS" w:eastAsia="Trebuchet MS" w:hint="default"/>
              </w:rPr>
              <w:tab/>
              <w:t>146</w:t>
            </w:r>
            <w:r>
              <w:rPr>
                <w:rFonts w:ascii="Trebuchet MS" w:hAnsi="Trebuchet MS" w:cs="Trebuchet MS" w:eastAsia="Trebuchet MS" w:hint="default"/>
                <w:b w:val="0"/>
                <w:bCs w:val="0"/>
              </w:rPr>
            </w:r>
          </w:hyperlink>
        </w:p>
        <w:p>
          <w:pPr/>
          <w:r>
            <w:fldChar w:fldCharType="end"/>
          </w:r>
        </w:p>
      </w:sdtContent>
    </w:sdt>
    <w:p>
      <w:pPr>
        <w:spacing w:after="0"/>
        <w:sectPr>
          <w:pgSz w:w="11910" w:h="16840"/>
          <w:pgMar w:header="745" w:footer="979" w:top="1060" w:bottom="1160" w:left="980" w:right="980"/>
        </w:sectPr>
      </w:pPr>
    </w:p>
    <w:p>
      <w:pPr>
        <w:spacing w:before="843"/>
        <w:ind w:left="2793" w:right="2793" w:firstLine="0"/>
        <w:jc w:val="center"/>
        <w:rPr>
          <w:rFonts w:ascii="Microsoft JhengHei" w:hAnsi="Microsoft JhengHei" w:cs="Microsoft JhengHei" w:eastAsia="Microsoft JhengHei" w:hint="default"/>
          <w:sz w:val="32"/>
          <w:szCs w:val="32"/>
        </w:rPr>
      </w:pPr>
      <w:r>
        <w:rPr>
          <w:rFonts w:ascii="Microsoft JhengHei" w:hAnsi="Microsoft JhengHei" w:cs="Microsoft JhengHei" w:eastAsia="Microsoft JhengHei" w:hint="default"/>
          <w:b/>
          <w:bCs/>
          <w:sz w:val="32"/>
          <w:szCs w:val="32"/>
        </w:rPr>
        <w:t>释义</w:t>
      </w:r>
      <w:r>
        <w:rPr>
          <w:rFonts w:ascii="Microsoft JhengHei" w:hAnsi="Microsoft JhengHei" w:cs="Microsoft JhengHei" w:eastAsia="Microsoft JhengHei" w:hint="default"/>
          <w:sz w:val="32"/>
          <w:szCs w:val="32"/>
        </w:rPr>
      </w:r>
    </w:p>
    <w:p>
      <w:pPr>
        <w:spacing w:line="240" w:lineRule="auto" w:before="0"/>
        <w:rPr>
          <w:rFonts w:ascii="Microsoft JhengHei" w:hAnsi="Microsoft JhengHei" w:cs="Microsoft JhengHei" w:eastAsia="Microsoft JhengHei" w:hint="default"/>
          <w:b/>
          <w:bCs/>
          <w:sz w:val="20"/>
          <w:szCs w:val="20"/>
        </w:rPr>
      </w:pPr>
    </w:p>
    <w:p>
      <w:pPr>
        <w:spacing w:line="240" w:lineRule="auto" w:before="16"/>
        <w:rPr>
          <w:rFonts w:ascii="Microsoft JhengHei" w:hAnsi="Microsoft JhengHei" w:cs="Microsoft JhengHei" w:eastAsia="Microsoft JhengHei" w:hint="default"/>
          <w:b/>
          <w:bCs/>
          <w:sz w:val="26"/>
          <w:szCs w:val="26"/>
        </w:rPr>
      </w:pPr>
    </w:p>
    <w:tbl>
      <w:tblPr>
        <w:tblW w:w="0" w:type="auto"/>
        <w:jc w:val="left"/>
        <w:tblInd w:w="148" w:type="dxa"/>
        <w:tblLayout w:type="fixed"/>
        <w:tblCellMar>
          <w:top w:w="0" w:type="dxa"/>
          <w:left w:w="0" w:type="dxa"/>
          <w:bottom w:w="0" w:type="dxa"/>
          <w:right w:w="0" w:type="dxa"/>
        </w:tblCellMar>
        <w:tblLook w:val="01E0"/>
      </w:tblPr>
      <w:tblGrid>
        <w:gridCol w:w="3524"/>
        <w:gridCol w:w="622"/>
        <w:gridCol w:w="5425"/>
      </w:tblGrid>
      <w:tr>
        <w:trPr>
          <w:trHeight w:val="398" w:hRule="exact"/>
        </w:trPr>
        <w:tc>
          <w:tcPr>
            <w:tcW w:w="3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释义项</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6"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公司、本公司、股份公司、群兴玩具</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广东群兴玩具股份有限公司</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群兴投资、本公司控股股东</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广东群兴投资有限公司</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本公司实际控制人</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林伟章、黄仕群</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中国证监会</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中国证券监督管理委员会</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深交所</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董事会</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广东群兴玩具股份有限公司董事会</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监事会</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广东群兴玩具股份有限公司监事会</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报告期</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元（万元）</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人民币元（万元）</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童乐乐玩具、童乐乐</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汕头市童乐乐玩具有限公司</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群兴香港</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群興玩具（香港）有限公司</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粤科租赁</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广东粤科融资租赁有限公司</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西藏群兴</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西藏群兴文化发展有限责任公司</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歌乐宝</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歌乐宝（汕头）网络科技有限公司</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西藏蓝道</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西藏蓝道智能交通科技有限责任公司</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时空能源</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标的公司、浙江时空能源技术有限公司</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《公司法》</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《中华人民共和国公司法》</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《证券法》</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《中华人民共和国证券法》</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《公司章程》</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《广东群兴玩具股份有限公司章程》</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0"/>
        <w:rPr>
          <w:rFonts w:ascii="Microsoft JhengHei" w:hAnsi="Microsoft JhengHei" w:cs="Microsoft JhengHei" w:eastAsia="Microsoft JhengHei" w:hint="default"/>
          <w:b/>
          <w:bCs/>
          <w:sz w:val="20"/>
          <w:szCs w:val="20"/>
        </w:rPr>
      </w:pPr>
      <w:r>
        <w:rPr/>
        <w:pict>
          <v:shape style="position:absolute;margin-left:138pt;margin-top:272.809998pt;width:396.95pt;height:19.6pt;mso-position-horizontal-relative:page;mso-position-vertical-relative:page;z-index:-701176" type="#_x0000_t202" filled="false" stroked="false">
            <v:textbox inset="0,0,0,0">
              <w:txbxContent>
                <w:p>
                  <w:pPr>
                    <w:pStyle w:val="BodyText"/>
                    <w:spacing w:line="240" w:lineRule="auto" w:before="49"/>
                    <w:ind w:left="0" w:right="0"/>
                    <w:jc w:val="left"/>
                  </w:pPr>
                  <w:r>
                    <w:rPr/>
                    <w:t>（如有）</w:t>
                  </w:r>
                </w:p>
              </w:txbxContent>
            </v:textbox>
            <w10:wrap type="none"/>
          </v:shape>
        </w:pict>
      </w:r>
    </w:p>
    <w:p>
      <w:pPr>
        <w:spacing w:line="240" w:lineRule="auto" w:before="3"/>
        <w:rPr>
          <w:rFonts w:ascii="Microsoft JhengHei" w:hAnsi="Microsoft JhengHei" w:cs="Microsoft JhengHei" w:eastAsia="Microsoft JhengHei" w:hint="default"/>
          <w:b/>
          <w:bCs/>
          <w:sz w:val="25"/>
          <w:szCs w:val="25"/>
        </w:rPr>
      </w:pPr>
    </w:p>
    <w:p>
      <w:pPr>
        <w:pStyle w:val="Heading1"/>
        <w:spacing w:line="456" w:lineRule="exact"/>
        <w:ind w:left="2642" w:right="0"/>
        <w:jc w:val="left"/>
        <w:rPr>
          <w:b w:val="0"/>
          <w:bCs w:val="0"/>
        </w:rPr>
      </w:pPr>
      <w:bookmarkStart w:name="_bookmark1" w:id="2"/>
      <w:bookmarkEnd w:id="2"/>
      <w:r>
        <w:rPr>
          <w:b w:val="0"/>
          <w:bCs w:val="0"/>
        </w:rPr>
      </w:r>
      <w:r>
        <w:rPr/>
        <w:t>第二节 </w:t>
      </w:r>
      <w:r>
        <w:rPr>
          <w:spacing w:val="13"/>
        </w:rPr>
        <w:t> </w:t>
      </w:r>
      <w:r>
        <w:rPr/>
        <w:t>公司简介和主要财务指标</w:t>
      </w:r>
      <w:r>
        <w:rPr>
          <w:b w:val="0"/>
          <w:bCs w:val="0"/>
        </w:rPr>
      </w:r>
    </w:p>
    <w:p>
      <w:pPr>
        <w:spacing w:line="240" w:lineRule="auto" w:before="15"/>
        <w:rPr>
          <w:rFonts w:ascii="Microsoft JhengHei" w:hAnsi="Microsoft JhengHei" w:cs="Microsoft JhengHei" w:eastAsia="Microsoft JhengHei" w:hint="default"/>
          <w:b/>
          <w:bCs/>
          <w:sz w:val="25"/>
          <w:szCs w:val="25"/>
        </w:rPr>
      </w:pPr>
    </w:p>
    <w:p>
      <w:pPr>
        <w:pStyle w:val="Heading2"/>
        <w:spacing w:line="367" w:lineRule="exact"/>
        <w:ind w:right="0"/>
        <w:jc w:val="left"/>
        <w:rPr>
          <w:b w:val="0"/>
          <w:bCs w:val="0"/>
        </w:rPr>
      </w:pPr>
      <w:r>
        <w:rPr/>
        <w:t>一、公司信息</w:t>
      </w:r>
      <w:r>
        <w:rPr>
          <w:b w:val="0"/>
          <w:bCs w:val="0"/>
        </w:rPr>
      </w:r>
    </w:p>
    <w:p>
      <w:pPr>
        <w:spacing w:line="240" w:lineRule="auto" w:before="13"/>
        <w:rPr>
          <w:rFonts w:ascii="Microsoft JhengHei" w:hAnsi="Microsoft JhengHei" w:cs="Microsoft JhengHei" w:eastAsia="Microsoft JhengHei" w:hint="default"/>
          <w:b/>
          <w:bCs/>
          <w:sz w:val="17"/>
          <w:szCs w:val="17"/>
        </w:rPr>
      </w:pPr>
    </w:p>
    <w:tbl>
      <w:tblPr>
        <w:tblW w:w="0" w:type="auto"/>
        <w:jc w:val="left"/>
        <w:tblInd w:w="148" w:type="dxa"/>
        <w:tblLayout w:type="fixed"/>
        <w:tblCellMar>
          <w:top w:w="0" w:type="dxa"/>
          <w:left w:w="0" w:type="dxa"/>
          <w:bottom w:w="0" w:type="dxa"/>
          <w:right w:w="0" w:type="dxa"/>
        </w:tblCellMar>
        <w:tblLook w:val="01E0"/>
      </w:tblPr>
      <w:tblGrid>
        <w:gridCol w:w="2285"/>
        <w:gridCol w:w="2954"/>
        <w:gridCol w:w="2155"/>
        <w:gridCol w:w="2177"/>
      </w:tblGrid>
      <w:tr>
        <w:trPr>
          <w:trHeight w:val="408" w:hRule="exact"/>
        </w:trPr>
        <w:tc>
          <w:tcPr>
            <w:tcW w:w="2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群兴玩具</w:t>
            </w:r>
          </w:p>
        </w:tc>
        <w:tc>
          <w:tcPr>
            <w:tcW w:w="21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002575</w:t>
            </w:r>
          </w:p>
        </w:tc>
      </w:tr>
      <w:tr>
        <w:trPr>
          <w:trHeight w:val="396" w:hRule="exact"/>
        </w:trPr>
        <w:tc>
          <w:tcPr>
            <w:tcW w:w="2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股票上市证券交易所</w:t>
            </w:r>
          </w:p>
        </w:tc>
        <w:tc>
          <w:tcPr>
            <w:tcW w:w="728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3" w:hRule="exact"/>
        </w:trPr>
        <w:tc>
          <w:tcPr>
            <w:tcW w:w="2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广东群兴玩具股份有限公司</w:t>
            </w:r>
          </w:p>
        </w:tc>
      </w:tr>
      <w:tr>
        <w:trPr>
          <w:trHeight w:val="401" w:hRule="exact"/>
        </w:trPr>
        <w:tc>
          <w:tcPr>
            <w:tcW w:w="2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群兴玩具</w:t>
            </w:r>
          </w:p>
        </w:tc>
      </w:tr>
      <w:tr>
        <w:trPr>
          <w:trHeight w:val="403" w:hRule="exact"/>
        </w:trPr>
        <w:tc>
          <w:tcPr>
            <w:tcW w:w="2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GUANGDONGQUNXINGTOYSJOINT-STOCKCO.,LTD.</w:t>
            </w:r>
          </w:p>
        </w:tc>
      </w:tr>
      <w:tr>
        <w:trPr>
          <w:trHeight w:val="401" w:hRule="exact"/>
        </w:trPr>
        <w:tc>
          <w:tcPr>
            <w:tcW w:w="2285"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公司的外文名称缩写</w:t>
            </w:r>
          </w:p>
        </w:tc>
        <w:tc>
          <w:tcPr>
            <w:tcW w:w="7286" w:type="dxa"/>
            <w:gridSpan w:val="3"/>
            <w:tcBorders>
              <w:top w:val="single" w:sz="4" w:space="0" w:color="000000"/>
              <w:left w:val="single" w:sz="13" w:space="0" w:color="FFFFFF"/>
              <w:bottom w:val="single" w:sz="4" w:space="0" w:color="000000"/>
              <w:right w:val="single" w:sz="13" w:space="0" w:color="FFFFFF"/>
            </w:tcBorders>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QUNXING</w:t>
            </w:r>
          </w:p>
        </w:tc>
      </w:tr>
      <w:tr>
        <w:trPr>
          <w:trHeight w:val="403" w:hRule="exact"/>
        </w:trPr>
        <w:tc>
          <w:tcPr>
            <w:tcW w:w="2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纪晓文</w:t>
            </w:r>
          </w:p>
        </w:tc>
      </w:tr>
      <w:tr>
        <w:trPr>
          <w:trHeight w:val="401" w:hRule="exact"/>
        </w:trPr>
        <w:tc>
          <w:tcPr>
            <w:tcW w:w="2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汕头市澄海区岭海工业区清平路北侧群兴工业园</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幢</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楼之二</w:t>
            </w:r>
          </w:p>
        </w:tc>
      </w:tr>
      <w:tr>
        <w:trPr>
          <w:trHeight w:val="403" w:hRule="exact"/>
        </w:trPr>
        <w:tc>
          <w:tcPr>
            <w:tcW w:w="2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515800</w:t>
            </w:r>
          </w:p>
        </w:tc>
      </w:tr>
      <w:tr>
        <w:trPr>
          <w:trHeight w:val="401" w:hRule="exact"/>
        </w:trPr>
        <w:tc>
          <w:tcPr>
            <w:tcW w:w="2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北京市西城区西单大悦城写字楼</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楼</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1203B</w:t>
            </w:r>
          </w:p>
        </w:tc>
      </w:tr>
      <w:tr>
        <w:trPr>
          <w:trHeight w:val="403" w:hRule="exact"/>
        </w:trPr>
        <w:tc>
          <w:tcPr>
            <w:tcW w:w="2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100032</w:t>
            </w:r>
          </w:p>
        </w:tc>
      </w:tr>
      <w:tr>
        <w:trPr>
          <w:trHeight w:val="401" w:hRule="exact"/>
        </w:trPr>
        <w:tc>
          <w:tcPr>
            <w:tcW w:w="2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公司网址</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hyperlink r:id="rId9">
              <w:r>
                <w:rPr>
                  <w:rFonts w:ascii="Times New Roman"/>
                  <w:sz w:val="18"/>
                </w:rPr>
                <w:t>http://www.qunxingtoys.net</w:t>
              </w:r>
            </w:hyperlink>
          </w:p>
        </w:tc>
      </w:tr>
      <w:tr>
        <w:trPr>
          <w:trHeight w:val="403" w:hRule="exact"/>
        </w:trPr>
        <w:tc>
          <w:tcPr>
            <w:tcW w:w="2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hyperlink r:id="rId10">
              <w:r>
                <w:rPr>
                  <w:rFonts w:ascii="Times New Roman"/>
                  <w:sz w:val="18"/>
                </w:rPr>
                <w:t>qx@qunxingtoys.net</w:t>
              </w:r>
            </w:hyperlink>
          </w:p>
        </w:tc>
      </w:tr>
    </w:tbl>
    <w:p>
      <w:pPr>
        <w:spacing w:line="240" w:lineRule="auto" w:before="10"/>
        <w:rPr>
          <w:rFonts w:ascii="Microsoft JhengHei" w:hAnsi="Microsoft JhengHei" w:cs="Microsoft JhengHei" w:eastAsia="Microsoft JhengHei" w:hint="default"/>
          <w:b/>
          <w:bCs/>
          <w:sz w:val="13"/>
          <w:szCs w:val="13"/>
        </w:rPr>
      </w:pPr>
    </w:p>
    <w:p>
      <w:pPr>
        <w:pStyle w:val="Heading2"/>
        <w:spacing w:line="367" w:lineRule="exact"/>
        <w:ind w:right="0"/>
        <w:jc w:val="left"/>
        <w:rPr>
          <w:b w:val="0"/>
          <w:bCs w:val="0"/>
        </w:rPr>
      </w:pPr>
      <w:r>
        <w:rPr/>
        <w:t>二、联系人和联系方式</w:t>
      </w:r>
      <w:r>
        <w:rPr>
          <w:b w:val="0"/>
          <w:bCs w:val="0"/>
        </w:rPr>
      </w:r>
    </w:p>
    <w:p>
      <w:pPr>
        <w:spacing w:line="240" w:lineRule="auto" w:before="13"/>
        <w:rPr>
          <w:rFonts w:ascii="Microsoft JhengHei" w:hAnsi="Microsoft JhengHei" w:cs="Microsoft JhengHei" w:eastAsia="Microsoft JhengHei" w:hint="default"/>
          <w:b/>
          <w:bCs/>
          <w:sz w:val="17"/>
          <w:szCs w:val="17"/>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朱小艳</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吴董宇</w:t>
            </w:r>
          </w:p>
        </w:tc>
      </w:tr>
      <w:tr>
        <w:trPr>
          <w:trHeight w:val="161" w:hRule="exact"/>
        </w:trPr>
        <w:tc>
          <w:tcPr>
            <w:tcW w:w="3191" w:type="dxa"/>
            <w:tcBorders>
              <w:top w:val="single" w:sz="4" w:space="0" w:color="000000"/>
              <w:left w:val="single" w:sz="4" w:space="0" w:color="000000"/>
              <w:bottom w:val="nil" w:sz="6" w:space="0" w:color="auto"/>
              <w:right w:val="single" w:sz="4" w:space="0" w:color="000000"/>
            </w:tcBorders>
            <w:shd w:val="clear" w:color="auto" w:fill="D2D2D2"/>
          </w:tcPr>
          <w:p>
            <w:pPr/>
          </w:p>
        </w:tc>
        <w:tc>
          <w:tcPr>
            <w:tcW w:w="3190" w:type="dxa"/>
            <w:vMerge w:val="restart"/>
            <w:tcBorders>
              <w:top w:val="single" w:sz="4" w:space="0" w:color="000000"/>
              <w:left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北京市西城区西单大悦城写字楼</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1203B</w:t>
            </w:r>
          </w:p>
        </w:tc>
        <w:tc>
          <w:tcPr>
            <w:tcW w:w="3190" w:type="dxa"/>
            <w:vMerge w:val="restart"/>
            <w:tcBorders>
              <w:top w:val="single" w:sz="4" w:space="0" w:color="000000"/>
              <w:left w:val="single" w:sz="4" w:space="0" w:color="000000"/>
              <w:right w:val="single" w:sz="4" w:space="0" w:color="000000"/>
            </w:tcBorders>
          </w:tcPr>
          <w:p>
            <w:pPr>
              <w:pStyle w:val="TableParagraph"/>
              <w:spacing w:line="316" w:lineRule="auto" w:before="49"/>
              <w:ind w:left="23" w:right="94"/>
              <w:jc w:val="left"/>
              <w:rPr>
                <w:rFonts w:ascii="宋体" w:hAnsi="宋体" w:cs="宋体" w:eastAsia="宋体" w:hint="default"/>
                <w:sz w:val="18"/>
                <w:szCs w:val="18"/>
              </w:rPr>
            </w:pPr>
            <w:r>
              <w:rPr>
                <w:rFonts w:ascii="宋体" w:hAnsi="宋体" w:cs="宋体" w:eastAsia="宋体" w:hint="default"/>
                <w:sz w:val="18"/>
                <w:szCs w:val="18"/>
              </w:rPr>
              <w:t>汕头市澄海区岭海工业区清平路北侧群 兴工业园</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栋</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w:t>
            </w:r>
          </w:p>
        </w:tc>
      </w:tr>
      <w:tr>
        <w:trPr>
          <w:trHeight w:val="394" w:hRule="exact"/>
        </w:trPr>
        <w:tc>
          <w:tcPr>
            <w:tcW w:w="319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190" w:type="dxa"/>
            <w:vMerge/>
            <w:tcBorders>
              <w:left w:val="single" w:sz="4" w:space="0" w:color="000000"/>
              <w:right w:val="single" w:sz="4" w:space="0" w:color="000000"/>
            </w:tcBorders>
          </w:tcPr>
          <w:p>
            <w:pPr/>
          </w:p>
        </w:tc>
        <w:tc>
          <w:tcPr>
            <w:tcW w:w="3190" w:type="dxa"/>
            <w:vMerge/>
            <w:tcBorders>
              <w:left w:val="single" w:sz="4" w:space="0" w:color="000000"/>
              <w:right w:val="single" w:sz="4" w:space="0" w:color="000000"/>
            </w:tcBorders>
          </w:tcPr>
          <w:p>
            <w:pPr/>
          </w:p>
        </w:tc>
      </w:tr>
      <w:tr>
        <w:trPr>
          <w:trHeight w:val="161" w:hRule="exact"/>
        </w:trPr>
        <w:tc>
          <w:tcPr>
            <w:tcW w:w="3191" w:type="dxa"/>
            <w:tcBorders>
              <w:top w:val="nil" w:sz="6" w:space="0" w:color="auto"/>
              <w:left w:val="single" w:sz="4" w:space="0" w:color="000000"/>
              <w:bottom w:val="single" w:sz="4" w:space="0" w:color="000000"/>
              <w:right w:val="single" w:sz="4" w:space="0" w:color="000000"/>
            </w:tcBorders>
            <w:shd w:val="clear" w:color="auto" w:fill="D2D2D2"/>
          </w:tcPr>
          <w:p>
            <w:pPr/>
          </w:p>
        </w:tc>
        <w:tc>
          <w:tcPr>
            <w:tcW w:w="3190" w:type="dxa"/>
            <w:vMerge/>
            <w:tcBorders>
              <w:left w:val="single" w:sz="4" w:space="0" w:color="000000"/>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010-66026866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0754-85505187</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010-66026766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0754-85504287</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0">
              <w:r>
                <w:rPr>
                  <w:rFonts w:ascii="Times New Roman"/>
                  <w:sz w:val="18"/>
                </w:rPr>
                <w:t>qx@qunxingtoys.net</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1">
              <w:r>
                <w:rPr>
                  <w:rFonts w:ascii="Times New Roman"/>
                  <w:sz w:val="18"/>
                </w:rPr>
                <w:t>qx043@139.com</w:t>
              </w:r>
            </w:hyperlink>
          </w:p>
        </w:tc>
      </w:tr>
    </w:tbl>
    <w:p>
      <w:pPr>
        <w:spacing w:line="240" w:lineRule="auto" w:before="10"/>
        <w:rPr>
          <w:rFonts w:ascii="Microsoft JhengHei" w:hAnsi="Microsoft JhengHei" w:cs="Microsoft JhengHei" w:eastAsia="Microsoft JhengHei" w:hint="default"/>
          <w:b/>
          <w:bCs/>
          <w:sz w:val="13"/>
          <w:szCs w:val="13"/>
        </w:rPr>
      </w:pPr>
    </w:p>
    <w:p>
      <w:pPr>
        <w:pStyle w:val="Heading2"/>
        <w:spacing w:line="367" w:lineRule="exact"/>
        <w:ind w:right="0"/>
        <w:jc w:val="left"/>
        <w:rPr>
          <w:b w:val="0"/>
          <w:bCs w:val="0"/>
        </w:rPr>
      </w:pPr>
      <w:r>
        <w:rPr/>
        <w:t>三、信息披露及备置地点</w:t>
      </w:r>
      <w:r>
        <w:rPr>
          <w:b w:val="0"/>
          <w:bCs w:val="0"/>
        </w:rPr>
      </w:r>
    </w:p>
    <w:p>
      <w:pPr>
        <w:spacing w:line="240" w:lineRule="auto" w:before="15"/>
        <w:rPr>
          <w:rFonts w:ascii="Microsoft JhengHei" w:hAnsi="Microsoft JhengHei" w:cs="Microsoft JhengHei" w:eastAsia="Microsoft JhengHei" w:hint="default"/>
          <w:b/>
          <w:bCs/>
          <w:sz w:val="17"/>
          <w:szCs w:val="17"/>
        </w:rPr>
      </w:pPr>
    </w:p>
    <w:tbl>
      <w:tblPr>
        <w:tblW w:w="0" w:type="auto"/>
        <w:jc w:val="left"/>
        <w:tblInd w:w="149" w:type="dxa"/>
        <w:tblLayout w:type="fixed"/>
        <w:tblCellMar>
          <w:top w:w="0" w:type="dxa"/>
          <w:left w:w="0" w:type="dxa"/>
          <w:bottom w:w="0" w:type="dxa"/>
          <w:right w:w="0" w:type="dxa"/>
        </w:tblCellMar>
        <w:tblLook w:val="01E0"/>
      </w:tblPr>
      <w:tblGrid>
        <w:gridCol w:w="3991"/>
        <w:gridCol w:w="5579"/>
      </w:tblGrid>
      <w:tr>
        <w:trPr>
          <w:trHeight w:val="403" w:hRule="exact"/>
        </w:trPr>
        <w:tc>
          <w:tcPr>
            <w:tcW w:w="3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《中国证券报》、《证券时报》、《上海证券报》</w:t>
            </w:r>
          </w:p>
        </w:tc>
      </w:tr>
      <w:tr>
        <w:trPr>
          <w:trHeight w:val="401" w:hRule="exact"/>
        </w:trPr>
        <w:tc>
          <w:tcPr>
            <w:tcW w:w="3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2">
              <w:r>
                <w:rPr>
                  <w:rFonts w:ascii="Times New Roman"/>
                  <w:sz w:val="18"/>
                </w:rPr>
                <w:t>www.cninfo.com.cn</w:t>
              </w:r>
            </w:hyperlink>
          </w:p>
        </w:tc>
      </w:tr>
      <w:tr>
        <w:trPr>
          <w:trHeight w:val="404" w:hRule="exact"/>
        </w:trPr>
        <w:tc>
          <w:tcPr>
            <w:tcW w:w="3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公司董事会办公室</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14"/>
        <w:rPr>
          <w:rFonts w:ascii="Microsoft JhengHei" w:hAnsi="Microsoft JhengHei" w:cs="Microsoft JhengHei" w:eastAsia="Microsoft JhengHei" w:hint="default"/>
          <w:b/>
          <w:bCs/>
          <w:sz w:val="17"/>
          <w:szCs w:val="17"/>
        </w:rPr>
      </w:pPr>
    </w:p>
    <w:p>
      <w:pPr>
        <w:pStyle w:val="Heading2"/>
        <w:spacing w:line="367" w:lineRule="exact"/>
        <w:ind w:right="0"/>
        <w:jc w:val="left"/>
        <w:rPr>
          <w:b w:val="0"/>
          <w:bCs w:val="0"/>
        </w:rPr>
      </w:pPr>
      <w:r>
        <w:rPr/>
        <w:t>四、注册变更情况</w:t>
      </w:r>
      <w:r>
        <w:rPr>
          <w:b w:val="0"/>
          <w:bCs w:val="0"/>
        </w:rPr>
      </w:r>
    </w:p>
    <w:p>
      <w:pPr>
        <w:spacing w:line="240" w:lineRule="auto" w:before="15"/>
        <w:rPr>
          <w:rFonts w:ascii="Microsoft JhengHei" w:hAnsi="Microsoft JhengHei" w:cs="Microsoft JhengHei" w:eastAsia="Microsoft JhengHei" w:hint="default"/>
          <w:b/>
          <w:bCs/>
          <w:sz w:val="17"/>
          <w:szCs w:val="17"/>
        </w:rPr>
      </w:pPr>
    </w:p>
    <w:tbl>
      <w:tblPr>
        <w:tblW w:w="0" w:type="auto"/>
        <w:jc w:val="left"/>
        <w:tblInd w:w="149" w:type="dxa"/>
        <w:tblLayout w:type="fixed"/>
        <w:tblCellMar>
          <w:top w:w="0" w:type="dxa"/>
          <w:left w:w="0" w:type="dxa"/>
          <w:bottom w:w="0" w:type="dxa"/>
          <w:right w:w="0" w:type="dxa"/>
        </w:tblCellMar>
        <w:tblLook w:val="01E0"/>
      </w:tblPr>
      <w:tblGrid>
        <w:gridCol w:w="3545"/>
        <w:gridCol w:w="6025"/>
      </w:tblGrid>
      <w:tr>
        <w:trPr>
          <w:trHeight w:val="401" w:hRule="exact"/>
        </w:trPr>
        <w:tc>
          <w:tcPr>
            <w:tcW w:w="35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6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无变更</w:t>
            </w:r>
          </w:p>
        </w:tc>
      </w:tr>
      <w:tr>
        <w:trPr>
          <w:trHeight w:val="403" w:hRule="exact"/>
        </w:trPr>
        <w:tc>
          <w:tcPr>
            <w:tcW w:w="35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公司上市以来主营业务的变化情况（如有）</w:t>
            </w:r>
          </w:p>
        </w:tc>
        <w:tc>
          <w:tcPr>
            <w:tcW w:w="6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无变更</w:t>
            </w:r>
          </w:p>
        </w:tc>
      </w:tr>
      <w:tr>
        <w:trPr>
          <w:trHeight w:val="401" w:hRule="exact"/>
        </w:trPr>
        <w:tc>
          <w:tcPr>
            <w:tcW w:w="35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历次控股股东的变更情况（如有）</w:t>
            </w:r>
          </w:p>
        </w:tc>
        <w:tc>
          <w:tcPr>
            <w:tcW w:w="6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无变更</w:t>
            </w:r>
          </w:p>
        </w:tc>
      </w:tr>
    </w:tbl>
    <w:p>
      <w:pPr>
        <w:spacing w:line="240" w:lineRule="auto" w:before="10"/>
        <w:rPr>
          <w:rFonts w:ascii="Microsoft JhengHei" w:hAnsi="Microsoft JhengHei" w:cs="Microsoft JhengHei" w:eastAsia="Microsoft JhengHei" w:hint="default"/>
          <w:b/>
          <w:bCs/>
          <w:sz w:val="13"/>
          <w:szCs w:val="13"/>
        </w:rPr>
      </w:pPr>
    </w:p>
    <w:p>
      <w:pPr>
        <w:pStyle w:val="Heading2"/>
        <w:spacing w:line="367" w:lineRule="exact"/>
        <w:ind w:right="0"/>
        <w:jc w:val="left"/>
        <w:rPr>
          <w:b w:val="0"/>
          <w:bCs w:val="0"/>
        </w:rPr>
      </w:pPr>
      <w:r>
        <w:rPr/>
        <w:t>五、其他有关资料</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240" w:lineRule="auto"/>
        <w:ind w:right="0"/>
        <w:jc w:val="left"/>
      </w:pPr>
      <w:r>
        <w:rPr/>
        <w:t>公司聘请的会计师事务所</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61"/>
        <w:gridCol w:w="6908"/>
      </w:tblGrid>
      <w:tr>
        <w:trPr>
          <w:trHeight w:val="404"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r>
      <w:tr>
        <w:trPr>
          <w:trHeight w:val="401"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深圳市福田区香梅路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1061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号中投国际商务中心</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栋</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楼</w:t>
            </w:r>
          </w:p>
        </w:tc>
      </w:tr>
      <w:tr>
        <w:trPr>
          <w:trHeight w:val="403"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钟宇、陈延柏</w:t>
            </w:r>
          </w:p>
        </w:tc>
      </w:tr>
    </w:tbl>
    <w:p>
      <w:pPr>
        <w:pStyle w:val="BodyText"/>
        <w:spacing w:line="240" w:lineRule="auto" w:before="49"/>
        <w:ind w:right="0"/>
        <w:jc w:val="left"/>
      </w:pPr>
      <w:r>
        <w:rPr/>
        <w:t>公司聘请的报告期内履行持续督导职责的保荐机构</w:t>
      </w:r>
    </w:p>
    <w:p>
      <w:pPr>
        <w:pStyle w:val="BodyText"/>
        <w:spacing w:line="340" w:lineRule="auto" w:before="115"/>
        <w:ind w:right="58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公司聘请的报告期内履行持续督导职责的财务顾问</w:t>
      </w:r>
    </w:p>
    <w:p>
      <w:pPr>
        <w:pStyle w:val="BodyText"/>
        <w:spacing w:line="240" w:lineRule="auto" w:before="41"/>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18"/>
          <w:szCs w:val="18"/>
        </w:rPr>
      </w:pPr>
    </w:p>
    <w:p>
      <w:pPr>
        <w:pStyle w:val="Heading2"/>
        <w:spacing w:line="240" w:lineRule="auto"/>
        <w:ind w:right="0"/>
        <w:jc w:val="left"/>
        <w:rPr>
          <w:b w:val="0"/>
          <w:bCs w:val="0"/>
        </w:rPr>
      </w:pPr>
      <w:r>
        <w:rPr/>
        <w:t>六、主要会计数据和财务指标</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240" w:lineRule="auto"/>
        <w:ind w:right="0"/>
        <w:jc w:val="left"/>
      </w:pPr>
      <w:r>
        <w:rPr/>
        <w:t>公司是否需追溯调整或重述以前年度会计数据</w:t>
      </w:r>
    </w:p>
    <w:p>
      <w:pPr>
        <w:pStyle w:val="BodyText"/>
        <w:spacing w:line="240" w:lineRule="auto" w:before="117"/>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835"/>
        <w:gridCol w:w="217"/>
        <w:gridCol w:w="1307"/>
        <w:gridCol w:w="1738"/>
        <w:gridCol w:w="1738"/>
        <w:gridCol w:w="1735"/>
      </w:tblGrid>
      <w:tr>
        <w:trPr>
          <w:trHeight w:val="401"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403"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52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8" w:right="0"/>
              <w:jc w:val="left"/>
              <w:rPr>
                <w:rFonts w:ascii="Times New Roman" w:hAnsi="Times New Roman" w:cs="Times New Roman" w:eastAsia="Times New Roman" w:hint="default"/>
                <w:sz w:val="18"/>
                <w:szCs w:val="18"/>
              </w:rPr>
            </w:pPr>
            <w:r>
              <w:rPr>
                <w:rFonts w:ascii="Times New Roman"/>
                <w:sz w:val="18"/>
              </w:rPr>
              <w:t>53,935,818.86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250,703,064.46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-78.49%</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319,383,875.01</w:t>
            </w:r>
          </w:p>
        </w:tc>
      </w:tr>
      <w:tr>
        <w:trPr>
          <w:trHeight w:val="401"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归属于上市公司股东的净利润（元</w:t>
            </w:r>
          </w:p>
        </w:tc>
        <w:tc>
          <w:tcPr>
            <w:tcW w:w="2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13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-21,412,779.47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12,764,280.64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-267.76%</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18,186,393.35</w:t>
            </w:r>
          </w:p>
        </w:tc>
      </w:tr>
      <w:tr>
        <w:trPr>
          <w:trHeight w:val="715"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99"/>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归属于上市公司股东的扣除非经常 性损益的净利润（元）</w:t>
            </w:r>
          </w:p>
        </w:tc>
        <w:tc>
          <w:tcPr>
            <w:tcW w:w="1524"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91" w:right="0"/>
              <w:jc w:val="left"/>
              <w:rPr>
                <w:rFonts w:ascii="Times New Roman" w:hAnsi="Times New Roman" w:cs="Times New Roman" w:eastAsia="Times New Roman" w:hint="default"/>
                <w:sz w:val="18"/>
                <w:szCs w:val="18"/>
              </w:rPr>
            </w:pPr>
            <w:r>
              <w:rPr>
                <w:rFonts w:ascii="Times New Roman"/>
                <w:sz w:val="18"/>
              </w:rPr>
              <w:t>-28,107,203.43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876,147.54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-3,308.04%</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15,304,732.18</w:t>
            </w:r>
          </w:p>
        </w:tc>
      </w:tr>
      <w:tr>
        <w:trPr>
          <w:trHeight w:val="401"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经营活动产生的现金流量净额（元</w:t>
            </w:r>
          </w:p>
        </w:tc>
        <w:tc>
          <w:tcPr>
            <w:tcW w:w="2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13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46,943,358.74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53,232,312.71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-11.81%</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100,640,651.82</w:t>
            </w:r>
          </w:p>
        </w:tc>
      </w:tr>
      <w:tr>
        <w:trPr>
          <w:trHeight w:val="403"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52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8" w:right="0"/>
              <w:jc w:val="left"/>
              <w:rPr>
                <w:rFonts w:ascii="Times New Roman" w:hAnsi="Times New Roman" w:cs="Times New Roman" w:eastAsia="Times New Roman" w:hint="default"/>
                <w:sz w:val="18"/>
                <w:szCs w:val="18"/>
              </w:rPr>
            </w:pPr>
            <w:r>
              <w:rPr>
                <w:rFonts w:ascii="Times New Roman"/>
                <w:sz w:val="18"/>
              </w:rPr>
              <w:t>-0.0364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0.0217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-267.74%</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0.0309</w:t>
            </w:r>
          </w:p>
        </w:tc>
      </w:tr>
      <w:tr>
        <w:trPr>
          <w:trHeight w:val="401"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52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8" w:right="0"/>
              <w:jc w:val="left"/>
              <w:rPr>
                <w:rFonts w:ascii="Times New Roman" w:hAnsi="Times New Roman" w:cs="Times New Roman" w:eastAsia="Times New Roman" w:hint="default"/>
                <w:sz w:val="18"/>
                <w:szCs w:val="18"/>
              </w:rPr>
            </w:pPr>
            <w:r>
              <w:rPr>
                <w:rFonts w:ascii="Times New Roman"/>
                <w:sz w:val="18"/>
              </w:rPr>
              <w:t>-0.0364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0.0217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-267.74%</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0.0309</w:t>
            </w:r>
          </w:p>
        </w:tc>
      </w:tr>
      <w:tr>
        <w:trPr>
          <w:trHeight w:val="403"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52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67" w:right="0"/>
              <w:jc w:val="left"/>
              <w:rPr>
                <w:rFonts w:ascii="Times New Roman" w:hAnsi="Times New Roman" w:cs="Times New Roman" w:eastAsia="Times New Roman" w:hint="default"/>
                <w:sz w:val="18"/>
                <w:szCs w:val="18"/>
              </w:rPr>
            </w:pPr>
            <w:r>
              <w:rPr>
                <w:rFonts w:ascii="Times New Roman"/>
                <w:sz w:val="18"/>
              </w:rPr>
              <w:t>-2.39%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-3.81%</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2.04%</w:t>
            </w:r>
          </w:p>
        </w:tc>
      </w:tr>
      <w:tr>
        <w:trPr>
          <w:trHeight w:val="401"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3"/>
              <w:jc w:val="righ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r>
      <w:tr>
        <w:trPr>
          <w:trHeight w:val="403"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总资产（元）</w:t>
            </w:r>
          </w:p>
        </w:tc>
        <w:tc>
          <w:tcPr>
            <w:tcW w:w="152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67" w:right="0"/>
              <w:jc w:val="left"/>
              <w:rPr>
                <w:rFonts w:ascii="Times New Roman" w:hAnsi="Times New Roman" w:cs="Times New Roman" w:eastAsia="Times New Roman" w:hint="default"/>
                <w:sz w:val="18"/>
                <w:szCs w:val="18"/>
              </w:rPr>
            </w:pPr>
            <w:r>
              <w:rPr>
                <w:rFonts w:ascii="Times New Roman"/>
                <w:sz w:val="18"/>
              </w:rPr>
              <w:t>902,220,841.78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925,073,529.30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-2.47%</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961,823,740.96</w:t>
            </w:r>
          </w:p>
        </w:tc>
      </w:tr>
      <w:tr>
        <w:trPr>
          <w:trHeight w:val="401"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归属于上市公司股东的净资产（元</w:t>
            </w:r>
          </w:p>
        </w:tc>
        <w:tc>
          <w:tcPr>
            <w:tcW w:w="2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13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891,409,741.99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907,607,087.60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-1.78%</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894,773,148.44</w:t>
            </w:r>
          </w:p>
        </w:tc>
      </w:tr>
    </w:tbl>
    <w:p>
      <w:pPr>
        <w:spacing w:line="240" w:lineRule="auto" w:before="1"/>
        <w:rPr>
          <w:rFonts w:ascii="宋体" w:hAnsi="宋体" w:cs="宋体" w:eastAsia="宋体" w:hint="default"/>
          <w:sz w:val="18"/>
          <w:szCs w:val="18"/>
        </w:rPr>
      </w:pPr>
    </w:p>
    <w:p>
      <w:pPr>
        <w:pStyle w:val="Heading2"/>
        <w:spacing w:line="367" w:lineRule="exact"/>
        <w:ind w:right="0"/>
        <w:jc w:val="left"/>
        <w:rPr>
          <w:b w:val="0"/>
          <w:bCs w:val="0"/>
        </w:rPr>
      </w:pPr>
      <w:r>
        <w:rPr/>
        <w:t>七、境内外会计准则下会计数据差异</w:t>
      </w:r>
      <w:r>
        <w:rPr>
          <w:b w:val="0"/>
          <w:bCs w:val="0"/>
        </w:rPr>
      </w:r>
    </w:p>
    <w:p>
      <w:pPr>
        <w:spacing w:line="240" w:lineRule="auto" w:before="6"/>
        <w:rPr>
          <w:rFonts w:ascii="Microsoft JhengHei" w:hAnsi="Microsoft JhengHei" w:cs="Microsoft JhengHei" w:eastAsia="Microsoft JhengHei" w:hint="default"/>
          <w:b/>
          <w:bCs/>
          <w:sz w:val="13"/>
          <w:szCs w:val="13"/>
        </w:rPr>
      </w:pPr>
    </w:p>
    <w:p>
      <w:pPr>
        <w:pStyle w:val="Heading3"/>
        <w:spacing w:line="240" w:lineRule="auto"/>
        <w:ind w:right="0"/>
        <w:jc w:val="left"/>
        <w:rPr>
          <w:b w:val="0"/>
          <w:bCs w:val="0"/>
        </w:rPr>
      </w:pP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79" w:top="1060" w:bottom="1160" w:left="980" w:right="980"/>
        </w:sectPr>
      </w:pPr>
    </w:p>
    <w:p>
      <w:pPr>
        <w:spacing w:line="240" w:lineRule="auto" w:before="10"/>
        <w:rPr>
          <w:rFonts w:ascii="宋体" w:hAnsi="宋体" w:cs="宋体" w:eastAsia="宋体" w:hint="default"/>
          <w:sz w:val="25"/>
          <w:szCs w:val="25"/>
        </w:rPr>
      </w:pPr>
    </w:p>
    <w:p>
      <w:pPr>
        <w:pStyle w:val="BodyText"/>
        <w:spacing w:line="240" w:lineRule="auto" w:before="44"/>
        <w:ind w:right="0"/>
        <w:jc w:val="left"/>
      </w:pPr>
      <w:r>
        <w:rPr/>
        <w:t>公司报告期不存在按照国际会计准则与按照中国会计准则披露的财务报告中净利润和净资产差异情况。</w:t>
      </w:r>
    </w:p>
    <w:p>
      <w:pPr>
        <w:spacing w:line="240" w:lineRule="auto" w:before="1"/>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38" w:lineRule="auto"/>
        <w:ind w:right="16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公司报告期不存在按照境外会计准则与按照中国会计准则披露的财务报告中净利润和净资产差异情况。</w:t>
      </w:r>
    </w:p>
    <w:p>
      <w:pPr>
        <w:spacing w:line="240" w:lineRule="auto" w:before="10"/>
        <w:rPr>
          <w:rFonts w:ascii="宋体" w:hAnsi="宋体" w:cs="宋体" w:eastAsia="宋体" w:hint="default"/>
          <w:sz w:val="13"/>
          <w:szCs w:val="13"/>
        </w:rPr>
      </w:pPr>
    </w:p>
    <w:p>
      <w:pPr>
        <w:pStyle w:val="Heading2"/>
        <w:spacing w:line="240" w:lineRule="auto"/>
        <w:ind w:right="0"/>
        <w:jc w:val="left"/>
        <w:rPr>
          <w:b w:val="0"/>
          <w:bCs w:val="0"/>
        </w:rPr>
      </w:pPr>
      <w:r>
        <w:rPr/>
        <w:t>八、分季度主要财务指标</w:t>
      </w:r>
      <w:r>
        <w:rPr>
          <w:b w:val="0"/>
          <w:bCs w:val="0"/>
        </w:rPr>
      </w:r>
    </w:p>
    <w:p>
      <w:pPr>
        <w:spacing w:line="240" w:lineRule="auto" w:before="14"/>
        <w:rPr>
          <w:rFonts w:ascii="Microsoft JhengHei" w:hAnsi="Microsoft JhengHei" w:cs="Microsoft JhengHei" w:eastAsia="Microsoft JhengHei" w:hint="default"/>
          <w:b/>
          <w:bCs/>
          <w:sz w:val="15"/>
          <w:szCs w:val="15"/>
        </w:rPr>
      </w:pPr>
    </w:p>
    <w:p>
      <w:pPr>
        <w:pStyle w:val="BodyText"/>
        <w:spacing w:line="240" w:lineRule="auto" w:before="44"/>
        <w:ind w:left="0" w:right="151"/>
        <w:jc w:val="right"/>
      </w:pPr>
      <w:r>
        <w:rPr/>
        <w:t>单位：元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622"/>
        <w:gridCol w:w="1740"/>
        <w:gridCol w:w="1740"/>
        <w:gridCol w:w="1738"/>
        <w:gridCol w:w="1730"/>
      </w:tblGrid>
      <w:tr>
        <w:trPr>
          <w:trHeight w:val="403"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06"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03"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03"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99"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1"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53,889,034.44</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46,784.42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-13,889,930.69</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1,188,090.40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-2,502,544.49</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-6,208,394.69</w:t>
            </w:r>
          </w:p>
        </w:tc>
      </w:tr>
      <w:tr>
        <w:trPr>
          <w:trHeight w:val="713"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66"/>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w:t>
            </w:r>
          </w:p>
        </w:tc>
        <w:tc>
          <w:tcPr>
            <w:tcW w:w="174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-14,024,783.57</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-291,387.83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-2,006,667.55</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-11,784,364.48</w:t>
            </w:r>
          </w:p>
        </w:tc>
      </w:tr>
      <w:tr>
        <w:trPr>
          <w:trHeight w:val="403"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9,906,069.61</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19,599,781.00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10,422,444.89</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7,015,063.24</w:t>
            </w:r>
          </w:p>
        </w:tc>
      </w:tr>
    </w:tbl>
    <w:p>
      <w:pPr>
        <w:pStyle w:val="BodyText"/>
        <w:spacing w:line="240" w:lineRule="auto" w:before="49"/>
        <w:ind w:right="0"/>
        <w:jc w:val="left"/>
      </w:pPr>
      <w:r>
        <w:rPr/>
        <w:t>上述财务指标或其加总数是否与公司已披露季度报告、半年度报告相关财务指标存在重大差异</w:t>
      </w:r>
    </w:p>
    <w:p>
      <w:pPr>
        <w:pStyle w:val="BodyText"/>
        <w:spacing w:line="240" w:lineRule="auto" w:before="115"/>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5"/>
        <w:rPr>
          <w:rFonts w:ascii="宋体" w:hAnsi="宋体" w:cs="宋体" w:eastAsia="宋体" w:hint="default"/>
          <w:sz w:val="18"/>
          <w:szCs w:val="18"/>
        </w:rPr>
      </w:pPr>
    </w:p>
    <w:p>
      <w:pPr>
        <w:pStyle w:val="Heading2"/>
        <w:spacing w:line="240" w:lineRule="auto"/>
        <w:ind w:right="0"/>
        <w:jc w:val="left"/>
        <w:rPr>
          <w:b w:val="0"/>
          <w:bCs w:val="0"/>
        </w:rPr>
      </w:pPr>
      <w:r>
        <w:rPr/>
        <w:t>九、非经常性损益项目及金额</w:t>
      </w:r>
      <w:r>
        <w:rPr>
          <w:b w:val="0"/>
          <w:bCs w:val="0"/>
        </w:rPr>
      </w:r>
    </w:p>
    <w:p>
      <w:pPr>
        <w:spacing w:line="240" w:lineRule="auto" w:before="14"/>
        <w:rPr>
          <w:rFonts w:ascii="Microsoft JhengHei" w:hAnsi="Microsoft JhengHei" w:cs="Microsoft JhengHei" w:eastAsia="Microsoft JhengHei" w:hint="default"/>
          <w:b/>
          <w:bCs/>
          <w:sz w:val="15"/>
          <w:szCs w:val="15"/>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3"/>
        <w:ind w:left="0" w:right="151"/>
        <w:jc w:val="right"/>
      </w:pPr>
      <w:r>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296"/>
        <w:gridCol w:w="1522"/>
        <w:gridCol w:w="1332"/>
        <w:gridCol w:w="1460"/>
        <w:gridCol w:w="1961"/>
      </w:tblGrid>
      <w:tr>
        <w:trPr>
          <w:trHeight w:val="403"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3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9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3"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20"/>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-351,617.68</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12,735,873.79</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-35,897.92</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18"/>
              <w:jc w:val="left"/>
              <w:rPr>
                <w:rFonts w:ascii="宋体" w:hAnsi="宋体" w:cs="宋体" w:eastAsia="宋体" w:hint="default"/>
                <w:sz w:val="18"/>
                <w:szCs w:val="18"/>
              </w:rPr>
            </w:pPr>
            <w:r>
              <w:rPr>
                <w:rFonts w:ascii="宋体" w:hAnsi="宋体" w:cs="宋体" w:eastAsia="宋体" w:hint="default"/>
                <w:spacing w:val="9"/>
                <w:sz w:val="18"/>
                <w:szCs w:val="18"/>
              </w:rPr>
              <w:t>主要系报告期内处置部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分资产产生的损失。</w:t>
            </w:r>
          </w:p>
        </w:tc>
      </w:tr>
      <w:tr>
        <w:trPr>
          <w:trHeight w:val="1028"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4" w:right="20"/>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3,201,563.10</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2,244,951.48</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3,773,244.48</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18"/>
              <w:jc w:val="left"/>
              <w:rPr>
                <w:rFonts w:ascii="宋体" w:hAnsi="宋体" w:cs="宋体" w:eastAsia="宋体" w:hint="default"/>
                <w:sz w:val="18"/>
                <w:szCs w:val="18"/>
              </w:rPr>
            </w:pPr>
            <w:r>
              <w:rPr>
                <w:rFonts w:ascii="宋体" w:hAnsi="宋体" w:cs="宋体" w:eastAsia="宋体" w:hint="default"/>
                <w:spacing w:val="9"/>
                <w:sz w:val="18"/>
                <w:szCs w:val="18"/>
              </w:rPr>
              <w:t>主要系报告期内获得政</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府补助款。</w:t>
            </w:r>
          </w:p>
        </w:tc>
      </w:tr>
      <w:tr>
        <w:trPr>
          <w:trHeight w:val="1649"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20"/>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除同公司正常经营业务相关的有效套期保 值业务外，持有交易性金融资产、交易性 金融负债产生的公允价值变动损益，以及 处置交易性金融资产、交易性金融负债和 可供出售金融资产取得的投资收益</w:t>
            </w:r>
          </w:p>
        </w:tc>
        <w:tc>
          <w:tcPr>
            <w:tcW w:w="15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-1,331,736.88</w:t>
            </w:r>
          </w:p>
        </w:tc>
        <w:tc>
          <w:tcPr>
            <w:tcW w:w="1332"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243,607.60</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18"/>
              <w:jc w:val="left"/>
              <w:rPr>
                <w:rFonts w:ascii="宋体" w:hAnsi="宋体" w:cs="宋体" w:eastAsia="宋体" w:hint="default"/>
                <w:sz w:val="18"/>
                <w:szCs w:val="18"/>
              </w:rPr>
            </w:pPr>
            <w:r>
              <w:rPr>
                <w:rFonts w:ascii="宋体" w:hAnsi="宋体" w:cs="宋体" w:eastAsia="宋体" w:hint="default"/>
                <w:spacing w:val="9"/>
                <w:sz w:val="18"/>
                <w:szCs w:val="18"/>
              </w:rPr>
              <w:t>主要系报告期内进行证</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券投资形成的收益。</w:t>
            </w:r>
          </w:p>
        </w:tc>
      </w:tr>
      <w:tr>
        <w:trPr>
          <w:trHeight w:val="161" w:hRule="exact"/>
        </w:trPr>
        <w:tc>
          <w:tcPr>
            <w:tcW w:w="32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52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42" w:right="0"/>
              <w:jc w:val="left"/>
              <w:rPr>
                <w:rFonts w:ascii="Times New Roman" w:hAnsi="Times New Roman" w:cs="Times New Roman" w:eastAsia="Times New Roman" w:hint="default"/>
                <w:sz w:val="18"/>
                <w:szCs w:val="18"/>
              </w:rPr>
            </w:pPr>
            <w:r>
              <w:rPr>
                <w:rFonts w:ascii="Times New Roman"/>
                <w:sz w:val="18"/>
              </w:rPr>
              <w:t>3,718,181.14</w:t>
            </w:r>
          </w:p>
        </w:tc>
        <w:tc>
          <w:tcPr>
            <w:tcW w:w="1332" w:type="dxa"/>
            <w:vMerge w:val="restart"/>
            <w:tcBorders>
              <w:top w:val="single" w:sz="4" w:space="0" w:color="000000"/>
              <w:left w:val="single" w:sz="4" w:space="0" w:color="000000"/>
              <w:right w:val="single" w:sz="4" w:space="0" w:color="000000"/>
            </w:tcBorders>
          </w:tcPr>
          <w:p>
            <w:pPr/>
          </w:p>
        </w:tc>
        <w:tc>
          <w:tcPr>
            <w:tcW w:w="1460" w:type="dxa"/>
            <w:vMerge w:val="restart"/>
            <w:tcBorders>
              <w:top w:val="single" w:sz="4" w:space="0" w:color="000000"/>
              <w:left w:val="single" w:sz="4" w:space="0" w:color="000000"/>
              <w:right w:val="single" w:sz="4" w:space="0" w:color="000000"/>
            </w:tcBorders>
          </w:tcPr>
          <w:p>
            <w:pPr/>
          </w:p>
        </w:tc>
        <w:tc>
          <w:tcPr>
            <w:tcW w:w="1961" w:type="dxa"/>
            <w:vMerge w:val="restart"/>
            <w:tcBorders>
              <w:top w:val="single" w:sz="4" w:space="0" w:color="000000"/>
              <w:left w:val="single" w:sz="4" w:space="0" w:color="000000"/>
              <w:right w:val="single" w:sz="4" w:space="0" w:color="000000"/>
            </w:tcBorders>
          </w:tcPr>
          <w:p>
            <w:pPr>
              <w:pStyle w:val="TableParagraph"/>
              <w:spacing w:line="316" w:lineRule="auto" w:before="49"/>
              <w:ind w:left="26" w:right="18"/>
              <w:jc w:val="both"/>
              <w:rPr>
                <w:rFonts w:ascii="宋体" w:hAnsi="宋体" w:cs="宋体" w:eastAsia="宋体" w:hint="default"/>
                <w:sz w:val="18"/>
                <w:szCs w:val="18"/>
              </w:rPr>
            </w:pPr>
            <w:r>
              <w:rPr>
                <w:rFonts w:ascii="宋体" w:hAnsi="宋体" w:cs="宋体" w:eastAsia="宋体" w:hint="default"/>
                <w:spacing w:val="9"/>
                <w:sz w:val="18"/>
                <w:szCs w:val="18"/>
              </w:rPr>
              <w:t>主要系报告期内投资性</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9"/>
                <w:sz w:val="18"/>
                <w:szCs w:val="18"/>
              </w:rPr>
              <w:t>房地产的公允价值变动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产生的收益。</w:t>
            </w:r>
          </w:p>
        </w:tc>
      </w:tr>
      <w:tr>
        <w:trPr>
          <w:trHeight w:val="706" w:hRule="exact"/>
        </w:trPr>
        <w:tc>
          <w:tcPr>
            <w:tcW w:w="32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24" w:right="20"/>
              <w:jc w:val="left"/>
              <w:rPr>
                <w:rFonts w:ascii="宋体" w:hAnsi="宋体" w:cs="宋体" w:eastAsia="宋体" w:hint="default"/>
                <w:sz w:val="18"/>
                <w:szCs w:val="18"/>
              </w:rPr>
            </w:pPr>
            <w:r>
              <w:rPr>
                <w:rFonts w:ascii="宋体" w:hAnsi="宋体" w:cs="宋体" w:eastAsia="宋体" w:hint="default"/>
                <w:sz w:val="18"/>
                <w:szCs w:val="18"/>
              </w:rPr>
              <w:t>采用公允价值模式进行后续计量的投资性 房地产公允价值变动产生的损益</w:t>
            </w:r>
          </w:p>
        </w:tc>
        <w:tc>
          <w:tcPr>
            <w:tcW w:w="1522" w:type="dxa"/>
            <w:vMerge/>
            <w:tcBorders>
              <w:left w:val="single" w:sz="4" w:space="0" w:color="000000"/>
              <w:right w:val="single" w:sz="4" w:space="0" w:color="000000"/>
            </w:tcBorders>
          </w:tcPr>
          <w:p>
            <w:pPr/>
          </w:p>
        </w:tc>
        <w:tc>
          <w:tcPr>
            <w:tcW w:w="1332" w:type="dxa"/>
            <w:vMerge/>
            <w:tcBorders>
              <w:left w:val="single" w:sz="4" w:space="0" w:color="000000"/>
              <w:right w:val="single" w:sz="4" w:space="0" w:color="000000"/>
            </w:tcBorders>
          </w:tcPr>
          <w:p>
            <w:pPr/>
          </w:p>
        </w:tc>
        <w:tc>
          <w:tcPr>
            <w:tcW w:w="1460" w:type="dxa"/>
            <w:vMerge/>
            <w:tcBorders>
              <w:left w:val="single" w:sz="4" w:space="0" w:color="000000"/>
              <w:right w:val="single" w:sz="4" w:space="0" w:color="000000"/>
            </w:tcBorders>
          </w:tcPr>
          <w:p>
            <w:pPr/>
          </w:p>
        </w:tc>
        <w:tc>
          <w:tcPr>
            <w:tcW w:w="1961" w:type="dxa"/>
            <w:vMerge/>
            <w:tcBorders>
              <w:left w:val="single" w:sz="4" w:space="0" w:color="000000"/>
              <w:right w:val="single" w:sz="4" w:space="0" w:color="000000"/>
            </w:tcBorders>
          </w:tcPr>
          <w:p>
            <w:pPr/>
          </w:p>
        </w:tc>
      </w:tr>
      <w:tr>
        <w:trPr>
          <w:trHeight w:val="161" w:hRule="exact"/>
        </w:trPr>
        <w:tc>
          <w:tcPr>
            <w:tcW w:w="32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522" w:type="dxa"/>
            <w:vMerge/>
            <w:tcBorders>
              <w:left w:val="single" w:sz="4" w:space="0" w:color="000000"/>
              <w:bottom w:val="single" w:sz="4" w:space="0" w:color="000000"/>
              <w:right w:val="single" w:sz="4" w:space="0" w:color="000000"/>
            </w:tcBorders>
          </w:tcPr>
          <w:p>
            <w:pPr/>
          </w:p>
        </w:tc>
        <w:tc>
          <w:tcPr>
            <w:tcW w:w="1332" w:type="dxa"/>
            <w:vMerge/>
            <w:tcBorders>
              <w:left w:val="single" w:sz="4" w:space="0" w:color="000000"/>
              <w:bottom w:val="single" w:sz="4" w:space="0" w:color="000000"/>
              <w:right w:val="single" w:sz="4" w:space="0" w:color="000000"/>
            </w:tcBorders>
          </w:tcPr>
          <w:p>
            <w:pPr/>
          </w:p>
        </w:tc>
        <w:tc>
          <w:tcPr>
            <w:tcW w:w="1460" w:type="dxa"/>
            <w:vMerge/>
            <w:tcBorders>
              <w:left w:val="single" w:sz="4" w:space="0" w:color="000000"/>
              <w:bottom w:val="single" w:sz="4" w:space="0" w:color="000000"/>
              <w:right w:val="single" w:sz="4" w:space="0" w:color="000000"/>
            </w:tcBorders>
          </w:tcPr>
          <w:p>
            <w:pPr/>
          </w:p>
        </w:tc>
        <w:tc>
          <w:tcPr>
            <w:tcW w:w="1961" w:type="dxa"/>
            <w:vMerge/>
            <w:tcBorders>
              <w:left w:val="single" w:sz="4" w:space="0" w:color="000000"/>
              <w:bottom w:val="single" w:sz="4" w:space="0" w:color="000000"/>
              <w:right w:val="single" w:sz="4" w:space="0" w:color="000000"/>
            </w:tcBorders>
          </w:tcPr>
          <w:p>
            <w:pPr/>
          </w:p>
        </w:tc>
      </w:tr>
      <w:tr>
        <w:trPr>
          <w:trHeight w:val="401"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-1,974,086.48</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-993,819.07</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-590,764.55</w:t>
            </w:r>
          </w:p>
        </w:tc>
        <w:tc>
          <w:tcPr>
            <w:tcW w:w="1961"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32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5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42" w:right="0"/>
              <w:jc w:val="left"/>
              <w:rPr>
                <w:rFonts w:ascii="Times New Roman" w:hAnsi="Times New Roman" w:cs="Times New Roman" w:eastAsia="Times New Roman" w:hint="default"/>
                <w:sz w:val="18"/>
                <w:szCs w:val="18"/>
              </w:rPr>
            </w:pPr>
            <w:r>
              <w:rPr>
                <w:rFonts w:ascii="Times New Roman"/>
                <w:sz w:val="18"/>
              </w:rPr>
              <w:t>5,663,595.41</w:t>
            </w:r>
          </w:p>
        </w:tc>
        <w:tc>
          <w:tcPr>
            <w:tcW w:w="1332" w:type="dxa"/>
            <w:vMerge w:val="restart"/>
            <w:tcBorders>
              <w:top w:val="single" w:sz="4" w:space="0" w:color="000000"/>
              <w:left w:val="single" w:sz="4" w:space="0" w:color="000000"/>
              <w:right w:val="single" w:sz="4" w:space="0" w:color="000000"/>
            </w:tcBorders>
          </w:tcPr>
          <w:p>
            <w:pPr/>
          </w:p>
        </w:tc>
        <w:tc>
          <w:tcPr>
            <w:tcW w:w="1460" w:type="dxa"/>
            <w:vMerge w:val="restart"/>
            <w:tcBorders>
              <w:top w:val="single" w:sz="4" w:space="0" w:color="000000"/>
              <w:left w:val="single" w:sz="4" w:space="0" w:color="000000"/>
              <w:right w:val="single" w:sz="4" w:space="0" w:color="000000"/>
            </w:tcBorders>
          </w:tcPr>
          <w:p>
            <w:pPr/>
          </w:p>
        </w:tc>
        <w:tc>
          <w:tcPr>
            <w:tcW w:w="1961" w:type="dxa"/>
            <w:vMerge w:val="restart"/>
            <w:tcBorders>
              <w:top w:val="single" w:sz="4" w:space="0" w:color="000000"/>
              <w:left w:val="single" w:sz="4" w:space="0" w:color="000000"/>
              <w:right w:val="single" w:sz="4" w:space="0" w:color="000000"/>
            </w:tcBorders>
          </w:tcPr>
          <w:p>
            <w:pPr>
              <w:pStyle w:val="TableParagraph"/>
              <w:spacing w:line="316" w:lineRule="auto" w:before="49"/>
              <w:ind w:left="26" w:right="18"/>
              <w:jc w:val="left"/>
              <w:rPr>
                <w:rFonts w:ascii="宋体" w:hAnsi="宋体" w:cs="宋体" w:eastAsia="宋体" w:hint="default"/>
                <w:sz w:val="18"/>
                <w:szCs w:val="18"/>
              </w:rPr>
            </w:pPr>
            <w:r>
              <w:rPr>
                <w:rFonts w:ascii="宋体" w:hAnsi="宋体" w:cs="宋体" w:eastAsia="宋体" w:hint="default"/>
                <w:spacing w:val="9"/>
                <w:sz w:val="18"/>
                <w:szCs w:val="18"/>
              </w:rPr>
              <w:t>主要系报告期内购买理</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财产品收益</w:t>
            </w:r>
          </w:p>
        </w:tc>
      </w:tr>
      <w:tr>
        <w:trPr>
          <w:trHeight w:val="394" w:hRule="exact"/>
        </w:trPr>
        <w:tc>
          <w:tcPr>
            <w:tcW w:w="32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1522" w:type="dxa"/>
            <w:vMerge/>
            <w:tcBorders>
              <w:left w:val="single" w:sz="4" w:space="0" w:color="000000"/>
              <w:right w:val="single" w:sz="4" w:space="0" w:color="000000"/>
            </w:tcBorders>
          </w:tcPr>
          <w:p>
            <w:pPr/>
          </w:p>
        </w:tc>
        <w:tc>
          <w:tcPr>
            <w:tcW w:w="1332" w:type="dxa"/>
            <w:vMerge/>
            <w:tcBorders>
              <w:left w:val="single" w:sz="4" w:space="0" w:color="000000"/>
              <w:right w:val="single" w:sz="4" w:space="0" w:color="000000"/>
            </w:tcBorders>
          </w:tcPr>
          <w:p>
            <w:pPr/>
          </w:p>
        </w:tc>
        <w:tc>
          <w:tcPr>
            <w:tcW w:w="1460" w:type="dxa"/>
            <w:vMerge/>
            <w:tcBorders>
              <w:left w:val="single" w:sz="4" w:space="0" w:color="000000"/>
              <w:right w:val="single" w:sz="4" w:space="0" w:color="000000"/>
            </w:tcBorders>
          </w:tcPr>
          <w:p>
            <w:pPr/>
          </w:p>
        </w:tc>
        <w:tc>
          <w:tcPr>
            <w:tcW w:w="1961" w:type="dxa"/>
            <w:vMerge/>
            <w:tcBorders>
              <w:left w:val="single" w:sz="4" w:space="0" w:color="000000"/>
              <w:right w:val="single" w:sz="4" w:space="0" w:color="000000"/>
            </w:tcBorders>
          </w:tcPr>
          <w:p>
            <w:pPr/>
          </w:p>
        </w:tc>
      </w:tr>
      <w:tr>
        <w:trPr>
          <w:trHeight w:val="161" w:hRule="exact"/>
        </w:trPr>
        <w:tc>
          <w:tcPr>
            <w:tcW w:w="32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522" w:type="dxa"/>
            <w:vMerge/>
            <w:tcBorders>
              <w:left w:val="single" w:sz="4" w:space="0" w:color="000000"/>
              <w:bottom w:val="single" w:sz="4" w:space="0" w:color="000000"/>
              <w:right w:val="single" w:sz="4" w:space="0" w:color="000000"/>
            </w:tcBorders>
          </w:tcPr>
          <w:p>
            <w:pPr/>
          </w:p>
        </w:tc>
        <w:tc>
          <w:tcPr>
            <w:tcW w:w="1332" w:type="dxa"/>
            <w:vMerge/>
            <w:tcBorders>
              <w:left w:val="single" w:sz="4" w:space="0" w:color="000000"/>
              <w:bottom w:val="single" w:sz="4" w:space="0" w:color="000000"/>
              <w:right w:val="single" w:sz="4" w:space="0" w:color="000000"/>
            </w:tcBorders>
          </w:tcPr>
          <w:p>
            <w:pPr/>
          </w:p>
        </w:tc>
        <w:tc>
          <w:tcPr>
            <w:tcW w:w="1460" w:type="dxa"/>
            <w:vMerge/>
            <w:tcBorders>
              <w:left w:val="single" w:sz="4" w:space="0" w:color="000000"/>
              <w:bottom w:val="single" w:sz="4" w:space="0" w:color="000000"/>
              <w:right w:val="single" w:sz="4" w:space="0" w:color="000000"/>
            </w:tcBorders>
          </w:tcPr>
          <w:p>
            <w:pPr/>
          </w:p>
        </w:tc>
        <w:tc>
          <w:tcPr>
            <w:tcW w:w="1961"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295"/>
        <w:gridCol w:w="1522"/>
        <w:gridCol w:w="1332"/>
        <w:gridCol w:w="1460"/>
        <w:gridCol w:w="1961"/>
      </w:tblGrid>
      <w:tr>
        <w:trPr>
          <w:trHeight w:val="401" w:hRule="exact"/>
        </w:trPr>
        <w:tc>
          <w:tcPr>
            <w:tcW w:w="3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2,231,474.65</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2,098,873.10</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508,528.44</w:t>
            </w:r>
          </w:p>
        </w:tc>
        <w:tc>
          <w:tcPr>
            <w:tcW w:w="196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6,694,423.96</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11,888,133.10</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2,881,661.17</w:t>
            </w:r>
          </w:p>
        </w:tc>
        <w:tc>
          <w:tcPr>
            <w:tcW w:w="19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spacing w:val="-3"/>
        </w:rPr>
        <w:t>对公司根据《公开发行证券的公司信息披露解释性公告第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0" w:lineRule="auto" w:before="63"/>
        <w:ind w:right="139"/>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7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300" w:lineRule="auto" w:before="103"/>
        <w:ind w:right="137"/>
        <w:jc w:val="left"/>
      </w:pPr>
      <w:r>
        <w:rPr/>
        <w:t>公司报告期不存在将根据《公开发行证券的公司信息披露解释性公告第</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spacing w:val="-3"/>
        </w:rPr>
        <w:t>号</w:t>
      </w:r>
      <w:r>
        <w:rPr>
          <w:rFonts w:ascii="Times New Roman" w:hAnsi="Times New Roman" w:cs="Times New Roman" w:eastAsia="Times New Roman" w:hint="default"/>
          <w:spacing w:val="-3"/>
        </w:rPr>
        <w:t>——</w:t>
      </w:r>
      <w:r>
        <w:rPr>
          <w:spacing w:val="-3"/>
        </w:rPr>
        <w:t>非经常性损益》定义、列举的非经常性损益</w:t>
      </w:r>
      <w:r>
        <w:rPr/>
        <w:t> 项目界定为经常性损益的项目的情形。</w:t>
      </w:r>
    </w:p>
    <w:p>
      <w:pPr>
        <w:spacing w:after="0" w:line="300" w:lineRule="auto"/>
        <w:jc w:val="left"/>
        <w:sectPr>
          <w:pgSz w:w="11910" w:h="16840"/>
          <w:pgMar w:header="745" w:footer="979"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456" w:lineRule="exact"/>
        <w:ind w:right="2793"/>
        <w:jc w:val="center"/>
        <w:rPr>
          <w:b w:val="0"/>
          <w:bCs w:val="0"/>
        </w:rPr>
      </w:pPr>
      <w:bookmarkStart w:name="_bookmark2" w:id="3"/>
      <w:bookmarkEnd w:id="3"/>
      <w:r>
        <w:rPr>
          <w:b w:val="0"/>
          <w:bCs w:val="0"/>
        </w:rPr>
      </w:r>
      <w:r>
        <w:rPr/>
        <w:t>第三节 </w:t>
      </w:r>
      <w:r>
        <w:rPr>
          <w:spacing w:val="7"/>
        </w:rPr>
        <w:t> </w:t>
      </w:r>
      <w:r>
        <w:rPr/>
        <w:t>公司业务概要</w:t>
      </w:r>
      <w:r>
        <w:rPr>
          <w:b w:val="0"/>
          <w:bCs w:val="0"/>
        </w:rPr>
      </w:r>
    </w:p>
    <w:p>
      <w:pPr>
        <w:spacing w:line="240" w:lineRule="auto" w:before="17"/>
        <w:rPr>
          <w:rFonts w:ascii="Microsoft JhengHei" w:hAnsi="Microsoft JhengHei" w:cs="Microsoft JhengHei" w:eastAsia="Microsoft JhengHei" w:hint="default"/>
          <w:b/>
          <w:bCs/>
          <w:sz w:val="22"/>
          <w:szCs w:val="22"/>
        </w:rPr>
      </w:pPr>
    </w:p>
    <w:p>
      <w:pPr>
        <w:pStyle w:val="Heading2"/>
        <w:spacing w:line="240" w:lineRule="auto"/>
        <w:ind w:right="0"/>
        <w:jc w:val="left"/>
        <w:rPr>
          <w:b w:val="0"/>
          <w:bCs w:val="0"/>
        </w:rPr>
      </w:pPr>
      <w:r>
        <w:rPr/>
        <w:t>一、报告期内公司从事的主要业务</w:t>
      </w:r>
      <w:r>
        <w:rPr>
          <w:b w:val="0"/>
          <w:bCs w:val="0"/>
        </w:rPr>
      </w:r>
    </w:p>
    <w:p>
      <w:pPr>
        <w:spacing w:line="240" w:lineRule="auto" w:before="3"/>
        <w:rPr>
          <w:rFonts w:ascii="Microsoft JhengHei" w:hAnsi="Microsoft JhengHei" w:cs="Microsoft JhengHei" w:eastAsia="Microsoft JhengHei" w:hint="default"/>
          <w:b/>
          <w:bCs/>
          <w:sz w:val="18"/>
          <w:szCs w:val="18"/>
        </w:rPr>
      </w:pPr>
    </w:p>
    <w:p>
      <w:pPr>
        <w:pStyle w:val="BodyText"/>
        <w:spacing w:line="360" w:lineRule="auto"/>
        <w:ind w:right="6714"/>
        <w:jc w:val="left"/>
      </w:pPr>
      <w:r>
        <w:rPr/>
        <w:t>公司是否需要遵守特殊行业的披露要求 否</w:t>
      </w:r>
    </w:p>
    <w:p>
      <w:pPr>
        <w:pStyle w:val="BodyText"/>
        <w:spacing w:line="477" w:lineRule="auto" w:before="104"/>
        <w:ind w:right="0" w:firstLine="360"/>
        <w:jc w:val="left"/>
      </w:pPr>
      <w:r>
        <w:rPr>
          <w:spacing w:val="-2"/>
        </w:rPr>
        <w:t>报告期内，公司主营电子电动玩具的生产与销售。根据玩具业务升级转型方案，公司已退出原有玩具生产制造业务，目</w:t>
      </w:r>
      <w:r>
        <w:rPr/>
        <w:t> 前主要从事玩具渠道经营业务。</w:t>
      </w:r>
    </w:p>
    <w:p>
      <w:pPr>
        <w:pStyle w:val="Heading2"/>
        <w:spacing w:line="240" w:lineRule="auto" w:before="152"/>
        <w:ind w:right="0"/>
        <w:jc w:val="left"/>
        <w:rPr>
          <w:b w:val="0"/>
          <w:bCs w:val="0"/>
        </w:rPr>
      </w:pPr>
      <w:r>
        <w:rPr/>
        <w:t>二、主要资产重大变化情况</w:t>
      </w:r>
      <w:r>
        <w:rPr>
          <w:b w:val="0"/>
          <w:bCs w:val="0"/>
        </w:rPr>
      </w:r>
    </w:p>
    <w:p>
      <w:pPr>
        <w:spacing w:line="240" w:lineRule="auto" w:before="5"/>
        <w:rPr>
          <w:rFonts w:ascii="Microsoft JhengHei" w:hAnsi="Microsoft JhengHei" w:cs="Microsoft JhengHei" w:eastAsia="Microsoft JhengHei" w:hint="default"/>
          <w:b/>
          <w:bCs/>
          <w:sz w:val="13"/>
          <w:szCs w:val="13"/>
        </w:rPr>
      </w:pPr>
    </w:p>
    <w:p>
      <w:pPr>
        <w:pStyle w:val="Heading3"/>
        <w:spacing w:line="240" w:lineRule="auto"/>
        <w:ind w:right="0"/>
        <w:jc w:val="left"/>
        <w:rPr>
          <w:b w:val="0"/>
          <w:bCs w:val="0"/>
        </w:rPr>
      </w:pPr>
      <w:r>
        <w:rPr>
          <w:rFonts w:ascii="Times New Roman" w:hAnsi="Times New Roman" w:cs="Times New Roman" w:eastAsia="Times New Roman" w:hint="default"/>
        </w:rPr>
        <w:t>1</w:t>
      </w:r>
      <w:r>
        <w:rPr/>
        <w:t>、主要资产重大变化情况</w:t>
      </w:r>
      <w:r>
        <w:rPr>
          <w:b w:val="0"/>
          <w:bCs w:val="0"/>
        </w:rPr>
      </w: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12"/>
        <w:rPr>
          <w:rFonts w:ascii="Microsoft JhengHei" w:hAnsi="Microsoft JhengHei" w:cs="Microsoft JhengHei" w:eastAsia="Microsoft JhengHei" w:hint="default"/>
          <w:b/>
          <w:bCs/>
          <w:sz w:val="26"/>
          <w:szCs w:val="26"/>
        </w:rPr>
      </w:pPr>
    </w:p>
    <w:p>
      <w:pPr>
        <w:pStyle w:val="BodyText"/>
        <w:spacing w:line="240" w:lineRule="auto" w:before="44"/>
        <w:ind w:left="0" w:right="158"/>
        <w:jc w:val="right"/>
      </w:pPr>
      <w:r>
        <w:rPr/>
        <w:pict>
          <v:shape style="position:absolute;margin-left:56.400002pt;margin-top:-59.068291pt;width:479.3pt;height:261.9pt;mso-position-horizontal-relative:page;mso-position-vertical-relative:paragraph;z-index:11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630"/>
                    <w:gridCol w:w="7941"/>
                  </w:tblGrid>
                  <w:tr>
                    <w:trPr>
                      <w:trHeight w:val="185" w:hRule="exact"/>
                    </w:trPr>
                    <w:tc>
                      <w:tcPr>
                        <w:tcW w:w="163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449" w:right="0"/>
                          <w:jc w:val="left"/>
                          <w:rPr>
                            <w:rFonts w:ascii="宋体" w:hAnsi="宋体" w:cs="宋体" w:eastAsia="宋体" w:hint="default"/>
                            <w:sz w:val="18"/>
                            <w:szCs w:val="18"/>
                          </w:rPr>
                        </w:pPr>
                        <w:r>
                          <w:rPr>
                            <w:rFonts w:ascii="宋体" w:hAnsi="宋体" w:cs="宋体" w:eastAsia="宋体" w:hint="default"/>
                            <w:sz w:val="18"/>
                            <w:szCs w:val="18"/>
                          </w:rPr>
                          <w:t>主要资产</w:t>
                        </w:r>
                      </w:p>
                    </w:tc>
                    <w:tc>
                      <w:tcPr>
                        <w:tcW w:w="7941"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1630" w:type="dxa"/>
                        <w:vMerge/>
                        <w:tcBorders>
                          <w:left w:val="single" w:sz="4" w:space="0" w:color="000000"/>
                          <w:right w:val="single" w:sz="4" w:space="0" w:color="000000"/>
                        </w:tcBorders>
                        <w:shd w:val="clear" w:color="auto" w:fill="D2D2D2"/>
                      </w:tcPr>
                      <w:p>
                        <w:pPr/>
                      </w:p>
                    </w:tc>
                    <w:tc>
                      <w:tcPr>
                        <w:tcW w:w="794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187" w:hRule="exact"/>
                    </w:trPr>
                    <w:tc>
                      <w:tcPr>
                        <w:tcW w:w="1630" w:type="dxa"/>
                        <w:vMerge/>
                        <w:tcBorders>
                          <w:left w:val="single" w:sz="4" w:space="0" w:color="000000"/>
                          <w:bottom w:val="single" w:sz="4" w:space="0" w:color="000000"/>
                          <w:right w:val="single" w:sz="4" w:space="0" w:color="000000"/>
                        </w:tcBorders>
                        <w:shd w:val="clear" w:color="auto" w:fill="D2D2D2"/>
                      </w:tcPr>
                      <w:p>
                        <w:pPr/>
                      </w:p>
                    </w:tc>
                    <w:tc>
                      <w:tcPr>
                        <w:tcW w:w="7941"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16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股权资产</w:t>
                        </w:r>
                      </w:p>
                    </w:tc>
                    <w:tc>
                      <w:tcPr>
                        <w:tcW w:w="7941"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无重大变化</w:t>
                        </w:r>
                      </w:p>
                    </w:tc>
                  </w:tr>
                  <w:tr>
                    <w:trPr>
                      <w:trHeight w:val="402" w:hRule="exact"/>
                    </w:trPr>
                    <w:tc>
                      <w:tcPr>
                        <w:tcW w:w="16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7941"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报告期期末较期初减少 </w:t>
                        </w:r>
                        <w:r>
                          <w:rPr>
                            <w:rFonts w:ascii="Times New Roman" w:hAnsi="Times New Roman" w:cs="Times New Roman" w:eastAsia="Times New Roman" w:hint="default"/>
                            <w:sz w:val="18"/>
                            <w:szCs w:val="18"/>
                          </w:rPr>
                          <w:t>30,530.12 </w:t>
                        </w:r>
                        <w:r>
                          <w:rPr>
                            <w:rFonts w:ascii="宋体" w:hAnsi="宋体" w:cs="宋体" w:eastAsia="宋体" w:hint="default"/>
                            <w:spacing w:val="-11"/>
                            <w:sz w:val="18"/>
                            <w:szCs w:val="18"/>
                          </w:rPr>
                          <w:t>万元，下降</w:t>
                        </w:r>
                        <w:r>
                          <w:rPr>
                            <w:rFonts w:ascii="宋体" w:hAnsi="宋体" w:cs="宋体" w:eastAsia="宋体" w:hint="default"/>
                            <w:spacing w:val="-58"/>
                            <w:sz w:val="18"/>
                            <w:szCs w:val="18"/>
                          </w:rPr>
                          <w:t> </w:t>
                        </w:r>
                        <w:r>
                          <w:rPr>
                            <w:rFonts w:ascii="Times New Roman" w:hAnsi="Times New Roman" w:cs="Times New Roman" w:eastAsia="Times New Roman" w:hint="default"/>
                            <w:spacing w:val="-3"/>
                            <w:sz w:val="18"/>
                            <w:szCs w:val="18"/>
                          </w:rPr>
                          <w:t>98.83%</w:t>
                        </w:r>
                        <w:r>
                          <w:rPr>
                            <w:rFonts w:ascii="宋体" w:hAnsi="宋体" w:cs="宋体" w:eastAsia="宋体" w:hint="default"/>
                            <w:spacing w:val="-3"/>
                            <w:sz w:val="18"/>
                            <w:szCs w:val="18"/>
                          </w:rPr>
                          <w:t>，主要系本年房屋建筑物转至投资性房地产所致</w:t>
                        </w:r>
                      </w:p>
                    </w:tc>
                  </w:tr>
                  <w:tr>
                    <w:trPr>
                      <w:trHeight w:val="714" w:hRule="exact"/>
                    </w:trPr>
                    <w:tc>
                      <w:tcPr>
                        <w:tcW w:w="16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7941"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00" w:lineRule="auto" w:before="49"/>
                          <w:ind w:left="24" w:right="22"/>
                          <w:jc w:val="left"/>
                          <w:rPr>
                            <w:rFonts w:ascii="宋体" w:hAnsi="宋体" w:cs="宋体" w:eastAsia="宋体" w:hint="default"/>
                            <w:sz w:val="18"/>
                            <w:szCs w:val="18"/>
                          </w:rPr>
                        </w:pPr>
                        <w:r>
                          <w:rPr>
                            <w:rFonts w:ascii="宋体" w:hAnsi="宋体" w:cs="宋体" w:eastAsia="宋体" w:hint="default"/>
                            <w:sz w:val="18"/>
                            <w:szCs w:val="18"/>
                          </w:rPr>
                          <w:t>报告期期末较期初减少 </w:t>
                        </w:r>
                        <w:r>
                          <w:rPr>
                            <w:rFonts w:ascii="Times New Roman" w:hAnsi="Times New Roman" w:cs="Times New Roman" w:eastAsia="Times New Roman" w:hint="default"/>
                            <w:sz w:val="18"/>
                            <w:szCs w:val="18"/>
                          </w:rPr>
                          <w:t>4,604.19 </w:t>
                        </w:r>
                        <w:r>
                          <w:rPr>
                            <w:rFonts w:ascii="宋体" w:hAnsi="宋体" w:cs="宋体" w:eastAsia="宋体" w:hint="default"/>
                            <w:sz w:val="18"/>
                            <w:szCs w:val="18"/>
                          </w:rPr>
                          <w:t>万元，下降</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40.43%</w:t>
                        </w:r>
                        <w:r>
                          <w:rPr>
                            <w:rFonts w:ascii="宋体" w:hAnsi="宋体" w:cs="宋体" w:eastAsia="宋体" w:hint="default"/>
                            <w:sz w:val="18"/>
                            <w:szCs w:val="18"/>
                          </w:rPr>
                          <w:t>，主要系本年部分土地使用权转至投资性房地产 所致。</w:t>
                        </w:r>
                      </w:p>
                    </w:tc>
                  </w:tr>
                  <w:tr>
                    <w:trPr>
                      <w:trHeight w:val="402" w:hRule="exact"/>
                    </w:trPr>
                    <w:tc>
                      <w:tcPr>
                        <w:tcW w:w="16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7941"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报告期期末较期初增加</w:t>
                        </w:r>
                        <w:r>
                          <w:rPr>
                            <w:rFonts w:ascii="宋体" w:hAnsi="宋体" w:cs="宋体" w:eastAsia="宋体" w:hint="default"/>
                            <w:spacing w:val="-61"/>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pacing w:val="-2"/>
                            <w:sz w:val="18"/>
                            <w:szCs w:val="18"/>
                          </w:rPr>
                          <w:t>7</w:t>
                        </w:r>
                        <w:r>
                          <w:rPr>
                            <w:rFonts w:ascii="Times New Roman" w:hAnsi="Times New Roman" w:cs="Times New Roman" w:eastAsia="Times New Roman" w:hint="default"/>
                            <w:spacing w:val="1"/>
                            <w:sz w:val="18"/>
                            <w:szCs w:val="18"/>
                          </w:rPr>
                          <w:t>6</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万元</w:t>
                        </w:r>
                        <w:r>
                          <w:rPr>
                            <w:rFonts w:ascii="宋体" w:hAnsi="宋体" w:cs="宋体" w:eastAsia="宋体" w:hint="default"/>
                            <w:spacing w:val="-92"/>
                            <w:sz w:val="18"/>
                            <w:szCs w:val="18"/>
                          </w:rPr>
                          <w:t>，</w:t>
                        </w:r>
                        <w:r>
                          <w:rPr>
                            <w:rFonts w:ascii="宋体" w:hAnsi="宋体" w:cs="宋体" w:eastAsia="宋体" w:hint="default"/>
                            <w:sz w:val="18"/>
                            <w:szCs w:val="18"/>
                          </w:rPr>
                          <w:t>增长</w:t>
                        </w:r>
                        <w:r>
                          <w:rPr>
                            <w:rFonts w:ascii="宋体" w:hAnsi="宋体" w:cs="宋体" w:eastAsia="宋体" w:hint="default"/>
                            <w:spacing w:val="-61"/>
                            <w:sz w:val="18"/>
                            <w:szCs w:val="18"/>
                          </w:rPr>
                          <w:t> </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pacing w:val="-2"/>
                            <w:sz w:val="18"/>
                            <w:szCs w:val="18"/>
                          </w:rPr>
                          <w:t>5</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3</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z w:val="18"/>
                            <w:szCs w:val="18"/>
                          </w:rPr>
                          <w:t>主要系本年投入建设岭海工业区宿舍楼主体所致</w:t>
                        </w:r>
                      </w:p>
                    </w:tc>
                  </w:tr>
                  <w:tr>
                    <w:trPr>
                      <w:trHeight w:val="714" w:hRule="exact"/>
                    </w:trPr>
                    <w:tc>
                      <w:tcPr>
                        <w:tcW w:w="16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7941"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00" w:lineRule="auto" w:before="49"/>
                          <w:ind w:left="24" w:right="22"/>
                          <w:jc w:val="left"/>
                          <w:rPr>
                            <w:rFonts w:ascii="宋体" w:hAnsi="宋体" w:cs="宋体" w:eastAsia="宋体" w:hint="default"/>
                            <w:sz w:val="18"/>
                            <w:szCs w:val="18"/>
                          </w:rPr>
                        </w:pPr>
                        <w:r>
                          <w:rPr>
                            <w:rFonts w:ascii="宋体" w:hAnsi="宋体" w:cs="宋体" w:eastAsia="宋体" w:hint="default"/>
                            <w:sz w:val="18"/>
                            <w:szCs w:val="18"/>
                          </w:rPr>
                          <w:t>报告期期末较期初减少 </w:t>
                        </w:r>
                        <w:r>
                          <w:rPr>
                            <w:rFonts w:ascii="Times New Roman" w:hAnsi="Times New Roman" w:cs="Times New Roman" w:eastAsia="Times New Roman" w:hint="default"/>
                            <w:sz w:val="18"/>
                            <w:szCs w:val="18"/>
                          </w:rPr>
                          <w:t>2,989.03 </w:t>
                        </w:r>
                        <w:r>
                          <w:rPr>
                            <w:rFonts w:ascii="宋体" w:hAnsi="宋体" w:cs="宋体" w:eastAsia="宋体" w:hint="default"/>
                            <w:sz w:val="18"/>
                            <w:szCs w:val="18"/>
                          </w:rPr>
                          <w:t>万元，下降</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50.66%</w:t>
                        </w:r>
                        <w:r>
                          <w:rPr>
                            <w:rFonts w:ascii="宋体" w:hAnsi="宋体" w:cs="宋体" w:eastAsia="宋体" w:hint="default"/>
                            <w:sz w:val="18"/>
                            <w:szCs w:val="18"/>
                          </w:rPr>
                          <w:t>，主要系报告期因业务升级转型，玩具生存销售 业务减少所致。</w:t>
                        </w:r>
                      </w:p>
                    </w:tc>
                  </w:tr>
                  <w:tr>
                    <w:trPr>
                      <w:trHeight w:val="714" w:hRule="exact"/>
                    </w:trPr>
                    <w:tc>
                      <w:tcPr>
                        <w:tcW w:w="16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7941"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97" w:lineRule="auto" w:before="50"/>
                          <w:ind w:left="24" w:right="20"/>
                          <w:jc w:val="left"/>
                          <w:rPr>
                            <w:rFonts w:ascii="宋体" w:hAnsi="宋体" w:cs="宋体" w:eastAsia="宋体" w:hint="default"/>
                            <w:sz w:val="18"/>
                            <w:szCs w:val="18"/>
                          </w:rPr>
                        </w:pPr>
                        <w:r>
                          <w:rPr>
                            <w:rFonts w:ascii="宋体" w:hAnsi="宋体" w:cs="宋体" w:eastAsia="宋体" w:hint="default"/>
                            <w:sz w:val="18"/>
                            <w:szCs w:val="18"/>
                          </w:rPr>
                          <w:t>报告期期末较期初减少 </w:t>
                        </w:r>
                        <w:r>
                          <w:rPr>
                            <w:rFonts w:ascii="Times New Roman" w:hAnsi="Times New Roman" w:cs="Times New Roman" w:eastAsia="Times New Roman" w:hint="default"/>
                            <w:sz w:val="18"/>
                            <w:szCs w:val="18"/>
                          </w:rPr>
                          <w:t>4,988.93 </w:t>
                        </w:r>
                        <w:r>
                          <w:rPr>
                            <w:rFonts w:ascii="宋体" w:hAnsi="宋体" w:cs="宋体" w:eastAsia="宋体" w:hint="default"/>
                            <w:sz w:val="18"/>
                            <w:szCs w:val="18"/>
                          </w:rPr>
                          <w:t>万元，下降</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，主要系上年末存货在本期销售完毕且本期因业务 转型放弃玩具生产业务未新增存货所致。</w:t>
                        </w:r>
                      </w:p>
                    </w:tc>
                  </w:tr>
                  <w:tr>
                    <w:trPr>
                      <w:trHeight w:val="715" w:hRule="exact"/>
                    </w:trPr>
                    <w:tc>
                      <w:tcPr>
                        <w:tcW w:w="16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7941"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00" w:lineRule="auto" w:before="49"/>
                          <w:ind w:left="24" w:right="20"/>
                          <w:jc w:val="left"/>
                          <w:rPr>
                            <w:rFonts w:ascii="宋体" w:hAnsi="宋体" w:cs="宋体" w:eastAsia="宋体" w:hint="default"/>
                            <w:sz w:val="18"/>
                            <w:szCs w:val="18"/>
                          </w:rPr>
                        </w:pPr>
                        <w:r>
                          <w:rPr>
                            <w:rFonts w:ascii="宋体" w:hAnsi="宋体" w:cs="宋体" w:eastAsia="宋体" w:hint="default"/>
                            <w:sz w:val="18"/>
                            <w:szCs w:val="18"/>
                          </w:rPr>
                          <w:t>报告期期末较期初增加</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33,659.83</w:t>
                        </w:r>
                        <w:r>
                          <w:rPr>
                            <w:rFonts w:ascii="Times New Roman" w:hAnsi="Times New Roman" w:cs="Times New Roman" w:eastAsia="Times New Roman" w:hint="default"/>
                            <w:spacing w:val="-6"/>
                            <w:sz w:val="18"/>
                            <w:szCs w:val="18"/>
                          </w:rPr>
                          <w:t> </w:t>
                        </w:r>
                        <w:r>
                          <w:rPr>
                            <w:rFonts w:ascii="宋体" w:hAnsi="宋体" w:cs="宋体" w:eastAsia="宋体" w:hint="default"/>
                            <w:spacing w:val="-6"/>
                            <w:sz w:val="18"/>
                            <w:szCs w:val="18"/>
                          </w:rPr>
                          <w:t>万元，增长</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，主要系报告期内公司将房屋建筑物及对应的土地 使用权转入投资性房地产所致。</w:t>
                        </w:r>
                      </w:p>
                    </w:tc>
                  </w:tr>
                  <w:tr>
                    <w:trPr>
                      <w:trHeight w:val="402" w:hRule="exact"/>
                    </w:trPr>
                    <w:tc>
                      <w:tcPr>
                        <w:tcW w:w="16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7941"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报告期期末较期初增加</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13,986.41 </w:t>
                        </w:r>
                        <w:r>
                          <w:rPr>
                            <w:rFonts w:ascii="宋体" w:hAnsi="宋体" w:cs="宋体" w:eastAsia="宋体" w:hint="default"/>
                            <w:sz w:val="18"/>
                            <w:szCs w:val="18"/>
                          </w:rPr>
                          <w:t>万元，增长</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8420.48%</w:t>
                        </w:r>
                        <w:r>
                          <w:rPr>
                            <w:rFonts w:ascii="宋体" w:hAnsi="宋体" w:cs="宋体" w:eastAsia="宋体" w:hint="default"/>
                            <w:sz w:val="18"/>
                            <w:szCs w:val="18"/>
                          </w:rPr>
                          <w:t>，主要系报告期公司增加理财产品投资所致。</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3"/>
          <w:szCs w:val="23"/>
        </w:rPr>
      </w:pPr>
    </w:p>
    <w:p>
      <w:pPr>
        <w:pStyle w:val="BodyText"/>
        <w:spacing w:line="240" w:lineRule="auto" w:before="44"/>
        <w:ind w:left="0" w:right="156"/>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2"/>
          <w:szCs w:val="22"/>
        </w:rPr>
      </w:pPr>
    </w:p>
    <w:p>
      <w:pPr>
        <w:pStyle w:val="Heading3"/>
        <w:spacing w:line="335" w:lineRule="exact"/>
        <w:ind w:right="0"/>
        <w:jc w:val="left"/>
        <w:rPr>
          <w:b w:val="0"/>
          <w:bCs w:val="0"/>
        </w:rPr>
      </w:pPr>
      <w:r>
        <w:rPr>
          <w:rFonts w:ascii="Times New Roman" w:hAnsi="Times New Roman" w:cs="Times New Roman" w:eastAsia="Times New Roman" w:hint="default"/>
        </w:rPr>
        <w:t>2</w:t>
      </w:r>
      <w:r>
        <w:rPr/>
        <w:t>、主要境外资产情况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18"/>
          <w:szCs w:val="18"/>
        </w:rPr>
      </w:pPr>
    </w:p>
    <w:p>
      <w:pPr>
        <w:pStyle w:val="Heading2"/>
        <w:spacing w:line="240" w:lineRule="auto"/>
        <w:ind w:right="0"/>
        <w:jc w:val="left"/>
        <w:rPr>
          <w:b w:val="0"/>
          <w:bCs w:val="0"/>
        </w:rPr>
      </w:pPr>
      <w:r>
        <w:rPr/>
        <w:t>三、核心竞争力分析</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360" w:lineRule="auto"/>
        <w:ind w:right="6714"/>
        <w:jc w:val="left"/>
      </w:pPr>
      <w:r>
        <w:rPr/>
        <w:t>公司是否需要遵守特殊行业的披露要求 否</w:t>
      </w:r>
    </w:p>
    <w:p>
      <w:pPr>
        <w:pStyle w:val="BodyText"/>
        <w:spacing w:line="240" w:lineRule="auto" w:before="104"/>
        <w:ind w:left="513" w:right="0"/>
        <w:jc w:val="left"/>
      </w:pPr>
      <w:r>
        <w:rPr>
          <w:rFonts w:ascii="宋体" w:hAnsi="宋体" w:cs="宋体" w:eastAsia="宋体" w:hint="default"/>
        </w:rPr>
        <w:t>1</w:t>
      </w:r>
      <w:r>
        <w:rPr/>
        <w:t>、较为稳定的品牌优势</w:t>
      </w:r>
    </w:p>
    <w:p>
      <w:pPr>
        <w:spacing w:after="0" w:line="240" w:lineRule="auto"/>
        <w:jc w:val="left"/>
        <w:sectPr>
          <w:pgSz w:w="11910" w:h="16840"/>
          <w:pgMar w:header="745" w:footer="979" w:top="1060" w:bottom="1160" w:left="980" w:right="98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477" w:lineRule="auto"/>
        <w:ind w:right="144" w:firstLine="360"/>
        <w:jc w:val="left"/>
      </w:pPr>
      <w:r>
        <w:rPr/>
        <w:t>公司所有产品均使用“</w:t>
      </w:r>
      <w:r>
        <w:rPr>
          <w:rFonts w:ascii="宋体" w:hAnsi="宋体" w:cs="宋体" w:eastAsia="宋体" w:hint="default"/>
        </w:rPr>
        <w:t>QUNXING</w:t>
      </w:r>
      <w:r>
        <w:rPr/>
        <w:t>”品牌进行销售，经过多年自主品牌的市场开拓，公司产品在经销商、零售商和消费者 中形成较高的影响力和认知度。</w:t>
      </w: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21"/>
          <w:szCs w:val="21"/>
        </w:rPr>
      </w:pPr>
    </w:p>
    <w:p>
      <w:pPr>
        <w:pStyle w:val="BodyText"/>
        <w:spacing w:line="518" w:lineRule="auto"/>
        <w:ind w:left="513" w:right="0"/>
        <w:jc w:val="left"/>
      </w:pPr>
      <w:r>
        <w:rPr>
          <w:rFonts w:ascii="宋体" w:hAnsi="宋体" w:cs="宋体" w:eastAsia="宋体" w:hint="default"/>
        </w:rPr>
        <w:t>2</w:t>
      </w:r>
      <w:r>
        <w:rPr/>
        <w:t>、区位优势和产业集群优势 </w:t>
      </w:r>
      <w:r>
        <w:rPr>
          <w:spacing w:val="-2"/>
        </w:rPr>
        <w:t>公司所在的广东省汕头市是中国玩具企业数量最多的城市，公司可以依托得天独厚的区位优势和产业集群优势，以较快</w:t>
      </w:r>
    </w:p>
    <w:p>
      <w:pPr>
        <w:pStyle w:val="BodyText"/>
        <w:spacing w:line="477" w:lineRule="auto" w:before="23"/>
        <w:ind w:right="0"/>
        <w:jc w:val="left"/>
      </w:pPr>
      <w:r>
        <w:rPr>
          <w:spacing w:val="-2"/>
        </w:rPr>
        <w:t>的速度、较低的成本获取产业集聚效应带来了技术、人才、信息、物流等资源，为公司推进玩具业务由传统生产制造向玩具</w:t>
      </w:r>
      <w:r>
        <w:rPr>
          <w:spacing w:val="-67"/>
        </w:rPr>
        <w:t> </w:t>
      </w:r>
      <w:r>
        <w:rPr>
          <w:spacing w:val="-67"/>
        </w:rPr>
      </w:r>
      <w:r>
        <w:rPr/>
        <w:t>渠道经营升级转型提供有力保障。</w:t>
      </w:r>
    </w:p>
    <w:p>
      <w:pPr>
        <w:spacing w:after="0" w:line="477" w:lineRule="auto"/>
        <w:jc w:val="left"/>
        <w:sectPr>
          <w:pgSz w:w="11910" w:h="16840"/>
          <w:pgMar w:header="745" w:footer="979"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456" w:lineRule="exact"/>
        <w:ind w:left="2964" w:right="94"/>
        <w:jc w:val="left"/>
        <w:rPr>
          <w:b w:val="0"/>
          <w:bCs w:val="0"/>
        </w:rPr>
      </w:pPr>
      <w:bookmarkStart w:name="_bookmark3" w:id="4"/>
      <w:bookmarkEnd w:id="4"/>
      <w:r>
        <w:rPr>
          <w:b w:val="0"/>
          <w:bCs w:val="0"/>
        </w:rPr>
      </w:r>
      <w:r>
        <w:rPr/>
        <w:t>第四节 </w:t>
      </w:r>
      <w:r>
        <w:rPr>
          <w:spacing w:val="11"/>
        </w:rPr>
        <w:t> </w:t>
      </w:r>
      <w:r>
        <w:rPr/>
        <w:t>经营情况讨论与分析</w:t>
      </w:r>
      <w:r>
        <w:rPr>
          <w:b w:val="0"/>
          <w:bCs w:val="0"/>
        </w:rPr>
      </w:r>
    </w:p>
    <w:p>
      <w:pPr>
        <w:spacing w:line="240" w:lineRule="auto" w:before="12"/>
        <w:rPr>
          <w:rFonts w:ascii="Microsoft JhengHei" w:hAnsi="Microsoft JhengHei" w:cs="Microsoft JhengHei" w:eastAsia="Microsoft JhengHei" w:hint="default"/>
          <w:b/>
          <w:bCs/>
          <w:sz w:val="25"/>
          <w:szCs w:val="25"/>
        </w:rPr>
      </w:pPr>
    </w:p>
    <w:p>
      <w:pPr>
        <w:pStyle w:val="Heading2"/>
        <w:spacing w:line="367" w:lineRule="exact"/>
        <w:ind w:right="94"/>
        <w:jc w:val="left"/>
        <w:rPr>
          <w:b w:val="0"/>
          <w:bCs w:val="0"/>
        </w:rPr>
      </w:pPr>
      <w:r>
        <w:rPr/>
        <w:t>一、概述</w:t>
      </w:r>
      <w:r>
        <w:rPr>
          <w:b w:val="0"/>
          <w:bCs w:val="0"/>
        </w:rPr>
      </w:r>
    </w:p>
    <w:p>
      <w:pPr>
        <w:spacing w:line="240" w:lineRule="auto" w:before="15"/>
        <w:rPr>
          <w:rFonts w:ascii="Microsoft JhengHei" w:hAnsi="Microsoft JhengHei" w:cs="Microsoft JhengHei" w:eastAsia="Microsoft JhengHei" w:hint="default"/>
          <w:b/>
          <w:bCs/>
          <w:sz w:val="22"/>
          <w:szCs w:val="22"/>
        </w:rPr>
      </w:pPr>
    </w:p>
    <w:p>
      <w:pPr>
        <w:pStyle w:val="BodyText"/>
        <w:spacing w:line="477" w:lineRule="auto"/>
        <w:ind w:right="191" w:firstLine="360"/>
        <w:jc w:val="both"/>
      </w:pPr>
      <w:r>
        <w:rPr>
          <w:spacing w:val="-2"/>
        </w:rPr>
        <w:t>报告期内，公司管理层面对玩具业务逐年下滑的困境，坚定信心，拼搏进取，一方面积极探索原有玩具制造业务升级转</w:t>
      </w:r>
      <w:r>
        <w:rPr/>
        <w:t> </w:t>
      </w:r>
      <w:r>
        <w:rPr>
          <w:spacing w:val="-2"/>
        </w:rPr>
        <w:t>型思路，推动玩具业务升级转型；另一方面寻求优质资产，开展并购、重组，拓展第二主业，力争内涵外延双向并举改善公</w:t>
      </w:r>
      <w:r>
        <w:rPr>
          <w:spacing w:val="-67"/>
        </w:rPr>
        <w:t> </w:t>
      </w:r>
      <w:r>
        <w:rPr>
          <w:spacing w:val="-67"/>
        </w:rPr>
      </w:r>
      <w:r>
        <w:rPr/>
        <w:t>司经营困境，提高公司盈利能力。</w:t>
      </w:r>
    </w:p>
    <w:p>
      <w:pPr>
        <w:pStyle w:val="BodyText"/>
        <w:spacing w:line="477" w:lineRule="auto" w:before="55"/>
        <w:ind w:right="94" w:firstLine="360"/>
        <w:jc w:val="left"/>
      </w:pPr>
      <w:r>
        <w:rPr>
          <w:spacing w:val="-2"/>
        </w:rPr>
        <w:t>玩具业务方面。公司看好国家二胎政策调整和家庭消费升级带来的婴童玩具市场机遇，经过反复研究论证后，最终确定</w:t>
      </w:r>
      <w:r>
        <w:rPr/>
        <w:t> </w:t>
      </w:r>
      <w:r>
        <w:rPr>
          <w:spacing w:val="-2"/>
        </w:rPr>
        <w:t>业务升级转型继续聚焦玩具产业，明确公司业务由玩具生产经营转变为玩具渠道经营，放弃原有低端玩具制造业。根据公司</w:t>
      </w:r>
      <w:r>
        <w:rPr>
          <w:spacing w:val="-63"/>
        </w:rPr>
        <w:t> </w:t>
      </w:r>
      <w:r>
        <w:rPr>
          <w:spacing w:val="-63"/>
        </w:rPr>
      </w:r>
      <w:r>
        <w:rPr/>
        <w:t>业务升级转型方案，公司自</w:t>
      </w:r>
      <w:r>
        <w:rPr>
          <w:rFonts w:ascii="宋体" w:hAnsi="宋体" w:cs="宋体" w:eastAsia="宋体" w:hint="default"/>
        </w:rPr>
        <w:t>2017</w:t>
      </w:r>
      <w:r>
        <w:rPr/>
        <w:t>年以来逐步减少并退出了原有玩具生产制造业务，目前主要从事玩具渠道经营业务，</w:t>
      </w:r>
      <w:r>
        <w:rPr>
          <w:rFonts w:ascii="宋体" w:hAnsi="宋体" w:cs="宋体" w:eastAsia="宋体" w:hint="default"/>
        </w:rPr>
        <w:t>2018</w:t>
      </w:r>
      <w:r>
        <w:rPr>
          <w:rFonts w:ascii="宋体" w:hAnsi="宋体" w:cs="宋体" w:eastAsia="宋体" w:hint="default"/>
          <w:spacing w:val="-5"/>
        </w:rPr>
        <w:t> </w:t>
      </w:r>
      <w:r>
        <w:rPr>
          <w:rFonts w:ascii="宋体" w:hAnsi="宋体" w:cs="宋体" w:eastAsia="宋体" w:hint="default"/>
          <w:spacing w:val="-5"/>
        </w:rPr>
      </w:r>
      <w:r>
        <w:rPr>
          <w:spacing w:val="-2"/>
        </w:rPr>
        <w:t>年第一季度，公司玩具渠道经营业务已产生部分营收，详细数据将在</w:t>
      </w:r>
      <w:r>
        <w:rPr>
          <w:rFonts w:ascii="宋体" w:hAnsi="宋体" w:cs="宋体" w:eastAsia="宋体" w:hint="default"/>
          <w:spacing w:val="-2"/>
        </w:rPr>
        <w:t>2018</w:t>
      </w:r>
      <w:r>
        <w:rPr>
          <w:spacing w:val="-2"/>
        </w:rPr>
        <w:t>年一季报中披露。鉴于玩具渠道经营的电商模式具</w:t>
      </w:r>
      <w:r>
        <w:rPr>
          <w:spacing w:val="-60"/>
        </w:rPr>
        <w:t> </w:t>
      </w:r>
      <w:r>
        <w:rPr>
          <w:spacing w:val="-60"/>
        </w:rPr>
      </w:r>
      <w:r>
        <w:rPr/>
        <w:t>有周期长、投入大等特性，报告期内渠道经营业务尚在持续开展中，伴随玩具渠道经营第一阶段</w:t>
      </w:r>
      <w:r>
        <w:rPr>
          <w:rFonts w:ascii="宋体" w:hAnsi="宋体" w:cs="宋体" w:eastAsia="宋体" w:hint="default"/>
        </w:rPr>
        <w:t>B2B+O2O</w:t>
      </w:r>
      <w:r>
        <w:rPr/>
        <w:t>玩具渠道电商系统</w:t>
      </w:r>
      <w:r>
        <w:rPr>
          <w:spacing w:val="-85"/>
        </w:rPr>
        <w:t> </w:t>
      </w:r>
      <w:r>
        <w:rPr>
          <w:spacing w:val="-85"/>
        </w:rPr>
      </w:r>
      <w:r>
        <w:rPr/>
        <w:t>建立的不断推进，公司将利用自己多年积累的玩具行业营销渠道资源、经验以及主要业务销售骨干快速开展渠道经营业务， 力争</w:t>
      </w:r>
      <w:r>
        <w:rPr>
          <w:rFonts w:ascii="宋体" w:hAnsi="宋体" w:cs="宋体" w:eastAsia="宋体" w:hint="default"/>
        </w:rPr>
        <w:t>2018</w:t>
      </w:r>
      <w:r>
        <w:rPr/>
        <w:t>年产生相应的营业收入、实现扭亏为盈。</w:t>
      </w:r>
    </w:p>
    <w:p>
      <w:pPr>
        <w:pStyle w:val="BodyText"/>
        <w:spacing w:line="477" w:lineRule="auto" w:before="54"/>
        <w:ind w:right="94" w:firstLine="360"/>
        <w:jc w:val="left"/>
      </w:pPr>
      <w:r>
        <w:rPr/>
        <w:t>第二主业拓展方面。公司开展重大资产重组事项，拟进军新能源汽车产业链，于</w:t>
      </w:r>
      <w:r>
        <w:rPr>
          <w:rFonts w:ascii="宋体" w:hAnsi="宋体" w:cs="宋体" w:eastAsia="宋体" w:hint="default"/>
        </w:rPr>
        <w:t>2017</w:t>
      </w:r>
      <w:r>
        <w:rPr/>
        <w:t>年</w:t>
      </w:r>
      <w:r>
        <w:rPr>
          <w:rFonts w:ascii="宋体" w:hAnsi="宋体" w:cs="宋体" w:eastAsia="宋体" w:hint="default"/>
        </w:rPr>
        <w:t>4</w:t>
      </w:r>
      <w:r>
        <w:rPr/>
        <w:t>月发布了《发行股份购买资产 并募集配套资金暨关联交易预案》，拟以发行股份方式购买时空能源</w:t>
      </w:r>
      <w:r>
        <w:rPr>
          <w:rFonts w:ascii="宋体" w:hAnsi="宋体" w:cs="宋体" w:eastAsia="宋体" w:hint="default"/>
        </w:rPr>
        <w:t>100%</w:t>
      </w:r>
      <w:r>
        <w:rPr/>
        <w:t>股权，交易价格</w:t>
      </w:r>
      <w:r>
        <w:rPr>
          <w:rFonts w:ascii="宋体" w:hAnsi="宋体" w:cs="宋体" w:eastAsia="宋体" w:hint="default"/>
        </w:rPr>
        <w:t>290,000</w:t>
      </w:r>
      <w:r>
        <w:rPr/>
        <w:t>万元。重组预案披露后，</w:t>
      </w:r>
      <w:r>
        <w:rPr>
          <w:spacing w:val="-85"/>
        </w:rPr>
        <w:t> </w:t>
      </w:r>
      <w:r>
        <w:rPr>
          <w:spacing w:val="-4"/>
        </w:rPr>
        <w:t>因资本市场环境较项目筹划之初发生较大变化，为维护公司及全体股东利益，公司经审慎研究后决定终止本次重大资产重组。</w:t>
      </w:r>
      <w:r>
        <w:rPr>
          <w:spacing w:val="-42"/>
        </w:rPr>
        <w:t> </w:t>
      </w:r>
      <w:r>
        <w:rPr>
          <w:spacing w:val="-42"/>
        </w:rPr>
      </w:r>
      <w:r>
        <w:rPr>
          <w:spacing w:val="-2"/>
        </w:rPr>
        <w:t>虽本次重组最终未能获得成功，但公司深刻分析主客观原因，总结经验后，仍坚定通过外延扩张拓宽业务的信心与决心，继</w:t>
      </w:r>
      <w:r>
        <w:rPr>
          <w:spacing w:val="-66"/>
        </w:rPr>
        <w:t> </w:t>
      </w:r>
      <w:r>
        <w:rPr>
          <w:spacing w:val="-66"/>
        </w:rPr>
      </w:r>
      <w:r>
        <w:rPr>
          <w:spacing w:val="-2"/>
        </w:rPr>
        <w:t>续积极在能源、环保、军工、数据、互联网、医疗、教育、高端装备制造等各行业、各领域寻求商业模式清晰、发展方向稳</w:t>
      </w:r>
      <w:r>
        <w:rPr>
          <w:spacing w:val="-68"/>
        </w:rPr>
        <w:t> </w:t>
      </w:r>
      <w:r>
        <w:rPr>
          <w:spacing w:val="-68"/>
        </w:rPr>
      </w:r>
      <w:r>
        <w:rPr>
          <w:spacing w:val="-2"/>
        </w:rPr>
        <w:t>定、盈利趋势明显的投资机会和资产收购机会，加快第二主业拓展，在符合法规制度的前提下，继续开展重大资产重组、推</w:t>
      </w:r>
      <w:r>
        <w:rPr>
          <w:spacing w:val="-67"/>
        </w:rPr>
        <w:t> </w:t>
      </w:r>
      <w:r>
        <w:rPr>
          <w:spacing w:val="-67"/>
        </w:rPr>
      </w:r>
      <w:r>
        <w:rPr/>
        <w:t>进第二主业拓展。</w:t>
      </w:r>
    </w:p>
    <w:p>
      <w:pPr>
        <w:pStyle w:val="BodyText"/>
        <w:spacing w:line="477" w:lineRule="auto" w:before="54"/>
        <w:ind w:right="94" w:firstLine="360"/>
        <w:jc w:val="left"/>
      </w:pPr>
      <w:r>
        <w:rPr/>
        <w:t>资产优化方面。为助力公司自身业务发展，公司拟出售持有的粤科租赁</w:t>
      </w:r>
      <w:r>
        <w:rPr>
          <w:rFonts w:ascii="宋体" w:hAnsi="宋体" w:cs="宋体" w:eastAsia="宋体" w:hint="default"/>
        </w:rPr>
        <w:t>20%</w:t>
      </w:r>
      <w:r>
        <w:rPr/>
        <w:t>股权以回笼资金支持公司业务转型及第二主 </w:t>
      </w:r>
      <w:r>
        <w:rPr>
          <w:spacing w:val="-5"/>
        </w:rPr>
        <w:t>业拓展，并于</w:t>
      </w:r>
      <w:r>
        <w:rPr>
          <w:rFonts w:ascii="宋体" w:hAnsi="宋体" w:cs="宋体" w:eastAsia="宋体" w:hint="default"/>
          <w:spacing w:val="-5"/>
        </w:rPr>
        <w:t>2017</w:t>
      </w:r>
      <w:r>
        <w:rPr>
          <w:spacing w:val="-5"/>
        </w:rPr>
        <w:t>年</w:t>
      </w:r>
      <w:r>
        <w:rPr>
          <w:rFonts w:ascii="宋体" w:hAnsi="宋体" w:cs="宋体" w:eastAsia="宋体" w:hint="default"/>
          <w:spacing w:val="-5"/>
        </w:rPr>
        <w:t>9</w:t>
      </w:r>
      <w:r>
        <w:rPr>
          <w:spacing w:val="-5"/>
        </w:rPr>
        <w:t>月</w:t>
      </w:r>
      <w:r>
        <w:rPr>
          <w:rFonts w:ascii="宋体" w:hAnsi="宋体" w:cs="宋体" w:eastAsia="宋体" w:hint="default"/>
          <w:spacing w:val="-5"/>
        </w:rPr>
        <w:t>19</w:t>
      </w:r>
      <w:r>
        <w:rPr>
          <w:spacing w:val="-5"/>
        </w:rPr>
        <w:t>日、</w:t>
      </w:r>
      <w:r>
        <w:rPr>
          <w:rFonts w:ascii="宋体" w:hAnsi="宋体" w:cs="宋体" w:eastAsia="宋体" w:hint="default"/>
          <w:spacing w:val="-5"/>
        </w:rPr>
        <w:t>12</w:t>
      </w:r>
      <w:r>
        <w:rPr>
          <w:spacing w:val="-5"/>
        </w:rPr>
        <w:t>月</w:t>
      </w:r>
      <w:r>
        <w:rPr>
          <w:rFonts w:ascii="宋体" w:hAnsi="宋体" w:cs="宋体" w:eastAsia="宋体" w:hint="default"/>
          <w:spacing w:val="-5"/>
        </w:rPr>
        <w:t>22</w:t>
      </w:r>
      <w:r>
        <w:rPr>
          <w:spacing w:val="-5"/>
        </w:rPr>
        <w:t>日召开董事会、监事会审议通过了《重大资产出售预案》及《重大资产出售（修订稿）》</w:t>
      </w:r>
      <w:r>
        <w:rPr>
          <w:spacing w:val="-54"/>
        </w:rPr>
        <w:t> </w:t>
      </w:r>
      <w:r>
        <w:rPr>
          <w:spacing w:val="-54"/>
        </w:rPr>
      </w:r>
      <w:r>
        <w:rPr/>
        <w:t>等相关议案。截至目前，公司正在积极推进该股权转让事宜。</w:t>
      </w:r>
    </w:p>
    <w:p>
      <w:pPr>
        <w:pStyle w:val="Heading2"/>
        <w:spacing w:line="240" w:lineRule="auto" w:before="152"/>
        <w:ind w:right="94"/>
        <w:jc w:val="left"/>
        <w:rPr>
          <w:b w:val="0"/>
          <w:bCs w:val="0"/>
        </w:rPr>
      </w:pPr>
      <w:r>
        <w:rPr/>
        <w:t>二、主营业务分析</w:t>
      </w:r>
      <w:r>
        <w:rPr>
          <w:b w:val="0"/>
          <w:bCs w:val="0"/>
        </w:rPr>
      </w:r>
    </w:p>
    <w:p>
      <w:pPr>
        <w:spacing w:line="240" w:lineRule="auto" w:before="3"/>
        <w:rPr>
          <w:rFonts w:ascii="Microsoft JhengHei" w:hAnsi="Microsoft JhengHei" w:cs="Microsoft JhengHei" w:eastAsia="Microsoft JhengHei" w:hint="default"/>
          <w:b/>
          <w:bCs/>
          <w:sz w:val="13"/>
          <w:szCs w:val="13"/>
        </w:rPr>
      </w:pPr>
    </w:p>
    <w:p>
      <w:pPr>
        <w:pStyle w:val="Heading3"/>
        <w:spacing w:line="240" w:lineRule="auto"/>
        <w:ind w:right="94"/>
        <w:jc w:val="left"/>
        <w:rPr>
          <w:b w:val="0"/>
          <w:bCs w:val="0"/>
        </w:rPr>
      </w:pPr>
      <w:r>
        <w:rPr>
          <w:rFonts w:ascii="Times New Roman" w:hAnsi="Times New Roman" w:cs="Times New Roman" w:eastAsia="Times New Roman" w:hint="default"/>
        </w:rPr>
        <w:t>1</w:t>
      </w:r>
      <w:r>
        <w:rPr/>
        <w:t>、概述</w:t>
      </w:r>
      <w:r>
        <w:rPr>
          <w:b w:val="0"/>
          <w:bCs w:val="0"/>
        </w:rPr>
      </w:r>
    </w:p>
    <w:p>
      <w:pPr>
        <w:spacing w:line="240" w:lineRule="auto" w:before="16"/>
        <w:rPr>
          <w:rFonts w:ascii="Microsoft JhengHei" w:hAnsi="Microsoft JhengHei" w:cs="Microsoft JhengHei" w:eastAsia="Microsoft JhengHei" w:hint="default"/>
          <w:b/>
          <w:bCs/>
          <w:sz w:val="23"/>
          <w:szCs w:val="23"/>
        </w:rPr>
      </w:pPr>
    </w:p>
    <w:p>
      <w:pPr>
        <w:pStyle w:val="BodyText"/>
        <w:spacing w:line="477" w:lineRule="auto"/>
        <w:ind w:right="186" w:firstLine="360"/>
        <w:jc w:val="left"/>
      </w:pPr>
      <w:r>
        <w:rPr>
          <w:spacing w:val="-2"/>
        </w:rPr>
        <w:t>报告期内，公司实现营业收入</w:t>
      </w:r>
      <w:r>
        <w:rPr>
          <w:rFonts w:ascii="宋体" w:hAnsi="宋体" w:cs="宋体" w:eastAsia="宋体" w:hint="default"/>
          <w:spacing w:val="-2"/>
        </w:rPr>
        <w:t>5,393.58</w:t>
      </w:r>
      <w:r>
        <w:rPr>
          <w:spacing w:val="-2"/>
        </w:rPr>
        <w:t>万元，同比下降</w:t>
      </w:r>
      <w:r>
        <w:rPr>
          <w:rFonts w:ascii="宋体" w:hAnsi="宋体" w:cs="宋体" w:eastAsia="宋体" w:hint="default"/>
          <w:spacing w:val="-2"/>
        </w:rPr>
        <w:t>78.49%</w:t>
      </w:r>
      <w:r>
        <w:rPr>
          <w:spacing w:val="-2"/>
        </w:rPr>
        <w:t>；实现利润总额</w:t>
      </w:r>
      <w:r>
        <w:rPr>
          <w:rFonts w:ascii="宋体" w:hAnsi="宋体" w:cs="宋体" w:eastAsia="宋体" w:hint="default"/>
          <w:spacing w:val="-2"/>
        </w:rPr>
        <w:t>-2,037.20</w:t>
      </w:r>
      <w:r>
        <w:rPr>
          <w:spacing w:val="-2"/>
        </w:rPr>
        <w:t>万元，同比下降</w:t>
      </w:r>
      <w:r>
        <w:rPr>
          <w:rFonts w:ascii="宋体" w:hAnsi="宋体" w:cs="宋体" w:eastAsia="宋体" w:hint="default"/>
          <w:spacing w:val="-2"/>
        </w:rPr>
        <w:t>244.21%</w:t>
      </w:r>
      <w:r>
        <w:rPr>
          <w:spacing w:val="-2"/>
        </w:rPr>
        <w:t>，实现</w:t>
      </w:r>
      <w:r>
        <w:rPr/>
        <w:t> </w:t>
      </w:r>
      <w:r>
        <w:rPr>
          <w:spacing w:val="-2"/>
        </w:rPr>
        <w:t>净利润</w:t>
      </w:r>
      <w:r>
        <w:rPr>
          <w:rFonts w:ascii="宋体" w:hAnsi="宋体" w:cs="宋体" w:eastAsia="宋体" w:hint="default"/>
          <w:spacing w:val="-2"/>
        </w:rPr>
        <w:t>-2,141.28</w:t>
      </w:r>
      <w:r>
        <w:rPr>
          <w:spacing w:val="-2"/>
        </w:rPr>
        <w:t>万元，同比下降</w:t>
      </w:r>
      <w:r>
        <w:rPr>
          <w:rFonts w:ascii="宋体" w:hAnsi="宋体" w:cs="宋体" w:eastAsia="宋体" w:hint="default"/>
          <w:spacing w:val="-2"/>
        </w:rPr>
        <w:t>267.76%</w:t>
      </w:r>
      <w:r>
        <w:rPr>
          <w:spacing w:val="-2"/>
        </w:rPr>
        <w:t>，主要系公司逐步减少并退出了玩具生产制造业务，从而导致营业收入、营业利润</w:t>
      </w:r>
    </w:p>
    <w:p>
      <w:pPr>
        <w:spacing w:after="0" w:line="477" w:lineRule="auto"/>
        <w:jc w:val="left"/>
        <w:sectPr>
          <w:pgSz w:w="11910" w:h="16840"/>
          <w:pgMar w:header="745" w:footer="979" w:top="1060" w:bottom="1160" w:left="980" w:right="94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240" w:lineRule="auto"/>
        <w:ind w:right="0"/>
        <w:jc w:val="left"/>
      </w:pPr>
      <w:r>
        <w:rPr/>
        <w:t>及净利润均出现大幅下降。</w:t>
      </w:r>
    </w:p>
    <w:p>
      <w:pPr>
        <w:spacing w:line="240" w:lineRule="auto" w:before="0"/>
        <w:rPr>
          <w:rFonts w:ascii="宋体" w:hAnsi="宋体" w:cs="宋体" w:eastAsia="宋体" w:hint="default"/>
          <w:sz w:val="18"/>
          <w:szCs w:val="18"/>
        </w:rPr>
      </w:pPr>
    </w:p>
    <w:p>
      <w:pPr>
        <w:pStyle w:val="Heading3"/>
        <w:spacing w:line="240" w:lineRule="auto" w:before="130"/>
        <w:ind w:right="0"/>
        <w:jc w:val="left"/>
        <w:rPr>
          <w:b w:val="0"/>
          <w:bCs w:val="0"/>
        </w:rPr>
      </w:pPr>
      <w:r>
        <w:rPr>
          <w:rFonts w:ascii="Times New Roman" w:hAnsi="Times New Roman" w:cs="Times New Roman" w:eastAsia="Times New Roman" w:hint="default"/>
        </w:rPr>
        <w:t>2</w:t>
      </w:r>
      <w:r>
        <w:rPr/>
        <w:t>、收入与成本</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）营业收入构成</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401" w:hRule="exact"/>
        </w:trPr>
        <w:tc>
          <w:tcPr>
            <w:tcW w:w="1596" w:type="dxa"/>
            <w:vMerge w:val="restart"/>
            <w:tcBorders>
              <w:top w:val="single" w:sz="4" w:space="0" w:color="000000"/>
              <w:left w:val="single" w:sz="4" w:space="0" w:color="000000"/>
              <w:right w:val="single" w:sz="4" w:space="0" w:color="000000"/>
            </w:tcBorders>
            <w:shd w:val="clear" w:color="auto" w:fill="D2D2D2"/>
          </w:tcPr>
          <w:p>
            <w:pP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9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3" w:hRule="exact"/>
        </w:trPr>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4" w:type="dxa"/>
            <w:vMerge/>
            <w:tcBorders>
              <w:left w:val="single" w:sz="4" w:space="0" w:color="000000"/>
              <w:bottom w:val="single" w:sz="4" w:space="0" w:color="000000"/>
              <w:right w:val="single" w:sz="4" w:space="0" w:color="000000"/>
            </w:tcBorders>
            <w:shd w:val="clear" w:color="auto" w:fill="D2D2D2"/>
          </w:tcPr>
          <w:p>
            <w:pPr/>
          </w:p>
        </w:tc>
      </w:tr>
      <w:tr>
        <w:trPr>
          <w:trHeight w:val="406"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53,935,818.86</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250,703,064.46</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-78.49%</w:t>
            </w:r>
          </w:p>
        </w:tc>
      </w:tr>
      <w:tr>
        <w:trPr>
          <w:trHeight w:val="398"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玩具行业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53,935,818.86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250,703,064.46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-78.49%</w:t>
            </w:r>
          </w:p>
        </w:tc>
      </w:tr>
      <w:tr>
        <w:trPr>
          <w:trHeight w:val="403"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婴童玩具</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10,685,921.43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19.81%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75,680,900.62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30.19%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-85.88%</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电动车</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24,058,810.73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44.61%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109,104,076.86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43.52%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-77.95%</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玩具手机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1,797,799.67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0.71%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童车</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13,626,440.66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25.26%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55,202,228.26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22.02%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-75.32%</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电脑学习机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193,522.50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0.36%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5,612,103.22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-96.55%</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5,371,123.54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9.96%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3,305,955.83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62.47%</w:t>
            </w:r>
          </w:p>
        </w:tc>
      </w:tr>
      <w:tr>
        <w:trPr>
          <w:trHeight w:val="401"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国内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45,295,880.10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83.98%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158,792,016.92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63.34%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-71.47%</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国外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8,639,938.76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16.02%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91,911,047.54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36.66%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-90.60%</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2</w:t>
      </w:r>
      <w:r>
        <w:rPr/>
        <w:t>）占公司营业收入或营业利润</w:t>
      </w:r>
      <w:r>
        <w:rPr>
          <w:spacing w:val="22"/>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after="0" w:line="240" w:lineRule="auto"/>
        <w:rPr>
          <w:rFonts w:ascii="Microsoft JhengHei" w:hAnsi="Microsoft JhengHei" w:cs="Microsoft JhengHei" w:eastAsia="Microsoft JhengHei" w:hint="default"/>
          <w:sz w:val="16"/>
          <w:szCs w:val="16"/>
        </w:rPr>
        <w:sectPr>
          <w:pgSz w:w="11910" w:h="16840"/>
          <w:pgMar w:header="745" w:footer="979" w:top="1060" w:bottom="1160" w:left="980" w:right="980"/>
        </w:sectPr>
      </w:pPr>
    </w:p>
    <w:p>
      <w:pPr>
        <w:pStyle w:val="BodyText"/>
        <w:spacing w:line="348" w:lineRule="auto" w:before="44"/>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公司是否需要遵守特殊行业的披露要求 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59"/>
        <w:ind w:right="0"/>
        <w:jc w:val="left"/>
      </w:pPr>
      <w:r>
        <w:rPr/>
        <w:t>单位：元</w:t>
      </w:r>
    </w:p>
    <w:p>
      <w:pPr>
        <w:spacing w:after="0" w:line="240" w:lineRule="auto"/>
        <w:jc w:val="left"/>
        <w:sectPr>
          <w:type w:val="continuous"/>
          <w:pgSz w:w="11910" w:h="16840"/>
          <w:pgMar w:top="1060" w:bottom="1160" w:left="980" w:right="980"/>
          <w:cols w:num="2" w:equalWidth="0">
            <w:col w:w="3213" w:space="5707"/>
            <w:col w:w="1030"/>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080"/>
        <w:gridCol w:w="288"/>
        <w:gridCol w:w="1366"/>
        <w:gridCol w:w="1366"/>
        <w:gridCol w:w="1368"/>
        <w:gridCol w:w="1366"/>
        <w:gridCol w:w="1369"/>
        <w:gridCol w:w="1370"/>
      </w:tblGrid>
      <w:tr>
        <w:trPr>
          <w:trHeight w:val="713" w:hRule="exact"/>
        </w:trPr>
        <w:tc>
          <w:tcPr>
            <w:tcW w:w="108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5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63"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319" w:right="47" w:hanging="272"/>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319" w:right="50" w:hanging="272"/>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410" w:right="48"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403" w:hRule="exact"/>
        </w:trPr>
        <w:tc>
          <w:tcPr>
            <w:tcW w:w="9573"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1" w:hRule="exact"/>
        </w:trPr>
        <w:tc>
          <w:tcPr>
            <w:tcW w:w="13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玩具行业</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53,935,818.86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51,255,366.74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4.97%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-78.49%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-73.52%</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-17.82%</w:t>
            </w:r>
          </w:p>
        </w:tc>
      </w:tr>
      <w:tr>
        <w:trPr>
          <w:trHeight w:val="403" w:hRule="exact"/>
        </w:trPr>
        <w:tc>
          <w:tcPr>
            <w:tcW w:w="9573"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1" w:hRule="exact"/>
        </w:trPr>
        <w:tc>
          <w:tcPr>
            <w:tcW w:w="13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婴童玩具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10,685,921.43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9,995,054.80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6.47%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-85.88%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-83.09%</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-15.45%</w:t>
            </w:r>
          </w:p>
        </w:tc>
      </w:tr>
      <w:tr>
        <w:trPr>
          <w:trHeight w:val="403" w:hRule="exact"/>
        </w:trPr>
        <w:tc>
          <w:tcPr>
            <w:tcW w:w="13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电动车</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24,058,810.73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22,280,602.22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7.39%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-77.95%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-73.74%</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-14.83%</w:t>
            </w:r>
          </w:p>
        </w:tc>
      </w:tr>
      <w:tr>
        <w:trPr>
          <w:trHeight w:val="401" w:hRule="exact"/>
        </w:trPr>
        <w:tc>
          <w:tcPr>
            <w:tcW w:w="13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童车</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13,626,440.66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12,108,440.81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11.14%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-75.32%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-70.54%</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-14.41%</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368"/>
        <w:gridCol w:w="1366"/>
        <w:gridCol w:w="1366"/>
        <w:gridCol w:w="1368"/>
        <w:gridCol w:w="1366"/>
        <w:gridCol w:w="1369"/>
        <w:gridCol w:w="1370"/>
      </w:tblGrid>
      <w:tr>
        <w:trPr>
          <w:trHeight w:val="401"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国内</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45,295,880.10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43,528,324.59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3.90%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-71.47%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-64.27%</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-19.38%</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国外</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8,639,938.76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7,727,042.15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10.57%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-90.60%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-89.23%</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-11.37%</w:t>
            </w:r>
          </w:p>
        </w:tc>
      </w:tr>
    </w:tbl>
    <w:p>
      <w:pPr>
        <w:pStyle w:val="BodyText"/>
        <w:spacing w:line="240" w:lineRule="auto" w:before="49"/>
        <w:ind w:right="94"/>
        <w:jc w:val="left"/>
      </w:pPr>
      <w:r>
        <w:rPr/>
        <w:t>公司主营业务数据统计口径在报告期发生调整的情况下，公司最近</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年按报告期末口径调整后的主营业务数据</w:t>
      </w:r>
    </w:p>
    <w:p>
      <w:pPr>
        <w:pStyle w:val="BodyText"/>
        <w:spacing w:line="240" w:lineRule="auto" w:before="101"/>
        <w:ind w:right="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
        <w:rPr>
          <w:rFonts w:ascii="宋体" w:hAnsi="宋体" w:cs="宋体" w:eastAsia="宋体" w:hint="default"/>
          <w:sz w:val="21"/>
          <w:szCs w:val="21"/>
        </w:rPr>
      </w:pPr>
    </w:p>
    <w:p>
      <w:pPr>
        <w:pStyle w:val="Heading3"/>
        <w:spacing w:line="240" w:lineRule="auto"/>
        <w:ind w:right="94"/>
        <w:jc w:val="left"/>
        <w:rPr>
          <w:b w:val="0"/>
          <w:bCs w:val="0"/>
        </w:rPr>
      </w:pP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9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否</w:t>
      </w:r>
    </w:p>
    <w:p>
      <w:pPr>
        <w:spacing w:line="240" w:lineRule="auto" w:before="2"/>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404"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单位</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1" w:hRule="exact"/>
        </w:trPr>
        <w:tc>
          <w:tcPr>
            <w:tcW w:w="159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玩具行业</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个</w:t>
            </w:r>
            <w:r>
              <w:rPr>
                <w:rFonts w:ascii="Times New Roman" w:hAnsi="Times New Roman" w:cs="Times New Roman" w:eastAsia="Times New Roman" w:hint="default"/>
                <w:sz w:val="18"/>
                <w:szCs w:val="18"/>
              </w:rPr>
              <w:t>/</w:t>
            </w:r>
            <w:r>
              <w:rPr>
                <w:rFonts w:ascii="宋体" w:hAnsi="宋体" w:cs="宋体" w:eastAsia="宋体" w:hint="default"/>
                <w:sz w:val="18"/>
                <w:szCs w:val="18"/>
              </w:rPr>
              <w:t>只</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1,268,128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12,976,241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-90.23%</w:t>
            </w:r>
          </w:p>
        </w:tc>
      </w:tr>
      <w:tr>
        <w:trPr>
          <w:trHeight w:val="403" w:hRule="exact"/>
        </w:trPr>
        <w:tc>
          <w:tcPr>
            <w:tcW w:w="1596" w:type="dxa"/>
            <w:vMerge/>
            <w:tcBorders>
              <w:left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个</w:t>
            </w:r>
            <w:r>
              <w:rPr>
                <w:rFonts w:ascii="Times New Roman" w:hAnsi="Times New Roman" w:cs="Times New Roman" w:eastAsia="Times New Roman" w:hint="default"/>
                <w:sz w:val="18"/>
                <w:szCs w:val="18"/>
              </w:rPr>
              <w:t>/</w:t>
            </w:r>
            <w:r>
              <w:rPr>
                <w:rFonts w:ascii="宋体" w:hAnsi="宋体" w:cs="宋体" w:eastAsia="宋体" w:hint="default"/>
                <w:sz w:val="18"/>
                <w:szCs w:val="18"/>
              </w:rPr>
              <w:t>只</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148,200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12,639,230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-98.83%</w:t>
            </w:r>
          </w:p>
        </w:tc>
      </w:tr>
      <w:tr>
        <w:trPr>
          <w:trHeight w:val="401" w:hRule="exact"/>
        </w:trPr>
        <w:tc>
          <w:tcPr>
            <w:tcW w:w="1596" w:type="dxa"/>
            <w:vMerge/>
            <w:tcBorders>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个</w:t>
            </w:r>
            <w:r>
              <w:rPr>
                <w:rFonts w:ascii="Times New Roman" w:hAnsi="Times New Roman" w:cs="Times New Roman" w:eastAsia="Times New Roman" w:hint="default"/>
                <w:sz w:val="18"/>
                <w:szCs w:val="18"/>
              </w:rPr>
              <w:t>/</w:t>
            </w:r>
            <w:r>
              <w:rPr>
                <w:rFonts w:ascii="宋体" w:hAnsi="宋体" w:cs="宋体" w:eastAsia="宋体" w:hint="default"/>
                <w:sz w:val="18"/>
                <w:szCs w:val="18"/>
              </w:rPr>
              <w:t>只</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w w:val="95"/>
                <w:sz w:val="18"/>
              </w:rPr>
              <w:t>1,119,928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r>
    </w:tbl>
    <w:p>
      <w:pPr>
        <w:pStyle w:val="BodyText"/>
        <w:spacing w:line="240" w:lineRule="auto" w:before="49"/>
        <w:ind w:right="94"/>
        <w:jc w:val="left"/>
      </w:pPr>
      <w:r>
        <w:rPr/>
        <w:t>相关数据同比发生变动</w:t>
      </w:r>
      <w:r>
        <w:rPr>
          <w:spacing w:val="-47"/>
        </w:rPr>
        <w:t> </w:t>
      </w:r>
      <w:r>
        <w:rPr>
          <w:rFonts w:ascii="Times New Roman" w:hAnsi="Times New Roman" w:cs="Times New Roman" w:eastAsia="Times New Roman" w:hint="default"/>
        </w:rPr>
        <w:t>30%</w:t>
      </w:r>
      <w:r>
        <w:rPr/>
        <w:t>以上的原因说明</w:t>
      </w:r>
    </w:p>
    <w:p>
      <w:pPr>
        <w:pStyle w:val="BodyText"/>
        <w:spacing w:line="412" w:lineRule="auto" w:before="103"/>
        <w:ind w:left="513" w:right="93" w:hanging="3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报告期内，公司根据玩具业务升级转型方案，逐步减少并退出了玩具生产制造业务，目前主要从事玩具渠道经营业务，</w:t>
      </w:r>
    </w:p>
    <w:p>
      <w:pPr>
        <w:pStyle w:val="BodyText"/>
        <w:spacing w:line="240" w:lineRule="auto" w:before="103"/>
        <w:ind w:right="94"/>
        <w:jc w:val="left"/>
      </w:pPr>
      <w:r>
        <w:rPr/>
        <w:t>随着渠道业务顺利开展、有效推进，公司后续年度经营业绩将得到改善。</w:t>
      </w:r>
    </w:p>
    <w:p>
      <w:pPr>
        <w:spacing w:line="240" w:lineRule="auto" w:before="0"/>
        <w:rPr>
          <w:rFonts w:ascii="宋体" w:hAnsi="宋体" w:cs="宋体" w:eastAsia="宋体" w:hint="default"/>
          <w:sz w:val="18"/>
          <w:szCs w:val="18"/>
        </w:rPr>
      </w:pPr>
    </w:p>
    <w:p>
      <w:pPr>
        <w:pStyle w:val="Heading3"/>
        <w:spacing w:line="240" w:lineRule="auto" w:before="130"/>
        <w:ind w:right="94"/>
        <w:jc w:val="left"/>
        <w:rPr>
          <w:b w:val="0"/>
          <w:bCs w:val="0"/>
        </w:rPr>
      </w:pP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
        <w:rPr>
          <w:rFonts w:ascii="宋体" w:hAnsi="宋体" w:cs="宋体" w:eastAsia="宋体" w:hint="default"/>
          <w:sz w:val="21"/>
          <w:szCs w:val="21"/>
        </w:rPr>
      </w:pPr>
    </w:p>
    <w:p>
      <w:pPr>
        <w:pStyle w:val="Heading3"/>
        <w:spacing w:line="240" w:lineRule="auto"/>
        <w:ind w:right="94"/>
        <w:jc w:val="left"/>
        <w:rPr>
          <w:b w:val="0"/>
          <w:bCs w:val="0"/>
        </w:rPr>
      </w:pPr>
      <w:r>
        <w:rPr/>
        <w:t>（</w:t>
      </w:r>
      <w:r>
        <w:rPr>
          <w:rFonts w:ascii="Times New Roman" w:hAnsi="Times New Roman" w:cs="Times New Roman" w:eastAsia="Times New Roman" w:hint="default"/>
        </w:rPr>
        <w:t>5</w:t>
      </w:r>
      <w:r>
        <w:rPr/>
        <w:t>）营业成本构成</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right="94"/>
        <w:jc w:val="left"/>
      </w:pPr>
      <w:r>
        <w:rPr/>
        <w:t>行业和产品分类</w:t>
      </w:r>
    </w:p>
    <w:p>
      <w:pPr>
        <w:pStyle w:val="BodyText"/>
        <w:spacing w:line="240" w:lineRule="auto" w:before="117"/>
        <w:ind w:left="0" w:right="191"/>
        <w:jc w:val="right"/>
      </w:pPr>
      <w:r>
        <w:rPr/>
        <w:t>单位：元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8"/>
        <w:gridCol w:w="1366"/>
        <w:gridCol w:w="1368"/>
        <w:gridCol w:w="1366"/>
        <w:gridCol w:w="1368"/>
      </w:tblGrid>
      <w:tr>
        <w:trPr>
          <w:trHeight w:val="401" w:hRule="exact"/>
        </w:trPr>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3" w:hRule="exact"/>
        </w:trPr>
        <w:tc>
          <w:tcPr>
            <w:tcW w:w="1367"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6"/>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6"/>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玩具行业</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成本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9" w:right="0"/>
              <w:jc w:val="left"/>
              <w:rPr>
                <w:rFonts w:ascii="Times New Roman" w:hAnsi="Times New Roman" w:cs="Times New Roman" w:eastAsia="Times New Roman" w:hint="default"/>
                <w:sz w:val="18"/>
                <w:szCs w:val="18"/>
              </w:rPr>
            </w:pPr>
            <w:r>
              <w:rPr>
                <w:rFonts w:ascii="Times New Roman"/>
                <w:sz w:val="18"/>
              </w:rPr>
              <w:t>51,255,366.74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8" w:right="0"/>
              <w:jc w:val="left"/>
              <w:rPr>
                <w:rFonts w:ascii="Times New Roman" w:hAnsi="Times New Roman" w:cs="Times New Roman" w:eastAsia="Times New Roman" w:hint="default"/>
                <w:sz w:val="18"/>
                <w:szCs w:val="18"/>
              </w:rPr>
            </w:pPr>
            <w:r>
              <w:rPr>
                <w:rFonts w:ascii="Times New Roman"/>
                <w:sz w:val="18"/>
              </w:rPr>
              <w:t>193,572,485.47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9" w:right="0"/>
              <w:jc w:val="left"/>
              <w:rPr>
                <w:rFonts w:ascii="Times New Roman" w:hAnsi="Times New Roman" w:cs="Times New Roman" w:eastAsia="Times New Roman" w:hint="default"/>
                <w:sz w:val="18"/>
                <w:szCs w:val="18"/>
              </w:rPr>
            </w:pPr>
            <w:r>
              <w:rPr>
                <w:rFonts w:ascii="Times New Roman"/>
                <w:sz w:val="18"/>
              </w:rPr>
              <w:t>-73.52%</w:t>
            </w:r>
          </w:p>
        </w:tc>
      </w:tr>
    </w:tbl>
    <w:p>
      <w:pPr>
        <w:pStyle w:val="BodyText"/>
        <w:spacing w:line="240" w:lineRule="auto" w:before="49"/>
        <w:ind w:left="0" w:right="191"/>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1"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3"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6"/>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6"/>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婴童玩具</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成本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9,995,054.80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19.50%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59,093,561.21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30.53%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-83.09%</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电动车</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成本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22,280,602.22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43.47%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84,855,859.89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43.84%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-73.74%</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玩具手机</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成本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1,330,797.52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0.69%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童车</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成本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12,108,440.81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23.62%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41,098,300.31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21.23%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-70.54%</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电脑学习机</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成本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178,008.35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0.35%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4,299,535.28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-95.86%</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4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成本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8" w:right="0"/>
              <w:jc w:val="left"/>
              <w:rPr>
                <w:rFonts w:ascii="Times New Roman" w:hAnsi="Times New Roman" w:cs="Times New Roman" w:eastAsia="Times New Roman" w:hint="default"/>
                <w:sz w:val="18"/>
                <w:szCs w:val="18"/>
              </w:rPr>
            </w:pPr>
            <w:r>
              <w:rPr>
                <w:rFonts w:ascii="Times New Roman"/>
                <w:sz w:val="18"/>
              </w:rPr>
              <w:t>6,693,260.56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80" w:right="0"/>
              <w:jc w:val="left"/>
              <w:rPr>
                <w:rFonts w:ascii="Times New Roman" w:hAnsi="Times New Roman" w:cs="Times New Roman" w:eastAsia="Times New Roman" w:hint="default"/>
                <w:sz w:val="18"/>
                <w:szCs w:val="18"/>
              </w:rPr>
            </w:pPr>
            <w:r>
              <w:rPr>
                <w:rFonts w:ascii="Times New Roman"/>
                <w:sz w:val="18"/>
              </w:rPr>
              <w:t>13.06%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8" w:right="0"/>
              <w:jc w:val="left"/>
              <w:rPr>
                <w:rFonts w:ascii="Times New Roman" w:hAnsi="Times New Roman" w:cs="Times New Roman" w:eastAsia="Times New Roman" w:hint="default"/>
                <w:sz w:val="18"/>
                <w:szCs w:val="18"/>
              </w:rPr>
            </w:pPr>
            <w:r>
              <w:rPr>
                <w:rFonts w:ascii="Times New Roman"/>
                <w:sz w:val="18"/>
              </w:rPr>
              <w:t>2,894,431.26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9" w:right="0"/>
              <w:jc w:val="left"/>
              <w:rPr>
                <w:rFonts w:ascii="Times New Roman" w:hAnsi="Times New Roman" w:cs="Times New Roman" w:eastAsia="Times New Roman" w:hint="default"/>
                <w:sz w:val="18"/>
                <w:szCs w:val="18"/>
              </w:rPr>
            </w:pPr>
            <w:r>
              <w:rPr>
                <w:rFonts w:ascii="Times New Roman"/>
                <w:sz w:val="18"/>
              </w:rPr>
              <w:t>1.49%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88" w:right="0"/>
              <w:jc w:val="left"/>
              <w:rPr>
                <w:rFonts w:ascii="Times New Roman" w:hAnsi="Times New Roman" w:cs="Times New Roman" w:eastAsia="Times New Roman" w:hint="default"/>
                <w:sz w:val="18"/>
                <w:szCs w:val="18"/>
              </w:rPr>
            </w:pPr>
            <w:r>
              <w:rPr>
                <w:rFonts w:ascii="Times New Roman"/>
                <w:sz w:val="18"/>
              </w:rPr>
              <w:t>131.25%</w:t>
            </w:r>
          </w:p>
        </w:tc>
      </w:tr>
    </w:tbl>
    <w:p>
      <w:pPr>
        <w:pStyle w:val="BodyText"/>
        <w:spacing w:line="240" w:lineRule="auto" w:before="49"/>
        <w:ind w:right="94"/>
        <w:jc w:val="left"/>
      </w:pPr>
      <w:r>
        <w:rPr/>
        <w:t>说明：无</w:t>
      </w:r>
    </w:p>
    <w:p>
      <w:pPr>
        <w:spacing w:line="240" w:lineRule="auto" w:before="12"/>
        <w:rPr>
          <w:rFonts w:ascii="宋体" w:hAnsi="宋体" w:cs="宋体" w:eastAsia="宋体" w:hint="default"/>
          <w:sz w:val="21"/>
          <w:szCs w:val="21"/>
        </w:rPr>
      </w:pPr>
    </w:p>
    <w:p>
      <w:pPr>
        <w:pStyle w:val="Heading3"/>
        <w:spacing w:line="240" w:lineRule="auto"/>
        <w:ind w:right="94"/>
        <w:jc w:val="left"/>
        <w:rPr>
          <w:b w:val="0"/>
          <w:bCs w:val="0"/>
        </w:rPr>
      </w:pPr>
      <w:r>
        <w:rPr/>
        <w:t>（</w:t>
      </w:r>
      <w:r>
        <w:rPr>
          <w:rFonts w:ascii="Times New Roman" w:hAnsi="Times New Roman" w:cs="Times New Roman" w:eastAsia="Times New Roman" w:hint="default"/>
        </w:rPr>
        <w:t>6</w:t>
      </w:r>
      <w:r>
        <w:rPr/>
        <w:t>）报告期内合并范围是否发生变动</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9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否</w:t>
      </w:r>
    </w:p>
    <w:p>
      <w:pPr>
        <w:spacing w:line="240" w:lineRule="auto" w:before="13"/>
        <w:rPr>
          <w:rFonts w:ascii="宋体" w:hAnsi="宋体" w:cs="宋体" w:eastAsia="宋体" w:hint="default"/>
          <w:sz w:val="13"/>
          <w:szCs w:val="13"/>
        </w:rPr>
      </w:pPr>
    </w:p>
    <w:p>
      <w:pPr>
        <w:pStyle w:val="BodyText"/>
        <w:spacing w:line="477" w:lineRule="auto"/>
        <w:ind w:right="187" w:firstLine="360"/>
        <w:jc w:val="both"/>
      </w:pPr>
      <w:r>
        <w:rPr>
          <w:spacing w:val="-3"/>
        </w:rPr>
        <w:t>本公司于</w:t>
      </w:r>
      <w:r>
        <w:rPr>
          <w:rFonts w:ascii="宋体" w:hAnsi="宋体" w:cs="宋体" w:eastAsia="宋体" w:hint="default"/>
          <w:spacing w:val="-3"/>
        </w:rPr>
        <w:t>2017</w:t>
      </w:r>
      <w:r>
        <w:rPr>
          <w:spacing w:val="-3"/>
        </w:rPr>
        <w:t>年</w:t>
      </w:r>
      <w:r>
        <w:rPr>
          <w:rFonts w:ascii="宋体" w:hAnsi="宋体" w:cs="宋体" w:eastAsia="宋体" w:hint="default"/>
          <w:spacing w:val="-3"/>
        </w:rPr>
        <w:t>1</w:t>
      </w:r>
      <w:r>
        <w:rPr>
          <w:spacing w:val="-3"/>
        </w:rPr>
        <w:t>月</w:t>
      </w:r>
      <w:r>
        <w:rPr>
          <w:rFonts w:ascii="宋体" w:hAnsi="宋体" w:cs="宋体" w:eastAsia="宋体" w:hint="default"/>
          <w:spacing w:val="-3"/>
        </w:rPr>
        <w:t>22</w:t>
      </w:r>
      <w:r>
        <w:rPr>
          <w:spacing w:val="-3"/>
        </w:rPr>
        <w:t>日以自有资金</w:t>
      </w:r>
      <w:r>
        <w:rPr>
          <w:rFonts w:ascii="宋体" w:hAnsi="宋体" w:cs="宋体" w:eastAsia="宋体" w:hint="default"/>
          <w:spacing w:val="-3"/>
        </w:rPr>
        <w:t>1</w:t>
      </w:r>
      <w:r>
        <w:rPr>
          <w:spacing w:val="-3"/>
        </w:rPr>
        <w:t>亿元人民币投资设立歌乐宝（汕头）网络科技有限公司，持股比例</w:t>
      </w:r>
      <w:r>
        <w:rPr>
          <w:rFonts w:ascii="宋体" w:hAnsi="宋体" w:cs="宋体" w:eastAsia="宋体" w:hint="default"/>
          <w:spacing w:val="-3"/>
        </w:rPr>
        <w:t>100.00%</w:t>
      </w:r>
      <w:r>
        <w:rPr>
          <w:spacing w:val="-3"/>
        </w:rPr>
        <w:t>；于</w:t>
      </w:r>
      <w:r>
        <w:rPr>
          <w:rFonts w:ascii="宋体" w:hAnsi="宋体" w:cs="宋体" w:eastAsia="宋体" w:hint="default"/>
          <w:spacing w:val="-3"/>
        </w:rPr>
        <w:t>2017</w:t>
      </w:r>
      <w:r>
        <w:rPr>
          <w:rFonts w:ascii="宋体" w:hAnsi="宋体" w:cs="宋体" w:eastAsia="宋体" w:hint="default"/>
        </w:rPr>
        <w:t> </w:t>
      </w:r>
      <w:r>
        <w:rPr>
          <w:spacing w:val="-2"/>
        </w:rPr>
        <w:t>年</w:t>
      </w:r>
      <w:r>
        <w:rPr>
          <w:rFonts w:ascii="宋体" w:hAnsi="宋体" w:cs="宋体" w:eastAsia="宋体" w:hint="default"/>
          <w:spacing w:val="-2"/>
        </w:rPr>
        <w:t>5</w:t>
      </w:r>
      <w:r>
        <w:rPr>
          <w:spacing w:val="-2"/>
        </w:rPr>
        <w:t>月</w:t>
      </w:r>
      <w:r>
        <w:rPr>
          <w:rFonts w:ascii="宋体" w:hAnsi="宋体" w:cs="宋体" w:eastAsia="宋体" w:hint="default"/>
          <w:spacing w:val="-2"/>
        </w:rPr>
        <w:t>17</w:t>
      </w:r>
      <w:r>
        <w:rPr>
          <w:spacing w:val="-2"/>
        </w:rPr>
        <w:t>日以自有资金</w:t>
      </w:r>
      <w:r>
        <w:rPr>
          <w:rFonts w:ascii="宋体" w:hAnsi="宋体" w:cs="宋体" w:eastAsia="宋体" w:hint="default"/>
          <w:spacing w:val="-2"/>
        </w:rPr>
        <w:t>5000</w:t>
      </w:r>
      <w:r>
        <w:rPr>
          <w:spacing w:val="-2"/>
        </w:rPr>
        <w:t>万元人民币投资设立西藏蓝道智能交通科技有限责任公司，持股比例</w:t>
      </w:r>
      <w:r>
        <w:rPr>
          <w:rFonts w:ascii="宋体" w:hAnsi="宋体" w:cs="宋体" w:eastAsia="宋体" w:hint="default"/>
          <w:spacing w:val="-2"/>
        </w:rPr>
        <w:t>100.00%</w:t>
      </w:r>
      <w:r>
        <w:rPr>
          <w:spacing w:val="-2"/>
        </w:rPr>
        <w:t>。根据企业合并准则</w:t>
      </w:r>
      <w:r>
        <w:rPr>
          <w:spacing w:val="-55"/>
        </w:rPr>
        <w:t> </w:t>
      </w:r>
      <w:r>
        <w:rPr>
          <w:spacing w:val="-55"/>
        </w:rPr>
      </w:r>
      <w:r>
        <w:rPr>
          <w:spacing w:val="-2"/>
        </w:rPr>
        <w:t>的相关规定，通过设立或投资等方式取得的子公司应纳入企业财务报表合并范围，本报告期合并财务报表的合并范围增加歌</w:t>
      </w:r>
      <w:r>
        <w:rPr>
          <w:spacing w:val="-64"/>
        </w:rPr>
        <w:t> </w:t>
      </w:r>
      <w:r>
        <w:rPr>
          <w:spacing w:val="-64"/>
        </w:rPr>
      </w:r>
      <w:r>
        <w:rPr/>
        <w:t>乐宝、西藏蓝道。</w:t>
      </w:r>
    </w:p>
    <w:p>
      <w:pPr>
        <w:spacing w:line="240" w:lineRule="auto" w:before="4"/>
        <w:rPr>
          <w:rFonts w:ascii="宋体" w:hAnsi="宋体" w:cs="宋体" w:eastAsia="宋体" w:hint="default"/>
          <w:sz w:val="14"/>
          <w:szCs w:val="14"/>
        </w:rPr>
      </w:pPr>
    </w:p>
    <w:p>
      <w:pPr>
        <w:pStyle w:val="Heading3"/>
        <w:spacing w:line="240" w:lineRule="auto"/>
        <w:ind w:right="94"/>
        <w:jc w:val="left"/>
        <w:rPr>
          <w:b w:val="0"/>
          <w:bCs w:val="0"/>
        </w:rPr>
      </w:pP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439" w:lineRule="auto"/>
        <w:ind w:left="513" w:right="93" w:hanging="361"/>
        <w:jc w:val="left"/>
      </w:pPr>
      <w:r>
        <w:rPr/>
        <w:t>√ 适用□</w:t>
      </w:r>
      <w:r>
        <w:rPr>
          <w:spacing w:val="2"/>
        </w:rPr>
        <w:t> </w:t>
      </w:r>
      <w:r>
        <w:rPr/>
        <w:t>不适用</w:t>
      </w:r>
      <w:r>
        <w:rPr/>
        <w:t> 报告期内，公司根据玩具业务升级转型方案，逐步减少并退出了玩具生产制造业务，目前主要从事玩具渠道经营业务，</w:t>
      </w:r>
    </w:p>
    <w:p>
      <w:pPr>
        <w:pStyle w:val="BodyText"/>
        <w:spacing w:line="240" w:lineRule="auto" w:before="83"/>
        <w:ind w:right="94"/>
        <w:jc w:val="left"/>
      </w:pPr>
      <w:r>
        <w:rPr/>
        <w:t>随着玩具渠道业务顺利开展、有效推进，公司后续年度经营业绩将得到大幅改善。</w:t>
      </w:r>
    </w:p>
    <w:p>
      <w:pPr>
        <w:spacing w:line="240" w:lineRule="auto" w:before="0"/>
        <w:rPr>
          <w:rFonts w:ascii="宋体" w:hAnsi="宋体" w:cs="宋体" w:eastAsia="宋体" w:hint="default"/>
          <w:sz w:val="18"/>
          <w:szCs w:val="18"/>
        </w:rPr>
      </w:pPr>
    </w:p>
    <w:p>
      <w:pPr>
        <w:pStyle w:val="Heading3"/>
        <w:spacing w:line="240" w:lineRule="auto" w:before="130"/>
        <w:ind w:right="94"/>
        <w:jc w:val="left"/>
        <w:rPr>
          <w:b w:val="0"/>
          <w:bCs w:val="0"/>
        </w:rPr>
      </w:pPr>
      <w:r>
        <w:rPr/>
        <w:t>（</w:t>
      </w:r>
      <w:r>
        <w:rPr>
          <w:rFonts w:ascii="Times New Roman" w:hAnsi="Times New Roman" w:cs="Times New Roman" w:eastAsia="Times New Roman" w:hint="default"/>
        </w:rPr>
        <w:t>8</w:t>
      </w:r>
      <w:r>
        <w:rPr/>
        <w:t>）主要销售客户和主要供应商情况</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240" w:lineRule="auto"/>
        <w:ind w:right="94"/>
        <w:jc w:val="left"/>
      </w:pPr>
      <w:r>
        <w:rPr/>
        <w:t>公司主要销售客户情况</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677"/>
        <w:gridCol w:w="4892"/>
      </w:tblGrid>
      <w:tr>
        <w:trPr>
          <w:trHeight w:val="402" w:hRule="exact"/>
        </w:trPr>
        <w:tc>
          <w:tcPr>
            <w:tcW w:w="4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4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33,962,233.34</w:t>
            </w:r>
          </w:p>
        </w:tc>
      </w:tr>
      <w:tr>
        <w:trPr>
          <w:trHeight w:val="402" w:hRule="exact"/>
        </w:trPr>
        <w:tc>
          <w:tcPr>
            <w:tcW w:w="4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4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z w:val="18"/>
              </w:rPr>
              <w:t>62.97%</w:t>
            </w:r>
          </w:p>
        </w:tc>
      </w:tr>
      <w:tr>
        <w:trPr>
          <w:trHeight w:val="403" w:hRule="exact"/>
        </w:trPr>
        <w:tc>
          <w:tcPr>
            <w:tcW w:w="4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前五名客户销售额中关联方销售额占年度销售总额比例</w:t>
            </w:r>
          </w:p>
        </w:tc>
        <w:tc>
          <w:tcPr>
            <w:tcW w:w="4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49"/>
        <w:ind w:right="94"/>
        <w:jc w:val="left"/>
      </w:pPr>
      <w:r>
        <w:rPr/>
        <w:t>公司前</w:t>
      </w:r>
      <w:r>
        <w:rPr>
          <w:spacing w:val="-44"/>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大客户资料</w:t>
      </w:r>
    </w:p>
    <w:p>
      <w:pPr>
        <w:spacing w:line="240" w:lineRule="auto" w:before="1"/>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802"/>
        <w:gridCol w:w="3303"/>
        <w:gridCol w:w="2321"/>
        <w:gridCol w:w="3145"/>
      </w:tblGrid>
      <w:tr>
        <w:trPr>
          <w:trHeight w:val="401"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6"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5"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4" w:hRule="exact"/>
        </w:trPr>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0"/>
              <w:jc w:val="center"/>
              <w:rPr>
                <w:rFonts w:ascii="Times New Roman" w:hAnsi="Times New Roman" w:cs="Times New Roman" w:eastAsia="Times New Roman" w:hint="default"/>
                <w:sz w:val="18"/>
                <w:szCs w:val="18"/>
              </w:rPr>
            </w:pPr>
            <w:r>
              <w:rPr>
                <w:rFonts w:ascii="Times New Roman"/>
                <w:sz w:val="18"/>
              </w:rPr>
              <w:t>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第一名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8,639,938.76</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z w:val="18"/>
              </w:rPr>
              <w:t>16.02%</w:t>
            </w:r>
          </w:p>
        </w:tc>
      </w:tr>
      <w:tr>
        <w:trPr>
          <w:trHeight w:val="401" w:hRule="exact"/>
        </w:trPr>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第二名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7,672,434.88</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14.23%</w:t>
            </w:r>
          </w:p>
        </w:tc>
      </w:tr>
      <w:tr>
        <w:trPr>
          <w:trHeight w:val="403" w:hRule="exact"/>
        </w:trPr>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第三名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7,312,518.96</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13.56%</w:t>
            </w:r>
          </w:p>
        </w:tc>
      </w:tr>
      <w:tr>
        <w:trPr>
          <w:trHeight w:val="401" w:hRule="exact"/>
        </w:trPr>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第四名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5,959,237.26</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11.05%</w:t>
            </w:r>
          </w:p>
        </w:tc>
      </w:tr>
      <w:tr>
        <w:trPr>
          <w:trHeight w:val="403" w:hRule="exact"/>
        </w:trPr>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第五名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4,378,103.48</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8.12%</w:t>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303"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21"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33,962,233.34</w:t>
            </w:r>
          </w:p>
        </w:tc>
        <w:tc>
          <w:tcPr>
            <w:tcW w:w="3145"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62.97%</w:t>
            </w:r>
          </w:p>
        </w:tc>
      </w:tr>
    </w:tbl>
    <w:p>
      <w:pPr>
        <w:pStyle w:val="BodyText"/>
        <w:spacing w:line="240" w:lineRule="auto" w:before="50"/>
        <w:ind w:right="94"/>
        <w:jc w:val="left"/>
      </w:pPr>
      <w:r>
        <w:rPr/>
        <w:t>主要客户其他情况说明</w:t>
      </w:r>
    </w:p>
    <w:p>
      <w:pPr>
        <w:pStyle w:val="BodyText"/>
        <w:spacing w:line="340" w:lineRule="auto" w:before="115"/>
        <w:ind w:right="81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公司主要供应商情况</w:t>
      </w:r>
    </w:p>
    <w:p>
      <w:pPr>
        <w:spacing w:line="240" w:lineRule="auto" w:before="5"/>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4677"/>
        <w:gridCol w:w="4892"/>
      </w:tblGrid>
      <w:tr>
        <w:trPr>
          <w:trHeight w:val="403" w:hRule="exact"/>
        </w:trPr>
        <w:tc>
          <w:tcPr>
            <w:tcW w:w="4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4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111,875.15</w:t>
            </w:r>
          </w:p>
        </w:tc>
      </w:tr>
      <w:tr>
        <w:trPr>
          <w:trHeight w:val="401" w:hRule="exact"/>
        </w:trPr>
        <w:tc>
          <w:tcPr>
            <w:tcW w:w="4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4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4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677"/>
        <w:gridCol w:w="4892"/>
      </w:tblGrid>
      <w:tr>
        <w:trPr>
          <w:trHeight w:val="404" w:hRule="exact"/>
        </w:trPr>
        <w:tc>
          <w:tcPr>
            <w:tcW w:w="4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前五名供应商采购额中关联方采购额占年度采购总额比例</w:t>
            </w:r>
          </w:p>
        </w:tc>
        <w:tc>
          <w:tcPr>
            <w:tcW w:w="4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2"/>
        <w:rPr>
          <w:rFonts w:ascii="宋体" w:hAnsi="宋体" w:cs="宋体" w:eastAsia="宋体" w:hint="default"/>
          <w:sz w:val="27"/>
          <w:szCs w:val="27"/>
        </w:rPr>
      </w:pPr>
    </w:p>
    <w:p>
      <w:pPr>
        <w:pStyle w:val="BodyText"/>
        <w:spacing w:line="240" w:lineRule="auto" w:before="44"/>
        <w:ind w:right="0"/>
        <w:jc w:val="left"/>
      </w:pPr>
      <w:r>
        <w:rPr/>
        <w:t>公司前</w:t>
      </w:r>
      <w:r>
        <w:rPr>
          <w:spacing w:val="-44"/>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名供应商资料</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936"/>
        <w:gridCol w:w="3169"/>
        <w:gridCol w:w="2321"/>
        <w:gridCol w:w="3145"/>
      </w:tblGrid>
      <w:tr>
        <w:trPr>
          <w:trHeight w:val="401" w:hRule="exact"/>
        </w:trPr>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3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6"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5"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3" w:hRule="exact"/>
        </w:trPr>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w:t>
            </w:r>
          </w:p>
        </w:tc>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第一名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92,000.00</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82.24%</w:t>
            </w:r>
          </w:p>
        </w:tc>
      </w:tr>
      <w:tr>
        <w:trPr>
          <w:trHeight w:val="401" w:hRule="exact"/>
        </w:trPr>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w:t>
            </w:r>
          </w:p>
        </w:tc>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第二名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14,557.20</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13.01%</w:t>
            </w:r>
          </w:p>
        </w:tc>
      </w:tr>
      <w:tr>
        <w:trPr>
          <w:trHeight w:val="403" w:hRule="exact"/>
        </w:trPr>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w:t>
            </w:r>
          </w:p>
        </w:tc>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第三名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5,317.95</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4.75%</w:t>
            </w:r>
          </w:p>
        </w:tc>
      </w:tr>
      <w:tr>
        <w:trPr>
          <w:trHeight w:val="401" w:hRule="exact"/>
        </w:trPr>
        <w:tc>
          <w:tcPr>
            <w:tcW w:w="936"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169"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21"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2"/>
                <w:sz w:val="18"/>
              </w:rPr>
              <w:t>111,875.15</w:t>
            </w:r>
          </w:p>
        </w:tc>
        <w:tc>
          <w:tcPr>
            <w:tcW w:w="3145"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r>
    </w:tbl>
    <w:p>
      <w:pPr>
        <w:pStyle w:val="BodyText"/>
        <w:spacing w:line="240" w:lineRule="auto" w:before="49"/>
        <w:ind w:right="0"/>
        <w:jc w:val="left"/>
      </w:pPr>
      <w:r>
        <w:rPr/>
        <w:t>主要供应商其他情况说明</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1"/>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3</w:t>
      </w:r>
      <w:r>
        <w:rPr/>
        <w:t>、费用</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260"/>
        <w:gridCol w:w="1409"/>
        <w:gridCol w:w="1310"/>
        <w:gridCol w:w="1491"/>
        <w:gridCol w:w="4100"/>
      </w:tblGrid>
      <w:tr>
        <w:trPr>
          <w:trHeight w:val="401" w:hRule="exact"/>
        </w:trPr>
        <w:tc>
          <w:tcPr>
            <w:tcW w:w="126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4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3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5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4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9"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715" w:hRule="exact"/>
        </w:trPr>
        <w:tc>
          <w:tcPr>
            <w:tcW w:w="1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913,252.79</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12,573,264.58</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-92.74%</w:t>
            </w:r>
          </w:p>
        </w:tc>
        <w:tc>
          <w:tcPr>
            <w:tcW w:w="410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04"/>
              <w:jc w:val="left"/>
              <w:rPr>
                <w:rFonts w:ascii="宋体" w:hAnsi="宋体" w:cs="宋体" w:eastAsia="宋体" w:hint="default"/>
                <w:sz w:val="18"/>
                <w:szCs w:val="18"/>
              </w:rPr>
            </w:pPr>
            <w:r>
              <w:rPr>
                <w:rFonts w:ascii="宋体" w:hAnsi="宋体" w:cs="宋体" w:eastAsia="宋体" w:hint="default"/>
                <w:sz w:val="18"/>
                <w:szCs w:val="18"/>
              </w:rPr>
              <w:t>主要系报告期内公司玩具业务战略调整销售收入减 少所致。</w:t>
            </w:r>
          </w:p>
        </w:tc>
      </w:tr>
      <w:tr>
        <w:trPr>
          <w:trHeight w:val="713" w:hRule="exact"/>
        </w:trPr>
        <w:tc>
          <w:tcPr>
            <w:tcW w:w="1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25,279,647.95</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59,035,140.25</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-57.18%</w:t>
            </w:r>
          </w:p>
        </w:tc>
        <w:tc>
          <w:tcPr>
            <w:tcW w:w="41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04"/>
              <w:jc w:val="left"/>
              <w:rPr>
                <w:rFonts w:ascii="宋体" w:hAnsi="宋体" w:cs="宋体" w:eastAsia="宋体" w:hint="default"/>
                <w:sz w:val="18"/>
                <w:szCs w:val="18"/>
              </w:rPr>
            </w:pPr>
            <w:r>
              <w:rPr>
                <w:rFonts w:ascii="宋体" w:hAnsi="宋体" w:cs="宋体" w:eastAsia="宋体" w:hint="default"/>
                <w:sz w:val="18"/>
                <w:szCs w:val="18"/>
              </w:rPr>
              <w:t>主要系报告期内建筑物及附属土地转为投资性房地 产而减少折旧及摊销所致。</w:t>
            </w:r>
          </w:p>
        </w:tc>
      </w:tr>
      <w:tr>
        <w:trPr>
          <w:trHeight w:val="403" w:hRule="exact"/>
        </w:trPr>
        <w:tc>
          <w:tcPr>
            <w:tcW w:w="1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-940,085.88</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-2,108,912.50</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-55.42%</w:t>
            </w:r>
          </w:p>
        </w:tc>
        <w:tc>
          <w:tcPr>
            <w:tcW w:w="4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主要系报告期内汇兑收益及利息收入减少所致。</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rFonts w:ascii="Times New Roman" w:hAnsi="Times New Roman" w:cs="Times New Roman" w:eastAsia="Times New Roman" w:hint="default"/>
        </w:rPr>
        <w:t>4</w:t>
      </w:r>
      <w:r>
        <w:rPr/>
        <w:t>、研发投入</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412" w:lineRule="auto"/>
        <w:ind w:left="513" w:right="0" w:hanging="3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w:t>
      </w:r>
      <w:r>
        <w:rPr>
          <w:spacing w:val="-2"/>
        </w:rPr>
        <w:t>报告期内，公司研发投入较上年同期下降</w:t>
      </w:r>
      <w:r>
        <w:rPr>
          <w:rFonts w:ascii="宋体" w:hAnsi="宋体" w:cs="宋体" w:eastAsia="宋体" w:hint="default"/>
          <w:spacing w:val="-2"/>
        </w:rPr>
        <w:t>100%</w:t>
      </w:r>
      <w:r>
        <w:rPr>
          <w:spacing w:val="-2"/>
        </w:rPr>
        <w:t>，主要系报告期内公司逐步减少并放弃玩具生产业务玩具业务研发投入减</w:t>
      </w:r>
    </w:p>
    <w:p>
      <w:pPr>
        <w:pStyle w:val="BodyText"/>
        <w:spacing w:line="439" w:lineRule="auto" w:before="103"/>
        <w:ind w:right="8334"/>
        <w:jc w:val="left"/>
      </w:pPr>
      <w:r>
        <w:rPr/>
        <w:pict>
          <v:shape style="position:absolute;margin-left:56.400002pt;margin-top:43.891739pt;width:479.3pt;height:156.75pt;mso-position-horizontal-relative:page;mso-position-vertical-relative:paragraph;z-index:11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393"/>
                    <w:gridCol w:w="2391"/>
                    <w:gridCol w:w="2393"/>
                    <w:gridCol w:w="2393"/>
                  </w:tblGrid>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变动比例</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14.07%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-14.07%</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10,880,721.77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4.34%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-4.34%</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研发投入资本化的金额（元）</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97"/>
                          <w:jc w:val="left"/>
                          <w:rPr>
                            <w:rFonts w:ascii="宋体" w:hAnsi="宋体" w:cs="宋体" w:eastAsia="宋体" w:hint="default"/>
                            <w:sz w:val="18"/>
                            <w:szCs w:val="18"/>
                          </w:rPr>
                        </w:pPr>
                        <w:r>
                          <w:rPr>
                            <w:rFonts w:ascii="宋体" w:hAnsi="宋体" w:cs="宋体" w:eastAsia="宋体" w:hint="default"/>
                            <w:sz w:val="18"/>
                            <w:szCs w:val="18"/>
                          </w:rPr>
                          <w:t>资本化研发投入占研发投入 的比例</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bl>
                <w:p>
                  <w:pPr/>
                </w:p>
              </w:txbxContent>
            </v:textbox>
            <w10:wrap type="none"/>
          </v:shape>
        </w:pict>
      </w:r>
      <w:r>
        <w:rPr/>
        <w:t>少所致。 公司研发投入情况</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6"/>
          <w:szCs w:val="16"/>
        </w:rPr>
      </w:pPr>
    </w:p>
    <w:p>
      <w:pPr>
        <w:pStyle w:val="BodyText"/>
        <w:spacing w:line="240" w:lineRule="auto" w:before="44"/>
        <w:ind w:right="0"/>
        <w:jc w:val="left"/>
      </w:pPr>
      <w:r>
        <w:rPr/>
        <w:t>研发投入总额占营业收入的比重较上年发生显著变化的原因</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after="0" w:line="240" w:lineRule="auto"/>
        <w:jc w:val="left"/>
        <w:sectPr>
          <w:pgSz w:w="11910" w:h="16840"/>
          <w:pgMar w:header="745" w:footer="979" w:top="1060" w:bottom="1160" w:left="980" w:right="98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477" w:lineRule="auto"/>
        <w:ind w:right="94" w:firstLine="360"/>
        <w:jc w:val="left"/>
      </w:pPr>
      <w:r>
        <w:rPr>
          <w:rFonts w:ascii="宋体" w:hAnsi="宋体" w:cs="宋体" w:eastAsia="宋体" w:hint="default"/>
          <w:spacing w:val="-2"/>
        </w:rPr>
        <w:t>2017</w:t>
      </w:r>
      <w:r>
        <w:rPr>
          <w:spacing w:val="-2"/>
        </w:rPr>
        <w:t>年</w:t>
      </w:r>
      <w:r>
        <w:rPr>
          <w:rFonts w:ascii="宋体" w:hAnsi="宋体" w:cs="宋体" w:eastAsia="宋体" w:hint="default"/>
          <w:spacing w:val="-2"/>
        </w:rPr>
        <w:t>1</w:t>
      </w:r>
      <w:r>
        <w:rPr>
          <w:spacing w:val="-2"/>
        </w:rPr>
        <w:t>月</w:t>
      </w:r>
      <w:r>
        <w:rPr>
          <w:rFonts w:ascii="宋体" w:hAnsi="宋体" w:cs="宋体" w:eastAsia="宋体" w:hint="default"/>
          <w:spacing w:val="-2"/>
        </w:rPr>
        <w:t>10</w:t>
      </w:r>
      <w:r>
        <w:rPr>
          <w:spacing w:val="-2"/>
        </w:rPr>
        <w:t>日召开第三届董事会第七次会议审议通过了《关于加快公司业务升级转型，确立双主业发展模式的议案》，</w:t>
      </w:r>
      <w:r>
        <w:rPr/>
        <w:t> </w:t>
      </w:r>
      <w:r>
        <w:rPr>
          <w:spacing w:val="-2"/>
        </w:rPr>
        <w:t>明确了公司业务由玩具生产经营向玩具渠道经营的升级转型思路，由玩具生产经营转变为玩具渠道经营，放弃原有低端玩具</w:t>
      </w:r>
    </w:p>
    <w:p>
      <w:pPr>
        <w:pStyle w:val="BodyText"/>
        <w:spacing w:line="436" w:lineRule="auto" w:before="54"/>
        <w:ind w:right="3154"/>
        <w:jc w:val="left"/>
      </w:pPr>
      <w:r>
        <w:rPr/>
        <w:t>制造业。根据公司业务升级转型的发展战略，公司自</w:t>
      </w:r>
      <w:r>
        <w:rPr>
          <w:rFonts w:ascii="宋体" w:hAnsi="宋体" w:cs="宋体" w:eastAsia="宋体" w:hint="default"/>
        </w:rPr>
        <w:t>2017</w:t>
      </w:r>
      <w:r>
        <w:rPr/>
        <w:t>年来未进行研发投入所致。 研发投入资本化率大幅变动的原因及其合理性说明</w:t>
      </w:r>
    </w:p>
    <w:p>
      <w:pPr>
        <w:pStyle w:val="BodyText"/>
        <w:spacing w:line="216" w:lineRule="exact"/>
        <w:ind w:right="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
        <w:rPr>
          <w:rFonts w:ascii="宋体" w:hAnsi="宋体" w:cs="宋体" w:eastAsia="宋体" w:hint="default"/>
          <w:sz w:val="21"/>
          <w:szCs w:val="21"/>
        </w:rPr>
      </w:pPr>
    </w:p>
    <w:p>
      <w:pPr>
        <w:pStyle w:val="Heading3"/>
        <w:spacing w:line="240" w:lineRule="auto"/>
        <w:ind w:right="94"/>
        <w:jc w:val="left"/>
        <w:rPr>
          <w:b w:val="0"/>
          <w:bCs w:val="0"/>
        </w:rPr>
      </w:pPr>
      <w:r>
        <w:rPr>
          <w:rFonts w:ascii="Times New Roman" w:hAnsi="Times New Roman" w:cs="Times New Roman" w:eastAsia="Times New Roman" w:hint="default"/>
        </w:rPr>
        <w:t>5</w:t>
      </w:r>
      <w:r>
        <w:rPr/>
        <w:t>、现金流</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left="0" w:right="191"/>
        <w:jc w:val="right"/>
      </w:pPr>
      <w:r>
        <w:rPr/>
        <w:t>单位：元</w:t>
      </w:r>
    </w:p>
    <w:p>
      <w:pPr>
        <w:spacing w:line="240" w:lineRule="auto" w:before="5"/>
        <w:rPr>
          <w:rFonts w:ascii="宋体" w:hAnsi="宋体" w:cs="宋体" w:eastAsia="宋体" w:hint="default"/>
          <w:sz w:val="8"/>
          <w:szCs w:val="8"/>
        </w:rPr>
      </w:pPr>
    </w:p>
    <w:tbl>
      <w:tblPr>
        <w:tblW w:w="0" w:type="auto"/>
        <w:jc w:val="left"/>
        <w:tblInd w:w="119" w:type="dxa"/>
        <w:tblLayout w:type="fixed"/>
        <w:tblCellMar>
          <w:top w:w="0" w:type="dxa"/>
          <w:left w:w="0" w:type="dxa"/>
          <w:bottom w:w="0" w:type="dxa"/>
          <w:right w:w="0" w:type="dxa"/>
        </w:tblCellMar>
        <w:tblLook w:val="01E0"/>
      </w:tblPr>
      <w:tblGrid>
        <w:gridCol w:w="2424"/>
        <w:gridCol w:w="2425"/>
        <w:gridCol w:w="2424"/>
        <w:gridCol w:w="2425"/>
      </w:tblGrid>
      <w:tr>
        <w:trPr>
          <w:trHeight w:val="401" w:hRule="exact"/>
        </w:trPr>
        <w:tc>
          <w:tcPr>
            <w:tcW w:w="24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4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3" w:hRule="exact"/>
        </w:trPr>
        <w:tc>
          <w:tcPr>
            <w:tcW w:w="24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87,618,619.12</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330,054,167.73</w:t>
            </w:r>
          </w:p>
        </w:tc>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-73.45%</w:t>
            </w:r>
          </w:p>
        </w:tc>
      </w:tr>
      <w:tr>
        <w:trPr>
          <w:trHeight w:val="401" w:hRule="exact"/>
        </w:trPr>
        <w:tc>
          <w:tcPr>
            <w:tcW w:w="24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40,675,260.38</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276,821,855.02</w:t>
            </w:r>
          </w:p>
        </w:tc>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-85.31%</w:t>
            </w:r>
          </w:p>
        </w:tc>
      </w:tr>
      <w:tr>
        <w:trPr>
          <w:trHeight w:val="403" w:hRule="exact"/>
        </w:trPr>
        <w:tc>
          <w:tcPr>
            <w:tcW w:w="24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46,943,358.74</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53,232,312.71</w:t>
            </w:r>
          </w:p>
        </w:tc>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-11.81%</w:t>
            </w:r>
          </w:p>
        </w:tc>
      </w:tr>
      <w:tr>
        <w:trPr>
          <w:trHeight w:val="401" w:hRule="exact"/>
        </w:trPr>
        <w:tc>
          <w:tcPr>
            <w:tcW w:w="24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6,093,054,406.55</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32,925,531.45</w:t>
            </w:r>
          </w:p>
        </w:tc>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18,405.56%</w:t>
            </w:r>
          </w:p>
        </w:tc>
      </w:tr>
      <w:tr>
        <w:trPr>
          <w:trHeight w:val="403" w:hRule="exact"/>
        </w:trPr>
        <w:tc>
          <w:tcPr>
            <w:tcW w:w="24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6,159,899,356.20</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38,327,576.50</w:t>
            </w:r>
          </w:p>
        </w:tc>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15,971.72%</w:t>
            </w:r>
          </w:p>
        </w:tc>
      </w:tr>
      <w:tr>
        <w:trPr>
          <w:trHeight w:val="401" w:hRule="exact"/>
        </w:trPr>
        <w:tc>
          <w:tcPr>
            <w:tcW w:w="24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-66,844,949.65</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-5,402,045.05</w:t>
            </w:r>
          </w:p>
        </w:tc>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-1,137.40%</w:t>
            </w:r>
          </w:p>
        </w:tc>
      </w:tr>
      <w:tr>
        <w:trPr>
          <w:trHeight w:val="404" w:hRule="exact"/>
        </w:trPr>
        <w:tc>
          <w:tcPr>
            <w:tcW w:w="24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30,878,743.56</w:t>
            </w:r>
          </w:p>
        </w:tc>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1" w:hRule="exact"/>
        </w:trPr>
        <w:tc>
          <w:tcPr>
            <w:tcW w:w="24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-30,878,743.56</w:t>
            </w:r>
          </w:p>
        </w:tc>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3" w:hRule="exact"/>
        </w:trPr>
        <w:tc>
          <w:tcPr>
            <w:tcW w:w="24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-19,918,287.62</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17,047,127.41</w:t>
            </w:r>
          </w:p>
        </w:tc>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-216.84%</w:t>
            </w:r>
          </w:p>
        </w:tc>
      </w:tr>
    </w:tbl>
    <w:p>
      <w:pPr>
        <w:pStyle w:val="BodyText"/>
        <w:spacing w:line="240" w:lineRule="auto" w:before="49"/>
        <w:ind w:right="94"/>
        <w:jc w:val="left"/>
      </w:pPr>
      <w:r>
        <w:rPr/>
        <w:t>相关数据同比发生重大变动的主要影响因素说明</w:t>
      </w:r>
    </w:p>
    <w:p>
      <w:pPr>
        <w:pStyle w:val="BodyText"/>
        <w:spacing w:line="240" w:lineRule="auto" w:before="115"/>
        <w:ind w:right="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13"/>
        <w:rPr>
          <w:rFonts w:ascii="宋体" w:hAnsi="宋体" w:cs="宋体" w:eastAsia="宋体" w:hint="default"/>
          <w:sz w:val="13"/>
          <w:szCs w:val="13"/>
        </w:rPr>
      </w:pPr>
    </w:p>
    <w:p>
      <w:pPr>
        <w:pStyle w:val="BodyText"/>
        <w:spacing w:line="240" w:lineRule="auto"/>
        <w:ind w:left="513" w:right="94"/>
        <w:jc w:val="left"/>
      </w:pPr>
      <w:r>
        <w:rPr>
          <w:rFonts w:ascii="宋体" w:hAnsi="宋体" w:cs="宋体" w:eastAsia="宋体" w:hint="default"/>
        </w:rPr>
        <w:t>1. </w:t>
      </w:r>
      <w:r>
        <w:rPr/>
        <w:t>报告期内，经营活动现金流入量大幅减少的主要原因系货款回收随销售额下降而减少所致。</w:t>
      </w:r>
    </w:p>
    <w:p>
      <w:pPr>
        <w:spacing w:line="240" w:lineRule="auto" w:before="10"/>
        <w:rPr>
          <w:rFonts w:ascii="宋体" w:hAnsi="宋体" w:cs="宋体" w:eastAsia="宋体" w:hint="default"/>
          <w:sz w:val="17"/>
          <w:szCs w:val="17"/>
        </w:rPr>
      </w:pPr>
    </w:p>
    <w:p>
      <w:pPr>
        <w:pStyle w:val="BodyText"/>
        <w:spacing w:line="240" w:lineRule="auto"/>
        <w:ind w:left="513" w:right="94"/>
        <w:jc w:val="left"/>
      </w:pPr>
      <w:r>
        <w:rPr>
          <w:rFonts w:ascii="宋体" w:hAnsi="宋体" w:cs="宋体" w:eastAsia="宋体" w:hint="default"/>
        </w:rPr>
        <w:t>2. </w:t>
      </w:r>
      <w:r>
        <w:rPr/>
        <w:t>报告期内，经营活动现金流出量大幅减少的主要原因系材料采购及日常费用支出减少所致。</w:t>
      </w:r>
    </w:p>
    <w:p>
      <w:pPr>
        <w:spacing w:line="240" w:lineRule="auto" w:before="10"/>
        <w:rPr>
          <w:rFonts w:ascii="宋体" w:hAnsi="宋体" w:cs="宋体" w:eastAsia="宋体" w:hint="default"/>
          <w:sz w:val="17"/>
          <w:szCs w:val="17"/>
        </w:rPr>
      </w:pPr>
    </w:p>
    <w:p>
      <w:pPr>
        <w:pStyle w:val="BodyText"/>
        <w:spacing w:line="240" w:lineRule="auto"/>
        <w:ind w:left="513" w:right="94"/>
        <w:jc w:val="left"/>
      </w:pPr>
      <w:r>
        <w:rPr>
          <w:rFonts w:ascii="宋体" w:hAnsi="宋体" w:cs="宋体" w:eastAsia="宋体" w:hint="default"/>
        </w:rPr>
        <w:t>3. </w:t>
      </w:r>
      <w:r>
        <w:rPr/>
        <w:t>报告期内，投资活动现金流入量大幅增加的主要原因系本期出售国债逆回购、理财产品到期赎回所致。</w:t>
      </w:r>
    </w:p>
    <w:p>
      <w:pPr>
        <w:spacing w:line="240" w:lineRule="auto" w:before="11"/>
        <w:rPr>
          <w:rFonts w:ascii="宋体" w:hAnsi="宋体" w:cs="宋体" w:eastAsia="宋体" w:hint="default"/>
          <w:sz w:val="17"/>
          <w:szCs w:val="17"/>
        </w:rPr>
      </w:pPr>
    </w:p>
    <w:p>
      <w:pPr>
        <w:pStyle w:val="BodyText"/>
        <w:spacing w:line="240" w:lineRule="auto"/>
        <w:ind w:left="513" w:right="94"/>
        <w:jc w:val="left"/>
      </w:pPr>
      <w:r>
        <w:rPr>
          <w:rFonts w:ascii="宋体" w:hAnsi="宋体" w:cs="宋体" w:eastAsia="宋体" w:hint="default"/>
        </w:rPr>
        <w:t>4. </w:t>
      </w:r>
      <w:r>
        <w:rPr/>
        <w:t>报告期内，投资活动现金流出量大幅增加的主要原因系本期购买国债逆回购及理财产品所致。</w:t>
      </w:r>
    </w:p>
    <w:p>
      <w:pPr>
        <w:spacing w:line="240" w:lineRule="auto" w:before="10"/>
        <w:rPr>
          <w:rFonts w:ascii="宋体" w:hAnsi="宋体" w:cs="宋体" w:eastAsia="宋体" w:hint="default"/>
          <w:sz w:val="17"/>
          <w:szCs w:val="17"/>
        </w:rPr>
      </w:pPr>
    </w:p>
    <w:p>
      <w:pPr>
        <w:pStyle w:val="BodyText"/>
        <w:spacing w:line="240" w:lineRule="auto"/>
        <w:ind w:left="513" w:right="0"/>
        <w:jc w:val="left"/>
      </w:pPr>
      <w:r>
        <w:rPr>
          <w:rFonts w:ascii="宋体" w:hAnsi="宋体" w:cs="宋体" w:eastAsia="宋体" w:hint="default"/>
          <w:spacing w:val="1"/>
        </w:rPr>
        <w:t>5</w:t>
      </w:r>
      <w:r>
        <w:rPr>
          <w:rFonts w:ascii="宋体" w:hAnsi="宋体" w:cs="宋体" w:eastAsia="宋体" w:hint="default"/>
        </w:rPr>
        <w:t>.</w:t>
      </w:r>
      <w:r>
        <w:rPr>
          <w:rFonts w:ascii="宋体" w:hAnsi="宋体" w:cs="宋体" w:eastAsia="宋体" w:hint="default"/>
          <w:spacing w:val="2"/>
        </w:rPr>
        <w:t> </w:t>
      </w:r>
      <w:r>
        <w:rPr/>
        <w:t>报告期</w:t>
      </w:r>
      <w:r>
        <w:rPr>
          <w:spacing w:val="-3"/>
        </w:rPr>
        <w:t>内</w:t>
      </w:r>
      <w:r>
        <w:rPr>
          <w:spacing w:val="-82"/>
        </w:rPr>
        <w:t>，</w:t>
      </w:r>
      <w:r>
        <w:rPr/>
        <w:t>投资活动产生</w:t>
      </w:r>
      <w:r>
        <w:rPr>
          <w:spacing w:val="-3"/>
        </w:rPr>
        <w:t>的</w:t>
      </w:r>
      <w:r>
        <w:rPr/>
        <w:t>现金流量净额大幅减少的主要原因系本期购买国债逆回购及理财产品尚未到期赎回所致。</w:t>
      </w:r>
    </w:p>
    <w:p>
      <w:pPr>
        <w:spacing w:line="240" w:lineRule="auto" w:before="10"/>
        <w:rPr>
          <w:rFonts w:ascii="宋体" w:hAnsi="宋体" w:cs="宋体" w:eastAsia="宋体" w:hint="default"/>
          <w:sz w:val="17"/>
          <w:szCs w:val="17"/>
        </w:rPr>
      </w:pPr>
    </w:p>
    <w:p>
      <w:pPr>
        <w:pStyle w:val="BodyText"/>
        <w:spacing w:line="240" w:lineRule="auto"/>
        <w:ind w:left="513" w:right="94"/>
        <w:jc w:val="left"/>
      </w:pPr>
      <w:r>
        <w:rPr>
          <w:rFonts w:ascii="宋体" w:hAnsi="宋体" w:cs="宋体" w:eastAsia="宋体" w:hint="default"/>
        </w:rPr>
        <w:t>6.</w:t>
      </w:r>
      <w:r>
        <w:rPr>
          <w:rFonts w:ascii="宋体" w:hAnsi="宋体" w:cs="宋体" w:eastAsia="宋体" w:hint="default"/>
          <w:spacing w:val="-1"/>
        </w:rPr>
        <w:t> </w:t>
      </w:r>
      <w:r>
        <w:rPr/>
        <w:t>报告期内，筹资活动现金流出量大幅减少的主要原因系上年偿还短期借款所致。</w:t>
      </w:r>
    </w:p>
    <w:p>
      <w:pPr>
        <w:spacing w:line="240" w:lineRule="auto" w:before="10"/>
        <w:rPr>
          <w:rFonts w:ascii="宋体" w:hAnsi="宋体" w:cs="宋体" w:eastAsia="宋体" w:hint="default"/>
          <w:sz w:val="17"/>
          <w:szCs w:val="17"/>
        </w:rPr>
      </w:pPr>
    </w:p>
    <w:p>
      <w:pPr>
        <w:pStyle w:val="BodyText"/>
        <w:spacing w:line="436" w:lineRule="auto"/>
        <w:ind w:right="2164" w:firstLine="360"/>
        <w:jc w:val="left"/>
      </w:pPr>
      <w:r>
        <w:rPr>
          <w:rFonts w:ascii="宋体" w:hAnsi="宋体" w:cs="宋体" w:eastAsia="宋体" w:hint="default"/>
        </w:rPr>
        <w:t>7. </w:t>
      </w:r>
      <w:r>
        <w:rPr/>
        <w:t>报告期内，筹资活动产生的现金流量净额大幅减少的主要原因系上年偿还短期借款所致。 报告期内公司经营活动产生的现金净流量与本年度净利润存在重大差异的原因说明</w:t>
      </w:r>
    </w:p>
    <w:p>
      <w:pPr>
        <w:pStyle w:val="BodyText"/>
        <w:spacing w:line="216" w:lineRule="exact"/>
        <w:ind w:right="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13"/>
        <w:rPr>
          <w:rFonts w:ascii="宋体" w:hAnsi="宋体" w:cs="宋体" w:eastAsia="宋体" w:hint="default"/>
          <w:sz w:val="13"/>
          <w:szCs w:val="13"/>
        </w:rPr>
      </w:pPr>
    </w:p>
    <w:p>
      <w:pPr>
        <w:pStyle w:val="BodyText"/>
        <w:spacing w:line="453" w:lineRule="auto"/>
        <w:ind w:right="274" w:firstLine="360"/>
        <w:jc w:val="left"/>
        <w:rPr>
          <w:sz w:val="21"/>
          <w:szCs w:val="21"/>
        </w:rPr>
      </w:pPr>
      <w:r>
        <w:rPr/>
        <w:t>报告期内公司经营活动产生的现金净流量与本年度净利润存在重大差异的主要原因是本期在收回上期销售货款的同时 退出玩具生产业务，从而导致收入减少、利润下降</w:t>
      </w:r>
      <w:r>
        <w:rPr>
          <w:sz w:val="21"/>
          <w:szCs w:val="21"/>
        </w:rPr>
        <w:t>。</w:t>
      </w:r>
    </w:p>
    <w:p>
      <w:pPr>
        <w:spacing w:after="0" w:line="453" w:lineRule="auto"/>
        <w:jc w:val="left"/>
        <w:rPr>
          <w:sz w:val="21"/>
          <w:szCs w:val="21"/>
        </w:rPr>
        <w:sectPr>
          <w:pgSz w:w="11910" w:h="16840"/>
          <w:pgMar w:header="745" w:footer="979" w:top="1060" w:bottom="1160" w:left="980" w:right="940"/>
        </w:sectPr>
      </w:pPr>
    </w:p>
    <w:p>
      <w:pPr>
        <w:spacing w:line="240" w:lineRule="auto" w:before="8"/>
        <w:rPr>
          <w:rFonts w:ascii="宋体" w:hAnsi="宋体" w:cs="宋体" w:eastAsia="宋体" w:hint="default"/>
          <w:sz w:val="23"/>
          <w:szCs w:val="23"/>
        </w:rPr>
      </w:pPr>
    </w:p>
    <w:p>
      <w:pPr>
        <w:pStyle w:val="Heading2"/>
        <w:spacing w:line="367" w:lineRule="exact"/>
        <w:ind w:right="0"/>
        <w:jc w:val="left"/>
        <w:rPr>
          <w:b w:val="0"/>
          <w:bCs w:val="0"/>
        </w:rPr>
      </w:pPr>
      <w:r>
        <w:rPr/>
        <w:t>三、非主营业务分析</w:t>
      </w:r>
      <w:r>
        <w:rPr>
          <w:b w:val="0"/>
          <w:bCs w:val="0"/>
        </w:rPr>
      </w:r>
    </w:p>
    <w:p>
      <w:pPr>
        <w:spacing w:line="240" w:lineRule="auto" w:before="14"/>
        <w:rPr>
          <w:rFonts w:ascii="Microsoft JhengHei" w:hAnsi="Microsoft JhengHei" w:cs="Microsoft JhengHei" w:eastAsia="Microsoft JhengHei" w:hint="default"/>
          <w:b/>
          <w:bCs/>
          <w:sz w:val="15"/>
          <w:szCs w:val="15"/>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1"/>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23"/>
        <w:gridCol w:w="1335"/>
        <w:gridCol w:w="1450"/>
        <w:gridCol w:w="3361"/>
        <w:gridCol w:w="1901"/>
      </w:tblGrid>
      <w:tr>
        <w:trPr>
          <w:trHeight w:val="401" w:hRule="exact"/>
        </w:trPr>
        <w:tc>
          <w:tcPr>
            <w:tcW w:w="152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4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 w:right="0"/>
              <w:jc w:val="left"/>
              <w:rPr>
                <w:rFonts w:ascii="宋体" w:hAnsi="宋体" w:cs="宋体" w:eastAsia="宋体" w:hint="default"/>
                <w:sz w:val="18"/>
                <w:szCs w:val="18"/>
              </w:rPr>
            </w:pPr>
            <w:r>
              <w:rPr>
                <w:rFonts w:ascii="宋体" w:hAnsi="宋体" w:cs="宋体" w:eastAsia="宋体" w:hint="default"/>
                <w:sz w:val="18"/>
                <w:szCs w:val="18"/>
              </w:rPr>
              <w:t>占利润总额比例</w:t>
            </w:r>
          </w:p>
        </w:tc>
        <w:tc>
          <w:tcPr>
            <w:tcW w:w="33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形成原因说明</w:t>
            </w:r>
          </w:p>
        </w:tc>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7" w:right="0"/>
              <w:jc w:val="left"/>
              <w:rPr>
                <w:rFonts w:ascii="宋体" w:hAnsi="宋体" w:cs="宋体" w:eastAsia="宋体" w:hint="default"/>
                <w:sz w:val="18"/>
                <w:szCs w:val="18"/>
              </w:rPr>
            </w:pPr>
            <w:r>
              <w:rPr>
                <w:rFonts w:ascii="宋体" w:hAnsi="宋体" w:cs="宋体" w:eastAsia="宋体" w:hint="default"/>
                <w:sz w:val="18"/>
                <w:szCs w:val="18"/>
              </w:rPr>
              <w:t>是否具有可持续性</w:t>
            </w:r>
          </w:p>
        </w:tc>
      </w:tr>
      <w:tr>
        <w:trPr>
          <w:trHeight w:val="1027" w:hRule="exact"/>
        </w:trPr>
        <w:tc>
          <w:tcPr>
            <w:tcW w:w="1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6"/>
                <w:szCs w:val="16"/>
              </w:rPr>
            </w:pPr>
            <w:r>
              <w:rPr>
                <w:rFonts w:ascii="Times New Roman"/>
                <w:spacing w:val="-2"/>
                <w:sz w:val="16"/>
              </w:rPr>
              <w:t>17,043,346.01</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-83.66%</w:t>
            </w:r>
          </w:p>
        </w:tc>
        <w:tc>
          <w:tcPr>
            <w:tcW w:w="33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6" w:right="21"/>
              <w:jc w:val="both"/>
              <w:rPr>
                <w:rFonts w:ascii="宋体" w:hAnsi="宋体" w:cs="宋体" w:eastAsia="宋体" w:hint="default"/>
                <w:sz w:val="18"/>
                <w:szCs w:val="18"/>
              </w:rPr>
            </w:pPr>
            <w:r>
              <w:rPr>
                <w:rFonts w:ascii="宋体" w:hAnsi="宋体" w:cs="宋体" w:eastAsia="宋体" w:hint="default"/>
                <w:spacing w:val="3"/>
                <w:sz w:val="18"/>
                <w:szCs w:val="18"/>
              </w:rPr>
              <w:t>主要系权益法确认合营企业的收益及购买</w:t>
            </w:r>
            <w:r>
              <w:rPr>
                <w:rFonts w:ascii="宋体" w:hAnsi="宋体" w:cs="宋体" w:eastAsia="宋体" w:hint="default"/>
                <w:sz w:val="18"/>
                <w:szCs w:val="18"/>
              </w:rPr>
              <w:t> </w:t>
            </w:r>
            <w:r>
              <w:rPr>
                <w:rFonts w:ascii="宋体" w:hAnsi="宋体" w:cs="宋体" w:eastAsia="宋体" w:hint="default"/>
                <w:spacing w:val="13"/>
                <w:sz w:val="18"/>
                <w:szCs w:val="18"/>
              </w:rPr>
              <w:t>理财产品及国债逆回购取得投资收益所</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致。</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26" w:right="14"/>
              <w:jc w:val="left"/>
              <w:rPr>
                <w:rFonts w:ascii="宋体" w:hAnsi="宋体" w:cs="宋体" w:eastAsia="宋体" w:hint="default"/>
                <w:sz w:val="18"/>
                <w:szCs w:val="18"/>
              </w:rPr>
            </w:pPr>
            <w:r>
              <w:rPr>
                <w:rFonts w:ascii="宋体" w:hAnsi="宋体" w:cs="宋体" w:eastAsia="宋体" w:hint="default"/>
                <w:spacing w:val="4"/>
                <w:sz w:val="18"/>
                <w:szCs w:val="18"/>
              </w:rPr>
              <w:t>粤科租赁股权投资收益 </w:t>
            </w:r>
            <w:r>
              <w:rPr>
                <w:rFonts w:ascii="宋体" w:hAnsi="宋体" w:cs="宋体" w:eastAsia="宋体" w:hint="default"/>
                <w:sz w:val="18"/>
                <w:szCs w:val="18"/>
              </w:rPr>
              <w:t>具有可持续性</w:t>
            </w:r>
          </w:p>
        </w:tc>
      </w:tr>
      <w:tr>
        <w:trPr>
          <w:trHeight w:val="401" w:hRule="exact"/>
        </w:trPr>
        <w:tc>
          <w:tcPr>
            <w:tcW w:w="1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公允价值变动损益</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2,290,276.14</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-11.24%</w:t>
            </w:r>
          </w:p>
        </w:tc>
        <w:tc>
          <w:tcPr>
            <w:tcW w:w="3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主要系投资性房地产公允价值变动所致。</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不具有可持续性</w:t>
            </w:r>
          </w:p>
        </w:tc>
      </w:tr>
      <w:tr>
        <w:trPr>
          <w:trHeight w:val="716" w:hRule="exact"/>
        </w:trPr>
        <w:tc>
          <w:tcPr>
            <w:tcW w:w="1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资产减值</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6"/>
                <w:szCs w:val="16"/>
              </w:rPr>
            </w:pPr>
            <w:r>
              <w:rPr>
                <w:rFonts w:ascii="Times New Roman"/>
                <w:spacing w:val="-2"/>
                <w:sz w:val="16"/>
              </w:rPr>
              <w:t>14,106,763.13</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69.25%</w:t>
            </w:r>
          </w:p>
        </w:tc>
        <w:tc>
          <w:tcPr>
            <w:tcW w:w="336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2"/>
              <w:ind w:left="26" w:right="21"/>
              <w:jc w:val="left"/>
              <w:rPr>
                <w:rFonts w:ascii="宋体" w:hAnsi="宋体" w:cs="宋体" w:eastAsia="宋体" w:hint="default"/>
                <w:sz w:val="18"/>
                <w:szCs w:val="18"/>
              </w:rPr>
            </w:pPr>
            <w:r>
              <w:rPr>
                <w:rFonts w:ascii="宋体" w:hAnsi="宋体" w:cs="宋体" w:eastAsia="宋体" w:hint="default"/>
                <w:spacing w:val="3"/>
                <w:sz w:val="18"/>
                <w:szCs w:val="18"/>
              </w:rPr>
              <w:t>主要系本期对固定资产计提减值及对应收</w:t>
            </w:r>
            <w:r>
              <w:rPr>
                <w:rFonts w:ascii="宋体" w:hAnsi="宋体" w:cs="宋体" w:eastAsia="宋体" w:hint="default"/>
                <w:sz w:val="18"/>
                <w:szCs w:val="18"/>
              </w:rPr>
              <w:t> 账款计提坏账准备所致。</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不具有可持续性</w:t>
            </w:r>
          </w:p>
        </w:tc>
      </w:tr>
      <w:tr>
        <w:trPr>
          <w:trHeight w:val="713" w:hRule="exact"/>
        </w:trPr>
        <w:tc>
          <w:tcPr>
            <w:tcW w:w="1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6"/>
                <w:szCs w:val="16"/>
              </w:rPr>
            </w:pPr>
            <w:r>
              <w:rPr>
                <w:rFonts w:ascii="Times New Roman"/>
                <w:spacing w:val="-1"/>
                <w:sz w:val="16"/>
              </w:rPr>
              <w:t>3,227,676.62</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-15.84%</w:t>
            </w:r>
          </w:p>
        </w:tc>
        <w:tc>
          <w:tcPr>
            <w:tcW w:w="33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21"/>
              <w:jc w:val="left"/>
              <w:rPr>
                <w:rFonts w:ascii="宋体" w:hAnsi="宋体" w:cs="宋体" w:eastAsia="宋体" w:hint="default"/>
                <w:sz w:val="18"/>
                <w:szCs w:val="18"/>
              </w:rPr>
            </w:pPr>
            <w:r>
              <w:rPr>
                <w:rFonts w:ascii="宋体" w:hAnsi="宋体" w:cs="宋体" w:eastAsia="宋体" w:hint="default"/>
                <w:spacing w:val="3"/>
                <w:sz w:val="18"/>
                <w:szCs w:val="18"/>
              </w:rPr>
              <w:t>主要系前期收到政府补贴本期转营业外收</w:t>
            </w:r>
            <w:r>
              <w:rPr>
                <w:rFonts w:ascii="宋体" w:hAnsi="宋体" w:cs="宋体" w:eastAsia="宋体" w:hint="default"/>
                <w:sz w:val="18"/>
                <w:szCs w:val="18"/>
              </w:rPr>
              <w:t> 入以及本期收到政府补助款所致。</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不具有可持续性</w:t>
            </w:r>
          </w:p>
        </w:tc>
      </w:tr>
      <w:tr>
        <w:trPr>
          <w:trHeight w:val="403" w:hRule="exact"/>
        </w:trPr>
        <w:tc>
          <w:tcPr>
            <w:tcW w:w="1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9"/>
              <w:jc w:val="right"/>
              <w:rPr>
                <w:rFonts w:ascii="Times New Roman" w:hAnsi="Times New Roman" w:cs="Times New Roman" w:eastAsia="Times New Roman" w:hint="default"/>
                <w:sz w:val="16"/>
                <w:szCs w:val="16"/>
              </w:rPr>
            </w:pPr>
            <w:r>
              <w:rPr>
                <w:rFonts w:ascii="Times New Roman"/>
                <w:spacing w:val="-1"/>
                <w:sz w:val="16"/>
              </w:rPr>
              <w:t>2,000,200.00</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9.82%</w:t>
            </w:r>
          </w:p>
        </w:tc>
        <w:tc>
          <w:tcPr>
            <w:tcW w:w="3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主要系本期对外捐赠所致。</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不具有可持续性</w:t>
            </w:r>
          </w:p>
        </w:tc>
      </w:tr>
    </w:tbl>
    <w:p>
      <w:pPr>
        <w:spacing w:line="240" w:lineRule="auto" w:before="1"/>
        <w:rPr>
          <w:rFonts w:ascii="宋体" w:hAnsi="宋体" w:cs="宋体" w:eastAsia="宋体" w:hint="default"/>
          <w:sz w:val="18"/>
          <w:szCs w:val="18"/>
        </w:rPr>
      </w:pPr>
    </w:p>
    <w:p>
      <w:pPr>
        <w:pStyle w:val="Heading2"/>
        <w:spacing w:line="367" w:lineRule="exact"/>
        <w:ind w:right="0"/>
        <w:jc w:val="left"/>
        <w:rPr>
          <w:b w:val="0"/>
          <w:bCs w:val="0"/>
        </w:rPr>
      </w:pPr>
      <w:r>
        <w:rPr/>
        <w:t>四、资产及负债状况分析</w:t>
      </w:r>
      <w:r>
        <w:rPr>
          <w:b w:val="0"/>
          <w:bCs w:val="0"/>
        </w:rPr>
      </w:r>
    </w:p>
    <w:p>
      <w:pPr>
        <w:spacing w:line="240" w:lineRule="auto" w:before="5"/>
        <w:rPr>
          <w:rFonts w:ascii="Microsoft JhengHei" w:hAnsi="Microsoft JhengHei" w:cs="Microsoft JhengHei" w:eastAsia="Microsoft JhengHei" w:hint="default"/>
          <w:b/>
          <w:bCs/>
          <w:sz w:val="13"/>
          <w:szCs w:val="13"/>
        </w:rPr>
      </w:pPr>
    </w:p>
    <w:p>
      <w:pPr>
        <w:pStyle w:val="Heading3"/>
        <w:spacing w:line="240" w:lineRule="auto"/>
        <w:ind w:right="0"/>
        <w:jc w:val="left"/>
        <w:rPr>
          <w:b w:val="0"/>
          <w:bCs w:val="0"/>
        </w:rPr>
      </w:pPr>
      <w:r>
        <w:rPr>
          <w:rFonts w:ascii="Times New Roman" w:hAnsi="Times New Roman" w:cs="Times New Roman" w:eastAsia="Times New Roman" w:hint="default"/>
        </w:rPr>
        <w:t>1</w:t>
      </w:r>
      <w:r>
        <w:rPr/>
        <w:t>、资产构成重大变动情况</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20" w:type="dxa"/>
        <w:tblLayout w:type="fixed"/>
        <w:tblCellMar>
          <w:top w:w="0" w:type="dxa"/>
          <w:left w:w="0" w:type="dxa"/>
          <w:bottom w:w="0" w:type="dxa"/>
          <w:right w:w="0" w:type="dxa"/>
        </w:tblCellMar>
        <w:tblLook w:val="01E0"/>
      </w:tblPr>
      <w:tblGrid>
        <w:gridCol w:w="1446"/>
        <w:gridCol w:w="1702"/>
        <w:gridCol w:w="847"/>
        <w:gridCol w:w="1846"/>
        <w:gridCol w:w="842"/>
        <w:gridCol w:w="860"/>
        <w:gridCol w:w="2153"/>
      </w:tblGrid>
      <w:tr>
        <w:trPr>
          <w:trHeight w:val="401" w:hRule="exact"/>
        </w:trPr>
        <w:tc>
          <w:tcPr>
            <w:tcW w:w="1446" w:type="dxa"/>
            <w:vMerge w:val="restart"/>
            <w:tcBorders>
              <w:top w:val="single" w:sz="4" w:space="0" w:color="000000"/>
              <w:left w:val="single" w:sz="4" w:space="0" w:color="000000"/>
              <w:right w:val="single" w:sz="4" w:space="0" w:color="000000"/>
            </w:tcBorders>
            <w:shd w:val="clear" w:color="auto" w:fill="D2D2D2"/>
          </w:tcPr>
          <w:p>
            <w:pPr/>
          </w:p>
        </w:tc>
        <w:tc>
          <w:tcPr>
            <w:tcW w:w="254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3"/>
                <w:sz w:val="18"/>
                <w:szCs w:val="18"/>
              </w:rPr>
              <w:t> </w:t>
            </w:r>
            <w:r>
              <w:rPr>
                <w:rFonts w:ascii="宋体" w:hAnsi="宋体" w:cs="宋体" w:eastAsia="宋体" w:hint="default"/>
                <w:sz w:val="18"/>
                <w:szCs w:val="18"/>
              </w:rPr>
              <w:t>年末</w:t>
            </w:r>
          </w:p>
        </w:tc>
        <w:tc>
          <w:tcPr>
            <w:tcW w:w="26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3"/>
                <w:sz w:val="18"/>
                <w:szCs w:val="18"/>
              </w:rPr>
              <w:t> </w:t>
            </w:r>
            <w:r>
              <w:rPr>
                <w:rFonts w:ascii="宋体" w:hAnsi="宋体" w:cs="宋体" w:eastAsia="宋体" w:hint="default"/>
                <w:sz w:val="18"/>
                <w:szCs w:val="18"/>
              </w:rPr>
              <w:t>年末</w:t>
            </w:r>
          </w:p>
        </w:tc>
        <w:tc>
          <w:tcPr>
            <w:tcW w:w="86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64"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15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530"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715" w:hRule="exact"/>
        </w:trPr>
        <w:tc>
          <w:tcPr>
            <w:tcW w:w="1446" w:type="dxa"/>
            <w:vMerge/>
            <w:tcBorders>
              <w:left w:val="single" w:sz="4" w:space="0" w:color="000000"/>
              <w:bottom w:val="single" w:sz="4" w:space="0" w:color="000000"/>
              <w:right w:val="single" w:sz="4" w:space="0" w:color="000000"/>
            </w:tcBorders>
            <w:shd w:val="clear" w:color="auto" w:fill="D2D2D2"/>
          </w:tcPr>
          <w:p>
            <w:pP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8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9" w:right="55" w:hanging="180"/>
              <w:jc w:val="left"/>
              <w:rPr>
                <w:rFonts w:ascii="宋体" w:hAnsi="宋体" w:cs="宋体" w:eastAsia="宋体" w:hint="default"/>
                <w:sz w:val="18"/>
                <w:szCs w:val="18"/>
              </w:rPr>
            </w:pPr>
            <w:r>
              <w:rPr>
                <w:rFonts w:ascii="宋体" w:hAnsi="宋体" w:cs="宋体" w:eastAsia="宋体" w:hint="default"/>
                <w:sz w:val="18"/>
                <w:szCs w:val="18"/>
              </w:rPr>
              <w:t>占总资产 比例</w:t>
            </w:r>
          </w:p>
        </w:tc>
        <w:tc>
          <w:tcPr>
            <w:tcW w:w="18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7" w:right="53" w:hanging="180"/>
              <w:jc w:val="left"/>
              <w:rPr>
                <w:rFonts w:ascii="宋体" w:hAnsi="宋体" w:cs="宋体" w:eastAsia="宋体" w:hint="default"/>
                <w:sz w:val="18"/>
                <w:szCs w:val="18"/>
              </w:rPr>
            </w:pPr>
            <w:r>
              <w:rPr>
                <w:rFonts w:ascii="宋体" w:hAnsi="宋体" w:cs="宋体" w:eastAsia="宋体" w:hint="default"/>
                <w:sz w:val="18"/>
                <w:szCs w:val="18"/>
              </w:rPr>
              <w:t>占总资产 比例</w:t>
            </w:r>
          </w:p>
        </w:tc>
        <w:tc>
          <w:tcPr>
            <w:tcW w:w="860" w:type="dxa"/>
            <w:vMerge/>
            <w:tcBorders>
              <w:left w:val="single" w:sz="4" w:space="0" w:color="000000"/>
              <w:bottom w:val="single" w:sz="4" w:space="0" w:color="000000"/>
              <w:right w:val="single" w:sz="4" w:space="0" w:color="000000"/>
            </w:tcBorders>
            <w:shd w:val="clear" w:color="auto" w:fill="D2D2D2"/>
          </w:tcPr>
          <w:p>
            <w:pPr/>
          </w:p>
        </w:tc>
        <w:tc>
          <w:tcPr>
            <w:tcW w:w="2153"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4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131,453,466.03</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14.57%</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151,371,753.65</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16.36%</w:t>
            </w: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-1.79%</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sz w:val="18"/>
              </w:rPr>
              <w:t>/</w:t>
            </w:r>
          </w:p>
        </w:tc>
      </w:tr>
      <w:tr>
        <w:trPr>
          <w:trHeight w:val="403" w:hRule="exact"/>
        </w:trPr>
        <w:tc>
          <w:tcPr>
            <w:tcW w:w="14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29,115,412.74</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3.23%</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59,005,709.30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6.38%</w:t>
            </w: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-3.15%</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sz w:val="18"/>
              </w:rPr>
              <w:t>/</w:t>
            </w:r>
          </w:p>
        </w:tc>
      </w:tr>
      <w:tr>
        <w:trPr>
          <w:trHeight w:val="401" w:hRule="exact"/>
        </w:trPr>
        <w:tc>
          <w:tcPr>
            <w:tcW w:w="14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z w:val="18"/>
              </w:rPr>
              <w:t>/</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49,889,275.12</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5.39%</w:t>
            </w: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-5.39%</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sz w:val="18"/>
              </w:rPr>
              <w:t>/</w:t>
            </w:r>
          </w:p>
        </w:tc>
      </w:tr>
      <w:tr>
        <w:trPr>
          <w:trHeight w:val="716" w:hRule="exact"/>
        </w:trPr>
        <w:tc>
          <w:tcPr>
            <w:tcW w:w="14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336,598,281.14</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37.31%</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w:t>
            </w: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37.31%</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137"/>
              <w:jc w:val="left"/>
              <w:rPr>
                <w:rFonts w:ascii="宋体" w:hAnsi="宋体" w:cs="宋体" w:eastAsia="宋体" w:hint="default"/>
                <w:sz w:val="18"/>
                <w:szCs w:val="18"/>
              </w:rPr>
            </w:pPr>
            <w:r>
              <w:rPr>
                <w:rFonts w:ascii="宋体" w:hAnsi="宋体" w:cs="宋体" w:eastAsia="宋体" w:hint="default"/>
                <w:sz w:val="18"/>
                <w:szCs w:val="18"/>
              </w:rPr>
              <w:t>主要系本期将房产及所属 土地使用权转入所致。</w:t>
            </w:r>
          </w:p>
        </w:tc>
      </w:tr>
      <w:tr>
        <w:trPr>
          <w:trHeight w:val="401" w:hRule="exact"/>
        </w:trPr>
        <w:tc>
          <w:tcPr>
            <w:tcW w:w="14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160,804,326.27</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17.82%</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149,520,743.79</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16.16%</w:t>
            </w: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z w:val="18"/>
              </w:rPr>
              <w:t>1.66%</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sz w:val="18"/>
              </w:rPr>
              <w:t>/</w:t>
            </w:r>
          </w:p>
        </w:tc>
      </w:tr>
      <w:tr>
        <w:trPr>
          <w:trHeight w:val="715" w:hRule="exact"/>
        </w:trPr>
        <w:tc>
          <w:tcPr>
            <w:tcW w:w="14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3,599,560.31</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0.40%</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308,900,775.37</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pacing w:val="-1"/>
                <w:sz w:val="18"/>
              </w:rPr>
              <w:t>33.39%</w:t>
            </w: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z w:val="18"/>
              </w:rPr>
              <w:t>-32.99%</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37"/>
              <w:jc w:val="left"/>
              <w:rPr>
                <w:rFonts w:ascii="宋体" w:hAnsi="宋体" w:cs="宋体" w:eastAsia="宋体" w:hint="default"/>
                <w:sz w:val="18"/>
                <w:szCs w:val="18"/>
              </w:rPr>
            </w:pPr>
            <w:r>
              <w:rPr>
                <w:rFonts w:ascii="宋体" w:hAnsi="宋体" w:cs="宋体" w:eastAsia="宋体" w:hint="default"/>
                <w:sz w:val="18"/>
                <w:szCs w:val="18"/>
              </w:rPr>
              <w:t>主要系本期将房产转至投 资性房地产所致。</w:t>
            </w:r>
          </w:p>
        </w:tc>
      </w:tr>
      <w:tr>
        <w:trPr>
          <w:trHeight w:val="401" w:hRule="exact"/>
        </w:trPr>
        <w:tc>
          <w:tcPr>
            <w:tcW w:w="14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23,932,647.20</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2.65%</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10,170,041.00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1.10%</w:t>
            </w: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z w:val="18"/>
              </w:rPr>
              <w:t>1.55%</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sz w:val="18"/>
              </w:rPr>
              <w:t>/</w:t>
            </w:r>
          </w:p>
        </w:tc>
      </w:tr>
      <w:tr>
        <w:trPr>
          <w:trHeight w:val="403" w:hRule="exact"/>
        </w:trPr>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67,832,907.81</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7.52%</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113,874,819.60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12.31%</w:t>
            </w: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-4.79%</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sz w:val="18"/>
              </w:rPr>
              <w:t>/</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10"/>
        <w:rPr>
          <w:rFonts w:ascii="宋体" w:hAnsi="宋体" w:cs="宋体" w:eastAsia="宋体" w:hint="default"/>
          <w:sz w:val="24"/>
          <w:szCs w:val="24"/>
        </w:rPr>
      </w:pPr>
    </w:p>
    <w:p>
      <w:pPr>
        <w:pStyle w:val="Heading3"/>
        <w:spacing w:line="335" w:lineRule="exact"/>
        <w:ind w:right="0"/>
        <w:jc w:val="left"/>
        <w:rPr>
          <w:b w:val="0"/>
          <w:bCs w:val="0"/>
        </w:rPr>
      </w:pPr>
      <w:r>
        <w:rPr>
          <w:rFonts w:ascii="Times New Roman" w:hAnsi="Times New Roman" w:cs="Times New Roman" w:eastAsia="Times New Roman" w:hint="default"/>
        </w:rPr>
        <w:t>2</w:t>
      </w:r>
      <w:r>
        <w:rPr/>
        <w:t>、以公允价值计量的资产和负债</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right="0"/>
        <w:jc w:val="left"/>
      </w:pPr>
      <w:r>
        <w:rPr/>
        <w:t>√适用 □</w:t>
      </w:r>
      <w:r>
        <w:rPr>
          <w:spacing w:val="2"/>
        </w:rPr>
        <w:t> </w:t>
      </w:r>
      <w:r>
        <w:rPr/>
        <w:t>不适用</w:t>
      </w:r>
    </w:p>
    <w:p>
      <w:pPr>
        <w:pStyle w:val="BodyText"/>
        <w:spacing w:line="240" w:lineRule="auto" w:before="115"/>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19" w:type="dxa"/>
        <w:tblLayout w:type="fixed"/>
        <w:tblCellMar>
          <w:top w:w="0" w:type="dxa"/>
          <w:left w:w="0" w:type="dxa"/>
          <w:bottom w:w="0" w:type="dxa"/>
          <w:right w:w="0" w:type="dxa"/>
        </w:tblCellMar>
        <w:tblLook w:val="01E0"/>
      </w:tblPr>
      <w:tblGrid>
        <w:gridCol w:w="2098"/>
        <w:gridCol w:w="560"/>
        <w:gridCol w:w="1092"/>
        <w:gridCol w:w="1380"/>
        <w:gridCol w:w="953"/>
        <w:gridCol w:w="1217"/>
        <w:gridCol w:w="1215"/>
        <w:gridCol w:w="1183"/>
      </w:tblGrid>
      <w:tr>
        <w:trPr>
          <w:trHeight w:val="714" w:hRule="exact"/>
        </w:trPr>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84" w:right="92" w:hanging="89"/>
              <w:jc w:val="left"/>
              <w:rPr>
                <w:rFonts w:ascii="宋体" w:hAnsi="宋体" w:cs="宋体" w:eastAsia="宋体" w:hint="default"/>
                <w:sz w:val="18"/>
                <w:szCs w:val="18"/>
              </w:rPr>
            </w:pPr>
            <w:r>
              <w:rPr>
                <w:rFonts w:ascii="宋体" w:hAnsi="宋体" w:cs="宋体" w:eastAsia="宋体" w:hint="default"/>
                <w:sz w:val="18"/>
                <w:szCs w:val="18"/>
              </w:rPr>
              <w:t>期初 数</w:t>
            </w:r>
          </w:p>
        </w:tc>
        <w:tc>
          <w:tcPr>
            <w:tcW w:w="10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3" w:right="86"/>
              <w:jc w:val="left"/>
              <w:rPr>
                <w:rFonts w:ascii="宋体" w:hAnsi="宋体" w:cs="宋体" w:eastAsia="宋体" w:hint="default"/>
                <w:sz w:val="18"/>
                <w:szCs w:val="18"/>
              </w:rPr>
            </w:pPr>
            <w:r>
              <w:rPr>
                <w:rFonts w:ascii="宋体" w:hAnsi="宋体" w:cs="宋体" w:eastAsia="宋体" w:hint="default"/>
                <w:sz w:val="18"/>
                <w:szCs w:val="18"/>
              </w:rPr>
              <w:t>本期公允价 值变动损益</w:t>
            </w:r>
          </w:p>
        </w:tc>
        <w:tc>
          <w:tcPr>
            <w:tcW w:w="1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46" w:right="53" w:hanging="92"/>
              <w:jc w:val="left"/>
              <w:rPr>
                <w:rFonts w:ascii="宋体" w:hAnsi="宋体" w:cs="宋体" w:eastAsia="宋体" w:hint="default"/>
                <w:sz w:val="18"/>
                <w:szCs w:val="18"/>
              </w:rPr>
            </w:pPr>
            <w:r>
              <w:rPr>
                <w:rFonts w:ascii="宋体" w:hAnsi="宋体" w:cs="宋体" w:eastAsia="宋体" w:hint="default"/>
                <w:sz w:val="18"/>
                <w:szCs w:val="18"/>
              </w:rPr>
              <w:t>计入权益的累计 公允价值变动</w:t>
            </w:r>
          </w:p>
        </w:tc>
        <w:tc>
          <w:tcPr>
            <w:tcW w:w="9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01" w:right="108" w:hanging="89"/>
              <w:jc w:val="left"/>
              <w:rPr>
                <w:rFonts w:ascii="宋体" w:hAnsi="宋体" w:cs="宋体" w:eastAsia="宋体" w:hint="default"/>
                <w:sz w:val="18"/>
                <w:szCs w:val="18"/>
              </w:rPr>
            </w:pPr>
            <w:r>
              <w:rPr>
                <w:rFonts w:ascii="宋体" w:hAnsi="宋体" w:cs="宋体" w:eastAsia="宋体" w:hint="default"/>
                <w:sz w:val="18"/>
                <w:szCs w:val="18"/>
              </w:rPr>
              <w:t>本期计提 的减值</w:t>
            </w:r>
          </w:p>
        </w:tc>
        <w:tc>
          <w:tcPr>
            <w:tcW w:w="12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62"/>
              <w:jc w:val="right"/>
              <w:rPr>
                <w:rFonts w:ascii="宋体" w:hAnsi="宋体" w:cs="宋体" w:eastAsia="宋体" w:hint="default"/>
                <w:sz w:val="18"/>
                <w:szCs w:val="18"/>
              </w:rPr>
            </w:pPr>
            <w:r>
              <w:rPr>
                <w:rFonts w:ascii="宋体" w:hAnsi="宋体" w:cs="宋体" w:eastAsia="宋体" w:hint="default"/>
                <w:sz w:val="18"/>
                <w:szCs w:val="18"/>
              </w:rPr>
              <w:t>本期购买金额</w:t>
            </w:r>
          </w:p>
        </w:tc>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60"/>
              <w:jc w:val="right"/>
              <w:rPr>
                <w:rFonts w:ascii="宋体" w:hAnsi="宋体" w:cs="宋体" w:eastAsia="宋体" w:hint="default"/>
                <w:sz w:val="18"/>
                <w:szCs w:val="18"/>
              </w:rPr>
            </w:pPr>
            <w:r>
              <w:rPr>
                <w:rFonts w:ascii="宋体" w:hAnsi="宋体" w:cs="宋体" w:eastAsia="宋体" w:hint="default"/>
                <w:sz w:val="18"/>
                <w:szCs w:val="18"/>
              </w:rPr>
              <w:t>本期出售金额</w:t>
            </w:r>
          </w:p>
        </w:tc>
        <w:tc>
          <w:tcPr>
            <w:tcW w:w="1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402" w:hRule="exact"/>
        </w:trPr>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金融资产</w:t>
            </w:r>
          </w:p>
        </w:tc>
        <w:tc>
          <w:tcPr>
            <w:tcW w:w="7600" w:type="dxa"/>
            <w:gridSpan w:val="7"/>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1025" w:hRule="exact"/>
        </w:trPr>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4" w:right="82"/>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以公允价值计量且其变 动计入当期损益的金融资 产（不含衍生金融资产）</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3" w:right="0"/>
              <w:jc w:val="center"/>
              <w:rPr>
                <w:rFonts w:ascii="Times New Roman" w:hAnsi="Times New Roman" w:cs="Times New Roman" w:eastAsia="Times New Roman" w:hint="default"/>
                <w:sz w:val="18"/>
                <w:szCs w:val="18"/>
              </w:rPr>
            </w:pPr>
            <w:r>
              <w:rPr>
                <w:rFonts w:ascii="Times New Roman"/>
                <w:sz w:val="18"/>
              </w:rPr>
              <w:t>-1,427,905.00</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8,147,063.12</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139,751.24</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6,675,575.00</w:t>
            </w:r>
          </w:p>
        </w:tc>
      </w:tr>
      <w:tr>
        <w:trPr>
          <w:trHeight w:val="403" w:hRule="exact"/>
        </w:trPr>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金融资产小计</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3" w:right="0"/>
              <w:jc w:val="center"/>
              <w:rPr>
                <w:rFonts w:ascii="Times New Roman" w:hAnsi="Times New Roman" w:cs="Times New Roman" w:eastAsia="Times New Roman" w:hint="default"/>
                <w:sz w:val="18"/>
                <w:szCs w:val="18"/>
              </w:rPr>
            </w:pPr>
            <w:r>
              <w:rPr>
                <w:rFonts w:ascii="Times New Roman"/>
                <w:sz w:val="18"/>
              </w:rPr>
              <w:t>-1,427,905.00</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8,147,063.12</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139,751.24</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6,675,575.00</w:t>
            </w:r>
          </w:p>
        </w:tc>
      </w:tr>
      <w:tr>
        <w:trPr>
          <w:trHeight w:val="401" w:hRule="exact"/>
        </w:trPr>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 w:right="0"/>
              <w:jc w:val="center"/>
              <w:rPr>
                <w:rFonts w:ascii="Times New Roman" w:hAnsi="Times New Roman" w:cs="Times New Roman" w:eastAsia="Times New Roman" w:hint="default"/>
                <w:sz w:val="18"/>
                <w:szCs w:val="18"/>
              </w:rPr>
            </w:pPr>
            <w:r>
              <w:rPr>
                <w:rFonts w:ascii="Times New Roman"/>
                <w:sz w:val="18"/>
              </w:rPr>
              <w:t>3,718,181.14</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336,598,281.14</w:t>
            </w:r>
          </w:p>
        </w:tc>
      </w:tr>
      <w:tr>
        <w:trPr>
          <w:trHeight w:val="403" w:hRule="exact"/>
        </w:trPr>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上述合计</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3" w:right="0"/>
              <w:jc w:val="center"/>
              <w:rPr>
                <w:rFonts w:ascii="Times New Roman" w:hAnsi="Times New Roman" w:cs="Times New Roman" w:eastAsia="Times New Roman" w:hint="default"/>
                <w:sz w:val="18"/>
                <w:szCs w:val="18"/>
              </w:rPr>
            </w:pPr>
            <w:r>
              <w:rPr>
                <w:rFonts w:ascii="Times New Roman"/>
                <w:sz w:val="18"/>
              </w:rPr>
              <w:t>2,290,276.14</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8,147,063.12</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139,751.24</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343,273,856.14</w:t>
            </w:r>
          </w:p>
        </w:tc>
      </w:tr>
    </w:tbl>
    <w:p>
      <w:pPr>
        <w:pStyle w:val="BodyText"/>
        <w:spacing w:line="240" w:lineRule="auto" w:before="49"/>
        <w:ind w:right="0"/>
        <w:jc w:val="left"/>
      </w:pPr>
      <w:r>
        <w:rPr/>
        <w:t>报告期内公司主要资产计量属性是否发生重大变化</w:t>
      </w:r>
    </w:p>
    <w:p>
      <w:pPr>
        <w:pStyle w:val="BodyText"/>
        <w:spacing w:line="340" w:lineRule="auto" w:before="115"/>
        <w:ind w:right="239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报告期内公司主要资产计量属性发生重大变化的原因说明及对其经营成果和财务状况影响：无</w:t>
      </w:r>
    </w:p>
    <w:p>
      <w:pPr>
        <w:spacing w:line="240" w:lineRule="auto" w:before="4"/>
        <w:rPr>
          <w:rFonts w:ascii="宋体" w:hAnsi="宋体" w:cs="宋体" w:eastAsia="宋体" w:hint="default"/>
          <w:sz w:val="16"/>
          <w:szCs w:val="16"/>
        </w:rPr>
      </w:pPr>
    </w:p>
    <w:p>
      <w:pPr>
        <w:pStyle w:val="Heading3"/>
        <w:spacing w:line="240" w:lineRule="auto"/>
        <w:ind w:right="0"/>
        <w:jc w:val="left"/>
        <w:rPr>
          <w:rFonts w:ascii="宋体" w:hAnsi="宋体" w:cs="宋体" w:eastAsia="宋体" w:hint="default"/>
          <w:b w:val="0"/>
          <w:bCs w:val="0"/>
        </w:rPr>
      </w:pPr>
      <w:r>
        <w:rPr>
          <w:rFonts w:ascii="Times New Roman" w:hAnsi="Times New Roman" w:cs="Times New Roman" w:eastAsia="Times New Roman" w:hint="default"/>
        </w:rPr>
        <w:t>3</w:t>
      </w:r>
      <w:r>
        <w:rPr/>
        <w:t>、截至报告期末的资产权利受限情况</w:t>
      </w:r>
      <w:r>
        <w:rPr>
          <w:rFonts w:ascii="宋体" w:hAnsi="宋体" w:cs="宋体" w:eastAsia="宋体" w:hint="default"/>
          <w:b w:val="0"/>
          <w:bCs w:val="0"/>
        </w:rPr>
        <w:t>无。</w:t>
      </w:r>
    </w:p>
    <w:p>
      <w:pPr>
        <w:spacing w:line="240" w:lineRule="auto" w:before="5"/>
        <w:rPr>
          <w:rFonts w:ascii="宋体" w:hAnsi="宋体" w:cs="宋体" w:eastAsia="宋体" w:hint="default"/>
          <w:sz w:val="16"/>
          <w:szCs w:val="16"/>
        </w:rPr>
      </w:pPr>
    </w:p>
    <w:p>
      <w:pPr>
        <w:pStyle w:val="Heading2"/>
        <w:spacing w:line="240" w:lineRule="auto"/>
        <w:ind w:right="0"/>
        <w:jc w:val="left"/>
        <w:rPr>
          <w:b w:val="0"/>
          <w:bCs w:val="0"/>
        </w:rPr>
      </w:pPr>
      <w:r>
        <w:rPr/>
        <w:t>五、投资状况分析</w:t>
      </w:r>
      <w:r>
        <w:rPr>
          <w:b w:val="0"/>
          <w:bCs w:val="0"/>
        </w:rPr>
      </w:r>
    </w:p>
    <w:p>
      <w:pPr>
        <w:spacing w:line="240" w:lineRule="auto" w:before="3"/>
        <w:rPr>
          <w:rFonts w:ascii="Microsoft JhengHei" w:hAnsi="Microsoft JhengHei" w:cs="Microsoft JhengHei" w:eastAsia="Microsoft JhengHei" w:hint="default"/>
          <w:b/>
          <w:bCs/>
          <w:sz w:val="13"/>
          <w:szCs w:val="13"/>
        </w:rPr>
      </w:pPr>
    </w:p>
    <w:p>
      <w:pPr>
        <w:pStyle w:val="Heading3"/>
        <w:spacing w:line="240" w:lineRule="auto"/>
        <w:ind w:right="0"/>
        <w:jc w:val="left"/>
        <w:rPr>
          <w:b w:val="0"/>
          <w:bCs w:val="0"/>
        </w:rPr>
      </w:pPr>
      <w:r>
        <w:rPr>
          <w:rFonts w:ascii="Times New Roman" w:hAnsi="Times New Roman" w:cs="Times New Roman" w:eastAsia="Times New Roman" w:hint="default"/>
        </w:rPr>
        <w:t>1</w:t>
      </w:r>
      <w:r>
        <w:rPr/>
        <w:t>、总体情况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1"/>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80" w:right="0"/>
              <w:jc w:val="left"/>
              <w:rPr>
                <w:rFonts w:ascii="宋体" w:hAnsi="宋体" w:cs="宋体" w:eastAsia="宋体" w:hint="default"/>
                <w:sz w:val="18"/>
                <w:szCs w:val="18"/>
              </w:rPr>
            </w:pPr>
            <w:r>
              <w:rPr>
                <w:rFonts w:ascii="宋体" w:hAnsi="宋体" w:cs="宋体" w:eastAsia="宋体" w:hint="default"/>
                <w:sz w:val="18"/>
                <w:szCs w:val="18"/>
              </w:rPr>
              <w:t>报告期投资额（元）</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1"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-95.00%</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rFonts w:ascii="Times New Roman" w:hAnsi="Times New Roman" w:cs="Times New Roman" w:eastAsia="Times New Roman" w:hint="default"/>
        </w:rPr>
        <w:t>2</w:t>
      </w:r>
      <w:r>
        <w:rPr/>
        <w:t>、报告期内获取的重大的股权投资情况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1"/>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4</w:t>
      </w:r>
      <w:r>
        <w:rPr/>
        <w:t>、以公允价值计量的金融资产</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4"/>
        <w:ind w:left="0" w:right="151"/>
        <w:jc w:val="right"/>
      </w:pPr>
      <w:r>
        <w:rPr/>
        <w:t>单位：元</w:t>
      </w:r>
    </w:p>
    <w:p>
      <w:pPr>
        <w:spacing w:line="240" w:lineRule="auto" w:before="3"/>
        <w:rPr>
          <w:rFonts w:ascii="宋体" w:hAnsi="宋体" w:cs="宋体" w:eastAsia="宋体" w:hint="default"/>
          <w:sz w:val="8"/>
          <w:szCs w:val="8"/>
        </w:rPr>
      </w:pPr>
    </w:p>
    <w:tbl>
      <w:tblPr>
        <w:tblW w:w="0" w:type="auto"/>
        <w:jc w:val="left"/>
        <w:tblInd w:w="120" w:type="dxa"/>
        <w:tblLayout w:type="fixed"/>
        <w:tblCellMar>
          <w:top w:w="0" w:type="dxa"/>
          <w:left w:w="0" w:type="dxa"/>
          <w:bottom w:w="0" w:type="dxa"/>
          <w:right w:w="0" w:type="dxa"/>
        </w:tblCellMar>
        <w:tblLook w:val="01E0"/>
      </w:tblPr>
      <w:tblGrid>
        <w:gridCol w:w="880"/>
        <w:gridCol w:w="1277"/>
        <w:gridCol w:w="1136"/>
        <w:gridCol w:w="1416"/>
        <w:gridCol w:w="1136"/>
        <w:gridCol w:w="991"/>
        <w:gridCol w:w="850"/>
        <w:gridCol w:w="1138"/>
        <w:gridCol w:w="874"/>
      </w:tblGrid>
      <w:tr>
        <w:trPr>
          <w:trHeight w:val="714" w:hRule="exact"/>
        </w:trPr>
        <w:tc>
          <w:tcPr>
            <w:tcW w:w="8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73" w:right="0"/>
              <w:jc w:val="left"/>
              <w:rPr>
                <w:rFonts w:ascii="宋体" w:hAnsi="宋体" w:cs="宋体" w:eastAsia="宋体" w:hint="default"/>
                <w:sz w:val="18"/>
                <w:szCs w:val="18"/>
              </w:rPr>
            </w:pPr>
            <w:r>
              <w:rPr>
                <w:rFonts w:ascii="宋体" w:hAnsi="宋体" w:cs="宋体" w:eastAsia="宋体" w:hint="default"/>
                <w:sz w:val="18"/>
                <w:szCs w:val="18"/>
              </w:rPr>
              <w:t>资产类别</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初始投资成本</w:t>
            </w:r>
          </w:p>
        </w:tc>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112" w:right="111"/>
              <w:jc w:val="left"/>
              <w:rPr>
                <w:rFonts w:ascii="宋体" w:hAnsi="宋体" w:cs="宋体" w:eastAsia="宋体" w:hint="default"/>
                <w:sz w:val="18"/>
                <w:szCs w:val="18"/>
              </w:rPr>
            </w:pPr>
            <w:r>
              <w:rPr>
                <w:rFonts w:ascii="宋体" w:hAnsi="宋体" w:cs="宋体" w:eastAsia="宋体" w:hint="default"/>
                <w:sz w:val="18"/>
                <w:szCs w:val="18"/>
              </w:rPr>
              <w:t>本期公允价 值变动损益</w:t>
            </w: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163" w:right="71" w:hanging="89"/>
              <w:jc w:val="left"/>
              <w:rPr>
                <w:rFonts w:ascii="宋体" w:hAnsi="宋体" w:cs="宋体" w:eastAsia="宋体" w:hint="default"/>
                <w:sz w:val="18"/>
                <w:szCs w:val="18"/>
              </w:rPr>
            </w:pPr>
            <w:r>
              <w:rPr>
                <w:rFonts w:ascii="宋体" w:hAnsi="宋体" w:cs="宋体" w:eastAsia="宋体" w:hint="default"/>
                <w:sz w:val="18"/>
                <w:szCs w:val="18"/>
              </w:rPr>
              <w:t>计入权益的累计 公允价值变动</w:t>
            </w:r>
          </w:p>
        </w:tc>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293" w:right="111" w:hanging="181"/>
              <w:jc w:val="left"/>
              <w:rPr>
                <w:rFonts w:ascii="宋体" w:hAnsi="宋体" w:cs="宋体" w:eastAsia="宋体" w:hint="default"/>
                <w:sz w:val="18"/>
                <w:szCs w:val="18"/>
              </w:rPr>
            </w:pPr>
            <w:r>
              <w:rPr>
                <w:rFonts w:ascii="宋体" w:hAnsi="宋体" w:cs="宋体" w:eastAsia="宋体" w:hint="default"/>
                <w:sz w:val="18"/>
                <w:szCs w:val="18"/>
              </w:rPr>
              <w:t>报告期内购 入金额</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220" w:right="38" w:hanging="180"/>
              <w:jc w:val="left"/>
              <w:rPr>
                <w:rFonts w:ascii="宋体" w:hAnsi="宋体" w:cs="宋体" w:eastAsia="宋体" w:hint="default"/>
                <w:sz w:val="18"/>
                <w:szCs w:val="18"/>
              </w:rPr>
            </w:pPr>
            <w:r>
              <w:rPr>
                <w:rFonts w:ascii="宋体" w:hAnsi="宋体" w:cs="宋体" w:eastAsia="宋体" w:hint="default"/>
                <w:sz w:val="18"/>
                <w:szCs w:val="18"/>
              </w:rPr>
              <w:t>报告期内售 出金额</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239" w:right="58" w:hanging="180"/>
              <w:jc w:val="left"/>
              <w:rPr>
                <w:rFonts w:ascii="宋体" w:hAnsi="宋体" w:cs="宋体" w:eastAsia="宋体" w:hint="default"/>
                <w:sz w:val="18"/>
                <w:szCs w:val="18"/>
              </w:rPr>
            </w:pPr>
            <w:r>
              <w:rPr>
                <w:rFonts w:ascii="宋体" w:hAnsi="宋体" w:cs="宋体" w:eastAsia="宋体" w:hint="default"/>
                <w:sz w:val="18"/>
                <w:szCs w:val="18"/>
              </w:rPr>
              <w:t>累计投资 收益</w:t>
            </w:r>
          </w:p>
        </w:tc>
        <w:tc>
          <w:tcPr>
            <w:tcW w:w="11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03" w:right="0"/>
              <w:jc w:val="left"/>
              <w:rPr>
                <w:rFonts w:ascii="宋体" w:hAnsi="宋体" w:cs="宋体" w:eastAsia="宋体" w:hint="default"/>
                <w:sz w:val="18"/>
                <w:szCs w:val="18"/>
              </w:rPr>
            </w:pPr>
            <w:r>
              <w:rPr>
                <w:rFonts w:ascii="宋体" w:hAnsi="宋体" w:cs="宋体" w:eastAsia="宋体" w:hint="default"/>
                <w:sz w:val="18"/>
                <w:szCs w:val="18"/>
              </w:rPr>
              <w:t>期末金额</w:t>
            </w:r>
          </w:p>
        </w:tc>
        <w:tc>
          <w:tcPr>
            <w:tcW w:w="8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71" w:right="0"/>
              <w:jc w:val="left"/>
              <w:rPr>
                <w:rFonts w:ascii="宋体" w:hAnsi="宋体" w:cs="宋体" w:eastAsia="宋体" w:hint="default"/>
                <w:sz w:val="18"/>
                <w:szCs w:val="18"/>
              </w:rPr>
            </w:pPr>
            <w:r>
              <w:rPr>
                <w:rFonts w:ascii="宋体" w:hAnsi="宋体" w:cs="宋体" w:eastAsia="宋体" w:hint="default"/>
                <w:sz w:val="18"/>
                <w:szCs w:val="18"/>
              </w:rPr>
              <w:t>资金来源</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19" w:type="dxa"/>
        <w:tblLayout w:type="fixed"/>
        <w:tblCellMar>
          <w:top w:w="0" w:type="dxa"/>
          <w:left w:w="0" w:type="dxa"/>
          <w:bottom w:w="0" w:type="dxa"/>
          <w:right w:w="0" w:type="dxa"/>
        </w:tblCellMar>
        <w:tblLook w:val="01E0"/>
      </w:tblPr>
      <w:tblGrid>
        <w:gridCol w:w="881"/>
        <w:gridCol w:w="1277"/>
        <w:gridCol w:w="1136"/>
        <w:gridCol w:w="1416"/>
        <w:gridCol w:w="1136"/>
        <w:gridCol w:w="991"/>
        <w:gridCol w:w="850"/>
        <w:gridCol w:w="1138"/>
        <w:gridCol w:w="874"/>
      </w:tblGrid>
      <w:tr>
        <w:trPr>
          <w:trHeight w:val="401" w:hRule="exact"/>
        </w:trPr>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股票</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8,147,063.12</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-1,427,905.00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8,147,063.12</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139,751.24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96,168.12</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6,675,575.00</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自有资金</w:t>
            </w:r>
          </w:p>
        </w:tc>
      </w:tr>
      <w:tr>
        <w:trPr>
          <w:trHeight w:val="403" w:hRule="exact"/>
        </w:trPr>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8,147,063.12</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-1,427,905.00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7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8,147,063.12</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139,751.24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96,168.12</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6,675,575.00</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rFonts w:ascii="Times New Roman" w:hAnsi="Times New Roman" w:cs="Times New Roman" w:eastAsia="Times New Roman" w:hint="default"/>
        </w:rPr>
        <w:t>5</w:t>
      </w:r>
      <w:r>
        <w:rPr/>
        <w:t>、募集资金使用情况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38" w:lineRule="auto"/>
        <w:ind w:right="70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公司报告期无募集资金使用情况。</w:t>
      </w:r>
    </w:p>
    <w:p>
      <w:pPr>
        <w:spacing w:line="240" w:lineRule="auto" w:before="10"/>
        <w:rPr>
          <w:rFonts w:ascii="宋体" w:hAnsi="宋体" w:cs="宋体" w:eastAsia="宋体" w:hint="default"/>
          <w:sz w:val="13"/>
          <w:szCs w:val="13"/>
        </w:rPr>
      </w:pPr>
    </w:p>
    <w:p>
      <w:pPr>
        <w:pStyle w:val="Heading2"/>
        <w:spacing w:line="240" w:lineRule="auto"/>
        <w:ind w:right="0"/>
        <w:jc w:val="left"/>
        <w:rPr>
          <w:b w:val="0"/>
          <w:bCs w:val="0"/>
        </w:rPr>
      </w:pPr>
      <w:r>
        <w:rPr/>
        <w:t>六、重大资产和股权出售</w:t>
      </w:r>
      <w:r>
        <w:rPr>
          <w:b w:val="0"/>
          <w:bCs w:val="0"/>
        </w:rPr>
      </w:r>
    </w:p>
    <w:p>
      <w:pPr>
        <w:spacing w:line="240" w:lineRule="auto" w:before="6"/>
        <w:rPr>
          <w:rFonts w:ascii="Microsoft JhengHei" w:hAnsi="Microsoft JhengHei" w:cs="Microsoft JhengHei" w:eastAsia="Microsoft JhengHei" w:hint="default"/>
          <w:b/>
          <w:bCs/>
          <w:sz w:val="13"/>
          <w:szCs w:val="13"/>
        </w:rPr>
      </w:pPr>
    </w:p>
    <w:p>
      <w:pPr>
        <w:pStyle w:val="Heading3"/>
        <w:spacing w:line="240" w:lineRule="auto"/>
        <w:ind w:right="0"/>
        <w:jc w:val="left"/>
        <w:rPr>
          <w:b w:val="0"/>
          <w:bCs w:val="0"/>
        </w:rPr>
      </w:pPr>
      <w:r>
        <w:rPr>
          <w:rFonts w:ascii="Times New Roman" w:hAnsi="Times New Roman" w:cs="Times New Roman" w:eastAsia="Times New Roman" w:hint="default"/>
        </w:rPr>
        <w:t>1</w:t>
      </w:r>
      <w:r>
        <w:rPr/>
        <w:t>、出售重大资产情况</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340" w:lineRule="auto"/>
        <w:ind w:right="74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公司报告期未出售重大资产。</w:t>
      </w:r>
    </w:p>
    <w:p>
      <w:pPr>
        <w:spacing w:line="240" w:lineRule="auto" w:before="4"/>
        <w:rPr>
          <w:rFonts w:ascii="宋体" w:hAnsi="宋体" w:cs="宋体" w:eastAsia="宋体" w:hint="default"/>
          <w:sz w:val="16"/>
          <w:szCs w:val="16"/>
        </w:rPr>
      </w:pPr>
    </w:p>
    <w:p>
      <w:pPr>
        <w:pStyle w:val="Heading3"/>
        <w:spacing w:line="240" w:lineRule="auto"/>
        <w:ind w:right="0"/>
        <w:jc w:val="left"/>
        <w:rPr>
          <w:b w:val="0"/>
          <w:bCs w:val="0"/>
        </w:rPr>
      </w:pPr>
      <w:r>
        <w:rPr>
          <w:rFonts w:ascii="Times New Roman" w:hAnsi="Times New Roman" w:cs="Times New Roman" w:eastAsia="Times New Roman" w:hint="default"/>
        </w:rPr>
        <w:t>2</w:t>
      </w:r>
      <w:r>
        <w:rPr/>
        <w:t>、出售重大股权情况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18"/>
          <w:szCs w:val="18"/>
        </w:rPr>
      </w:pPr>
    </w:p>
    <w:p>
      <w:pPr>
        <w:pStyle w:val="Heading2"/>
        <w:spacing w:line="240" w:lineRule="auto"/>
        <w:ind w:right="0"/>
        <w:jc w:val="left"/>
        <w:rPr>
          <w:b w:val="0"/>
          <w:bCs w:val="0"/>
        </w:rPr>
      </w:pPr>
      <w:r>
        <w:rPr/>
        <w:t>七、主要控股参股公司分析</w:t>
      </w:r>
      <w:r>
        <w:rPr>
          <w:b w:val="0"/>
          <w:bCs w:val="0"/>
        </w:rPr>
      </w:r>
    </w:p>
    <w:p>
      <w:pPr>
        <w:spacing w:line="240" w:lineRule="auto" w:before="14"/>
        <w:rPr>
          <w:rFonts w:ascii="Microsoft JhengHei" w:hAnsi="Microsoft JhengHei" w:cs="Microsoft JhengHei" w:eastAsia="Microsoft JhengHei" w:hint="default"/>
          <w:b/>
          <w:bCs/>
          <w:sz w:val="15"/>
          <w:szCs w:val="15"/>
        </w:rPr>
      </w:pPr>
    </w:p>
    <w:p>
      <w:pPr>
        <w:spacing w:after="0" w:line="240" w:lineRule="auto"/>
        <w:rPr>
          <w:rFonts w:ascii="Microsoft JhengHei" w:hAnsi="Microsoft JhengHei" w:cs="Microsoft JhengHei" w:eastAsia="Microsoft JhengHei" w:hint="default"/>
          <w:sz w:val="15"/>
          <w:szCs w:val="15"/>
        </w:rPr>
        <w:sectPr>
          <w:pgSz w:w="11910" w:h="16840"/>
          <w:pgMar w:header="745" w:footer="979" w:top="1060" w:bottom="1160" w:left="980" w:right="980"/>
        </w:sectPr>
      </w:pPr>
    </w:p>
    <w:p>
      <w:pPr>
        <w:pStyle w:val="BodyText"/>
        <w:spacing w:line="240" w:lineRule="auto" w:before="44"/>
        <w:ind w:right="-1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3"/>
        <w:ind w:right="-18"/>
        <w:jc w:val="left"/>
      </w:pPr>
      <w:r>
        <w:rPr/>
        <w:t>主要子公司及对公司净利润影响达</w:t>
      </w:r>
      <w:r>
        <w:rPr>
          <w:spacing w:val="-44"/>
        </w:rPr>
        <w:t> </w:t>
      </w:r>
      <w:r>
        <w:rPr>
          <w:rFonts w:ascii="Times New Roman" w:hAnsi="Times New Roman" w:cs="Times New Roman" w:eastAsia="Times New Roman" w:hint="default"/>
        </w:rPr>
        <w:t>10%</w:t>
      </w:r>
      <w:r>
        <w:rPr/>
        <w:t>以上的参股公司情况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060" w:bottom="1160" w:left="980" w:right="980"/>
          <w:cols w:num="2" w:equalWidth="0">
            <w:col w:w="4851" w:space="4069"/>
            <w:col w:w="1030"/>
          </w:cols>
        </w:sectPr>
      </w:pPr>
    </w:p>
    <w:p>
      <w:pPr>
        <w:spacing w:line="240" w:lineRule="auto" w:before="2"/>
        <w:rPr>
          <w:rFonts w:ascii="宋体" w:hAnsi="宋体" w:cs="宋体" w:eastAsia="宋体" w:hint="default"/>
          <w:sz w:val="8"/>
          <w:szCs w:val="8"/>
        </w:rPr>
      </w:pPr>
    </w:p>
    <w:tbl>
      <w:tblPr>
        <w:tblW w:w="0" w:type="auto"/>
        <w:jc w:val="left"/>
        <w:tblInd w:w="119" w:type="dxa"/>
        <w:tblLayout w:type="fixed"/>
        <w:tblCellMar>
          <w:top w:w="0" w:type="dxa"/>
          <w:left w:w="0" w:type="dxa"/>
          <w:bottom w:w="0" w:type="dxa"/>
          <w:right w:w="0" w:type="dxa"/>
        </w:tblCellMar>
        <w:tblLook w:val="01E0"/>
      </w:tblPr>
      <w:tblGrid>
        <w:gridCol w:w="924"/>
        <w:gridCol w:w="1073"/>
        <w:gridCol w:w="920"/>
        <w:gridCol w:w="919"/>
        <w:gridCol w:w="1316"/>
        <w:gridCol w:w="1181"/>
        <w:gridCol w:w="1181"/>
        <w:gridCol w:w="1092"/>
        <w:gridCol w:w="1092"/>
      </w:tblGrid>
      <w:tr>
        <w:trPr>
          <w:trHeight w:val="403" w:hRule="exact"/>
        </w:trPr>
        <w:tc>
          <w:tcPr>
            <w:tcW w:w="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8"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10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70"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9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5" w:right="0"/>
              <w:jc w:val="left"/>
              <w:rPr>
                <w:rFonts w:ascii="宋体" w:hAnsi="宋体" w:cs="宋体" w:eastAsia="宋体" w:hint="default"/>
                <w:sz w:val="18"/>
                <w:szCs w:val="18"/>
              </w:rPr>
            </w:pPr>
            <w:r>
              <w:rPr>
                <w:rFonts w:ascii="宋体" w:hAnsi="宋体" w:cs="宋体" w:eastAsia="宋体" w:hint="default"/>
                <w:sz w:val="18"/>
                <w:szCs w:val="18"/>
              </w:rPr>
              <w:t>主要业务</w:t>
            </w:r>
          </w:p>
        </w:tc>
        <w:tc>
          <w:tcPr>
            <w:tcW w:w="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5"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3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6"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79"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10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1" w:right="0"/>
              <w:jc w:val="left"/>
              <w:rPr>
                <w:rFonts w:ascii="宋体" w:hAnsi="宋体" w:cs="宋体" w:eastAsia="宋体" w:hint="default"/>
                <w:sz w:val="18"/>
                <w:szCs w:val="18"/>
              </w:rPr>
            </w:pPr>
            <w:r>
              <w:rPr>
                <w:rFonts w:ascii="宋体" w:hAnsi="宋体" w:cs="宋体" w:eastAsia="宋体" w:hint="default"/>
                <w:sz w:val="18"/>
                <w:szCs w:val="18"/>
              </w:rPr>
              <w:t>净利润</w:t>
            </w:r>
          </w:p>
        </w:tc>
      </w:tr>
      <w:tr>
        <w:trPr>
          <w:trHeight w:val="1025" w:hRule="exact"/>
        </w:trPr>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群興玩具</w:t>
            </w:r>
          </w:p>
          <w:p>
            <w:pPr>
              <w:pStyle w:val="TableParagraph"/>
              <w:spacing w:line="316" w:lineRule="auto" w:before="76"/>
              <w:ind w:left="24" w:right="19"/>
              <w:jc w:val="left"/>
              <w:rPr>
                <w:rFonts w:ascii="宋体" w:hAnsi="宋体" w:cs="宋体" w:eastAsia="宋体" w:hint="default"/>
                <w:sz w:val="18"/>
                <w:szCs w:val="18"/>
              </w:rPr>
            </w:pPr>
            <w:r>
              <w:rPr>
                <w:rFonts w:ascii="宋体" w:hAnsi="宋体" w:cs="宋体" w:eastAsia="宋体" w:hint="default"/>
                <w:spacing w:val="-7"/>
                <w:sz w:val="18"/>
                <w:szCs w:val="18"/>
              </w:rPr>
              <w:t>（香港）有</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限公司</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贸易</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美元</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235,943.89</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235,943.89</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-79,721.61</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-79,721.61</w:t>
            </w:r>
          </w:p>
        </w:tc>
      </w:tr>
      <w:tr>
        <w:trPr>
          <w:trHeight w:val="1028" w:hRule="exact"/>
        </w:trPr>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68"/>
              <w:jc w:val="both"/>
              <w:rPr>
                <w:rFonts w:ascii="宋体" w:hAnsi="宋体" w:cs="宋体" w:eastAsia="宋体" w:hint="default"/>
                <w:sz w:val="18"/>
                <w:szCs w:val="18"/>
              </w:rPr>
            </w:pPr>
            <w:r>
              <w:rPr>
                <w:rFonts w:ascii="宋体" w:hAnsi="宋体" w:cs="宋体" w:eastAsia="宋体" w:hint="default"/>
                <w:sz w:val="18"/>
                <w:szCs w:val="18"/>
              </w:rPr>
              <w:t>汕头市童 乐乐玩具 有限公司</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164"/>
              <w:jc w:val="left"/>
              <w:rPr>
                <w:rFonts w:ascii="宋体" w:hAnsi="宋体" w:cs="宋体" w:eastAsia="宋体" w:hint="default"/>
                <w:sz w:val="18"/>
                <w:szCs w:val="18"/>
              </w:rPr>
            </w:pPr>
            <w:r>
              <w:rPr>
                <w:rFonts w:ascii="宋体" w:hAnsi="宋体" w:cs="宋体" w:eastAsia="宋体" w:hint="default"/>
                <w:sz w:val="18"/>
                <w:szCs w:val="18"/>
              </w:rPr>
              <w:t>玩具生产 制造销售</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131,020,651.22</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23,729,175.59</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-1,837,751.37</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-1,836,041.97</w:t>
            </w:r>
          </w:p>
        </w:tc>
      </w:tr>
      <w:tr>
        <w:trPr>
          <w:trHeight w:val="1337" w:hRule="exact"/>
        </w:trPr>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68"/>
              <w:jc w:val="both"/>
              <w:rPr>
                <w:rFonts w:ascii="宋体" w:hAnsi="宋体" w:cs="宋体" w:eastAsia="宋体" w:hint="default"/>
                <w:sz w:val="18"/>
                <w:szCs w:val="18"/>
              </w:rPr>
            </w:pPr>
            <w:r>
              <w:rPr>
                <w:rFonts w:ascii="宋体" w:hAnsi="宋体" w:cs="宋体" w:eastAsia="宋体" w:hint="default"/>
                <w:sz w:val="18"/>
                <w:szCs w:val="18"/>
              </w:rPr>
              <w:t>广东省粤 科融资租 赁有限公 司</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参股公司</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融资租赁</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62,000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4,013,201,708.25</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948,467,372.08</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249,365,616.13</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86,130,963.21</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65,169,245.15</w:t>
            </w:r>
          </w:p>
        </w:tc>
      </w:tr>
      <w:tr>
        <w:trPr>
          <w:trHeight w:val="1340" w:hRule="exact"/>
        </w:trPr>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68"/>
              <w:jc w:val="both"/>
              <w:rPr>
                <w:rFonts w:ascii="宋体" w:hAnsi="宋体" w:cs="宋体" w:eastAsia="宋体" w:hint="default"/>
                <w:sz w:val="18"/>
                <w:szCs w:val="18"/>
              </w:rPr>
            </w:pPr>
            <w:r>
              <w:rPr>
                <w:rFonts w:ascii="宋体" w:hAnsi="宋体" w:cs="宋体" w:eastAsia="宋体" w:hint="default"/>
                <w:sz w:val="18"/>
                <w:szCs w:val="18"/>
              </w:rPr>
              <w:t>西藏群兴 文化发展 有限责任 公司</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文化创意</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98,383,560.26</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4,249,286.91</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-5,214,273.26</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-5,214,342.13</w:t>
            </w:r>
          </w:p>
        </w:tc>
      </w:tr>
      <w:tr>
        <w:trPr>
          <w:trHeight w:val="986" w:hRule="exact"/>
        </w:trPr>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
              <w:jc w:val="both"/>
              <w:rPr>
                <w:rFonts w:ascii="宋体" w:hAnsi="宋体" w:cs="宋体" w:eastAsia="宋体" w:hint="default"/>
                <w:sz w:val="18"/>
                <w:szCs w:val="18"/>
              </w:rPr>
            </w:pPr>
            <w:r>
              <w:rPr>
                <w:rFonts w:ascii="宋体" w:hAnsi="宋体" w:cs="宋体" w:eastAsia="宋体" w:hint="default"/>
                <w:spacing w:val="-7"/>
                <w:sz w:val="18"/>
                <w:szCs w:val="18"/>
              </w:rPr>
              <w:t>歌乐宝（汕</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7"/>
                <w:sz w:val="18"/>
                <w:szCs w:val="18"/>
              </w:rPr>
              <w:t>头）网络科</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技有限公</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314" w:lineRule="auto"/>
              <w:ind w:left="23" w:right="164"/>
              <w:jc w:val="left"/>
              <w:rPr>
                <w:rFonts w:ascii="宋体" w:hAnsi="宋体" w:cs="宋体" w:eastAsia="宋体" w:hint="default"/>
                <w:sz w:val="18"/>
                <w:szCs w:val="18"/>
              </w:rPr>
            </w:pPr>
            <w:r>
              <w:rPr>
                <w:rFonts w:ascii="宋体" w:hAnsi="宋体" w:cs="宋体" w:eastAsia="宋体" w:hint="default"/>
                <w:sz w:val="18"/>
                <w:szCs w:val="18"/>
              </w:rPr>
              <w:t>商品渠道 销售</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right="19"/>
              <w:jc w:val="right"/>
              <w:rPr>
                <w:rFonts w:ascii="Times New Roman" w:hAnsi="Times New Roman" w:cs="Times New Roman" w:eastAsia="Times New Roman" w:hint="default"/>
                <w:sz w:val="18"/>
                <w:szCs w:val="18"/>
              </w:rPr>
            </w:pPr>
            <w:r>
              <w:rPr>
                <w:rFonts w:ascii="Times New Roman"/>
                <w:spacing w:val="-1"/>
                <w:sz w:val="18"/>
              </w:rPr>
              <w:t>999,879.31</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right="19"/>
              <w:jc w:val="right"/>
              <w:rPr>
                <w:rFonts w:ascii="Times New Roman" w:hAnsi="Times New Roman" w:cs="Times New Roman" w:eastAsia="Times New Roman" w:hint="default"/>
                <w:sz w:val="18"/>
                <w:szCs w:val="18"/>
              </w:rPr>
            </w:pPr>
            <w:r>
              <w:rPr>
                <w:rFonts w:ascii="Times New Roman"/>
                <w:spacing w:val="-1"/>
                <w:sz w:val="18"/>
              </w:rPr>
              <w:t>999,879.31</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right="21"/>
              <w:jc w:val="right"/>
              <w:rPr>
                <w:rFonts w:ascii="Times New Roman" w:hAnsi="Times New Roman" w:cs="Times New Roman" w:eastAsia="Times New Roman" w:hint="default"/>
                <w:sz w:val="18"/>
                <w:szCs w:val="18"/>
              </w:rPr>
            </w:pPr>
            <w:r>
              <w:rPr>
                <w:rFonts w:ascii="Times New Roman"/>
                <w:spacing w:val="-1"/>
                <w:sz w:val="18"/>
              </w:rPr>
              <w:t>-120.69</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right="21"/>
              <w:jc w:val="right"/>
              <w:rPr>
                <w:rFonts w:ascii="Times New Roman" w:hAnsi="Times New Roman" w:cs="Times New Roman" w:eastAsia="Times New Roman" w:hint="default"/>
                <w:sz w:val="18"/>
                <w:szCs w:val="18"/>
              </w:rPr>
            </w:pPr>
            <w:r>
              <w:rPr>
                <w:rFonts w:ascii="Times New Roman"/>
                <w:spacing w:val="-1"/>
                <w:sz w:val="18"/>
              </w:rPr>
              <w:t>-120.69</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980"/>
        </w:sectPr>
      </w:pPr>
    </w:p>
    <w:p>
      <w:pPr>
        <w:spacing w:line="240" w:lineRule="auto" w:before="6"/>
        <w:rPr>
          <w:rFonts w:ascii="宋体" w:hAnsi="宋体" w:cs="宋体" w:eastAsia="宋体" w:hint="default"/>
          <w:sz w:val="28"/>
          <w:szCs w:val="28"/>
        </w:rPr>
      </w:pPr>
    </w:p>
    <w:tbl>
      <w:tblPr>
        <w:tblW w:w="0" w:type="auto"/>
        <w:jc w:val="left"/>
        <w:tblInd w:w="119" w:type="dxa"/>
        <w:tblLayout w:type="fixed"/>
        <w:tblCellMar>
          <w:top w:w="0" w:type="dxa"/>
          <w:left w:w="0" w:type="dxa"/>
          <w:bottom w:w="0" w:type="dxa"/>
          <w:right w:w="0" w:type="dxa"/>
        </w:tblCellMar>
        <w:tblLook w:val="01E0"/>
      </w:tblPr>
      <w:tblGrid>
        <w:gridCol w:w="924"/>
        <w:gridCol w:w="1073"/>
        <w:gridCol w:w="920"/>
        <w:gridCol w:w="919"/>
        <w:gridCol w:w="1316"/>
        <w:gridCol w:w="1181"/>
        <w:gridCol w:w="1181"/>
        <w:gridCol w:w="1092"/>
        <w:gridCol w:w="1092"/>
      </w:tblGrid>
      <w:tr>
        <w:trPr>
          <w:trHeight w:val="363" w:hRule="exact"/>
        </w:trPr>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073"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68"/>
              <w:jc w:val="both"/>
              <w:rPr>
                <w:rFonts w:ascii="宋体" w:hAnsi="宋体" w:cs="宋体" w:eastAsia="宋体" w:hint="default"/>
                <w:sz w:val="18"/>
                <w:szCs w:val="18"/>
              </w:rPr>
            </w:pPr>
            <w:r>
              <w:rPr>
                <w:rFonts w:ascii="宋体" w:hAnsi="宋体" w:cs="宋体" w:eastAsia="宋体" w:hint="default"/>
                <w:sz w:val="18"/>
                <w:szCs w:val="18"/>
              </w:rPr>
              <w:t>西藏蓝道 智能交通 科技有限 责任公司</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技术研发</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60" w:right="0"/>
              <w:jc w:val="left"/>
              <w:rPr>
                <w:rFonts w:ascii="Times New Roman" w:hAnsi="Times New Roman" w:cs="Times New Roman" w:eastAsia="Times New Roman" w:hint="default"/>
                <w:sz w:val="18"/>
                <w:szCs w:val="18"/>
              </w:rPr>
            </w:pPr>
            <w:r>
              <w:rPr>
                <w:rFonts w:ascii="Times New Roman"/>
                <w:sz w:val="18"/>
              </w:rPr>
              <w:t>-5,070.14</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369" w:right="0"/>
              <w:jc w:val="left"/>
              <w:rPr>
                <w:rFonts w:ascii="Times New Roman" w:hAnsi="Times New Roman" w:cs="Times New Roman" w:eastAsia="Times New Roman" w:hint="default"/>
                <w:sz w:val="18"/>
                <w:szCs w:val="18"/>
              </w:rPr>
            </w:pPr>
            <w:r>
              <w:rPr>
                <w:rFonts w:ascii="Times New Roman"/>
                <w:sz w:val="18"/>
              </w:rPr>
              <w:t>-4,870.14</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369" w:right="0"/>
              <w:jc w:val="left"/>
              <w:rPr>
                <w:rFonts w:ascii="Times New Roman" w:hAnsi="Times New Roman" w:cs="Times New Roman" w:eastAsia="Times New Roman" w:hint="default"/>
                <w:sz w:val="18"/>
                <w:szCs w:val="18"/>
              </w:rPr>
            </w:pPr>
            <w:r>
              <w:rPr>
                <w:rFonts w:ascii="Times New Roman"/>
                <w:sz w:val="18"/>
              </w:rPr>
              <w:t>-5,070.14</w:t>
            </w:r>
          </w:p>
        </w:tc>
      </w:tr>
    </w:tbl>
    <w:p>
      <w:pPr>
        <w:pStyle w:val="BodyText"/>
        <w:spacing w:line="240" w:lineRule="auto" w:before="49"/>
        <w:ind w:right="94"/>
        <w:jc w:val="left"/>
      </w:pPr>
      <w:r>
        <w:rPr/>
        <w:t>报告期内取得和处置子公司的情况</w:t>
      </w:r>
    </w:p>
    <w:p>
      <w:pPr>
        <w:pStyle w:val="BodyText"/>
        <w:spacing w:line="240" w:lineRule="auto" w:before="117"/>
        <w:ind w:right="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31" w:right="0"/>
              <w:jc w:val="left"/>
              <w:rPr>
                <w:rFonts w:ascii="宋体" w:hAnsi="宋体" w:cs="宋体" w:eastAsia="宋体" w:hint="default"/>
                <w:sz w:val="18"/>
                <w:szCs w:val="18"/>
              </w:rPr>
            </w:pPr>
            <w:r>
              <w:rPr>
                <w:rFonts w:ascii="宋体" w:hAnsi="宋体" w:cs="宋体" w:eastAsia="宋体" w:hint="default"/>
                <w:sz w:val="18"/>
                <w:szCs w:val="18"/>
              </w:rPr>
              <w:t>报告期内取得和处置子公司方式</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19" w:right="0"/>
              <w:jc w:val="left"/>
              <w:rPr>
                <w:rFonts w:ascii="宋体" w:hAnsi="宋体" w:cs="宋体" w:eastAsia="宋体" w:hint="default"/>
                <w:sz w:val="18"/>
                <w:szCs w:val="18"/>
              </w:rPr>
            </w:pPr>
            <w:r>
              <w:rPr>
                <w:rFonts w:ascii="宋体" w:hAnsi="宋体" w:cs="宋体" w:eastAsia="宋体" w:hint="default"/>
                <w:sz w:val="18"/>
                <w:szCs w:val="18"/>
              </w:rPr>
              <w:t>对整体生产经营和业绩的影响</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歌乐宝（汕头）网络科技有限公司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Times New Roman" w:hAnsi="Times New Roman" w:cs="Times New Roman" w:eastAsia="Times New Roman" w:hint="default"/>
                <w:sz w:val="18"/>
                <w:szCs w:val="18"/>
              </w:rPr>
              <w:t>-120.69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西藏蓝道智能交通科技有限责任公司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
              <w:jc w:val="right"/>
              <w:rPr>
                <w:rFonts w:ascii="宋体" w:hAnsi="宋体" w:cs="宋体" w:eastAsia="宋体" w:hint="default"/>
                <w:sz w:val="18"/>
                <w:szCs w:val="18"/>
              </w:rPr>
            </w:pPr>
            <w:r>
              <w:rPr>
                <w:rFonts w:ascii="Times New Roman" w:hAnsi="Times New Roman" w:cs="Times New Roman" w:eastAsia="Times New Roman" w:hint="default"/>
                <w:sz w:val="18"/>
                <w:szCs w:val="18"/>
              </w:rPr>
              <w:t>-5,070.14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tc>
      </w:tr>
    </w:tbl>
    <w:p>
      <w:pPr>
        <w:pStyle w:val="BodyText"/>
        <w:spacing w:line="240" w:lineRule="auto" w:before="49"/>
        <w:ind w:right="0"/>
        <w:jc w:val="both"/>
      </w:pPr>
      <w:r>
        <w:rPr/>
        <w:t>主要控股参股公司情况说明：无。</w:t>
      </w:r>
    </w:p>
    <w:p>
      <w:pPr>
        <w:spacing w:line="240" w:lineRule="auto" w:before="3"/>
        <w:rPr>
          <w:rFonts w:ascii="宋体" w:hAnsi="宋体" w:cs="宋体" w:eastAsia="宋体" w:hint="default"/>
          <w:sz w:val="19"/>
          <w:szCs w:val="19"/>
        </w:rPr>
      </w:pPr>
    </w:p>
    <w:p>
      <w:pPr>
        <w:pStyle w:val="Heading2"/>
        <w:spacing w:line="240" w:lineRule="auto"/>
        <w:ind w:right="0"/>
        <w:jc w:val="both"/>
        <w:rPr>
          <w:b w:val="0"/>
          <w:bCs w:val="0"/>
        </w:rPr>
      </w:pPr>
      <w:r>
        <w:rPr/>
        <w:t>八、公司控制的结构化主体情况</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5"/>
        <w:rPr>
          <w:rFonts w:ascii="宋体" w:hAnsi="宋体" w:cs="宋体" w:eastAsia="宋体" w:hint="default"/>
          <w:sz w:val="18"/>
          <w:szCs w:val="18"/>
        </w:rPr>
      </w:pPr>
    </w:p>
    <w:p>
      <w:pPr>
        <w:pStyle w:val="Heading2"/>
        <w:spacing w:line="240" w:lineRule="auto"/>
        <w:ind w:right="0"/>
        <w:jc w:val="both"/>
        <w:rPr>
          <w:b w:val="0"/>
          <w:bCs w:val="0"/>
        </w:rPr>
      </w:pPr>
      <w:r>
        <w:rPr/>
        <w:t>九、公司未来发展的展望</w:t>
      </w:r>
      <w:r>
        <w:rPr>
          <w:b w:val="0"/>
          <w:bCs w:val="0"/>
        </w:rPr>
      </w:r>
    </w:p>
    <w:p>
      <w:pPr>
        <w:spacing w:line="240" w:lineRule="auto" w:before="13"/>
        <w:rPr>
          <w:rFonts w:ascii="Microsoft JhengHei" w:hAnsi="Microsoft JhengHei" w:cs="Microsoft JhengHei" w:eastAsia="Microsoft JhengHei" w:hint="default"/>
          <w:b/>
          <w:bCs/>
          <w:sz w:val="17"/>
          <w:szCs w:val="17"/>
        </w:rPr>
      </w:pPr>
    </w:p>
    <w:p>
      <w:pPr>
        <w:pStyle w:val="Heading3"/>
        <w:spacing w:line="240" w:lineRule="auto"/>
        <w:ind w:left="575" w:right="94"/>
        <w:jc w:val="left"/>
        <w:rPr>
          <w:b w:val="0"/>
          <w:bCs w:val="0"/>
        </w:rPr>
      </w:pPr>
      <w:r>
        <w:rPr>
          <w:rFonts w:ascii="Trebuchet MS" w:hAnsi="Trebuchet MS" w:cs="Trebuchet MS" w:eastAsia="Trebuchet MS" w:hint="default"/>
        </w:rPr>
        <w:t>1</w:t>
      </w:r>
      <w:r>
        <w:rPr/>
        <w:t>、公司所处行业格局及趋势</w:t>
      </w:r>
      <w:r>
        <w:rPr>
          <w:b w:val="0"/>
          <w:bCs w:val="0"/>
        </w:rPr>
      </w:r>
    </w:p>
    <w:p>
      <w:pPr>
        <w:spacing w:line="240" w:lineRule="auto" w:before="7"/>
        <w:rPr>
          <w:rFonts w:ascii="Microsoft JhengHei" w:hAnsi="Microsoft JhengHei" w:cs="Microsoft JhengHei" w:eastAsia="Microsoft JhengHei" w:hint="default"/>
          <w:b/>
          <w:bCs/>
          <w:sz w:val="13"/>
          <w:szCs w:val="13"/>
        </w:rPr>
      </w:pPr>
    </w:p>
    <w:p>
      <w:pPr>
        <w:pStyle w:val="BodyText"/>
        <w:spacing w:line="240" w:lineRule="auto"/>
        <w:ind w:left="513" w:right="94"/>
        <w:jc w:val="left"/>
      </w:pPr>
      <w:r>
        <w:rPr/>
        <w:t>（</w:t>
      </w:r>
      <w:r>
        <w:rPr>
          <w:rFonts w:ascii="宋体" w:hAnsi="宋体" w:cs="宋体" w:eastAsia="宋体" w:hint="default"/>
        </w:rPr>
        <w:t>1</w:t>
      </w:r>
      <w:r>
        <w:rPr/>
        <w:t>）行业格局</w:t>
      </w:r>
    </w:p>
    <w:p>
      <w:pPr>
        <w:spacing w:line="240" w:lineRule="auto" w:before="9"/>
        <w:rPr>
          <w:rFonts w:ascii="宋体" w:hAnsi="宋体" w:cs="宋体" w:eastAsia="宋体" w:hint="default"/>
          <w:sz w:val="20"/>
          <w:szCs w:val="20"/>
        </w:rPr>
      </w:pPr>
    </w:p>
    <w:p>
      <w:pPr>
        <w:pStyle w:val="BodyText"/>
        <w:spacing w:line="477" w:lineRule="auto"/>
        <w:ind w:right="94" w:firstLine="360"/>
        <w:jc w:val="left"/>
      </w:pPr>
      <w:r>
        <w:rPr>
          <w:spacing w:val="-1"/>
        </w:rPr>
        <w:t>从全球玩具行业来看，世界著名玩具品牌主要集中在发达国家，如丹麦（乐高</w:t>
      </w:r>
      <w:r>
        <w:rPr>
          <w:spacing w:val="-15"/>
        </w:rPr>
        <w:t> </w:t>
      </w:r>
      <w:r>
        <w:rPr>
          <w:rFonts w:ascii="宋体" w:hAnsi="宋体" w:cs="宋体" w:eastAsia="宋体" w:hint="default"/>
          <w:spacing w:val="-2"/>
        </w:rPr>
        <w:t>LEGO</w:t>
      </w:r>
      <w:r>
        <w:rPr>
          <w:spacing w:val="-2"/>
        </w:rPr>
        <w:t>）、美国（美泰、</w:t>
      </w:r>
      <w:r>
        <w:rPr>
          <w:rFonts w:ascii="宋体" w:hAnsi="宋体" w:cs="宋体" w:eastAsia="宋体" w:hint="default"/>
          <w:spacing w:val="-2"/>
        </w:rPr>
        <w:t>Mattel</w:t>
      </w:r>
      <w:r>
        <w:rPr>
          <w:spacing w:val="-2"/>
        </w:rPr>
        <w:t>；孩之宝、</w:t>
      </w:r>
      <w:r>
        <w:rPr/>
        <w:t> </w:t>
      </w:r>
      <w:r>
        <w:rPr>
          <w:rFonts w:ascii="宋体" w:hAnsi="宋体" w:cs="宋体" w:eastAsia="宋体" w:hint="default"/>
        </w:rPr>
        <w:t>Hasbro</w:t>
      </w:r>
      <w:r>
        <w:rPr/>
        <w:t>）、日本（万代、</w:t>
      </w:r>
      <w:r>
        <w:rPr>
          <w:rFonts w:ascii="宋体" w:hAnsi="宋体" w:cs="宋体" w:eastAsia="宋体" w:hint="default"/>
        </w:rPr>
        <w:t>Bandai</w:t>
      </w:r>
      <w:r>
        <w:rPr/>
        <w:t>；多美、</w:t>
      </w:r>
      <w:r>
        <w:rPr>
          <w:rFonts w:ascii="宋体" w:hAnsi="宋体" w:cs="宋体" w:eastAsia="宋体" w:hint="default"/>
        </w:rPr>
        <w:t>TOMY</w:t>
      </w:r>
      <w:r>
        <w:rPr/>
        <w:t>），发展历程长，品牌知名度高、资金和技术实力雄厚，处于行业领先地位， 借其规模、品牌影响力、研发能力和销售渠道，位于全球玩具市场前沿，依靠“品牌</w:t>
      </w:r>
      <w:r>
        <w:rPr>
          <w:rFonts w:ascii="宋体" w:hAnsi="宋体" w:cs="宋体" w:eastAsia="宋体" w:hint="default"/>
        </w:rPr>
        <w:t>+</w:t>
      </w:r>
      <w:r>
        <w:rPr/>
        <w:t>渠道”的成熟商业模式占领玩具产业</w:t>
      </w:r>
      <w:r>
        <w:rPr>
          <w:spacing w:val="-83"/>
        </w:rPr>
        <w:t> </w:t>
      </w:r>
      <w:r>
        <w:rPr>
          <w:spacing w:val="-83"/>
        </w:rPr>
      </w:r>
      <w:r>
        <w:rPr/>
        <w:t>链的高附加值环节，主导全球玩具的高端市场。</w:t>
      </w:r>
    </w:p>
    <w:p>
      <w:pPr>
        <w:pStyle w:val="BodyText"/>
        <w:spacing w:line="477" w:lineRule="auto" w:before="95"/>
        <w:ind w:right="195" w:firstLine="360"/>
        <w:jc w:val="both"/>
      </w:pPr>
      <w:r>
        <w:rPr>
          <w:spacing w:val="-2"/>
        </w:rPr>
        <w:t>相比之下，我国虽然是玩具生产大国，但主要以贴牌生产、代工、出口、仿制方式进行运营，生产规模偏小，品牌影响</w:t>
      </w:r>
      <w:r>
        <w:rPr/>
        <w:t> </w:t>
      </w:r>
      <w:r>
        <w:rPr>
          <w:spacing w:val="-2"/>
        </w:rPr>
        <w:t>较弱，价格竞争激烈，缺乏自主创新，产品同质化严重。近几年，受人工成本和原材料价格上涨、出口门槛提高、利率波幅</w:t>
      </w:r>
      <w:r>
        <w:rPr>
          <w:spacing w:val="-73"/>
        </w:rPr>
        <w:t> </w:t>
      </w:r>
      <w:r>
        <w:rPr>
          <w:spacing w:val="-73"/>
        </w:rPr>
      </w:r>
      <w:r>
        <w:rPr/>
        <w:t>变动大等因素困扰，国内玩具产业的利润水平呈下降趋势。</w:t>
      </w:r>
    </w:p>
    <w:p>
      <w:pPr>
        <w:pStyle w:val="BodyText"/>
        <w:spacing w:line="240" w:lineRule="auto" w:before="95"/>
        <w:ind w:left="513" w:right="94"/>
        <w:jc w:val="left"/>
      </w:pPr>
      <w:r>
        <w:rPr/>
        <w:t>（</w:t>
      </w:r>
      <w:r>
        <w:rPr>
          <w:rFonts w:ascii="宋体" w:hAnsi="宋体" w:cs="宋体" w:eastAsia="宋体" w:hint="default"/>
        </w:rPr>
        <w:t>2</w:t>
      </w:r>
      <w:r>
        <w:rPr/>
        <w:t>）发展趋势</w:t>
      </w:r>
    </w:p>
    <w:p>
      <w:pPr>
        <w:spacing w:line="240" w:lineRule="auto" w:before="9"/>
        <w:rPr>
          <w:rFonts w:ascii="宋体" w:hAnsi="宋体" w:cs="宋体" w:eastAsia="宋体" w:hint="default"/>
          <w:sz w:val="20"/>
          <w:szCs w:val="20"/>
        </w:rPr>
      </w:pPr>
    </w:p>
    <w:p>
      <w:pPr>
        <w:pStyle w:val="BodyText"/>
        <w:spacing w:line="518" w:lineRule="auto"/>
        <w:ind w:left="513" w:right="94"/>
        <w:jc w:val="left"/>
      </w:pPr>
      <w:r>
        <w:rPr/>
        <w:t>①质量和安全标准日益提高 </w:t>
      </w:r>
      <w:r>
        <w:rPr>
          <w:spacing w:val="-2"/>
        </w:rPr>
        <w:t>随着消费意识逐步提高，人们在关注传统产品质量之外，越来越重视产品安全与环保。玩具主要消费群体是儿童，为保</w:t>
      </w:r>
    </w:p>
    <w:p>
      <w:pPr>
        <w:pStyle w:val="BodyText"/>
        <w:spacing w:line="477" w:lineRule="auto" w:before="23"/>
        <w:ind w:right="190"/>
        <w:jc w:val="both"/>
      </w:pPr>
      <w:r>
        <w:rPr>
          <w:spacing w:val="-2"/>
        </w:rPr>
        <w:t>障儿童身心健康和安全，玩具产品必须符合安全和环保规定。我国对玩具的质量和安全性实行强制性认证；美国实行玩具产</w:t>
      </w:r>
      <w:r>
        <w:rPr>
          <w:spacing w:val="-63"/>
        </w:rPr>
        <w:t> </w:t>
      </w:r>
      <w:r>
        <w:rPr>
          <w:spacing w:val="-63"/>
        </w:rPr>
      </w:r>
      <w:r>
        <w:rPr/>
        <w:t>品安全认证计划，欧盟出台</w:t>
      </w:r>
      <w:r>
        <w:rPr>
          <w:spacing w:val="-64"/>
        </w:rPr>
        <w:t> </w:t>
      </w:r>
      <w:r>
        <w:rPr>
          <w:rFonts w:ascii="宋体" w:hAnsi="宋体" w:cs="宋体" w:eastAsia="宋体" w:hint="default"/>
          <w:spacing w:val="-3"/>
        </w:rPr>
        <w:t>ROHS</w:t>
      </w:r>
      <w:r>
        <w:rPr>
          <w:spacing w:val="-3"/>
        </w:rPr>
        <w:t>、</w:t>
      </w:r>
      <w:r>
        <w:rPr>
          <w:rFonts w:ascii="宋体" w:hAnsi="宋体" w:cs="宋体" w:eastAsia="宋体" w:hint="default"/>
          <w:spacing w:val="-3"/>
        </w:rPr>
        <w:t>WEEE</w:t>
      </w:r>
      <w:r>
        <w:rPr>
          <w:spacing w:val="-3"/>
        </w:rPr>
        <w:t>、</w:t>
      </w:r>
      <w:r>
        <w:rPr>
          <w:rFonts w:ascii="宋体" w:hAnsi="宋体" w:cs="宋体" w:eastAsia="宋体" w:hint="default"/>
          <w:spacing w:val="-3"/>
        </w:rPr>
        <w:t>REACH</w:t>
      </w:r>
      <w:r>
        <w:rPr>
          <w:rFonts w:ascii="宋体" w:hAnsi="宋体" w:cs="宋体" w:eastAsia="宋体" w:hint="default"/>
          <w:spacing w:val="-63"/>
        </w:rPr>
        <w:t> </w:t>
      </w:r>
      <w:r>
        <w:rPr/>
        <w:t>等法规，确保玩具产品质量达到安全标准。数量众多的安全认证标准将推动 玩具行业产品在质量、安全、环保方面不断提升。</w:t>
      </w:r>
    </w:p>
    <w:p>
      <w:pPr>
        <w:pStyle w:val="BodyText"/>
        <w:spacing w:line="240" w:lineRule="auto" w:before="95"/>
        <w:ind w:left="513" w:right="94"/>
        <w:jc w:val="left"/>
      </w:pPr>
      <w:r>
        <w:rPr/>
        <w:t>②高科技含量玩具产品越来越受到消费者欢迎</w:t>
      </w:r>
    </w:p>
    <w:p>
      <w:pPr>
        <w:spacing w:after="0" w:line="240" w:lineRule="auto"/>
        <w:jc w:val="left"/>
        <w:sectPr>
          <w:pgSz w:w="11910" w:h="16840"/>
          <w:pgMar w:header="745" w:footer="979" w:top="1060" w:bottom="1160" w:left="980" w:right="94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477" w:lineRule="auto"/>
        <w:ind w:right="190" w:firstLine="360"/>
        <w:jc w:val="both"/>
      </w:pPr>
      <w:r>
        <w:rPr>
          <w:spacing w:val="-2"/>
        </w:rPr>
        <w:t>随着消费水平的提升以及科学技术的进步，高科技含量玩具产品越来越受到消费者喜欢。近年来越来越多声、光、电等</w:t>
      </w:r>
      <w:r>
        <w:rPr/>
        <w:t> </w:t>
      </w:r>
      <w:r>
        <w:rPr>
          <w:spacing w:val="-2"/>
        </w:rPr>
        <w:t>高科技手段以及最尖端的信息科技、机器人技术被运用到玩具上，相对于传统静态玩具和机械玩具，拥有较高科技含量电子</w:t>
      </w:r>
      <w:r>
        <w:rPr>
          <w:spacing w:val="-63"/>
        </w:rPr>
        <w:t> </w:t>
      </w:r>
      <w:r>
        <w:rPr>
          <w:spacing w:val="-63"/>
        </w:rPr>
      </w:r>
      <w:r>
        <w:rPr>
          <w:spacing w:val="-2"/>
        </w:rPr>
        <w:t>电动玩具在趣味性、互动性、教育性、声光效果方面，占据明显优势，高科技玩具在整体产业结构中所占比重不断上升。高</w:t>
      </w:r>
      <w:r>
        <w:rPr>
          <w:spacing w:val="-68"/>
        </w:rPr>
        <w:t> </w:t>
      </w:r>
      <w:r>
        <w:rPr>
          <w:spacing w:val="-68"/>
        </w:rPr>
      </w:r>
      <w:r>
        <w:rPr>
          <w:spacing w:val="-2"/>
        </w:rPr>
        <w:t>科技的介入，将促使中国玩具业离开低水平复制的恶性竞争，有利于玩具产业向高水平、健康的方向发展以及提升我国玩具</w:t>
      </w:r>
      <w:r>
        <w:rPr>
          <w:spacing w:val="-65"/>
        </w:rPr>
        <w:t> </w:t>
      </w:r>
      <w:r>
        <w:rPr>
          <w:spacing w:val="-65"/>
        </w:rPr>
      </w:r>
      <w:r>
        <w:rPr/>
        <w:t>业在国际国内高端市场上的竞争力。</w:t>
      </w:r>
    </w:p>
    <w:p>
      <w:pPr>
        <w:pStyle w:val="BodyText"/>
        <w:spacing w:line="516" w:lineRule="auto" w:before="95"/>
        <w:ind w:left="513" w:right="94"/>
        <w:jc w:val="left"/>
      </w:pPr>
      <w:r>
        <w:rPr/>
        <w:t>③产品更新换代速度加快，行业技术标准不断提高 </w:t>
      </w:r>
      <w:r>
        <w:rPr>
          <w:spacing w:val="-2"/>
        </w:rPr>
        <w:t>玩具产品在外观及功能上的潮流性将很大程度影响消费者的选择，同时随着消费水平的提高以及科学技术的进步，玩具</w:t>
      </w:r>
    </w:p>
    <w:p>
      <w:pPr>
        <w:pStyle w:val="BodyText"/>
        <w:spacing w:line="477" w:lineRule="auto" w:before="26"/>
        <w:ind w:right="94"/>
        <w:jc w:val="left"/>
      </w:pPr>
      <w:r>
        <w:rPr>
          <w:spacing w:val="-2"/>
        </w:rPr>
        <w:t>的产品更新速度不断加快。为了适应这一趋势，玩具企业必须不断加强相关能力的建设，包括拥有完全的自主产品研发设计</w:t>
      </w:r>
      <w:r>
        <w:rPr>
          <w:spacing w:val="-63"/>
        </w:rPr>
        <w:t> </w:t>
      </w:r>
      <w:r>
        <w:rPr>
          <w:spacing w:val="-63"/>
        </w:rPr>
      </w:r>
      <w:r>
        <w:rPr/>
        <w:t>与产品模具制作能力，同时拥有快速灵活的采购与生产体系，能紧跟市场潮流推出新产品。</w:t>
      </w:r>
    </w:p>
    <w:p>
      <w:pPr>
        <w:pStyle w:val="BodyText"/>
        <w:spacing w:line="240" w:lineRule="auto" w:before="95"/>
        <w:ind w:left="513" w:right="94"/>
        <w:jc w:val="left"/>
      </w:pPr>
      <w:r>
        <w:rPr/>
        <w:t>④市场逐渐向具有品牌影响力的企业集中</w:t>
      </w:r>
    </w:p>
    <w:p>
      <w:pPr>
        <w:spacing w:line="240" w:lineRule="auto" w:before="12"/>
        <w:rPr>
          <w:rFonts w:ascii="宋体" w:hAnsi="宋体" w:cs="宋体" w:eastAsia="宋体" w:hint="default"/>
          <w:sz w:val="20"/>
          <w:szCs w:val="20"/>
        </w:rPr>
      </w:pPr>
    </w:p>
    <w:p>
      <w:pPr>
        <w:pStyle w:val="BodyText"/>
        <w:spacing w:line="477" w:lineRule="auto"/>
        <w:ind w:right="189" w:firstLine="360"/>
        <w:jc w:val="both"/>
      </w:pPr>
      <w:r>
        <w:rPr/>
        <w:t>我国约</w:t>
      </w:r>
      <w:r>
        <w:rPr>
          <w:spacing w:val="-54"/>
        </w:rPr>
        <w:t> </w:t>
      </w:r>
      <w:r>
        <w:rPr>
          <w:rFonts w:ascii="宋体" w:hAnsi="宋体" w:cs="宋体" w:eastAsia="宋体" w:hint="default"/>
          <w:spacing w:val="-3"/>
        </w:rPr>
        <w:t>80%</w:t>
      </w:r>
      <w:r>
        <w:rPr>
          <w:spacing w:val="-3"/>
        </w:rPr>
        <w:t>以上的玩具企业为“</w:t>
      </w:r>
      <w:r>
        <w:rPr>
          <w:rFonts w:ascii="宋体" w:hAnsi="宋体" w:cs="宋体" w:eastAsia="宋体" w:hint="default"/>
          <w:spacing w:val="-3"/>
        </w:rPr>
        <w:t>OEM</w:t>
      </w:r>
      <w:r>
        <w:rPr>
          <w:spacing w:val="-3"/>
        </w:rPr>
        <w:t>”生产方式。</w:t>
      </w:r>
      <w:r>
        <w:rPr>
          <w:rFonts w:ascii="宋体" w:hAnsi="宋体" w:cs="宋体" w:eastAsia="宋体" w:hint="default"/>
          <w:spacing w:val="-3"/>
        </w:rPr>
        <w:t>OEM</w:t>
      </w:r>
      <w:r>
        <w:rPr>
          <w:rFonts w:ascii="宋体" w:hAnsi="宋体" w:cs="宋体" w:eastAsia="宋体" w:hint="default"/>
          <w:spacing w:val="-53"/>
        </w:rPr>
        <w:t> </w:t>
      </w:r>
      <w:r>
        <w:rPr/>
        <w:t>玩具企业缺乏自主创新，核心技术受制于人，存在因设计缺陷而被 </w:t>
      </w:r>
      <w:r>
        <w:rPr>
          <w:spacing w:val="-2"/>
        </w:rPr>
        <w:t>动承担责任的风险；同时市场与客户结构单一，利润率及抗风险能力低。相比代工、贴牌玩具企业，拥有自主品牌企业能灵</w:t>
      </w:r>
      <w:r>
        <w:rPr>
          <w:spacing w:val="-67"/>
        </w:rPr>
        <w:t> </w:t>
      </w:r>
      <w:r>
        <w:rPr>
          <w:spacing w:val="-67"/>
        </w:rPr>
      </w:r>
      <w:r>
        <w:rPr>
          <w:spacing w:val="-2"/>
        </w:rPr>
        <w:t>活根据市场变化快速研发设计各种畅销产品，获得更大的市场空间；同时拥有产品质量与企业信誉的一贯性承诺，自主品牌</w:t>
      </w:r>
      <w:r>
        <w:rPr>
          <w:spacing w:val="-62"/>
        </w:rPr>
        <w:t> </w:t>
      </w:r>
      <w:r>
        <w:rPr>
          <w:spacing w:val="-62"/>
        </w:rPr>
      </w:r>
      <w:r>
        <w:rPr/>
        <w:t>企业能获得更大市场份额。市场逐渐向具有品牌影响力企业集中是消费水平提高与行业发展的必然趋势。</w:t>
      </w:r>
    </w:p>
    <w:p>
      <w:pPr>
        <w:pStyle w:val="BodyText"/>
        <w:spacing w:line="518" w:lineRule="auto" w:before="92"/>
        <w:ind w:left="513" w:right="94"/>
        <w:jc w:val="left"/>
      </w:pPr>
      <w:r>
        <w:rPr/>
        <w:t>⑤电商时代带动玩具销售渠道升级 </w:t>
      </w:r>
      <w:r>
        <w:rPr>
          <w:spacing w:val="-2"/>
        </w:rPr>
        <w:t>传统销售渠道扁平化趋势已日趋明显，新兴玩具品牌如果还走传统的代理模式，将会限制品牌的长远发展。随着互联网</w:t>
      </w:r>
    </w:p>
    <w:p>
      <w:pPr>
        <w:pStyle w:val="BodyText"/>
        <w:spacing w:line="477" w:lineRule="auto" w:before="23"/>
        <w:ind w:right="94"/>
        <w:jc w:val="left"/>
      </w:pPr>
      <w:r>
        <w:rPr>
          <w:spacing w:val="-2"/>
        </w:rPr>
        <w:t>和电商时代到来将推动玩具行业销售渠道的升级，通过引入电商渠道实现电商与玩具实体店的融合，形成线上与线下共同促</w:t>
      </w:r>
      <w:r>
        <w:rPr>
          <w:spacing w:val="-64"/>
        </w:rPr>
        <w:t> </w:t>
      </w:r>
      <w:r>
        <w:rPr>
          <w:spacing w:val="-64"/>
        </w:rPr>
      </w:r>
      <w:r>
        <w:rPr/>
        <w:t>进的</w:t>
      </w:r>
      <w:r>
        <w:rPr>
          <w:spacing w:val="-46"/>
        </w:rPr>
        <w:t> </w:t>
      </w:r>
      <w:r>
        <w:rPr>
          <w:rFonts w:ascii="宋体" w:hAnsi="宋体" w:cs="宋体" w:eastAsia="宋体" w:hint="default"/>
        </w:rPr>
        <w:t>O2O</w:t>
      </w:r>
      <w:r>
        <w:rPr>
          <w:rFonts w:ascii="宋体" w:hAnsi="宋体" w:cs="宋体" w:eastAsia="宋体" w:hint="default"/>
          <w:spacing w:val="-46"/>
        </w:rPr>
        <w:t> </w:t>
      </w:r>
      <w:r>
        <w:rPr/>
        <w:t>模式将成为玩具销售渠道的发展趋势。</w:t>
      </w:r>
    </w:p>
    <w:p>
      <w:pPr>
        <w:pStyle w:val="Heading3"/>
        <w:spacing w:line="240" w:lineRule="auto" w:before="5"/>
        <w:ind w:left="575" w:right="94"/>
        <w:jc w:val="left"/>
        <w:rPr>
          <w:b w:val="0"/>
          <w:bCs w:val="0"/>
        </w:rPr>
      </w:pPr>
      <w:r>
        <w:rPr>
          <w:rFonts w:ascii="Trebuchet MS" w:hAnsi="Trebuchet MS" w:cs="Trebuchet MS" w:eastAsia="Trebuchet MS" w:hint="default"/>
        </w:rPr>
        <w:t>2</w:t>
      </w:r>
      <w:r>
        <w:rPr/>
        <w:t>、公司未来发展规划</w:t>
      </w:r>
      <w:r>
        <w:rPr>
          <w:b w:val="0"/>
          <w:bCs w:val="0"/>
        </w:rPr>
      </w:r>
    </w:p>
    <w:p>
      <w:pPr>
        <w:spacing w:line="240" w:lineRule="auto" w:before="4"/>
        <w:rPr>
          <w:rFonts w:ascii="Microsoft JhengHei" w:hAnsi="Microsoft JhengHei" w:cs="Microsoft JhengHei" w:eastAsia="Microsoft JhengHei" w:hint="default"/>
          <w:b/>
          <w:bCs/>
          <w:sz w:val="13"/>
          <w:szCs w:val="13"/>
        </w:rPr>
      </w:pPr>
    </w:p>
    <w:p>
      <w:pPr>
        <w:pStyle w:val="BodyText"/>
        <w:spacing w:line="477" w:lineRule="auto"/>
        <w:ind w:right="194" w:firstLine="360"/>
        <w:jc w:val="both"/>
      </w:pPr>
      <w:r>
        <w:rPr>
          <w:rFonts w:ascii="宋体" w:hAnsi="宋体" w:cs="宋体" w:eastAsia="宋体" w:hint="default"/>
        </w:rPr>
        <w:t>2018</w:t>
      </w:r>
      <w:r>
        <w:rPr>
          <w:rFonts w:ascii="宋体" w:hAnsi="宋体" w:cs="宋体" w:eastAsia="宋体" w:hint="default"/>
          <w:spacing w:val="2"/>
        </w:rPr>
        <w:t> </w:t>
      </w:r>
      <w:r>
        <w:rPr/>
        <w:t>年，公司将继续坚持“内涵发展、外延扩张”的发展模式，坚持产业转型、升级及第二主业拓展，通过内涵发展 推进玩具产业升级、通过外延式扩张拓展第二主业，确保公司持续发展，提升公司可持续盈利能力。</w:t>
      </w:r>
    </w:p>
    <w:p>
      <w:pPr>
        <w:pStyle w:val="BodyText"/>
        <w:spacing w:line="477" w:lineRule="auto" w:before="95"/>
        <w:ind w:right="186" w:firstLine="360"/>
        <w:jc w:val="both"/>
      </w:pPr>
      <w:r>
        <w:rPr/>
        <w:t>内涵发展。公司已退出原有玩具低端制造业务，目前主要从事玩具渠道经营业务。</w:t>
      </w:r>
      <w:r>
        <w:rPr>
          <w:rFonts w:ascii="宋体" w:hAnsi="宋体" w:cs="宋体" w:eastAsia="宋体" w:hint="default"/>
        </w:rPr>
        <w:t>2018</w:t>
      </w:r>
      <w:r>
        <w:rPr>
          <w:rFonts w:ascii="宋体" w:hAnsi="宋体" w:cs="宋体" w:eastAsia="宋体" w:hint="default"/>
          <w:spacing w:val="-56"/>
        </w:rPr>
        <w:t> </w:t>
      </w:r>
      <w:r>
        <w:rPr/>
        <w:t>年公司将全力依据</w:t>
      </w:r>
      <w:r>
        <w:rPr>
          <w:spacing w:val="-57"/>
        </w:rPr>
        <w:t> </w:t>
      </w:r>
      <w:r>
        <w:rPr>
          <w:rFonts w:ascii="宋体" w:hAnsi="宋体" w:cs="宋体" w:eastAsia="宋体" w:hint="default"/>
        </w:rPr>
        <w:t>2017</w:t>
      </w:r>
      <w:r>
        <w:rPr>
          <w:rFonts w:ascii="宋体" w:hAnsi="宋体" w:cs="宋体" w:eastAsia="宋体" w:hint="default"/>
          <w:spacing w:val="-56"/>
        </w:rPr>
        <w:t> </w:t>
      </w:r>
      <w:r>
        <w:rPr/>
        <w:t>年确立 的玩具业务升级转型方案，分阶段、有节奏的加快玩具渠道经营建设，有效利用公司 </w:t>
      </w:r>
      <w:r>
        <w:rPr>
          <w:rFonts w:ascii="宋体" w:hAnsi="宋体" w:cs="宋体" w:eastAsia="宋体" w:hint="default"/>
        </w:rPr>
        <w:t>15</w:t>
      </w:r>
      <w:r>
        <w:rPr>
          <w:rFonts w:ascii="宋体" w:hAnsi="宋体" w:cs="宋体" w:eastAsia="宋体" w:hint="default"/>
          <w:spacing w:val="-37"/>
        </w:rPr>
        <w:t> </w:t>
      </w:r>
      <w:r>
        <w:rPr>
          <w:spacing w:val="-3"/>
        </w:rPr>
        <w:t>万平方米厂房、资金优势、产业集</w:t>
      </w:r>
      <w:r>
        <w:rPr/>
        <w:t> 群优势建立 </w:t>
      </w:r>
      <w:r>
        <w:rPr>
          <w:rFonts w:ascii="宋体" w:hAnsi="宋体" w:cs="宋体" w:eastAsia="宋体" w:hint="default"/>
        </w:rPr>
        <w:t>B2B+O2O</w:t>
      </w:r>
      <w:r>
        <w:rPr>
          <w:rFonts w:ascii="宋体" w:hAnsi="宋体" w:cs="宋体" w:eastAsia="宋体" w:hint="default"/>
          <w:spacing w:val="3"/>
        </w:rPr>
        <w:t> </w:t>
      </w:r>
      <w:r>
        <w:rPr/>
        <w:t>玩具渠道电商系统，同时在渠道电商系统运行形成一定规模后，以孩子年龄为主线，以家庭粘性为依 </w:t>
      </w:r>
      <w:r>
        <w:rPr>
          <w:spacing w:val="-2"/>
        </w:rPr>
        <w:t>托，实施横向、纵向的产业并购，拓宽母婴、儿童、学生产品结构，延伸娱乐、益智、动漫、影视、游戏、教育、体育、休</w:t>
      </w:r>
      <w:r>
        <w:rPr>
          <w:spacing w:val="-75"/>
        </w:rPr>
        <w:t> </w:t>
      </w:r>
      <w:r>
        <w:rPr>
          <w:spacing w:val="-75"/>
        </w:rPr>
      </w:r>
      <w:r>
        <w:rPr/>
        <w:t>闲、文化产业链，力争在较长期限内形成完善的 </w:t>
      </w:r>
      <w:r>
        <w:rPr>
          <w:rFonts w:ascii="宋体" w:hAnsi="宋体" w:cs="宋体" w:eastAsia="宋体" w:hint="default"/>
        </w:rPr>
        <w:t>B2B2C+O2O+ECO</w:t>
      </w:r>
      <w:r>
        <w:rPr>
          <w:rFonts w:ascii="宋体" w:hAnsi="宋体" w:cs="宋体" w:eastAsia="宋体" w:hint="default"/>
          <w:spacing w:val="3"/>
        </w:rPr>
        <w:t> </w:t>
      </w:r>
      <w:r>
        <w:rPr/>
        <w:t>电商客户生态系统，实现玩具业务的成功转型升级，提升 公司的竞争力与盈利能力。</w:t>
      </w:r>
    </w:p>
    <w:p>
      <w:pPr>
        <w:pStyle w:val="BodyText"/>
        <w:spacing w:line="477" w:lineRule="auto" w:before="95"/>
        <w:ind w:right="98" w:firstLine="360"/>
        <w:jc w:val="both"/>
      </w:pPr>
      <w:r>
        <w:rPr>
          <w:spacing w:val="-4"/>
        </w:rPr>
        <w:t>外延扩张。公司在逐步推进玩具渠道经营建设同时，有方向、有计划的寻求第二主业拓展，在能源、环保、军工、数据、</w:t>
      </w:r>
      <w:r>
        <w:rPr/>
        <w:t> </w:t>
      </w:r>
      <w:r>
        <w:rPr>
          <w:spacing w:val="-2"/>
        </w:rPr>
        <w:t>互联网、医疗、教育、高端装备制造等各行业、各领域寻求商业模式清晰、发展方向稳定、盈利趋势明显的投资机会和资产</w:t>
      </w:r>
    </w:p>
    <w:p>
      <w:pPr>
        <w:spacing w:after="0" w:line="477" w:lineRule="auto"/>
        <w:jc w:val="both"/>
        <w:sectPr>
          <w:pgSz w:w="11910" w:h="16840"/>
          <w:pgMar w:header="745" w:footer="979" w:top="1060" w:bottom="1160" w:left="980" w:right="94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240" w:lineRule="auto"/>
        <w:ind w:right="0"/>
        <w:jc w:val="both"/>
      </w:pPr>
      <w:r>
        <w:rPr/>
        <w:t>收购机会，通过并购重组方式引入优质资产，拓宽公司业务、全面改善企业经营困境、提升企业持续盈利能力。</w:t>
      </w:r>
    </w:p>
    <w:p>
      <w:pPr>
        <w:spacing w:line="240" w:lineRule="auto" w:before="0"/>
        <w:rPr>
          <w:rFonts w:ascii="宋体" w:hAnsi="宋体" w:cs="宋体" w:eastAsia="宋体" w:hint="default"/>
          <w:sz w:val="14"/>
          <w:szCs w:val="14"/>
        </w:rPr>
      </w:pPr>
    </w:p>
    <w:p>
      <w:pPr>
        <w:pStyle w:val="Heading3"/>
        <w:spacing w:line="240" w:lineRule="auto"/>
        <w:ind w:left="575" w:right="94"/>
        <w:jc w:val="left"/>
        <w:rPr>
          <w:b w:val="0"/>
          <w:bCs w:val="0"/>
        </w:rPr>
      </w:pPr>
      <w:r>
        <w:rPr>
          <w:rFonts w:ascii="Trebuchet MS" w:hAnsi="Trebuchet MS" w:cs="Trebuchet MS" w:eastAsia="Trebuchet MS" w:hint="default"/>
        </w:rPr>
        <w:t>3</w:t>
      </w:r>
      <w:r>
        <w:rPr/>
        <w:t>、公司面临的风险及应对措施</w:t>
      </w:r>
      <w:r>
        <w:rPr>
          <w:b w:val="0"/>
          <w:bCs w:val="0"/>
        </w:rPr>
      </w:r>
    </w:p>
    <w:p>
      <w:pPr>
        <w:spacing w:line="240" w:lineRule="auto" w:before="4"/>
        <w:rPr>
          <w:rFonts w:ascii="Microsoft JhengHei" w:hAnsi="Microsoft JhengHei" w:cs="Microsoft JhengHei" w:eastAsia="Microsoft JhengHei" w:hint="default"/>
          <w:b/>
          <w:bCs/>
          <w:sz w:val="13"/>
          <w:szCs w:val="13"/>
        </w:rPr>
      </w:pPr>
    </w:p>
    <w:p>
      <w:pPr>
        <w:pStyle w:val="BodyText"/>
        <w:spacing w:line="240" w:lineRule="auto"/>
        <w:ind w:left="513" w:right="94"/>
        <w:jc w:val="left"/>
      </w:pPr>
      <w:r>
        <w:rPr/>
        <w:t>（</w:t>
      </w:r>
      <w:r>
        <w:rPr>
          <w:rFonts w:ascii="宋体" w:hAnsi="宋体" w:cs="宋体" w:eastAsia="宋体" w:hint="default"/>
        </w:rPr>
        <w:t>1</w:t>
      </w:r>
      <w:r>
        <w:rPr/>
        <w:t>）业务升级风险。</w:t>
      </w:r>
    </w:p>
    <w:p>
      <w:pPr>
        <w:spacing w:line="240" w:lineRule="auto" w:before="12"/>
        <w:rPr>
          <w:rFonts w:ascii="宋体" w:hAnsi="宋体" w:cs="宋体" w:eastAsia="宋体" w:hint="default"/>
          <w:sz w:val="20"/>
          <w:szCs w:val="20"/>
        </w:rPr>
      </w:pPr>
    </w:p>
    <w:p>
      <w:pPr>
        <w:pStyle w:val="BodyText"/>
        <w:spacing w:line="477" w:lineRule="auto"/>
        <w:ind w:right="94" w:firstLine="360"/>
        <w:jc w:val="left"/>
      </w:pPr>
      <w:r>
        <w:rPr/>
        <w:t>借鉴</w:t>
      </w:r>
      <w:r>
        <w:rPr>
          <w:spacing w:val="-67"/>
        </w:rPr>
        <w:t> </w:t>
      </w:r>
      <w:r>
        <w:rPr>
          <w:rFonts w:ascii="宋体" w:hAnsi="宋体" w:cs="宋体" w:eastAsia="宋体" w:hint="default"/>
        </w:rPr>
        <w:t>B2C</w:t>
      </w:r>
      <w:r>
        <w:rPr>
          <w:rFonts w:ascii="宋体" w:hAnsi="宋体" w:cs="宋体" w:eastAsia="宋体" w:hint="default"/>
          <w:spacing w:val="-66"/>
        </w:rPr>
        <w:t> </w:t>
      </w:r>
      <w:r>
        <w:rPr/>
        <w:t>淘宝、京东等电商的发展特点，公司玩具业务升级转型存在周期长、投资大、竞争强等特点，虽公司目前已稳 步退出玩具制造业务，逐步向渠道经营业务过渡，但升级转型最终能否成功、渠道经营建设是否达预期存在重大不确定性。 公司将采取分批逐步推进方式，建立健全决策审批等相关制度，严控风险，稳健谨慎投资。</w:t>
      </w:r>
    </w:p>
    <w:p>
      <w:pPr>
        <w:pStyle w:val="BodyText"/>
        <w:spacing w:line="516" w:lineRule="auto" w:before="95"/>
        <w:ind w:left="513" w:right="94"/>
        <w:jc w:val="left"/>
      </w:pPr>
      <w:r>
        <w:rPr/>
        <w:t>（</w:t>
      </w:r>
      <w:r>
        <w:rPr>
          <w:rFonts w:ascii="宋体" w:hAnsi="宋体" w:cs="宋体" w:eastAsia="宋体" w:hint="default"/>
        </w:rPr>
        <w:t>2</w:t>
      </w:r>
      <w:r>
        <w:rPr/>
        <w:t>）新业务拓展风险。 </w:t>
      </w:r>
      <w:r>
        <w:rPr>
          <w:spacing w:val="-2"/>
        </w:rPr>
        <w:t>为实现公司拓宽业务、提升公司盈利能力的目标，公司持续通过外延并购重组等方式寻求第二主业的拓展，第二主业拓</w:t>
      </w:r>
    </w:p>
    <w:p>
      <w:pPr>
        <w:pStyle w:val="BodyText"/>
        <w:spacing w:line="477" w:lineRule="auto" w:before="25"/>
        <w:ind w:right="190"/>
        <w:jc w:val="both"/>
      </w:pPr>
      <w:r>
        <w:rPr>
          <w:spacing w:val="-2"/>
        </w:rPr>
        <w:t>展过程中可能因资产本身、监管规定要求等多种内外部因素导致未能顺利及时完成，公司将谨慎开展第二主业拓展事宜，充</w:t>
      </w:r>
      <w:r>
        <w:rPr>
          <w:spacing w:val="-63"/>
        </w:rPr>
        <w:t> </w:t>
      </w:r>
      <w:r>
        <w:rPr>
          <w:spacing w:val="-63"/>
        </w:rPr>
      </w:r>
      <w:r>
        <w:rPr>
          <w:spacing w:val="-2"/>
        </w:rPr>
        <w:t>分根据自身诉求进行新主业的筛选、甄别，对新主业的盈利能力、行业特性、所在监管要求等进行充分调研、审慎决策，确</w:t>
      </w:r>
      <w:r>
        <w:rPr>
          <w:spacing w:val="-68"/>
        </w:rPr>
        <w:t> </w:t>
      </w:r>
      <w:r>
        <w:rPr>
          <w:spacing w:val="-68"/>
        </w:rPr>
      </w:r>
      <w:r>
        <w:rPr/>
        <w:t>保顺利、快速、保质引入优质资产，实现公司新业务的拓展。</w:t>
      </w:r>
    </w:p>
    <w:p>
      <w:pPr>
        <w:pStyle w:val="Heading2"/>
        <w:spacing w:line="240" w:lineRule="auto" w:before="152"/>
        <w:ind w:right="0"/>
        <w:jc w:val="both"/>
        <w:rPr>
          <w:b w:val="0"/>
          <w:bCs w:val="0"/>
        </w:rPr>
      </w:pPr>
      <w:r>
        <w:rPr/>
        <w:t>十、接待调研、沟通、采访等活动</w:t>
      </w:r>
      <w:r>
        <w:rPr>
          <w:b w:val="0"/>
          <w:bCs w:val="0"/>
        </w:rPr>
      </w:r>
    </w:p>
    <w:p>
      <w:pPr>
        <w:spacing w:line="240" w:lineRule="auto" w:before="6"/>
        <w:rPr>
          <w:rFonts w:ascii="Microsoft JhengHei" w:hAnsi="Microsoft JhengHei" w:cs="Microsoft JhengHei" w:eastAsia="Microsoft JhengHei" w:hint="default"/>
          <w:b/>
          <w:bCs/>
          <w:sz w:val="13"/>
          <w:szCs w:val="13"/>
        </w:rPr>
      </w:pPr>
    </w:p>
    <w:p>
      <w:pPr>
        <w:pStyle w:val="Heading3"/>
        <w:spacing w:line="240" w:lineRule="auto"/>
        <w:ind w:right="0"/>
        <w:jc w:val="both"/>
        <w:rPr>
          <w:b w:val="0"/>
          <w:bCs w:val="0"/>
        </w:rPr>
      </w:pPr>
      <w:r>
        <w:rPr>
          <w:rFonts w:ascii="Times New Roman" w:hAnsi="Times New Roman" w:cs="Times New Roman" w:eastAsia="Times New Roman" w:hint="default"/>
        </w:rPr>
        <w:t>1</w:t>
      </w:r>
      <w:r>
        <w:rPr/>
        <w:t>、报告期内接待调研、沟通、采访等活动登记表</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340" w:lineRule="auto"/>
        <w:ind w:right="56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公司报告期内未发生接待调研、沟通、采访等活动。</w:t>
      </w:r>
    </w:p>
    <w:p>
      <w:pPr>
        <w:spacing w:after="0" w:line="340" w:lineRule="auto"/>
        <w:jc w:val="left"/>
        <w:sectPr>
          <w:pgSz w:w="11910" w:h="16840"/>
          <w:pgMar w:header="745" w:footer="979" w:top="1060" w:bottom="1160" w:left="980" w:right="9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456" w:lineRule="exact"/>
        <w:ind w:left="3750" w:right="3786"/>
        <w:jc w:val="center"/>
        <w:rPr>
          <w:b w:val="0"/>
          <w:bCs w:val="0"/>
        </w:rPr>
      </w:pPr>
      <w:bookmarkStart w:name="_bookmark4" w:id="5"/>
      <w:bookmarkEnd w:id="5"/>
      <w:r>
        <w:rPr>
          <w:b w:val="0"/>
          <w:bCs w:val="0"/>
        </w:rPr>
      </w:r>
      <w:r>
        <w:rPr/>
        <w:t>第五节 </w:t>
      </w:r>
      <w:r>
        <w:rPr>
          <w:spacing w:val="9"/>
        </w:rPr>
        <w:t> </w:t>
      </w:r>
      <w:r>
        <w:rPr/>
        <w:t>重要事项</w:t>
      </w:r>
      <w:r>
        <w:rPr>
          <w:b w:val="0"/>
          <w:bCs w:val="0"/>
        </w:rPr>
      </w:r>
    </w:p>
    <w:p>
      <w:pPr>
        <w:spacing w:line="240" w:lineRule="auto" w:before="17"/>
        <w:rPr>
          <w:rFonts w:ascii="Microsoft JhengHei" w:hAnsi="Microsoft JhengHei" w:cs="Microsoft JhengHei" w:eastAsia="Microsoft JhengHei" w:hint="default"/>
          <w:b/>
          <w:bCs/>
          <w:sz w:val="22"/>
          <w:szCs w:val="22"/>
        </w:rPr>
      </w:pPr>
    </w:p>
    <w:p>
      <w:pPr>
        <w:pStyle w:val="Heading2"/>
        <w:spacing w:line="240" w:lineRule="auto"/>
        <w:ind w:right="0"/>
        <w:jc w:val="both"/>
        <w:rPr>
          <w:b w:val="0"/>
          <w:bCs w:val="0"/>
        </w:rPr>
      </w:pPr>
      <w:r>
        <w:rPr/>
        <w:t>一、公司普通股利润分配及资本公积金转增股本情况</w:t>
      </w:r>
      <w:r>
        <w:rPr>
          <w:b w:val="0"/>
          <w:bCs w:val="0"/>
        </w:rPr>
      </w:r>
    </w:p>
    <w:p>
      <w:pPr>
        <w:spacing w:line="240" w:lineRule="auto" w:before="3"/>
        <w:rPr>
          <w:rFonts w:ascii="Microsoft JhengHei" w:hAnsi="Microsoft JhengHei" w:cs="Microsoft JhengHei" w:eastAsia="Microsoft JhengHei" w:hint="default"/>
          <w:b/>
          <w:bCs/>
          <w:sz w:val="18"/>
          <w:szCs w:val="18"/>
        </w:rPr>
      </w:pPr>
    </w:p>
    <w:p>
      <w:pPr>
        <w:pStyle w:val="BodyText"/>
        <w:spacing w:line="240" w:lineRule="auto"/>
        <w:ind w:right="0"/>
        <w:jc w:val="both"/>
      </w:pPr>
      <w:r>
        <w:rPr/>
        <w:t>报告期内普通股利润分配政策，特别是现金分红政策的制定、执行或调整情况</w:t>
      </w:r>
    </w:p>
    <w:p>
      <w:pPr>
        <w:pStyle w:val="BodyText"/>
        <w:spacing w:line="412" w:lineRule="auto" w:before="117"/>
        <w:ind w:left="513" w:right="183" w:hanging="3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w:t>
      </w:r>
      <w:r>
        <w:rPr>
          <w:rFonts w:ascii="宋体" w:hAnsi="宋体" w:cs="宋体" w:eastAsia="宋体" w:hint="default"/>
        </w:rPr>
        <w:t>1</w:t>
      </w:r>
      <w:r>
        <w:rPr/>
        <w:t>、公司现金分红政策的制定情况根据中国证监会《关于进一步落实上市公司现金分红有关事项的通知》、广东证监局</w:t>
      </w:r>
    </w:p>
    <w:p>
      <w:pPr>
        <w:pStyle w:val="BodyText"/>
        <w:spacing w:line="477" w:lineRule="auto" w:before="103"/>
        <w:ind w:right="189"/>
        <w:jc w:val="both"/>
      </w:pPr>
      <w:r>
        <w:rPr>
          <w:spacing w:val="-2"/>
        </w:rPr>
        <w:t>《关于进一步落实上市公司分红相关规定的通知》（广东证监〔</w:t>
      </w:r>
      <w:r>
        <w:rPr>
          <w:rFonts w:ascii="宋体" w:hAnsi="宋体" w:cs="宋体" w:eastAsia="宋体" w:hint="default"/>
          <w:spacing w:val="-2"/>
        </w:rPr>
        <w:t>2012</w:t>
      </w:r>
      <w:r>
        <w:rPr>
          <w:spacing w:val="-2"/>
        </w:rPr>
        <w:t>〕</w:t>
      </w:r>
      <w:r>
        <w:rPr>
          <w:rFonts w:ascii="宋体" w:hAnsi="宋体" w:cs="宋体" w:eastAsia="宋体" w:hint="default"/>
          <w:spacing w:val="-2"/>
        </w:rPr>
        <w:t>91</w:t>
      </w:r>
      <w:r>
        <w:rPr>
          <w:spacing w:val="-2"/>
        </w:rPr>
        <w:t>号），对公司在分红制度建设、政策规划、决策程</w:t>
      </w:r>
      <w:r>
        <w:rPr>
          <w:spacing w:val="-60"/>
        </w:rPr>
        <w:t> </w:t>
      </w:r>
      <w:r>
        <w:rPr>
          <w:spacing w:val="-60"/>
        </w:rPr>
      </w:r>
      <w:r>
        <w:rPr/>
        <w:t>序、信息披露和监督执行等进行一次全面自查并落实整改，并于</w:t>
      </w:r>
      <w:r>
        <w:rPr>
          <w:rFonts w:ascii="宋体" w:hAnsi="宋体" w:cs="宋体" w:eastAsia="宋体" w:hint="default"/>
        </w:rPr>
        <w:t>2012</w:t>
      </w:r>
      <w:r>
        <w:rPr/>
        <w:t>年</w:t>
      </w:r>
      <w:r>
        <w:rPr>
          <w:rFonts w:ascii="宋体" w:hAnsi="宋体" w:cs="宋体" w:eastAsia="宋体" w:hint="default"/>
        </w:rPr>
        <w:t>9</w:t>
      </w:r>
      <w:r>
        <w:rPr/>
        <w:t>月</w:t>
      </w:r>
      <w:r>
        <w:rPr>
          <w:rFonts w:ascii="宋体" w:hAnsi="宋体" w:cs="宋体" w:eastAsia="宋体" w:hint="default"/>
        </w:rPr>
        <w:t>11</w:t>
      </w:r>
      <w:r>
        <w:rPr/>
        <w:t>日召开</w:t>
      </w:r>
      <w:r>
        <w:rPr>
          <w:rFonts w:ascii="宋体" w:hAnsi="宋体" w:cs="宋体" w:eastAsia="宋体" w:hint="default"/>
        </w:rPr>
        <w:t>2012</w:t>
      </w:r>
      <w:r>
        <w:rPr/>
        <w:t>年第一次临时股东大会，修订《公</w:t>
      </w:r>
      <w:r>
        <w:rPr>
          <w:spacing w:val="-87"/>
        </w:rPr>
        <w:t> </w:t>
      </w:r>
      <w:r>
        <w:rPr>
          <w:spacing w:val="-87"/>
        </w:rPr>
      </w:r>
      <w:r>
        <w:rPr/>
        <w:t>司章程》。</w:t>
      </w:r>
      <w:r>
        <w:rPr>
          <w:rFonts w:ascii="宋体" w:hAnsi="宋体" w:cs="宋体" w:eastAsia="宋体" w:hint="default"/>
        </w:rPr>
        <w:t>2015</w:t>
      </w:r>
      <w:r>
        <w:rPr/>
        <w:t>年</w:t>
      </w:r>
      <w:r>
        <w:rPr>
          <w:rFonts w:ascii="宋体" w:hAnsi="宋体" w:cs="宋体" w:eastAsia="宋体" w:hint="default"/>
        </w:rPr>
        <w:t>2</w:t>
      </w:r>
      <w:r>
        <w:rPr/>
        <w:t>月</w:t>
      </w:r>
      <w:r>
        <w:rPr>
          <w:rFonts w:ascii="宋体" w:hAnsi="宋体" w:cs="宋体" w:eastAsia="宋体" w:hint="default"/>
        </w:rPr>
        <w:t>11</w:t>
      </w:r>
      <w:r>
        <w:rPr/>
        <w:t>日第二届董事会第二十二次会议制订了《未来三年（</w:t>
      </w:r>
      <w:r>
        <w:rPr>
          <w:rFonts w:ascii="宋体" w:hAnsi="宋体" w:cs="宋体" w:eastAsia="宋体" w:hint="default"/>
        </w:rPr>
        <w:t>2015~2017</w:t>
      </w:r>
      <w:r>
        <w:rPr/>
        <w:t>年）股东回报规划》（详见</w:t>
      </w:r>
      <w:r>
        <w:rPr>
          <w:rFonts w:ascii="宋体" w:hAnsi="宋体" w:cs="宋体" w:eastAsia="宋体" w:hint="default"/>
        </w:rPr>
        <w:t>2015</w:t>
      </w:r>
      <w:r>
        <w:rPr/>
        <w:t>年</w:t>
      </w:r>
      <w:r>
        <w:rPr>
          <w:rFonts w:ascii="宋体" w:hAnsi="宋体" w:cs="宋体" w:eastAsia="宋体" w:hint="default"/>
        </w:rPr>
        <w:t>2 </w:t>
      </w:r>
      <w:r>
        <w:rPr/>
        <w:t>月</w:t>
      </w:r>
      <w:r>
        <w:rPr>
          <w:rFonts w:ascii="宋体" w:hAnsi="宋体" w:cs="宋体" w:eastAsia="宋体" w:hint="default"/>
        </w:rPr>
        <w:t>13</w:t>
      </w:r>
      <w:r>
        <w:rPr/>
        <w:t>日巨潮资讯网</w:t>
      </w:r>
      <w:hyperlink r:id="rId12">
        <w:r>
          <w:rPr>
            <w:rFonts w:ascii="宋体" w:hAnsi="宋体" w:cs="宋体" w:eastAsia="宋体" w:hint="default"/>
          </w:rPr>
          <w:t>www.cninfo.com.cn</w:t>
        </w:r>
      </w:hyperlink>
      <w:r>
        <w:rPr/>
        <w:t>），并于</w:t>
      </w:r>
      <w:r>
        <w:rPr>
          <w:rFonts w:ascii="宋体" w:hAnsi="宋体" w:cs="宋体" w:eastAsia="宋体" w:hint="default"/>
        </w:rPr>
        <w:t>2015</w:t>
      </w:r>
      <w:r>
        <w:rPr/>
        <w:t>年</w:t>
      </w:r>
      <w:r>
        <w:rPr>
          <w:rFonts w:ascii="宋体" w:hAnsi="宋体" w:cs="宋体" w:eastAsia="宋体" w:hint="default"/>
        </w:rPr>
        <w:t>3</w:t>
      </w:r>
      <w:r>
        <w:rPr/>
        <w:t>月</w:t>
      </w:r>
      <w:r>
        <w:rPr>
          <w:rFonts w:ascii="宋体" w:hAnsi="宋体" w:cs="宋体" w:eastAsia="宋体" w:hint="default"/>
        </w:rPr>
        <w:t>6</w:t>
      </w:r>
      <w:r>
        <w:rPr/>
        <w:t>日经公司</w:t>
      </w:r>
      <w:r>
        <w:rPr>
          <w:rFonts w:ascii="宋体" w:hAnsi="宋体" w:cs="宋体" w:eastAsia="宋体" w:hint="default"/>
        </w:rPr>
        <w:t>2014</w:t>
      </w:r>
      <w:r>
        <w:rPr/>
        <w:t>年年度股东大会审议通过，明确了分红的决策程序 和机制，有效地保障投资者的合理投资回报。</w:t>
      </w:r>
    </w:p>
    <w:p>
      <w:pPr>
        <w:pStyle w:val="BodyText"/>
        <w:spacing w:line="477" w:lineRule="auto" w:before="95"/>
        <w:ind w:right="94" w:firstLine="360"/>
        <w:jc w:val="left"/>
      </w:pPr>
      <w:r>
        <w:rPr>
          <w:rFonts w:ascii="宋体" w:hAnsi="宋体" w:cs="宋体" w:eastAsia="宋体" w:hint="default"/>
          <w:spacing w:val="-4"/>
        </w:rPr>
        <w:t>2</w:t>
      </w:r>
      <w:r>
        <w:rPr>
          <w:spacing w:val="-4"/>
        </w:rPr>
        <w:t>、公司现金分红政策的执行情况公司利润分配政策符合《公司章程》的规定，公司现金分红政策制定及执行均符合《公</w:t>
      </w:r>
      <w:r>
        <w:rPr/>
        <w:t> </w:t>
      </w:r>
      <w:r>
        <w:rPr>
          <w:spacing w:val="-4"/>
        </w:rPr>
        <w:t>司章程》的规定及股东大会决议的要求，分红标准和分红比例明确清晰，相关的决策程序和机制完备，独立董事的职责明确，</w:t>
      </w:r>
      <w:r>
        <w:rPr>
          <w:spacing w:val="-45"/>
        </w:rPr>
        <w:t> </w:t>
      </w:r>
      <w:r>
        <w:rPr>
          <w:spacing w:val="-45"/>
        </w:rPr>
      </w:r>
      <w:r>
        <w:rPr/>
        <w:t>能发挥应有的作用，中小股东有充分表达意见和诉求的机会，中小股东的合法权益得到了维护。</w:t>
      </w:r>
    </w:p>
    <w:tbl>
      <w:tblPr>
        <w:tblW w:w="0" w:type="auto"/>
        <w:jc w:val="left"/>
        <w:tblInd w:w="148" w:type="dxa"/>
        <w:tblLayout w:type="fixed"/>
        <w:tblCellMar>
          <w:top w:w="0" w:type="dxa"/>
          <w:left w:w="0" w:type="dxa"/>
          <w:bottom w:w="0" w:type="dxa"/>
          <w:right w:w="0" w:type="dxa"/>
        </w:tblCellMar>
        <w:tblLook w:val="01E0"/>
      </w:tblPr>
      <w:tblGrid>
        <w:gridCol w:w="4938"/>
        <w:gridCol w:w="4633"/>
      </w:tblGrid>
      <w:tr>
        <w:trPr>
          <w:trHeight w:val="396"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408" w:hRule="exact"/>
        </w:trPr>
        <w:tc>
          <w:tcPr>
            <w:tcW w:w="49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4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49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4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49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4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49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4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6" w:hRule="exact"/>
        </w:trPr>
        <w:tc>
          <w:tcPr>
            <w:tcW w:w="49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42"/>
              <w:jc w:val="left"/>
              <w:rPr>
                <w:rFonts w:ascii="宋体" w:hAnsi="宋体" w:cs="宋体" w:eastAsia="宋体" w:hint="default"/>
                <w:sz w:val="18"/>
                <w:szCs w:val="18"/>
              </w:rPr>
            </w:pPr>
            <w:r>
              <w:rPr>
                <w:rFonts w:ascii="宋体" w:hAnsi="宋体" w:cs="宋体" w:eastAsia="宋体" w:hint="default"/>
                <w:sz w:val="18"/>
                <w:szCs w:val="18"/>
              </w:rPr>
              <w:t>中小股东是否有充分表达意见和诉求的机会，其合法权益是否 得到了充分保护：</w:t>
            </w:r>
          </w:p>
        </w:tc>
        <w:tc>
          <w:tcPr>
            <w:tcW w:w="463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49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34"/>
              <w:jc w:val="left"/>
              <w:rPr>
                <w:rFonts w:ascii="宋体" w:hAnsi="宋体" w:cs="宋体" w:eastAsia="宋体" w:hint="default"/>
                <w:sz w:val="18"/>
                <w:szCs w:val="18"/>
              </w:rPr>
            </w:pPr>
            <w:r>
              <w:rPr>
                <w:rFonts w:ascii="宋体" w:hAnsi="宋体" w:cs="宋体" w:eastAsia="宋体" w:hint="default"/>
                <w:spacing w:val="-4"/>
                <w:sz w:val="18"/>
                <w:szCs w:val="18"/>
              </w:rPr>
              <w:t>现金分红政策进行调整或变更的，条件及程序是否合规、透明：</w:t>
            </w:r>
            <w:r>
              <w:rPr>
                <w:rFonts w:ascii="宋体" w:hAnsi="宋体" w:cs="宋体" w:eastAsia="宋体" w:hint="default"/>
                <w:sz w:val="18"/>
                <w:szCs w:val="18"/>
              </w:rPr>
            </w:r>
          </w:p>
        </w:tc>
        <w:tc>
          <w:tcPr>
            <w:tcW w:w="4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pStyle w:val="BodyText"/>
        <w:spacing w:line="415" w:lineRule="auto" w:before="56"/>
        <w:ind w:left="513" w:right="1716" w:hanging="361"/>
        <w:jc w:val="left"/>
      </w:pPr>
      <w:r>
        <w:rPr/>
        <w:pict>
          <v:group style="position:absolute;margin-left:303.910004pt;margin-top:-19.68828pt;width:231.05pt;height:19.6pt;mso-position-horizontal-relative:page;mso-position-vertical-relative:paragraph;z-index:-701104" coordorigin="6078,-394" coordsize="4621,392">
            <v:group style="position:absolute;left:10675;top:-394;width:24;height:392" coordorigin="10675,-394" coordsize="24,392">
              <v:shape style="position:absolute;left:10675;top:-394;width:24;height:392" coordorigin="10675,-394" coordsize="24,392" path="m10675,-3l10699,-3,10699,-394,10675,-394,10675,-3xe" filled="true" fillcolor="#ffffff" stroked="false">
                <v:path arrowok="t"/>
                <v:fill type="solid"/>
              </v:shape>
            </v:group>
            <v:group style="position:absolute;left:6078;top:-394;width:22;height:392" coordorigin="6078,-394" coordsize="22,392">
              <v:shape style="position:absolute;left:6078;top:-394;width:22;height:392" coordorigin="6078,-394" coordsize="22,392" path="m6078,-3l6100,-3,6100,-394,6078,-394,6078,-3xe" filled="true" fillcolor="#ffffff" stroked="false">
                <v:path arrowok="t"/>
                <v:fill type="solid"/>
              </v:shape>
            </v:group>
            <v:group style="position:absolute;left:6100;top:-394;width:4575;height:392" coordorigin="6100,-394" coordsize="4575,392">
              <v:shape style="position:absolute;left:6100;top:-394;width:4575;height:392" coordorigin="6100,-394" coordsize="4575,392" path="m6100,-3l10675,-3,10675,-394,6100,-394,6100,-3xe" filled="true" fillcolor="#ffffff" stroked="false">
                <v:path arrowok="t"/>
                <v:fill type="solid"/>
              </v:shape>
            </v:group>
            <w10:wrap type="none"/>
          </v:group>
        </w:pict>
      </w:r>
      <w:r>
        <w:rPr/>
        <w:t>公司近</w:t>
      </w:r>
      <w:r>
        <w:rPr>
          <w:spacing w:val="-46"/>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年（包括本报告期）的普通股股利分配方案（预案）、资本公积金转增股本方案（预案）情况 </w:t>
      </w:r>
      <w:r>
        <w:rPr>
          <w:rFonts w:ascii="宋体" w:hAnsi="宋体" w:cs="宋体" w:eastAsia="宋体" w:hint="default"/>
        </w:rPr>
        <w:t>2015</w:t>
      </w:r>
      <w:r>
        <w:rPr/>
        <w:t>年度</w:t>
      </w:r>
    </w:p>
    <w:p>
      <w:pPr>
        <w:pStyle w:val="BodyText"/>
        <w:spacing w:line="477" w:lineRule="auto" w:before="101"/>
        <w:ind w:right="94" w:firstLine="360"/>
        <w:jc w:val="left"/>
      </w:pPr>
      <w:r>
        <w:rPr/>
        <w:t>基于对股东长远利益的考虑，同时为了更好的保证公司的稳定发展，公司</w:t>
      </w:r>
      <w:r>
        <w:rPr>
          <w:rFonts w:ascii="宋体" w:hAnsi="宋体" w:cs="宋体" w:eastAsia="宋体" w:hint="default"/>
        </w:rPr>
        <w:t>2015</w:t>
      </w:r>
      <w:r>
        <w:rPr/>
        <w:t>年度不进行利润分配，不派发现金红利， 不送红股，不以公积金转增股本。</w:t>
      </w:r>
    </w:p>
    <w:p>
      <w:pPr>
        <w:pStyle w:val="BodyText"/>
        <w:spacing w:line="477" w:lineRule="auto" w:before="54"/>
        <w:ind w:left="513" w:right="93"/>
        <w:jc w:val="left"/>
      </w:pPr>
      <w:r>
        <w:rPr>
          <w:rFonts w:ascii="宋体" w:hAnsi="宋体" w:cs="宋体" w:eastAsia="宋体" w:hint="default"/>
        </w:rPr>
        <w:t>2016</w:t>
      </w:r>
      <w:r>
        <w:rPr/>
        <w:t>年度 基于对股东长远利益的考虑，同时为了更好的保证公司的稳定发展，公司</w:t>
      </w:r>
      <w:r>
        <w:rPr>
          <w:rFonts w:ascii="宋体" w:hAnsi="宋体" w:cs="宋体" w:eastAsia="宋体" w:hint="default"/>
        </w:rPr>
        <w:t>2016</w:t>
      </w:r>
      <w:r>
        <w:rPr/>
        <w:t>年度不进行利润分配，不派发现金红利，</w:t>
      </w:r>
    </w:p>
    <w:p>
      <w:pPr>
        <w:pStyle w:val="BodyText"/>
        <w:spacing w:line="477" w:lineRule="auto" w:before="54"/>
        <w:ind w:left="513" w:right="7114" w:hanging="361"/>
        <w:jc w:val="left"/>
      </w:pPr>
      <w:r>
        <w:rPr/>
        <w:t>不送红股，不以公积金转增股本。 </w:t>
      </w:r>
      <w:r>
        <w:rPr>
          <w:rFonts w:ascii="宋体" w:hAnsi="宋体" w:cs="宋体" w:eastAsia="宋体" w:hint="default"/>
        </w:rPr>
        <w:t>2017</w:t>
      </w:r>
      <w:r>
        <w:rPr/>
        <w:t>年度</w:t>
      </w:r>
    </w:p>
    <w:p>
      <w:pPr>
        <w:spacing w:after="0" w:line="477" w:lineRule="auto"/>
        <w:jc w:val="left"/>
        <w:sectPr>
          <w:pgSz w:w="11910" w:h="16840"/>
          <w:pgMar w:header="745" w:footer="979" w:top="1060" w:bottom="1160" w:left="980" w:right="94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477" w:lineRule="auto"/>
        <w:ind w:right="94" w:firstLine="360"/>
        <w:jc w:val="left"/>
      </w:pPr>
      <w:r>
        <w:rPr/>
        <w:t>基于对股东长远利益的考虑，同时为了更好的保证公司的稳定发展，公司</w:t>
      </w:r>
      <w:r>
        <w:rPr>
          <w:rFonts w:ascii="宋体" w:hAnsi="宋体" w:cs="宋体" w:eastAsia="宋体" w:hint="default"/>
        </w:rPr>
        <w:t>2017</w:t>
      </w:r>
      <w:r>
        <w:rPr/>
        <w:t>年度不进行利润分配，不派发现金红利， 不送红股，不以公积金转增股本。</w:t>
      </w:r>
    </w:p>
    <w:p>
      <w:pPr>
        <w:pStyle w:val="BodyText"/>
        <w:spacing w:line="240" w:lineRule="auto" w:before="16"/>
        <w:ind w:right="94"/>
        <w:jc w:val="left"/>
      </w:pPr>
      <w:r>
        <w:rPr/>
        <w:t>公司近三年（包括本报告期）普通股现金分红情况表</w:t>
      </w:r>
    </w:p>
    <w:p>
      <w:pPr>
        <w:pStyle w:val="BodyText"/>
        <w:spacing w:line="240" w:lineRule="auto" w:before="115"/>
        <w:ind w:left="0" w:right="191"/>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1337"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434"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612" w:right="70" w:hanging="540"/>
              <w:jc w:val="left"/>
              <w:rPr>
                <w:rFonts w:ascii="宋体" w:hAnsi="宋体" w:cs="宋体" w:eastAsia="宋体" w:hint="default"/>
                <w:sz w:val="18"/>
                <w:szCs w:val="18"/>
              </w:rPr>
            </w:pPr>
            <w:r>
              <w:rPr>
                <w:rFonts w:ascii="宋体" w:hAnsi="宋体" w:cs="宋体" w:eastAsia="宋体" w:hint="default"/>
                <w:sz w:val="18"/>
                <w:szCs w:val="18"/>
              </w:rPr>
              <w:t>现金分红金额（含 税）</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1" w:right="71"/>
              <w:jc w:val="center"/>
              <w:rPr>
                <w:rFonts w:ascii="宋体" w:hAnsi="宋体" w:cs="宋体" w:eastAsia="宋体" w:hint="default"/>
                <w:sz w:val="18"/>
                <w:szCs w:val="18"/>
              </w:rPr>
            </w:pPr>
            <w:r>
              <w:rPr>
                <w:rFonts w:ascii="宋体" w:hAnsi="宋体" w:cs="宋体" w:eastAsia="宋体" w:hint="default"/>
                <w:sz w:val="18"/>
                <w:szCs w:val="18"/>
              </w:rPr>
              <w:t>分红年度合并报表 中归属于上市公司 普通股股东的净利 润</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1" w:right="72"/>
              <w:jc w:val="center"/>
              <w:rPr>
                <w:rFonts w:ascii="宋体" w:hAnsi="宋体" w:cs="宋体" w:eastAsia="宋体" w:hint="default"/>
                <w:sz w:val="18"/>
                <w:szCs w:val="18"/>
              </w:rPr>
            </w:pPr>
            <w:r>
              <w:rPr>
                <w:rFonts w:ascii="宋体" w:hAnsi="宋体" w:cs="宋体" w:eastAsia="宋体" w:hint="default"/>
                <w:sz w:val="18"/>
                <w:szCs w:val="18"/>
              </w:rPr>
              <w:t>占合并报表中归属 于上市公司普通股 股东的净利润的比 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431" w:right="70" w:hanging="360"/>
              <w:jc w:val="left"/>
              <w:rPr>
                <w:rFonts w:ascii="宋体" w:hAnsi="宋体" w:cs="宋体" w:eastAsia="宋体" w:hint="default"/>
                <w:sz w:val="18"/>
                <w:szCs w:val="18"/>
              </w:rPr>
            </w:pPr>
            <w:r>
              <w:rPr>
                <w:rFonts w:ascii="宋体" w:hAnsi="宋体" w:cs="宋体" w:eastAsia="宋体" w:hint="default"/>
                <w:sz w:val="18"/>
                <w:szCs w:val="18"/>
              </w:rPr>
              <w:t>以其他方式现金分 红的金额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432" w:right="71" w:hanging="360"/>
              <w:jc w:val="left"/>
              <w:rPr>
                <w:rFonts w:ascii="宋体" w:hAnsi="宋体" w:cs="宋体" w:eastAsia="宋体" w:hint="default"/>
                <w:sz w:val="18"/>
                <w:szCs w:val="18"/>
              </w:rPr>
            </w:pPr>
            <w:r>
              <w:rPr>
                <w:rFonts w:ascii="宋体" w:hAnsi="宋体" w:cs="宋体" w:eastAsia="宋体" w:hint="default"/>
                <w:sz w:val="18"/>
                <w:szCs w:val="18"/>
              </w:rPr>
              <w:t>以其他方式现金分 红的比例</w:t>
            </w:r>
          </w:p>
        </w:tc>
      </w:tr>
      <w:tr>
        <w:trPr>
          <w:trHeight w:val="404"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-21,412,779.47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0.00%</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12,764,280.64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18,186,393.35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49"/>
        <w:ind w:right="94"/>
        <w:jc w:val="left"/>
      </w:pPr>
      <w:r>
        <w:rPr/>
        <w:t>公司报告期内盈利且母公司可供普通股股东分配利润为正但未提出普通股现金红利分配预案</w:t>
      </w:r>
    </w:p>
    <w:p>
      <w:pPr>
        <w:pStyle w:val="BodyText"/>
        <w:spacing w:line="240" w:lineRule="auto" w:before="115"/>
        <w:ind w:right="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5"/>
        <w:rPr>
          <w:rFonts w:ascii="宋体" w:hAnsi="宋体" w:cs="宋体" w:eastAsia="宋体" w:hint="default"/>
          <w:sz w:val="18"/>
          <w:szCs w:val="18"/>
        </w:rPr>
      </w:pPr>
    </w:p>
    <w:p>
      <w:pPr>
        <w:pStyle w:val="Heading2"/>
        <w:spacing w:line="240" w:lineRule="auto"/>
        <w:ind w:right="94"/>
        <w:jc w:val="left"/>
        <w:rPr>
          <w:b w:val="0"/>
          <w:bCs w:val="0"/>
        </w:rPr>
      </w:pPr>
      <w:r>
        <w:rPr/>
        <w:t>二、本报告期利润分配及资本公积金转增股本预案</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340" w:lineRule="auto"/>
        <w:ind w:right="45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公司计划年度不派发现金红利，不送红股，不以公积金转增股本。</w:t>
      </w:r>
    </w:p>
    <w:p>
      <w:pPr>
        <w:spacing w:line="240" w:lineRule="auto" w:before="6"/>
        <w:rPr>
          <w:rFonts w:ascii="宋体" w:hAnsi="宋体" w:cs="宋体" w:eastAsia="宋体" w:hint="default"/>
          <w:sz w:val="13"/>
          <w:szCs w:val="13"/>
        </w:rPr>
      </w:pPr>
    </w:p>
    <w:p>
      <w:pPr>
        <w:pStyle w:val="Heading2"/>
        <w:spacing w:line="240" w:lineRule="auto"/>
        <w:ind w:right="94"/>
        <w:jc w:val="left"/>
        <w:rPr>
          <w:b w:val="0"/>
          <w:bCs w:val="0"/>
        </w:rPr>
      </w:pPr>
      <w:r>
        <w:rPr/>
        <w:t>三、承诺事项履行情况</w:t>
      </w:r>
      <w:r>
        <w:rPr>
          <w:b w:val="0"/>
          <w:bCs w:val="0"/>
        </w:rPr>
      </w:r>
    </w:p>
    <w:p>
      <w:pPr>
        <w:spacing w:line="240" w:lineRule="auto" w:before="14"/>
        <w:rPr>
          <w:rFonts w:ascii="Microsoft JhengHei" w:hAnsi="Microsoft JhengHei" w:cs="Microsoft JhengHei" w:eastAsia="Microsoft JhengHei" w:hint="default"/>
          <w:b/>
          <w:bCs/>
          <w:sz w:val="16"/>
          <w:szCs w:val="16"/>
        </w:rPr>
      </w:pPr>
    </w:p>
    <w:p>
      <w:pPr>
        <w:pStyle w:val="Heading3"/>
        <w:spacing w:line="314" w:lineRule="exact"/>
        <w:ind w:right="94"/>
        <w:jc w:val="left"/>
        <w:rPr>
          <w:b w:val="0"/>
          <w:bCs w:val="0"/>
        </w:rPr>
      </w:pPr>
      <w:r>
        <w:rPr>
          <w:rFonts w:ascii="Times New Roman" w:hAnsi="Times New Roman" w:cs="Times New Roman" w:eastAsia="Times New Roman" w:hint="default"/>
        </w:rPr>
        <w:t>1</w:t>
      </w:r>
      <w:r>
        <w:rPr/>
        <w:t>、公司实际控制人、股东、关联方、收购人以及公司等承诺相关方在报告期内履行完毕及截至报告期末</w:t>
      </w:r>
      <w:r>
        <w:rPr>
          <w:spacing w:val="26"/>
        </w:rPr>
        <w:t> </w:t>
      </w:r>
      <w:r>
        <w:rPr>
          <w:spacing w:val="26"/>
        </w:rPr>
      </w:r>
      <w:r>
        <w:rPr/>
        <w:t>尚未履行完毕的承诺事项</w:t>
      </w:r>
      <w:r>
        <w:rPr>
          <w:b w:val="0"/>
          <w:bCs w:val="0"/>
        </w:rPr>
      </w:r>
    </w:p>
    <w:p>
      <w:pPr>
        <w:spacing w:line="240" w:lineRule="auto" w:before="11"/>
        <w:rPr>
          <w:rFonts w:ascii="Microsoft JhengHei" w:hAnsi="Microsoft JhengHei" w:cs="Microsoft JhengHei" w:eastAsia="Microsoft JhengHei" w:hint="default"/>
          <w:b/>
          <w:bCs/>
          <w:sz w:val="18"/>
          <w:szCs w:val="18"/>
        </w:rPr>
      </w:pPr>
    </w:p>
    <w:p>
      <w:pPr>
        <w:pStyle w:val="BodyText"/>
        <w:spacing w:line="240" w:lineRule="auto"/>
        <w:ind w:right="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838"/>
        <w:gridCol w:w="1123"/>
        <w:gridCol w:w="1128"/>
        <w:gridCol w:w="1126"/>
        <w:gridCol w:w="1126"/>
        <w:gridCol w:w="1121"/>
        <w:gridCol w:w="1106"/>
      </w:tblGrid>
      <w:tr>
        <w:trPr>
          <w:trHeight w:val="401" w:hRule="exact"/>
        </w:trPr>
        <w:tc>
          <w:tcPr>
            <w:tcW w:w="2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承诺事由</w:t>
            </w:r>
          </w:p>
        </w:tc>
        <w:tc>
          <w:tcPr>
            <w:tcW w:w="11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7"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11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1"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9" w:right="0"/>
              <w:jc w:val="left"/>
              <w:rPr>
                <w:rFonts w:ascii="宋体" w:hAnsi="宋体" w:cs="宋体" w:eastAsia="宋体" w:hint="default"/>
                <w:sz w:val="18"/>
                <w:szCs w:val="18"/>
              </w:rPr>
            </w:pPr>
            <w:r>
              <w:rPr>
                <w:rFonts w:ascii="宋体" w:hAnsi="宋体" w:cs="宋体" w:eastAsia="宋体" w:hint="default"/>
                <w:sz w:val="18"/>
                <w:szCs w:val="18"/>
              </w:rPr>
              <w:t>承诺内容</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9"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1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6"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11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9"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403" w:hRule="exact"/>
        </w:trPr>
        <w:tc>
          <w:tcPr>
            <w:tcW w:w="2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股改承诺</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w:t>
            </w:r>
          </w:p>
        </w:tc>
      </w:tr>
      <w:tr>
        <w:trPr>
          <w:trHeight w:val="713" w:hRule="exact"/>
        </w:trPr>
        <w:tc>
          <w:tcPr>
            <w:tcW w:w="2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02"/>
              <w:jc w:val="left"/>
              <w:rPr>
                <w:rFonts w:ascii="宋体" w:hAnsi="宋体" w:cs="宋体" w:eastAsia="宋体" w:hint="default"/>
                <w:sz w:val="18"/>
                <w:szCs w:val="18"/>
              </w:rPr>
            </w:pPr>
            <w:r>
              <w:rPr>
                <w:rFonts w:ascii="宋体" w:hAnsi="宋体" w:cs="宋体" w:eastAsia="宋体" w:hint="default"/>
                <w:sz w:val="18"/>
                <w:szCs w:val="18"/>
              </w:rPr>
              <w:t>收购报告书或权益变动报告书中所 作承诺</w:t>
            </w:r>
          </w:p>
        </w:tc>
        <w:tc>
          <w:tcPr>
            <w:tcW w:w="11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w:t>
            </w:r>
          </w:p>
        </w:tc>
      </w:tr>
      <w:tr>
        <w:trPr>
          <w:trHeight w:val="1546" w:hRule="exact"/>
        </w:trPr>
        <w:tc>
          <w:tcPr>
            <w:tcW w:w="2838" w:type="dxa"/>
            <w:tcBorders>
              <w:top w:val="single" w:sz="4" w:space="0" w:color="000000"/>
              <w:left w:val="single" w:sz="4" w:space="0" w:color="000000"/>
              <w:bottom w:val="nil" w:sz="6" w:space="0" w:color="auto"/>
              <w:right w:val="single" w:sz="4" w:space="0" w:color="000000"/>
            </w:tcBorders>
            <w:shd w:val="clear" w:color="auto" w:fill="D2D2D2"/>
          </w:tcPr>
          <w:p>
            <w:pPr/>
          </w:p>
        </w:tc>
        <w:tc>
          <w:tcPr>
            <w:tcW w:w="112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316" w:lineRule="auto"/>
              <w:ind w:left="23" w:right="19"/>
              <w:jc w:val="left"/>
              <w:rPr>
                <w:rFonts w:ascii="宋体" w:hAnsi="宋体" w:cs="宋体" w:eastAsia="宋体" w:hint="default"/>
                <w:sz w:val="18"/>
                <w:szCs w:val="18"/>
              </w:rPr>
            </w:pPr>
            <w:r>
              <w:rPr>
                <w:rFonts w:ascii="宋体" w:hAnsi="宋体" w:cs="宋体" w:eastAsia="宋体" w:hint="default"/>
                <w:sz w:val="18"/>
                <w:szCs w:val="18"/>
              </w:rPr>
              <w:t>本公司之控 股股东广东 群兴投资有 </w:t>
            </w:r>
            <w:r>
              <w:rPr>
                <w:rFonts w:ascii="宋体" w:hAnsi="宋体" w:cs="宋体" w:eastAsia="宋体" w:hint="default"/>
                <w:spacing w:val="-3"/>
                <w:sz w:val="18"/>
                <w:szCs w:val="18"/>
              </w:rPr>
              <w:t>限公司、实际</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控制人</w:t>
            </w:r>
          </w:p>
        </w:tc>
        <w:tc>
          <w:tcPr>
            <w:tcW w:w="112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9"/>
                <w:szCs w:val="19"/>
              </w:rPr>
            </w:pPr>
          </w:p>
          <w:p>
            <w:pPr>
              <w:pStyle w:val="TableParagraph"/>
              <w:spacing w:line="316" w:lineRule="auto"/>
              <w:ind w:left="26" w:right="190"/>
              <w:jc w:val="left"/>
              <w:rPr>
                <w:rFonts w:ascii="宋体" w:hAnsi="宋体" w:cs="宋体" w:eastAsia="宋体" w:hint="default"/>
                <w:sz w:val="18"/>
                <w:szCs w:val="18"/>
              </w:rPr>
            </w:pPr>
            <w:r>
              <w:rPr>
                <w:rFonts w:ascii="宋体" w:hAnsi="宋体" w:cs="宋体" w:eastAsia="宋体" w:hint="default"/>
                <w:sz w:val="18"/>
                <w:szCs w:val="18"/>
              </w:rPr>
              <w:t>避免同业竞 争的承诺</w:t>
            </w:r>
          </w:p>
        </w:tc>
        <w:tc>
          <w:tcPr>
            <w:tcW w:w="1126" w:type="dxa"/>
            <w:vMerge w:val="restart"/>
            <w:tcBorders>
              <w:top w:val="single" w:sz="4" w:space="0" w:color="000000"/>
              <w:left w:val="single" w:sz="4" w:space="0" w:color="000000"/>
              <w:right w:val="single" w:sz="4" w:space="0" w:color="000000"/>
            </w:tcBorders>
          </w:tcPr>
          <w:p>
            <w:pPr>
              <w:pStyle w:val="TableParagraph"/>
              <w:spacing w:line="312" w:lineRule="auto" w:before="51"/>
              <w:ind w:left="24" w:right="19"/>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、本次收购 </w:t>
            </w:r>
            <w:r>
              <w:rPr>
                <w:rFonts w:ascii="宋体" w:hAnsi="宋体" w:cs="宋体" w:eastAsia="宋体" w:hint="default"/>
                <w:spacing w:val="-2"/>
                <w:sz w:val="18"/>
                <w:szCs w:val="18"/>
              </w:rPr>
              <w:t>完成后，本公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司</w:t>
            </w:r>
            <w:r>
              <w:rPr>
                <w:rFonts w:ascii="Times New Roman" w:hAnsi="Times New Roman" w:cs="Times New Roman" w:eastAsia="Times New Roman" w:hint="default"/>
                <w:sz w:val="18"/>
                <w:szCs w:val="18"/>
              </w:rPr>
              <w:t>/</w:t>
            </w:r>
            <w:r>
              <w:rPr>
                <w:rFonts w:ascii="宋体" w:hAnsi="宋体" w:cs="宋体" w:eastAsia="宋体" w:hint="default"/>
                <w:sz w:val="18"/>
                <w:szCs w:val="18"/>
              </w:rPr>
              <w:t>本人及本 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本人控 制的其他企 业不会投资 或新设任何 与上市公司 及其所控制 的企业主要 经营业务相</w:t>
            </w:r>
          </w:p>
        </w:tc>
        <w:tc>
          <w:tcPr>
            <w:tcW w:w="112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5"/>
                <w:szCs w:val="2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27 </w:t>
            </w:r>
            <w:r>
              <w:rPr>
                <w:rFonts w:ascii="宋体" w:hAnsi="宋体" w:cs="宋体" w:eastAsia="宋体" w:hint="default"/>
                <w:sz w:val="18"/>
                <w:szCs w:val="18"/>
              </w:rPr>
              <w:t>日至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0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5"/>
                <w:szCs w:val="25"/>
              </w:rPr>
            </w:pPr>
          </w:p>
          <w:p>
            <w:pPr>
              <w:pStyle w:val="TableParagraph"/>
              <w:spacing w:line="316" w:lineRule="auto"/>
              <w:ind w:left="23" w:right="19"/>
              <w:jc w:val="left"/>
              <w:rPr>
                <w:rFonts w:ascii="宋体" w:hAnsi="宋体" w:cs="宋体" w:eastAsia="宋体" w:hint="default"/>
                <w:sz w:val="18"/>
                <w:szCs w:val="18"/>
              </w:rPr>
            </w:pPr>
            <w:r>
              <w:rPr>
                <w:rFonts w:ascii="宋体" w:hAnsi="宋体" w:cs="宋体" w:eastAsia="宋体" w:hint="default"/>
                <w:sz w:val="18"/>
                <w:szCs w:val="18"/>
              </w:rPr>
              <w:t>鉴于公司已 终止重大资 </w:t>
            </w:r>
            <w:r>
              <w:rPr>
                <w:rFonts w:ascii="宋体" w:hAnsi="宋体" w:cs="宋体" w:eastAsia="宋体" w:hint="default"/>
                <w:spacing w:val="-5"/>
                <w:sz w:val="18"/>
                <w:szCs w:val="18"/>
              </w:rPr>
              <w:t>产事项，截至</w:t>
            </w:r>
            <w:r>
              <w:rPr>
                <w:rFonts w:ascii="宋体" w:hAnsi="宋体" w:cs="宋体" w:eastAsia="宋体" w:hint="default"/>
                <w:sz w:val="18"/>
                <w:szCs w:val="18"/>
              </w:rPr>
              <w:t> </w:t>
            </w:r>
            <w:r>
              <w:rPr>
                <w:rFonts w:ascii="宋体" w:hAnsi="宋体" w:cs="宋体" w:eastAsia="宋体" w:hint="default"/>
                <w:spacing w:val="-5"/>
                <w:sz w:val="18"/>
                <w:szCs w:val="18"/>
              </w:rPr>
              <w:t>目前，该承诺</w:t>
            </w:r>
            <w:r>
              <w:rPr>
                <w:rFonts w:ascii="宋体" w:hAnsi="宋体" w:cs="宋体" w:eastAsia="宋体" w:hint="default"/>
                <w:sz w:val="18"/>
                <w:szCs w:val="18"/>
              </w:rPr>
              <w:t> 事项已履行 完毕。</w:t>
            </w:r>
          </w:p>
        </w:tc>
      </w:tr>
      <w:tr>
        <w:trPr>
          <w:trHeight w:val="394" w:hRule="exact"/>
        </w:trPr>
        <w:tc>
          <w:tcPr>
            <w:tcW w:w="283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资产重组时所作承诺</w:t>
            </w: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1544" w:hRule="exact"/>
        </w:trPr>
        <w:tc>
          <w:tcPr>
            <w:tcW w:w="283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23" w:type="dxa"/>
            <w:vMerge/>
            <w:tcBorders>
              <w:left w:val="single" w:sz="4" w:space="0" w:color="000000"/>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6"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4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6"/>
      </w:tblGrid>
      <w:tr>
        <w:trPr>
          <w:trHeight w:val="315"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vMerge w:val="restart"/>
            <w:tcBorders>
              <w:top w:val="single" w:sz="4" w:space="0" w:color="000000"/>
              <w:left w:val="single" w:sz="4" w:space="0" w:color="000000"/>
              <w:right w:val="single" w:sz="4" w:space="0" w:color="000000"/>
            </w:tcBorders>
          </w:tcPr>
          <w:p>
            <w:pPr/>
          </w:p>
        </w:tc>
        <w:tc>
          <w:tcPr>
            <w:tcW w:w="1128"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right="167"/>
              <w:jc w:val="center"/>
              <w:rPr>
                <w:rFonts w:ascii="宋体" w:hAnsi="宋体" w:cs="宋体" w:eastAsia="宋体" w:hint="default"/>
                <w:sz w:val="18"/>
                <w:szCs w:val="18"/>
              </w:rPr>
            </w:pPr>
            <w:r>
              <w:rPr>
                <w:rFonts w:ascii="宋体" w:hAnsi="宋体" w:cs="宋体" w:eastAsia="宋体" w:hint="default"/>
                <w:sz w:val="18"/>
                <w:szCs w:val="18"/>
              </w:rPr>
              <w:t>同或类似的</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6" w:type="dxa"/>
            <w:vMerge w:val="restart"/>
            <w:tcBorders>
              <w:top w:val="single" w:sz="4" w:space="0" w:color="000000"/>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其他企业，也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不会从事或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17"/>
              <w:jc w:val="center"/>
              <w:rPr>
                <w:rFonts w:ascii="Times New Roman" w:hAnsi="Times New Roman" w:cs="Times New Roman" w:eastAsia="Times New Roman" w:hint="default"/>
                <w:sz w:val="18"/>
                <w:szCs w:val="18"/>
              </w:rPr>
            </w:pPr>
            <w:r>
              <w:rPr>
                <w:rFonts w:ascii="宋体" w:hAnsi="宋体" w:cs="宋体" w:eastAsia="宋体" w:hint="default"/>
                <w:sz w:val="18"/>
                <w:szCs w:val="18"/>
              </w:rPr>
              <w:t>促使本公司</w:t>
            </w:r>
            <w:r>
              <w:rPr>
                <w:rFonts w:ascii="Times New Roman" w:hAnsi="Times New Roman" w:cs="Times New Roman" w:eastAsia="Times New Roman"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167"/>
              <w:jc w:val="center"/>
              <w:rPr>
                <w:rFonts w:ascii="宋体" w:hAnsi="宋体" w:cs="宋体" w:eastAsia="宋体" w:hint="default"/>
                <w:sz w:val="18"/>
                <w:szCs w:val="18"/>
              </w:rPr>
            </w:pPr>
            <w:r>
              <w:rPr>
                <w:rFonts w:ascii="宋体" w:hAnsi="宋体" w:cs="宋体" w:eastAsia="宋体" w:hint="default"/>
                <w:sz w:val="18"/>
                <w:szCs w:val="18"/>
              </w:rPr>
              <w:t>本人所控制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的企业从事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任何对上市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公司及其所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控制的企业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构成直接或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间接同业竞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争的业务或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74"/>
              <w:jc w:val="center"/>
              <w:rPr>
                <w:rFonts w:ascii="宋体" w:hAnsi="宋体" w:cs="宋体" w:eastAsia="宋体" w:hint="default"/>
                <w:sz w:val="18"/>
                <w:szCs w:val="18"/>
              </w:rPr>
            </w:pPr>
            <w:r>
              <w:rPr>
                <w:rFonts w:ascii="宋体" w:hAnsi="宋体" w:cs="宋体" w:eastAsia="宋体" w:hint="default"/>
                <w:sz w:val="18"/>
                <w:szCs w:val="18"/>
              </w:rPr>
              <w:t>活动；</w:t>
            </w:r>
            <w:r>
              <w:rPr>
                <w:rFonts w:ascii="Times New Roman" w:hAnsi="Times New Roman" w:cs="Times New Roman" w:eastAsia="Times New Roman" w:hint="default"/>
                <w:sz w:val="18"/>
                <w:szCs w:val="18"/>
              </w:rPr>
              <w:t>2</w:t>
            </w:r>
            <w:r>
              <w:rPr>
                <w:rFonts w:ascii="宋体" w:hAnsi="宋体" w:cs="宋体" w:eastAsia="宋体" w:hint="default"/>
                <w:sz w:val="18"/>
                <w:szCs w:val="18"/>
              </w:rPr>
              <w:t>、本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167"/>
              <w:jc w:val="center"/>
              <w:rPr>
                <w:rFonts w:ascii="宋体" w:hAnsi="宋体" w:cs="宋体" w:eastAsia="宋体" w:hint="default"/>
                <w:sz w:val="18"/>
                <w:szCs w:val="18"/>
              </w:rPr>
            </w:pPr>
            <w:r>
              <w:rPr>
                <w:rFonts w:ascii="宋体" w:hAnsi="宋体" w:cs="宋体" w:eastAsia="宋体" w:hint="default"/>
                <w:sz w:val="18"/>
                <w:szCs w:val="18"/>
              </w:rPr>
              <w:t>次收购完成</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后，在本公司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15"/>
              <w:jc w:val="center"/>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本人持有上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167"/>
              <w:jc w:val="center"/>
              <w:rPr>
                <w:rFonts w:ascii="宋体" w:hAnsi="宋体" w:cs="宋体" w:eastAsia="宋体" w:hint="default"/>
                <w:sz w:val="18"/>
                <w:szCs w:val="18"/>
              </w:rPr>
            </w:pPr>
            <w:r>
              <w:rPr>
                <w:rFonts w:ascii="宋体" w:hAnsi="宋体" w:cs="宋体" w:eastAsia="宋体" w:hint="default"/>
                <w:sz w:val="18"/>
                <w:szCs w:val="18"/>
              </w:rPr>
              <w:t>市公司股票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期间，如本公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15"/>
              <w:jc w:val="center"/>
              <w:rPr>
                <w:rFonts w:ascii="宋体" w:hAnsi="宋体" w:cs="宋体" w:eastAsia="宋体" w:hint="default"/>
                <w:sz w:val="18"/>
                <w:szCs w:val="18"/>
              </w:rPr>
            </w:pPr>
            <w:r>
              <w:rPr>
                <w:rFonts w:ascii="宋体" w:hAnsi="宋体" w:cs="宋体" w:eastAsia="宋体" w:hint="default"/>
                <w:sz w:val="18"/>
                <w:szCs w:val="18"/>
              </w:rPr>
              <w:t>司</w:t>
            </w:r>
            <w:r>
              <w:rPr>
                <w:rFonts w:ascii="Times New Roman" w:hAnsi="Times New Roman" w:cs="Times New Roman" w:eastAsia="Times New Roman" w:hint="default"/>
                <w:sz w:val="18"/>
                <w:szCs w:val="18"/>
              </w:rPr>
              <w:t>/</w:t>
            </w:r>
            <w:r>
              <w:rPr>
                <w:rFonts w:ascii="宋体" w:hAnsi="宋体" w:cs="宋体" w:eastAsia="宋体" w:hint="default"/>
                <w:sz w:val="18"/>
                <w:szCs w:val="18"/>
              </w:rPr>
              <w:t>本人或本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115"/>
              <w:jc w:val="center"/>
              <w:rPr>
                <w:rFonts w:ascii="宋体" w:hAnsi="宋体" w:cs="宋体" w:eastAsia="宋体" w:hint="default"/>
                <w:sz w:val="18"/>
                <w:szCs w:val="18"/>
              </w:rPr>
            </w:pPr>
            <w:r>
              <w:rPr>
                <w:rFonts w:ascii="宋体" w:hAnsi="宋体" w:cs="宋体" w:eastAsia="宋体" w:hint="default"/>
                <w:sz w:val="18"/>
                <w:szCs w:val="18"/>
              </w:rPr>
              <w:t>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本人控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167"/>
              <w:jc w:val="center"/>
              <w:rPr>
                <w:rFonts w:ascii="宋体" w:hAnsi="宋体" w:cs="宋体" w:eastAsia="宋体" w:hint="default"/>
                <w:sz w:val="18"/>
                <w:szCs w:val="18"/>
              </w:rPr>
            </w:pPr>
            <w:r>
              <w:rPr>
                <w:rFonts w:ascii="宋体" w:hAnsi="宋体" w:cs="宋体" w:eastAsia="宋体" w:hint="default"/>
                <w:sz w:val="18"/>
                <w:szCs w:val="18"/>
              </w:rPr>
              <w:t>制的其他企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业获得的商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业机会与上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市公司及其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所控制的企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业主营业务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发生同业竞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争或可能发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生同业竞争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17"/>
              <w:jc w:val="center"/>
              <w:rPr>
                <w:rFonts w:ascii="Times New Roman" w:hAnsi="Times New Roman" w:cs="Times New Roman" w:eastAsia="Times New Roman" w:hint="default"/>
                <w:sz w:val="18"/>
                <w:szCs w:val="18"/>
              </w:rPr>
            </w:pPr>
            <w:r>
              <w:rPr>
                <w:rFonts w:ascii="宋体" w:hAnsi="宋体" w:cs="宋体" w:eastAsia="宋体" w:hint="default"/>
                <w:sz w:val="18"/>
                <w:szCs w:val="18"/>
              </w:rPr>
              <w:t>的，本公司</w:t>
            </w:r>
            <w:r>
              <w:rPr>
                <w:rFonts w:ascii="Times New Roman" w:hAnsi="Times New Roman" w:cs="Times New Roman" w:eastAsia="Times New Roman"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167"/>
              <w:jc w:val="center"/>
              <w:rPr>
                <w:rFonts w:ascii="宋体" w:hAnsi="宋体" w:cs="宋体" w:eastAsia="宋体" w:hint="default"/>
                <w:sz w:val="18"/>
                <w:szCs w:val="18"/>
              </w:rPr>
            </w:pPr>
            <w:r>
              <w:rPr>
                <w:rFonts w:ascii="宋体" w:hAnsi="宋体" w:cs="宋体" w:eastAsia="宋体" w:hint="default"/>
                <w:sz w:val="18"/>
                <w:szCs w:val="18"/>
              </w:rPr>
              <w:t>本人将立即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通知上市公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司，同时，本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15"/>
              <w:jc w:val="center"/>
              <w:rPr>
                <w:rFonts w:ascii="宋体" w:hAnsi="宋体" w:cs="宋体" w:eastAsia="宋体" w:hint="default"/>
                <w:sz w:val="18"/>
                <w:szCs w:val="18"/>
              </w:rPr>
            </w:pPr>
            <w:r>
              <w:rPr>
                <w:rFonts w:ascii="宋体" w:hAnsi="宋体" w:cs="宋体" w:eastAsia="宋体" w:hint="default"/>
                <w:sz w:val="18"/>
                <w:szCs w:val="18"/>
              </w:rPr>
              <w:t>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本人及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115"/>
              <w:jc w:val="center"/>
              <w:rPr>
                <w:rFonts w:ascii="宋体" w:hAnsi="宋体" w:cs="宋体" w:eastAsia="宋体" w:hint="default"/>
                <w:sz w:val="18"/>
                <w:szCs w:val="18"/>
              </w:rPr>
            </w:pPr>
            <w:r>
              <w:rPr>
                <w:rFonts w:ascii="宋体" w:hAnsi="宋体" w:cs="宋体" w:eastAsia="宋体" w:hint="default"/>
                <w:sz w:val="18"/>
                <w:szCs w:val="18"/>
              </w:rPr>
              <w:t>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167"/>
              <w:jc w:val="center"/>
              <w:rPr>
                <w:rFonts w:ascii="宋体" w:hAnsi="宋体" w:cs="宋体" w:eastAsia="宋体" w:hint="default"/>
                <w:sz w:val="18"/>
                <w:szCs w:val="18"/>
              </w:rPr>
            </w:pPr>
            <w:r>
              <w:rPr>
                <w:rFonts w:ascii="宋体" w:hAnsi="宋体" w:cs="宋体" w:eastAsia="宋体" w:hint="default"/>
                <w:sz w:val="18"/>
                <w:szCs w:val="18"/>
              </w:rPr>
              <w:t>控制的其他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企业将采取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包括但不限</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于停止经营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产生竞争的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业务、将产生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竞争的业务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纳入上市公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9"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vMerge/>
            <w:tcBorders>
              <w:left w:val="single" w:sz="4" w:space="0" w:color="000000"/>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司或者转让</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6"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9"/>
      </w:tblGrid>
      <w:tr>
        <w:trPr>
          <w:trHeight w:val="6916"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8"/>
              <w:ind w:left="24" w:right="19"/>
              <w:jc w:val="left"/>
              <w:rPr>
                <w:rFonts w:ascii="宋体" w:hAnsi="宋体" w:cs="宋体" w:eastAsia="宋体" w:hint="default"/>
                <w:sz w:val="18"/>
                <w:szCs w:val="18"/>
              </w:rPr>
            </w:pPr>
            <w:r>
              <w:rPr>
                <w:rFonts w:ascii="宋体" w:hAnsi="宋体" w:cs="宋体" w:eastAsia="宋体" w:hint="default"/>
                <w:sz w:val="18"/>
                <w:szCs w:val="18"/>
              </w:rPr>
              <w:t>给无关联关 系第三方等 </w:t>
            </w:r>
            <w:r>
              <w:rPr>
                <w:rFonts w:ascii="宋体" w:hAnsi="宋体" w:cs="宋体" w:eastAsia="宋体" w:hint="default"/>
                <w:spacing w:val="-2"/>
                <w:sz w:val="18"/>
                <w:szCs w:val="18"/>
              </w:rPr>
              <w:t>方式，以避免</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与上市公司 及其所控制 的企业形成 同业竞争或 潜在同业竞 </w:t>
            </w:r>
            <w:r>
              <w:rPr>
                <w:rFonts w:ascii="宋体" w:hAnsi="宋体" w:cs="宋体" w:eastAsia="宋体" w:hint="default"/>
                <w:spacing w:val="-2"/>
                <w:sz w:val="18"/>
                <w:szCs w:val="18"/>
              </w:rPr>
              <w:t>争，确保上市</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公司及上市 公司其他股 东利益不受 损害；</w:t>
            </w:r>
            <w:r>
              <w:rPr>
                <w:rFonts w:ascii="Times New Roman" w:hAnsi="Times New Roman" w:cs="Times New Roman" w:eastAsia="Times New Roman" w:hint="default"/>
                <w:sz w:val="18"/>
                <w:szCs w:val="18"/>
              </w:rPr>
              <w:t>3</w:t>
            </w:r>
            <w:r>
              <w:rPr>
                <w:rFonts w:ascii="宋体" w:hAnsi="宋体" w:cs="宋体" w:eastAsia="宋体" w:hint="default"/>
                <w:sz w:val="18"/>
                <w:szCs w:val="18"/>
              </w:rPr>
              <w:t>、如 因本公司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 人违反上述 承诺而给上 市公司造成 </w:t>
            </w:r>
            <w:r>
              <w:rPr>
                <w:rFonts w:ascii="宋体" w:hAnsi="宋体" w:cs="宋体" w:eastAsia="宋体" w:hint="default"/>
                <w:spacing w:val="-2"/>
                <w:sz w:val="18"/>
                <w:szCs w:val="18"/>
              </w:rPr>
              <w:t>损失的，本公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司</w:t>
            </w:r>
            <w:r>
              <w:rPr>
                <w:rFonts w:ascii="Times New Roman" w:hAnsi="Times New Roman" w:cs="Times New Roman" w:eastAsia="Times New Roman" w:hint="default"/>
                <w:sz w:val="18"/>
                <w:szCs w:val="18"/>
              </w:rPr>
              <w:t>/</w:t>
            </w:r>
            <w:r>
              <w:rPr>
                <w:rFonts w:ascii="宋体" w:hAnsi="宋体" w:cs="宋体" w:eastAsia="宋体" w:hint="default"/>
                <w:sz w:val="18"/>
                <w:szCs w:val="18"/>
              </w:rPr>
              <w:t>本人将赔 偿上市公司 由此遭受的 一切损失。</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6915"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47"/>
              <w:ind w:left="23" w:right="187"/>
              <w:jc w:val="both"/>
              <w:rPr>
                <w:rFonts w:ascii="宋体" w:hAnsi="宋体" w:cs="宋体" w:eastAsia="宋体" w:hint="default"/>
                <w:sz w:val="18"/>
                <w:szCs w:val="18"/>
              </w:rPr>
            </w:pPr>
            <w:r>
              <w:rPr>
                <w:rFonts w:ascii="宋体" w:hAnsi="宋体" w:cs="宋体" w:eastAsia="宋体" w:hint="default"/>
                <w:sz w:val="18"/>
                <w:szCs w:val="18"/>
              </w:rPr>
              <w:t>本公司之控 股股东广东 群兴投资有 限公司</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316" w:lineRule="auto"/>
              <w:ind w:left="26" w:right="190"/>
              <w:jc w:val="both"/>
              <w:rPr>
                <w:rFonts w:ascii="宋体" w:hAnsi="宋体" w:cs="宋体" w:eastAsia="宋体" w:hint="default"/>
                <w:sz w:val="18"/>
                <w:szCs w:val="18"/>
              </w:rPr>
            </w:pPr>
            <w:r>
              <w:rPr>
                <w:rFonts w:ascii="宋体" w:hAnsi="宋体" w:cs="宋体" w:eastAsia="宋体" w:hint="default"/>
                <w:sz w:val="18"/>
                <w:szCs w:val="18"/>
              </w:rPr>
              <w:t>减少和规范 关联交易的 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
              <w:jc w:val="left"/>
              <w:rPr>
                <w:rFonts w:ascii="宋体" w:hAnsi="宋体" w:cs="宋体" w:eastAsia="宋体" w:hint="default"/>
                <w:sz w:val="18"/>
                <w:szCs w:val="18"/>
              </w:rPr>
            </w:pPr>
            <w:r>
              <w:rPr>
                <w:rFonts w:ascii="宋体" w:hAnsi="宋体" w:cs="宋体" w:eastAsia="宋体" w:hint="default"/>
                <w:sz w:val="18"/>
                <w:szCs w:val="18"/>
              </w:rPr>
              <w:t>本次重组前， 本公司及本 公司控制的 企业与时空 能源之间未 发生关联交 易；在本次重 组完成后，本 公司及本公 司控制的企 业将尽可能 避免和减少 与上市公司</w:t>
            </w:r>
          </w:p>
          <w:p>
            <w:pPr>
              <w:pStyle w:val="TableParagraph"/>
              <w:spacing w:line="316" w:lineRule="auto" w:before="19"/>
              <w:ind w:left="24" w:right="19"/>
              <w:jc w:val="left"/>
              <w:rPr>
                <w:rFonts w:ascii="宋体" w:hAnsi="宋体" w:cs="宋体" w:eastAsia="宋体" w:hint="default"/>
                <w:sz w:val="18"/>
                <w:szCs w:val="18"/>
              </w:rPr>
            </w:pPr>
            <w:r>
              <w:rPr>
                <w:rFonts w:ascii="宋体" w:hAnsi="宋体" w:cs="宋体" w:eastAsia="宋体" w:hint="default"/>
                <w:sz w:val="18"/>
                <w:szCs w:val="18"/>
              </w:rPr>
              <w:t>（含时空能 </w:t>
            </w:r>
            <w:r>
              <w:rPr>
                <w:rFonts w:ascii="宋体" w:hAnsi="宋体" w:cs="宋体" w:eastAsia="宋体" w:hint="default"/>
                <w:spacing w:val="-2"/>
                <w:sz w:val="18"/>
                <w:szCs w:val="18"/>
              </w:rPr>
              <w:t>源等）之间的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关联交易，对</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于无法避免 或有合理理 由存在的关 </w:t>
            </w:r>
            <w:r>
              <w:rPr>
                <w:rFonts w:ascii="宋体" w:hAnsi="宋体" w:cs="宋体" w:eastAsia="宋体" w:hint="default"/>
                <w:spacing w:val="-2"/>
                <w:sz w:val="18"/>
                <w:szCs w:val="18"/>
              </w:rPr>
              <w:t>联交易，本公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司及本公司 控制的企业</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27 </w:t>
            </w:r>
            <w:r>
              <w:rPr>
                <w:rFonts w:ascii="宋体" w:hAnsi="宋体" w:cs="宋体" w:eastAsia="宋体" w:hint="default"/>
                <w:sz w:val="18"/>
                <w:szCs w:val="18"/>
              </w:rPr>
              <w:t>日至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316" w:lineRule="auto"/>
              <w:ind w:left="23" w:right="22"/>
              <w:jc w:val="left"/>
              <w:rPr>
                <w:rFonts w:ascii="宋体" w:hAnsi="宋体" w:cs="宋体" w:eastAsia="宋体" w:hint="default"/>
                <w:sz w:val="18"/>
                <w:szCs w:val="18"/>
              </w:rPr>
            </w:pPr>
            <w:r>
              <w:rPr>
                <w:rFonts w:ascii="宋体" w:hAnsi="宋体" w:cs="宋体" w:eastAsia="宋体" w:hint="default"/>
                <w:sz w:val="18"/>
                <w:szCs w:val="18"/>
              </w:rPr>
              <w:t>鉴于公司已 终止重大资 </w:t>
            </w:r>
            <w:r>
              <w:rPr>
                <w:rFonts w:ascii="宋体" w:hAnsi="宋体" w:cs="宋体" w:eastAsia="宋体" w:hint="default"/>
                <w:spacing w:val="-5"/>
                <w:sz w:val="18"/>
                <w:szCs w:val="18"/>
              </w:rPr>
              <w:t>产事项，截至</w:t>
            </w:r>
            <w:r>
              <w:rPr>
                <w:rFonts w:ascii="宋体" w:hAnsi="宋体" w:cs="宋体" w:eastAsia="宋体" w:hint="default"/>
                <w:sz w:val="18"/>
                <w:szCs w:val="18"/>
              </w:rPr>
              <w:t> </w:t>
            </w:r>
            <w:r>
              <w:rPr>
                <w:rFonts w:ascii="宋体" w:hAnsi="宋体" w:cs="宋体" w:eastAsia="宋体" w:hint="default"/>
                <w:spacing w:val="-5"/>
                <w:sz w:val="18"/>
                <w:szCs w:val="18"/>
              </w:rPr>
              <w:t>目前，该承诺</w:t>
            </w:r>
            <w:r>
              <w:rPr>
                <w:rFonts w:ascii="宋体" w:hAnsi="宋体" w:cs="宋体" w:eastAsia="宋体" w:hint="default"/>
                <w:sz w:val="18"/>
                <w:szCs w:val="18"/>
              </w:rPr>
              <w:t> 事项已履行 完毕。</w:t>
            </w:r>
          </w:p>
        </w:tc>
      </w:tr>
    </w:tbl>
    <w:p>
      <w:pPr>
        <w:spacing w:after="0" w:line="316"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9"/>
      </w:tblGrid>
      <w:tr>
        <w:trPr>
          <w:trHeight w:val="8164"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11"/>
              <w:jc w:val="left"/>
              <w:rPr>
                <w:rFonts w:ascii="宋体" w:hAnsi="宋体" w:cs="宋体" w:eastAsia="宋体" w:hint="default"/>
                <w:sz w:val="18"/>
                <w:szCs w:val="18"/>
              </w:rPr>
            </w:pPr>
            <w:r>
              <w:rPr>
                <w:rFonts w:ascii="宋体" w:hAnsi="宋体" w:cs="宋体" w:eastAsia="宋体" w:hint="default"/>
                <w:sz w:val="18"/>
                <w:szCs w:val="18"/>
              </w:rPr>
              <w:t>将与上市公 司依法签订 协议，履行合 法程序，并将 按照有关法 律、法规、其 他规范性文 件以及上市 公司章程等 的规定，及时 履行信息披 露义务，保证 关联交易定 价公允、合 理，交易条件 公平，保证不 利用关联交 易非法转移 上市公司的 资金、利润， 亦不利用该 类交易从事 任何损害上 市公司及其 他股东合法 权益的行为。</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5667"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44"/>
              <w:ind w:left="23" w:right="187"/>
              <w:jc w:val="both"/>
              <w:rPr>
                <w:rFonts w:ascii="宋体" w:hAnsi="宋体" w:cs="宋体" w:eastAsia="宋体" w:hint="default"/>
                <w:sz w:val="18"/>
                <w:szCs w:val="18"/>
              </w:rPr>
            </w:pPr>
            <w:r>
              <w:rPr>
                <w:rFonts w:ascii="宋体" w:hAnsi="宋体" w:cs="宋体" w:eastAsia="宋体" w:hint="default"/>
                <w:sz w:val="18"/>
                <w:szCs w:val="18"/>
              </w:rPr>
              <w:t>本公司之控 股股东广东 群兴投资有 限公司</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316" w:lineRule="auto"/>
              <w:ind w:left="26" w:right="190"/>
              <w:jc w:val="both"/>
              <w:rPr>
                <w:rFonts w:ascii="宋体" w:hAnsi="宋体" w:cs="宋体" w:eastAsia="宋体" w:hint="default"/>
                <w:sz w:val="18"/>
                <w:szCs w:val="18"/>
              </w:rPr>
            </w:pPr>
            <w:r>
              <w:rPr>
                <w:rFonts w:ascii="宋体" w:hAnsi="宋体" w:cs="宋体" w:eastAsia="宋体" w:hint="default"/>
                <w:sz w:val="18"/>
                <w:szCs w:val="18"/>
              </w:rPr>
              <w:t>减少和规范 关联交易的 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
              <w:jc w:val="left"/>
              <w:rPr>
                <w:rFonts w:ascii="宋体" w:hAnsi="宋体" w:cs="宋体" w:eastAsia="宋体" w:hint="default"/>
                <w:sz w:val="18"/>
                <w:szCs w:val="18"/>
              </w:rPr>
            </w:pPr>
            <w:r>
              <w:rPr>
                <w:rFonts w:ascii="宋体" w:hAnsi="宋体" w:cs="宋体" w:eastAsia="宋体" w:hint="default"/>
                <w:sz w:val="18"/>
                <w:szCs w:val="18"/>
              </w:rPr>
              <w:t>本次重组前， 本公司及本 公司控制的 企业与时空 能源之间未 发生关联交 易；在本次重 组完成后，本 公司及本公 司控制的企 业将尽可能 避免和减少 与上市公司</w:t>
            </w:r>
          </w:p>
          <w:p>
            <w:pPr>
              <w:pStyle w:val="TableParagraph"/>
              <w:spacing w:line="319" w:lineRule="auto" w:before="19"/>
              <w:ind w:left="24" w:right="19"/>
              <w:jc w:val="left"/>
              <w:rPr>
                <w:rFonts w:ascii="宋体" w:hAnsi="宋体" w:cs="宋体" w:eastAsia="宋体" w:hint="default"/>
                <w:sz w:val="18"/>
                <w:szCs w:val="18"/>
              </w:rPr>
            </w:pPr>
            <w:r>
              <w:rPr>
                <w:rFonts w:ascii="宋体" w:hAnsi="宋体" w:cs="宋体" w:eastAsia="宋体" w:hint="default"/>
                <w:sz w:val="18"/>
                <w:szCs w:val="18"/>
              </w:rPr>
              <w:t>（含时空能 </w:t>
            </w:r>
            <w:r>
              <w:rPr>
                <w:rFonts w:ascii="宋体" w:hAnsi="宋体" w:cs="宋体" w:eastAsia="宋体" w:hint="default"/>
                <w:spacing w:val="-2"/>
                <w:sz w:val="18"/>
                <w:szCs w:val="18"/>
              </w:rPr>
              <w:t>源等）之间的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关联交易，对</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于无法避免 或有合理理</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27 </w:t>
            </w:r>
            <w:r>
              <w:rPr>
                <w:rFonts w:ascii="宋体" w:hAnsi="宋体" w:cs="宋体" w:eastAsia="宋体" w:hint="default"/>
                <w:sz w:val="18"/>
                <w:szCs w:val="18"/>
              </w:rPr>
              <w:t>日至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316" w:lineRule="auto"/>
              <w:ind w:left="23" w:right="22"/>
              <w:jc w:val="left"/>
              <w:rPr>
                <w:rFonts w:ascii="宋体" w:hAnsi="宋体" w:cs="宋体" w:eastAsia="宋体" w:hint="default"/>
                <w:sz w:val="18"/>
                <w:szCs w:val="18"/>
              </w:rPr>
            </w:pPr>
            <w:r>
              <w:rPr>
                <w:rFonts w:ascii="宋体" w:hAnsi="宋体" w:cs="宋体" w:eastAsia="宋体" w:hint="default"/>
                <w:sz w:val="18"/>
                <w:szCs w:val="18"/>
              </w:rPr>
              <w:t>鉴于公司已 终止重大资 </w:t>
            </w:r>
            <w:r>
              <w:rPr>
                <w:rFonts w:ascii="宋体" w:hAnsi="宋体" w:cs="宋体" w:eastAsia="宋体" w:hint="default"/>
                <w:spacing w:val="-5"/>
                <w:sz w:val="18"/>
                <w:szCs w:val="18"/>
              </w:rPr>
              <w:t>产事项，截至</w:t>
            </w:r>
            <w:r>
              <w:rPr>
                <w:rFonts w:ascii="宋体" w:hAnsi="宋体" w:cs="宋体" w:eastAsia="宋体" w:hint="default"/>
                <w:sz w:val="18"/>
                <w:szCs w:val="18"/>
              </w:rPr>
              <w:t> </w:t>
            </w:r>
            <w:r>
              <w:rPr>
                <w:rFonts w:ascii="宋体" w:hAnsi="宋体" w:cs="宋体" w:eastAsia="宋体" w:hint="default"/>
                <w:spacing w:val="-5"/>
                <w:sz w:val="18"/>
                <w:szCs w:val="18"/>
              </w:rPr>
              <w:t>目前，该承诺</w:t>
            </w:r>
            <w:r>
              <w:rPr>
                <w:rFonts w:ascii="宋体" w:hAnsi="宋体" w:cs="宋体" w:eastAsia="宋体" w:hint="default"/>
                <w:sz w:val="18"/>
                <w:szCs w:val="18"/>
              </w:rPr>
              <w:t> 事项已履行 完毕。</w:t>
            </w:r>
          </w:p>
        </w:tc>
      </w:tr>
    </w:tbl>
    <w:p>
      <w:pPr>
        <w:spacing w:after="0" w:line="316"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6"/>
      </w:tblGrid>
      <w:tr>
        <w:trPr>
          <w:trHeight w:val="9412"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11"/>
              <w:jc w:val="left"/>
              <w:rPr>
                <w:rFonts w:ascii="宋体" w:hAnsi="宋体" w:cs="宋体" w:eastAsia="宋体" w:hint="default"/>
                <w:sz w:val="18"/>
                <w:szCs w:val="18"/>
              </w:rPr>
            </w:pPr>
            <w:r>
              <w:rPr>
                <w:rFonts w:ascii="宋体" w:hAnsi="宋体" w:cs="宋体" w:eastAsia="宋体" w:hint="default"/>
                <w:sz w:val="18"/>
                <w:szCs w:val="18"/>
              </w:rPr>
              <w:t>由存在的关 联交易，本公 司及本公司 控制的企业 将与上市公 司依法签订 协议，履行合 法程序，并将 按照有关法 律、法规、其 他规范性文 件以及上市 公司章程等 的规定，及时 履行信息披 露义务，保证 关联交易定 价公允、合 理，交易条件 公平，保证不 利用关联交 易非法转移 上市公司的 资金、利润， 亦不利用该 类交易从事 任何损害上 市公司及其 他股东合法 权益的行为。</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r>
      <w:tr>
        <w:trPr>
          <w:trHeight w:val="2585"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316" w:lineRule="auto"/>
              <w:ind w:left="23" w:right="187"/>
              <w:jc w:val="both"/>
              <w:rPr>
                <w:rFonts w:ascii="宋体" w:hAnsi="宋体" w:cs="宋体" w:eastAsia="宋体" w:hint="default"/>
                <w:sz w:val="18"/>
                <w:szCs w:val="18"/>
              </w:rPr>
            </w:pPr>
            <w:r>
              <w:rPr>
                <w:rFonts w:ascii="宋体" w:hAnsi="宋体" w:cs="宋体" w:eastAsia="宋体" w:hint="default"/>
                <w:sz w:val="18"/>
                <w:szCs w:val="18"/>
              </w:rPr>
              <w:t>本公司之控 股股东广东 群兴投资有 限公司</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316" w:lineRule="auto"/>
              <w:ind w:left="26" w:right="190"/>
              <w:jc w:val="both"/>
              <w:rPr>
                <w:rFonts w:ascii="宋体" w:hAnsi="宋体" w:cs="宋体" w:eastAsia="宋体" w:hint="default"/>
                <w:sz w:val="18"/>
                <w:szCs w:val="18"/>
              </w:rPr>
            </w:pPr>
            <w:r>
              <w:rPr>
                <w:rFonts w:ascii="宋体" w:hAnsi="宋体" w:cs="宋体" w:eastAsia="宋体" w:hint="default"/>
                <w:sz w:val="18"/>
                <w:szCs w:val="18"/>
              </w:rPr>
              <w:t>保持上市公 司独立性的 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
              <w:jc w:val="left"/>
              <w:rPr>
                <w:rFonts w:ascii="宋体" w:hAnsi="宋体" w:cs="宋体" w:eastAsia="宋体" w:hint="default"/>
                <w:sz w:val="18"/>
                <w:szCs w:val="18"/>
              </w:rPr>
            </w:pPr>
            <w:r>
              <w:rPr>
                <w:rFonts w:ascii="宋体" w:hAnsi="宋体" w:cs="宋体" w:eastAsia="宋体" w:hint="default"/>
                <w:sz w:val="18"/>
                <w:szCs w:val="18"/>
              </w:rPr>
              <w:t>确保上市公 司人员、资 </w:t>
            </w:r>
            <w:r>
              <w:rPr>
                <w:rFonts w:ascii="宋体" w:hAnsi="宋体" w:cs="宋体" w:eastAsia="宋体" w:hint="default"/>
                <w:spacing w:val="-2"/>
                <w:sz w:val="18"/>
                <w:szCs w:val="18"/>
              </w:rPr>
              <w:t>产、财务、机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构及业务的 </w:t>
            </w:r>
            <w:r>
              <w:rPr>
                <w:rFonts w:ascii="宋体" w:hAnsi="宋体" w:cs="宋体" w:eastAsia="宋体" w:hint="default"/>
                <w:spacing w:val="-2"/>
                <w:sz w:val="18"/>
                <w:szCs w:val="18"/>
              </w:rPr>
              <w:t>独立性，符合</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有关法律法 </w:t>
            </w:r>
            <w:r>
              <w:rPr>
                <w:rFonts w:ascii="宋体" w:hAnsi="宋体" w:cs="宋体" w:eastAsia="宋体" w:hint="default"/>
                <w:spacing w:val="-2"/>
                <w:sz w:val="18"/>
                <w:szCs w:val="18"/>
              </w:rPr>
              <w:t>规、规范性文</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件等规定。</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27 </w:t>
            </w:r>
            <w:r>
              <w:rPr>
                <w:rFonts w:ascii="宋体" w:hAnsi="宋体" w:cs="宋体" w:eastAsia="宋体" w:hint="default"/>
                <w:sz w:val="18"/>
                <w:szCs w:val="18"/>
              </w:rPr>
              <w:t>日至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19"/>
              <w:jc w:val="left"/>
              <w:rPr>
                <w:rFonts w:ascii="宋体" w:hAnsi="宋体" w:cs="宋体" w:eastAsia="宋体" w:hint="default"/>
                <w:sz w:val="18"/>
                <w:szCs w:val="18"/>
              </w:rPr>
            </w:pPr>
            <w:r>
              <w:rPr>
                <w:rFonts w:ascii="宋体" w:hAnsi="宋体" w:cs="宋体" w:eastAsia="宋体" w:hint="default"/>
                <w:sz w:val="18"/>
                <w:szCs w:val="18"/>
              </w:rPr>
              <w:t>鉴于公司已 终止重大资 </w:t>
            </w:r>
            <w:r>
              <w:rPr>
                <w:rFonts w:ascii="宋体" w:hAnsi="宋体" w:cs="宋体" w:eastAsia="宋体" w:hint="default"/>
                <w:spacing w:val="-5"/>
                <w:sz w:val="18"/>
                <w:szCs w:val="18"/>
              </w:rPr>
              <w:t>产事项，截至</w:t>
            </w:r>
            <w:r>
              <w:rPr>
                <w:rFonts w:ascii="宋体" w:hAnsi="宋体" w:cs="宋体" w:eastAsia="宋体" w:hint="default"/>
                <w:sz w:val="18"/>
                <w:szCs w:val="18"/>
              </w:rPr>
              <w:t> </w:t>
            </w:r>
            <w:r>
              <w:rPr>
                <w:rFonts w:ascii="宋体" w:hAnsi="宋体" w:cs="宋体" w:eastAsia="宋体" w:hint="default"/>
                <w:spacing w:val="-5"/>
                <w:sz w:val="18"/>
                <w:szCs w:val="18"/>
              </w:rPr>
              <w:t>目前，该承诺</w:t>
            </w:r>
            <w:r>
              <w:rPr>
                <w:rFonts w:ascii="宋体" w:hAnsi="宋体" w:cs="宋体" w:eastAsia="宋体" w:hint="default"/>
                <w:sz w:val="18"/>
                <w:szCs w:val="18"/>
              </w:rPr>
              <w:t> 事项已履行 完毕。</w:t>
            </w:r>
          </w:p>
        </w:tc>
      </w:tr>
      <w:tr>
        <w:trPr>
          <w:trHeight w:val="1923" w:hRule="exact"/>
        </w:trPr>
        <w:tc>
          <w:tcPr>
            <w:tcW w:w="2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首次公开发行或再融资时所作承诺</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87"/>
              <w:jc w:val="both"/>
              <w:rPr>
                <w:rFonts w:ascii="宋体" w:hAnsi="宋体" w:cs="宋体" w:eastAsia="宋体" w:hint="default"/>
                <w:sz w:val="18"/>
                <w:szCs w:val="18"/>
              </w:rPr>
            </w:pPr>
            <w:r>
              <w:rPr>
                <w:rFonts w:ascii="宋体" w:hAnsi="宋体" w:cs="宋体" w:eastAsia="宋体" w:hint="default"/>
                <w:sz w:val="18"/>
                <w:szCs w:val="18"/>
              </w:rPr>
              <w:t>公司原董事 林伟章先生</w:t>
            </w:r>
          </w:p>
          <w:p>
            <w:pPr>
              <w:pStyle w:val="TableParagraph"/>
              <w:spacing w:line="316" w:lineRule="auto" w:before="19"/>
              <w:ind w:left="23" w:right="187"/>
              <w:jc w:val="both"/>
              <w:rPr>
                <w:rFonts w:ascii="宋体" w:hAnsi="宋体" w:cs="宋体" w:eastAsia="宋体" w:hint="default"/>
                <w:sz w:val="18"/>
                <w:szCs w:val="18"/>
              </w:rPr>
            </w:pPr>
            <w:r>
              <w:rPr>
                <w:rFonts w:ascii="宋体" w:hAnsi="宋体" w:cs="宋体" w:eastAsia="宋体" w:hint="default"/>
                <w:sz w:val="18"/>
                <w:szCs w:val="18"/>
              </w:rPr>
              <w:t>（通过直接 持有群兴投 资股份而间 接持有本公</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316" w:lineRule="auto"/>
              <w:ind w:left="26" w:right="190"/>
              <w:jc w:val="left"/>
              <w:rPr>
                <w:rFonts w:ascii="宋体" w:hAnsi="宋体" w:cs="宋体" w:eastAsia="宋体" w:hint="default"/>
                <w:sz w:val="18"/>
                <w:szCs w:val="18"/>
              </w:rPr>
            </w:pPr>
            <w:r>
              <w:rPr>
                <w:rFonts w:ascii="宋体" w:hAnsi="宋体" w:cs="宋体" w:eastAsia="宋体" w:hint="default"/>
                <w:sz w:val="18"/>
                <w:szCs w:val="18"/>
              </w:rPr>
              <w:t>股份限售承 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
              <w:jc w:val="left"/>
              <w:rPr>
                <w:rFonts w:ascii="宋体" w:hAnsi="宋体" w:cs="宋体" w:eastAsia="宋体" w:hint="default"/>
                <w:sz w:val="18"/>
                <w:szCs w:val="18"/>
              </w:rPr>
            </w:pPr>
            <w:r>
              <w:rPr>
                <w:rFonts w:ascii="宋体" w:hAnsi="宋体" w:cs="宋体" w:eastAsia="宋体" w:hint="default"/>
                <w:sz w:val="18"/>
                <w:szCs w:val="18"/>
              </w:rPr>
              <w:t>锁定期满后， 若本人仍担 任群兴玩具 董事或监事 或高级管理 人员，在任职</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5"/>
              <w:jc w:val="left"/>
              <w:rPr>
                <w:rFonts w:ascii="Times New Roman" w:hAnsi="Times New Roman" w:cs="Times New Roman" w:eastAsia="Times New Roman" w:hint="default"/>
                <w:sz w:val="18"/>
                <w:szCs w:val="18"/>
              </w:rPr>
            </w:pPr>
            <w:r>
              <w:rPr>
                <w:rFonts w:ascii="宋体" w:hAnsi="宋体" w:cs="宋体" w:eastAsia="宋体" w:hint="default"/>
                <w:sz w:val="18"/>
                <w:szCs w:val="18"/>
              </w:rPr>
              <w:t>承诺人任职 </w:t>
            </w:r>
            <w:r>
              <w:rPr>
                <w:rFonts w:ascii="宋体" w:hAnsi="宋体" w:cs="宋体" w:eastAsia="宋体" w:hint="default"/>
                <w:spacing w:val="-3"/>
                <w:sz w:val="18"/>
                <w:szCs w:val="18"/>
              </w:rPr>
              <w:t>公司董事、监</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3"/>
                <w:sz w:val="18"/>
                <w:szCs w:val="18"/>
              </w:rPr>
              <w:t>事、高级管理</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3"/>
                <w:sz w:val="18"/>
                <w:szCs w:val="18"/>
              </w:rPr>
              <w:t>人员期间、离</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职后半年内、 在申报离任</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9" w:lineRule="auto"/>
              <w:ind w:left="23" w:right="19"/>
              <w:jc w:val="left"/>
              <w:rPr>
                <w:rFonts w:ascii="宋体" w:hAnsi="宋体" w:cs="宋体" w:eastAsia="宋体" w:hint="default"/>
                <w:sz w:val="18"/>
                <w:szCs w:val="18"/>
              </w:rPr>
            </w:pPr>
            <w:r>
              <w:rPr>
                <w:rFonts w:ascii="宋体" w:hAnsi="宋体" w:cs="宋体" w:eastAsia="宋体" w:hint="default"/>
                <w:spacing w:val="-5"/>
                <w:sz w:val="18"/>
                <w:szCs w:val="18"/>
              </w:rPr>
              <w:t>截至目前，承</w:t>
            </w:r>
            <w:r>
              <w:rPr>
                <w:rFonts w:ascii="宋体" w:hAnsi="宋体" w:cs="宋体" w:eastAsia="宋体" w:hint="default"/>
                <w:sz w:val="18"/>
                <w:szCs w:val="18"/>
              </w:rPr>
              <w:t> 诺人未发生 违反承诺的 </w:t>
            </w:r>
            <w:r>
              <w:rPr>
                <w:rFonts w:ascii="宋体" w:hAnsi="宋体" w:cs="宋体" w:eastAsia="宋体" w:hint="default"/>
                <w:spacing w:val="-5"/>
                <w:sz w:val="18"/>
                <w:szCs w:val="18"/>
              </w:rPr>
              <w:t>情况，该承诺</w:t>
            </w:r>
            <w:r>
              <w:rPr>
                <w:rFonts w:ascii="宋体" w:hAnsi="宋体" w:cs="宋体" w:eastAsia="宋体" w:hint="default"/>
                <w:sz w:val="18"/>
                <w:szCs w:val="18"/>
              </w:rPr>
              <w:t> 事项已履行</w:t>
            </w:r>
          </w:p>
        </w:tc>
      </w:tr>
    </w:tbl>
    <w:p>
      <w:pPr>
        <w:spacing w:after="0" w:line="319"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6"/>
      </w:tblGrid>
      <w:tr>
        <w:trPr>
          <w:trHeight w:val="8476" w:hRule="exact"/>
        </w:trPr>
        <w:tc>
          <w:tcPr>
            <w:tcW w:w="283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19"/>
              <w:jc w:val="left"/>
              <w:rPr>
                <w:rFonts w:ascii="宋体" w:hAnsi="宋体" w:cs="宋体" w:eastAsia="宋体" w:hint="default"/>
                <w:sz w:val="18"/>
                <w:szCs w:val="18"/>
              </w:rPr>
            </w:pPr>
            <w:r>
              <w:rPr>
                <w:rFonts w:ascii="宋体" w:hAnsi="宋体" w:cs="宋体" w:eastAsia="宋体" w:hint="default"/>
                <w:spacing w:val="-3"/>
                <w:sz w:val="18"/>
                <w:szCs w:val="18"/>
              </w:rPr>
              <w:t>司股份，且同</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时担任本公 </w:t>
            </w:r>
            <w:r>
              <w:rPr>
                <w:rFonts w:ascii="宋体" w:hAnsi="宋体" w:cs="宋体" w:eastAsia="宋体" w:hint="default"/>
                <w:spacing w:val="-3"/>
                <w:sz w:val="18"/>
                <w:szCs w:val="18"/>
              </w:rPr>
              <w:t>司董事长，于</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312" w:lineRule="auto"/>
              <w:ind w:left="23" w:right="7"/>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日任期已 满并离任）、 公司原董事 黄仕群先生</w:t>
            </w:r>
          </w:p>
          <w:p>
            <w:pPr>
              <w:pStyle w:val="TableParagraph"/>
              <w:spacing w:line="316" w:lineRule="auto" w:before="22"/>
              <w:ind w:left="23" w:right="19"/>
              <w:jc w:val="left"/>
              <w:rPr>
                <w:rFonts w:ascii="宋体" w:hAnsi="宋体" w:cs="宋体" w:eastAsia="宋体" w:hint="default"/>
                <w:sz w:val="18"/>
                <w:szCs w:val="18"/>
              </w:rPr>
            </w:pPr>
            <w:r>
              <w:rPr>
                <w:rFonts w:ascii="宋体" w:hAnsi="宋体" w:cs="宋体" w:eastAsia="宋体" w:hint="default"/>
                <w:sz w:val="18"/>
                <w:szCs w:val="18"/>
              </w:rPr>
              <w:t>（通过直接 持有群兴投 资股份而间 接持有本公 </w:t>
            </w:r>
            <w:r>
              <w:rPr>
                <w:rFonts w:ascii="宋体" w:hAnsi="宋体" w:cs="宋体" w:eastAsia="宋体" w:hint="default"/>
                <w:spacing w:val="-3"/>
                <w:sz w:val="18"/>
                <w:szCs w:val="18"/>
              </w:rPr>
              <w:t>司股份，且同</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时担任本公 </w:t>
            </w:r>
            <w:r>
              <w:rPr>
                <w:rFonts w:ascii="宋体" w:hAnsi="宋体" w:cs="宋体" w:eastAsia="宋体" w:hint="default"/>
                <w:spacing w:val="-3"/>
                <w:sz w:val="18"/>
                <w:szCs w:val="18"/>
              </w:rPr>
              <w:t>司总经理，于</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300" w:lineRule="auto"/>
              <w:ind w:left="23" w:right="139"/>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日任期已 满并离任）</w:t>
            </w: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11"/>
              <w:jc w:val="left"/>
              <w:rPr>
                <w:rFonts w:ascii="宋体" w:hAnsi="宋体" w:cs="宋体" w:eastAsia="宋体" w:hint="default"/>
                <w:sz w:val="18"/>
                <w:szCs w:val="18"/>
              </w:rPr>
            </w:pPr>
            <w:r>
              <w:rPr>
                <w:rFonts w:ascii="宋体" w:hAnsi="宋体" w:cs="宋体" w:eastAsia="宋体" w:hint="default"/>
                <w:sz w:val="18"/>
                <w:szCs w:val="18"/>
              </w:rPr>
              <w:t>期间本人每 年转让股份 不超过直接 或间接所持 群兴玩具的 股票总数的 百分之二十 五。本人离任 后六个月内， 不转让直接 或间接所持 群兴玩具的 任何股份。本 人在申报离 任六个月后 的十二个月 内通过证券 交易所挂牌 交易出售群 兴玩具股票 数量占其所 直接或间接 持有群兴玩 具股票总数 的比例不得 超过百分之 五十。</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个月后的</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个月内。</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完毕。</w:t>
            </w:r>
          </w:p>
        </w:tc>
      </w:tr>
      <w:tr>
        <w:trPr>
          <w:trHeight w:val="401" w:hRule="exact"/>
        </w:trPr>
        <w:tc>
          <w:tcPr>
            <w:tcW w:w="2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股权激励承诺</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w:t>
            </w:r>
          </w:p>
        </w:tc>
      </w:tr>
      <w:tr>
        <w:trPr>
          <w:trHeight w:val="3524" w:hRule="exact"/>
        </w:trPr>
        <w:tc>
          <w:tcPr>
            <w:tcW w:w="283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其他对公司中小股东所作承诺</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23" w:right="187"/>
              <w:jc w:val="both"/>
              <w:rPr>
                <w:rFonts w:ascii="宋体" w:hAnsi="宋体" w:cs="宋体" w:eastAsia="宋体" w:hint="default"/>
                <w:sz w:val="18"/>
                <w:szCs w:val="18"/>
              </w:rPr>
            </w:pPr>
            <w:r>
              <w:rPr>
                <w:rFonts w:ascii="宋体" w:hAnsi="宋体" w:cs="宋体" w:eastAsia="宋体" w:hint="default"/>
                <w:sz w:val="18"/>
                <w:szCs w:val="18"/>
              </w:rPr>
              <w:t>本公司之控 股股东广东 群兴投资有 限公司</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6" w:right="0"/>
              <w:jc w:val="left"/>
              <w:rPr>
                <w:rFonts w:ascii="宋体" w:hAnsi="宋体" w:cs="宋体" w:eastAsia="宋体" w:hint="default"/>
                <w:sz w:val="18"/>
                <w:szCs w:val="18"/>
              </w:rPr>
            </w:pPr>
            <w:r>
              <w:rPr>
                <w:rFonts w:ascii="宋体" w:hAnsi="宋体" w:cs="宋体" w:eastAsia="宋体" w:hint="default"/>
                <w:sz w:val="18"/>
                <w:szCs w:val="18"/>
              </w:rPr>
              <w:t>不减持承诺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群兴投资于</w:t>
            </w:r>
          </w:p>
          <w:p>
            <w:pPr>
              <w:pStyle w:val="TableParagraph"/>
              <w:spacing w:line="240" w:lineRule="auto" w:before="7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312" w:lineRule="auto" w:before="63"/>
              <w:ind w:left="24" w:right="143"/>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日通过资 产管理计划 增持 </w:t>
            </w:r>
            <w:r>
              <w:rPr>
                <w:rFonts w:ascii="Times New Roman" w:hAnsi="Times New Roman" w:cs="Times New Roman" w:eastAsia="Times New Roman" w:hint="default"/>
                <w:sz w:val="18"/>
                <w:szCs w:val="18"/>
              </w:rPr>
              <w:t>5,120,000 </w:t>
            </w:r>
            <w:r>
              <w:rPr>
                <w:rFonts w:ascii="宋体" w:hAnsi="宋体" w:cs="宋体" w:eastAsia="宋体" w:hint="default"/>
                <w:sz w:val="18"/>
                <w:szCs w:val="18"/>
              </w:rPr>
              <w:t>股</w:t>
            </w:r>
          </w:p>
          <w:p>
            <w:pPr>
              <w:pStyle w:val="TableParagraph"/>
              <w:spacing w:line="314" w:lineRule="auto" w:before="3"/>
              <w:ind w:left="24" w:right="11"/>
              <w:jc w:val="left"/>
              <w:rPr>
                <w:rFonts w:ascii="宋体" w:hAnsi="宋体" w:cs="宋体" w:eastAsia="宋体" w:hint="default"/>
                <w:sz w:val="18"/>
                <w:szCs w:val="18"/>
              </w:rPr>
            </w:pPr>
            <w:r>
              <w:rPr>
                <w:rFonts w:ascii="宋体" w:hAnsi="宋体" w:cs="宋体" w:eastAsia="宋体" w:hint="default"/>
                <w:sz w:val="18"/>
                <w:szCs w:val="18"/>
              </w:rPr>
              <w:t>并承诺自该 股份增持完 成日后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 月内不减持 该部分股份。</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309" w:lineRule="auto" w:before="63"/>
              <w:ind w:left="23" w:right="1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pacing w:val="-23"/>
                <w:sz w:val="18"/>
                <w:szCs w:val="18"/>
              </w:rPr>
              <w:t>日，该</w:t>
            </w:r>
            <w:r>
              <w:rPr>
                <w:rFonts w:ascii="宋体" w:hAnsi="宋体" w:cs="宋体" w:eastAsia="宋体" w:hint="default"/>
                <w:sz w:val="18"/>
                <w:szCs w:val="18"/>
              </w:rPr>
              <w:t> 承诺已履行 完毕。</w:t>
            </w:r>
          </w:p>
        </w:tc>
      </w:tr>
      <w:tr>
        <w:trPr>
          <w:trHeight w:val="1337" w:hRule="exact"/>
        </w:trPr>
        <w:tc>
          <w:tcPr>
            <w:tcW w:w="2837" w:type="dxa"/>
            <w:vMerge/>
            <w:tcBorders>
              <w:left w:val="single" w:sz="4" w:space="0" w:color="000000"/>
              <w:bottom w:val="nil" w:sz="6" w:space="0" w:color="auto"/>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6" w:right="190"/>
              <w:jc w:val="left"/>
              <w:rPr>
                <w:rFonts w:ascii="宋体" w:hAnsi="宋体" w:cs="宋体" w:eastAsia="宋体" w:hint="default"/>
                <w:sz w:val="18"/>
                <w:szCs w:val="18"/>
              </w:rPr>
            </w:pPr>
            <w:r>
              <w:rPr>
                <w:rFonts w:ascii="宋体" w:hAnsi="宋体" w:cs="宋体" w:eastAsia="宋体" w:hint="default"/>
                <w:sz w:val="18"/>
                <w:szCs w:val="18"/>
              </w:rPr>
              <w:t>不进行重组 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4" w:right="0"/>
              <w:jc w:val="both"/>
              <w:rPr>
                <w:rFonts w:ascii="宋体" w:hAnsi="宋体" w:cs="宋体" w:eastAsia="宋体" w:hint="default"/>
                <w:sz w:val="18"/>
                <w:szCs w:val="18"/>
              </w:rPr>
            </w:pPr>
            <w:r>
              <w:rPr>
                <w:rFonts w:ascii="宋体" w:hAnsi="宋体" w:cs="宋体" w:eastAsia="宋体" w:hint="default"/>
                <w:sz w:val="18"/>
                <w:szCs w:val="18"/>
              </w:rPr>
              <w:t>公司承诺自</w:t>
            </w:r>
          </w:p>
          <w:p>
            <w:pPr>
              <w:pStyle w:val="TableParagraph"/>
              <w:spacing w:line="316" w:lineRule="auto" w:before="77"/>
              <w:ind w:left="24" w:right="191"/>
              <w:jc w:val="both"/>
              <w:rPr>
                <w:rFonts w:ascii="宋体" w:hAnsi="宋体" w:cs="宋体" w:eastAsia="宋体" w:hint="default"/>
                <w:sz w:val="18"/>
                <w:szCs w:val="18"/>
              </w:rPr>
            </w:pPr>
            <w:r>
              <w:rPr>
                <w:rFonts w:ascii="宋体" w:hAnsi="宋体" w:cs="宋体" w:eastAsia="宋体" w:hint="default"/>
                <w:sz w:val="18"/>
                <w:szCs w:val="18"/>
              </w:rPr>
              <w:t>《关于终止 重大资产重 组事项的公</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309" w:lineRule="auto" w:before="63"/>
              <w:ind w:left="23" w:right="35"/>
              <w:jc w:val="left"/>
              <w:rPr>
                <w:rFonts w:ascii="宋体" w:hAnsi="宋体" w:cs="宋体" w:eastAsia="宋体"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 该承诺已履 行完毕。</w:t>
            </w:r>
          </w:p>
        </w:tc>
      </w:tr>
    </w:tbl>
    <w:p>
      <w:pPr>
        <w:spacing w:after="0" w:line="309"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6"/>
      </w:tblGrid>
      <w:tr>
        <w:trPr>
          <w:trHeight w:val="1611" w:hRule="exact"/>
        </w:trPr>
        <w:tc>
          <w:tcPr>
            <w:tcW w:w="2837" w:type="dxa"/>
            <w:vMerge w:val="restart"/>
            <w:tcBorders>
              <w:top w:val="nil" w:sz="6" w:space="0" w:color="auto"/>
              <w:left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19"/>
              <w:jc w:val="left"/>
              <w:rPr>
                <w:rFonts w:ascii="宋体" w:hAnsi="宋体" w:cs="宋体" w:eastAsia="宋体" w:hint="default"/>
                <w:sz w:val="18"/>
                <w:szCs w:val="18"/>
              </w:rPr>
            </w:pPr>
            <w:r>
              <w:rPr>
                <w:rFonts w:ascii="宋体" w:hAnsi="宋体" w:cs="宋体" w:eastAsia="宋体" w:hint="default"/>
                <w:spacing w:val="-2"/>
                <w:sz w:val="18"/>
                <w:szCs w:val="18"/>
              </w:rPr>
              <w:t>告》披露之日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起一个月内 不再筹划重 大资产重组 事项</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r>
      <w:tr>
        <w:trPr>
          <w:trHeight w:val="3521"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6"/>
              <w:ind w:left="23" w:right="187"/>
              <w:jc w:val="both"/>
              <w:rPr>
                <w:rFonts w:ascii="宋体" w:hAnsi="宋体" w:cs="宋体" w:eastAsia="宋体" w:hint="default"/>
                <w:sz w:val="18"/>
                <w:szCs w:val="18"/>
              </w:rPr>
            </w:pPr>
            <w:r>
              <w:rPr>
                <w:rFonts w:ascii="宋体" w:hAnsi="宋体" w:cs="宋体" w:eastAsia="宋体" w:hint="default"/>
                <w:sz w:val="18"/>
                <w:szCs w:val="18"/>
              </w:rPr>
              <w:t>本公司之控 股股东广东 群兴投资有 限公司</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319" w:lineRule="auto"/>
              <w:ind w:left="26" w:right="190"/>
              <w:jc w:val="left"/>
              <w:rPr>
                <w:rFonts w:ascii="宋体" w:hAnsi="宋体" w:cs="宋体" w:eastAsia="宋体" w:hint="default"/>
                <w:sz w:val="18"/>
                <w:szCs w:val="18"/>
              </w:rPr>
            </w:pPr>
            <w:r>
              <w:rPr>
                <w:rFonts w:ascii="宋体" w:hAnsi="宋体" w:cs="宋体" w:eastAsia="宋体" w:hint="default"/>
                <w:sz w:val="18"/>
                <w:szCs w:val="18"/>
              </w:rPr>
              <w:t>不进行股权 转让</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7"/>
              <w:jc w:val="left"/>
              <w:rPr>
                <w:rFonts w:ascii="宋体" w:hAnsi="宋体" w:cs="宋体" w:eastAsia="宋体" w:hint="default"/>
                <w:sz w:val="18"/>
                <w:szCs w:val="18"/>
              </w:rPr>
            </w:pPr>
            <w:r>
              <w:rPr>
                <w:rFonts w:ascii="宋体" w:hAnsi="宋体" w:cs="宋体" w:eastAsia="宋体" w:hint="default"/>
                <w:sz w:val="18"/>
                <w:szCs w:val="18"/>
              </w:rPr>
              <w:t>公司控股股 </w:t>
            </w:r>
            <w:r>
              <w:rPr>
                <w:rFonts w:ascii="宋体" w:hAnsi="宋体" w:cs="宋体" w:eastAsia="宋体" w:hint="default"/>
                <w:spacing w:val="-2"/>
                <w:sz w:val="18"/>
                <w:szCs w:val="18"/>
              </w:rPr>
              <w:t>东承诺自《关</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于终止筹划 控股权转让 暨重大资产 重组事项的 </w:t>
            </w:r>
            <w:r>
              <w:rPr>
                <w:rFonts w:ascii="宋体" w:hAnsi="宋体" w:cs="宋体" w:eastAsia="宋体" w:hint="default"/>
                <w:spacing w:val="-2"/>
                <w:sz w:val="18"/>
                <w:szCs w:val="18"/>
              </w:rPr>
              <w:t>公告》披露之</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日起</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个月内 不再继续筹 划控股权转 让事宜。</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319" w:lineRule="auto"/>
              <w:ind w:left="23" w:right="19"/>
              <w:jc w:val="left"/>
              <w:rPr>
                <w:rFonts w:ascii="宋体" w:hAnsi="宋体" w:cs="宋体" w:eastAsia="宋体" w:hint="default"/>
                <w:sz w:val="18"/>
                <w:szCs w:val="18"/>
              </w:rPr>
            </w:pPr>
            <w:r>
              <w:rPr>
                <w:rFonts w:ascii="宋体" w:hAnsi="宋体" w:cs="宋体" w:eastAsia="宋体" w:hint="default"/>
                <w:spacing w:val="-5"/>
                <w:sz w:val="18"/>
                <w:szCs w:val="18"/>
              </w:rPr>
              <w:t>截至目前，该</w:t>
            </w:r>
            <w:r>
              <w:rPr>
                <w:rFonts w:ascii="宋体" w:hAnsi="宋体" w:cs="宋体" w:eastAsia="宋体" w:hint="default"/>
                <w:sz w:val="18"/>
                <w:szCs w:val="18"/>
              </w:rPr>
              <w:t> 承诺正常履 行中。</w:t>
            </w:r>
          </w:p>
        </w:tc>
      </w:tr>
      <w:tr>
        <w:trPr>
          <w:trHeight w:val="403" w:hRule="exact"/>
        </w:trPr>
        <w:tc>
          <w:tcPr>
            <w:tcW w:w="2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承诺是否按时履行</w:t>
            </w:r>
          </w:p>
        </w:tc>
        <w:tc>
          <w:tcPr>
            <w:tcW w:w="6731"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line="240" w:lineRule="auto" w:before="10"/>
        <w:rPr>
          <w:rFonts w:ascii="Times New Roman" w:hAnsi="Times New Roman" w:cs="Times New Roman" w:eastAsia="Times New Roman" w:hint="default"/>
          <w:sz w:val="21"/>
          <w:szCs w:val="21"/>
        </w:rPr>
      </w:pPr>
    </w:p>
    <w:p>
      <w:pPr>
        <w:pStyle w:val="Heading3"/>
        <w:spacing w:line="314" w:lineRule="exact" w:before="30"/>
        <w:ind w:right="0"/>
        <w:jc w:val="left"/>
        <w:rPr>
          <w:b w:val="0"/>
          <w:bCs w:val="0"/>
        </w:rPr>
      </w:pP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26"/>
        </w:rPr>
        <w:t> </w:t>
      </w:r>
      <w:r>
        <w:rPr>
          <w:spacing w:val="26"/>
        </w:rPr>
      </w:r>
      <w:r>
        <w:rPr/>
        <w:t>其原因做出说明</w:t>
      </w:r>
      <w:r>
        <w:rPr>
          <w:b w:val="0"/>
          <w:bCs w:val="0"/>
        </w:rPr>
      </w:r>
    </w:p>
    <w:p>
      <w:pPr>
        <w:spacing w:line="240" w:lineRule="auto" w:before="12"/>
        <w:rPr>
          <w:rFonts w:ascii="Microsoft JhengHei" w:hAnsi="Microsoft JhengHei" w:cs="Microsoft JhengHei" w:eastAsia="Microsoft JhengHei" w:hint="default"/>
          <w:b/>
          <w:bCs/>
          <w:sz w:val="18"/>
          <w:szCs w:val="18"/>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5"/>
        <w:rPr>
          <w:rFonts w:ascii="宋体" w:hAnsi="宋体" w:cs="宋体" w:eastAsia="宋体" w:hint="default"/>
          <w:sz w:val="18"/>
          <w:szCs w:val="18"/>
        </w:rPr>
      </w:pPr>
    </w:p>
    <w:p>
      <w:pPr>
        <w:pStyle w:val="Heading2"/>
        <w:spacing w:line="240" w:lineRule="auto"/>
        <w:ind w:right="0"/>
        <w:jc w:val="both"/>
        <w:rPr>
          <w:b w:val="0"/>
          <w:bCs w:val="0"/>
        </w:rPr>
      </w:pPr>
      <w:r>
        <w:rPr/>
        <w:t>四、控股股东及其关联方对上市公司的非经营性占用资金情况</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338" w:lineRule="auto"/>
        <w:ind w:right="40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公司报告期不存在控股股东及其关联方对上市公司的非经营性占用资金。</w:t>
      </w:r>
    </w:p>
    <w:p>
      <w:pPr>
        <w:spacing w:line="240" w:lineRule="auto" w:before="10"/>
        <w:rPr>
          <w:rFonts w:ascii="宋体" w:hAnsi="宋体" w:cs="宋体" w:eastAsia="宋体" w:hint="default"/>
          <w:sz w:val="13"/>
          <w:szCs w:val="13"/>
        </w:rPr>
      </w:pPr>
    </w:p>
    <w:p>
      <w:pPr>
        <w:pStyle w:val="Heading2"/>
        <w:spacing w:line="240" w:lineRule="auto"/>
        <w:ind w:right="0"/>
        <w:jc w:val="both"/>
        <w:rPr>
          <w:b w:val="0"/>
          <w:bCs w:val="0"/>
        </w:rPr>
      </w:pPr>
      <w:r>
        <w:rPr/>
        <w:t>五、董事会、监事会、独立董事（如有）对会计师事务所本报告期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18"/>
          <w:szCs w:val="18"/>
        </w:rPr>
      </w:pPr>
    </w:p>
    <w:p>
      <w:pPr>
        <w:pStyle w:val="Heading2"/>
        <w:spacing w:line="240" w:lineRule="auto"/>
        <w:ind w:right="0"/>
        <w:jc w:val="both"/>
        <w:rPr>
          <w:b w:val="0"/>
          <w:bCs w:val="0"/>
        </w:rPr>
      </w:pPr>
      <w:r>
        <w:rPr/>
        <w:t>六、与上年度财务报告相比，会计政策、会计估计和核算方法发生变化的情况说明</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415" w:lineRule="auto"/>
        <w:ind w:left="513" w:right="0" w:hanging="3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w:t>
      </w:r>
      <w:r>
        <w:rPr>
          <w:rFonts w:ascii="宋体" w:hAnsi="宋体" w:cs="宋体" w:eastAsia="宋体" w:hint="default"/>
          <w:spacing w:val="-2"/>
        </w:rPr>
        <w:t>1</w:t>
      </w:r>
      <w:r>
        <w:rPr>
          <w:spacing w:val="-2"/>
        </w:rPr>
        <w:t>、为进一步推动公司</w:t>
      </w:r>
      <w:r>
        <w:rPr>
          <w:rFonts w:ascii="宋体" w:hAnsi="宋体" w:cs="宋体" w:eastAsia="宋体" w:hint="default"/>
          <w:spacing w:val="-2"/>
        </w:rPr>
        <w:t>B2B+O2O</w:t>
      </w:r>
      <w:r>
        <w:rPr>
          <w:spacing w:val="-2"/>
        </w:rPr>
        <w:t>玩具渠道电商系统落地实施，有效利用公司</w:t>
      </w:r>
      <w:r>
        <w:rPr>
          <w:rFonts w:ascii="宋体" w:hAnsi="宋体" w:cs="宋体" w:eastAsia="宋体" w:hint="default"/>
          <w:spacing w:val="-2"/>
        </w:rPr>
        <w:t>15</w:t>
      </w:r>
      <w:r>
        <w:rPr>
          <w:spacing w:val="-2"/>
        </w:rPr>
        <w:t>万平方米厂房快速推动公司玩具生产商线下</w:t>
      </w:r>
    </w:p>
    <w:p>
      <w:pPr>
        <w:pStyle w:val="BodyText"/>
        <w:spacing w:line="477" w:lineRule="auto" w:before="101"/>
        <w:ind w:right="151"/>
        <w:jc w:val="both"/>
      </w:pPr>
      <w:r>
        <w:rPr>
          <w:spacing w:val="-2"/>
        </w:rPr>
        <w:t>展示体验实体店的建立，经公司第三届董事会第十一次会议审议通过，公司拟将子公司自用房产用于出租，根据《企业会计</w:t>
      </w:r>
      <w:r>
        <w:rPr>
          <w:spacing w:val="-64"/>
        </w:rPr>
        <w:t> </w:t>
      </w:r>
      <w:r>
        <w:rPr>
          <w:spacing w:val="-64"/>
        </w:rPr>
      </w:r>
      <w:r>
        <w:rPr/>
        <w:t>准则第</w:t>
      </w:r>
      <w:r>
        <w:rPr>
          <w:rFonts w:ascii="宋体" w:hAnsi="宋体" w:cs="宋体" w:eastAsia="宋体" w:hint="default"/>
        </w:rPr>
        <w:t>3</w:t>
      </w:r>
      <w:r>
        <w:rPr/>
        <w:t>号——投资性房地产》规定，公司将拟用于出租的自用房产转换为“投资性房地产”并在投资性房地产科目进行核</w:t>
      </w:r>
      <w:r>
        <w:rPr>
          <w:spacing w:val="-84"/>
        </w:rPr>
        <w:t> </w:t>
      </w:r>
      <w:r>
        <w:rPr>
          <w:spacing w:val="-84"/>
        </w:rPr>
      </w:r>
      <w:r>
        <w:rPr/>
        <w:t>算。为了更加客观地反映公司持有投资性房地产的真实价值，增强公司财务信息的准确性，根据《企业会计准则第</w:t>
      </w:r>
      <w:r>
        <w:rPr>
          <w:rFonts w:ascii="宋体" w:hAnsi="宋体" w:cs="宋体" w:eastAsia="宋体" w:hint="default"/>
        </w:rPr>
        <w:t>3</w:t>
      </w:r>
      <w:r>
        <w:rPr/>
        <w:t>号—投</w:t>
      </w:r>
      <w:r>
        <w:rPr>
          <w:spacing w:val="-82"/>
        </w:rPr>
        <w:t> </w:t>
      </w:r>
      <w:r>
        <w:rPr>
          <w:spacing w:val="-2"/>
        </w:rPr>
        <w:t>资性房地产》、《企业会计准则第</w:t>
      </w:r>
      <w:r>
        <w:rPr>
          <w:rFonts w:ascii="宋体" w:hAnsi="宋体" w:cs="宋体" w:eastAsia="宋体" w:hint="default"/>
          <w:spacing w:val="-2"/>
        </w:rPr>
        <w:t>28</w:t>
      </w:r>
      <w:r>
        <w:rPr>
          <w:spacing w:val="-2"/>
        </w:rPr>
        <w:t>号——会计政策、会计估计变更和会计差错》及《深圳证券交易所中小企业板上市公司</w:t>
      </w:r>
      <w:r>
        <w:rPr>
          <w:spacing w:val="-64"/>
        </w:rPr>
        <w:t> </w:t>
      </w:r>
      <w:r>
        <w:rPr>
          <w:spacing w:val="-64"/>
        </w:rPr>
      </w:r>
      <w:r>
        <w:rPr>
          <w:spacing w:val="-2"/>
        </w:rPr>
        <w:t>规范运作指引》等相关规定，经公司第三届董事会第十一次会议审议通过，公司决定对投资性房地产的后续计量模式进行会</w:t>
      </w:r>
    </w:p>
    <w:p>
      <w:pPr>
        <w:spacing w:after="0" w:line="477" w:lineRule="auto"/>
        <w:jc w:val="both"/>
        <w:sectPr>
          <w:pgSz w:w="11910" w:h="16840"/>
          <w:pgMar w:header="745" w:footer="979" w:top="1060" w:bottom="1160" w:left="980" w:right="98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477" w:lineRule="auto"/>
        <w:ind w:right="210"/>
        <w:jc w:val="both"/>
      </w:pPr>
      <w:r>
        <w:rPr>
          <w:spacing w:val="-2"/>
        </w:rPr>
        <w:t>计政策变更，即由成本计量模式变更为公允价值计量模式。公司自</w:t>
      </w:r>
      <w:r>
        <w:rPr>
          <w:rFonts w:ascii="宋体" w:hAnsi="宋体" w:cs="宋体" w:eastAsia="宋体" w:hint="default"/>
          <w:spacing w:val="-2"/>
        </w:rPr>
        <w:t>2017</w:t>
      </w:r>
      <w:r>
        <w:rPr>
          <w:spacing w:val="-2"/>
        </w:rPr>
        <w:t>年</w:t>
      </w:r>
      <w:r>
        <w:rPr>
          <w:rFonts w:ascii="宋体" w:hAnsi="宋体" w:cs="宋体" w:eastAsia="宋体" w:hint="default"/>
          <w:spacing w:val="-2"/>
        </w:rPr>
        <w:t>1</w:t>
      </w:r>
      <w:r>
        <w:rPr>
          <w:spacing w:val="-2"/>
        </w:rPr>
        <w:t>月</w:t>
      </w:r>
      <w:r>
        <w:rPr>
          <w:rFonts w:ascii="宋体" w:hAnsi="宋体" w:cs="宋体" w:eastAsia="宋体" w:hint="default"/>
          <w:spacing w:val="-2"/>
        </w:rPr>
        <w:t>1</w:t>
      </w:r>
      <w:r>
        <w:rPr>
          <w:spacing w:val="-2"/>
        </w:rPr>
        <w:t>日起对投资性房地产采用公允价值模式进行后</w:t>
      </w:r>
      <w:r>
        <w:rPr>
          <w:spacing w:val="-60"/>
        </w:rPr>
        <w:t> </w:t>
      </w:r>
      <w:r>
        <w:rPr>
          <w:spacing w:val="-60"/>
        </w:rPr>
      </w:r>
      <w:r>
        <w:rPr>
          <w:spacing w:val="-2"/>
        </w:rPr>
        <w:t>续计量，截至</w:t>
      </w:r>
      <w:r>
        <w:rPr>
          <w:rFonts w:ascii="宋体" w:hAnsi="宋体" w:cs="宋体" w:eastAsia="宋体" w:hint="default"/>
          <w:spacing w:val="-2"/>
        </w:rPr>
        <w:t>2016</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日，公司不存在投资性房地产，故本次会计政策变更不会对以前年度财务报表产生影响，无需进</w:t>
      </w:r>
      <w:r>
        <w:rPr>
          <w:spacing w:val="-59"/>
        </w:rPr>
        <w:t> </w:t>
      </w:r>
      <w:r>
        <w:rPr>
          <w:spacing w:val="-59"/>
        </w:rPr>
      </w:r>
      <w:r>
        <w:rPr/>
        <w:t>行追溯调整。</w:t>
      </w:r>
    </w:p>
    <w:p>
      <w:pPr>
        <w:pStyle w:val="BodyText"/>
        <w:spacing w:line="477" w:lineRule="auto" w:before="54"/>
        <w:ind w:right="107" w:firstLine="360"/>
        <w:jc w:val="left"/>
      </w:pPr>
      <w:r>
        <w:rPr>
          <w:rFonts w:ascii="宋体" w:hAnsi="宋体" w:cs="宋体" w:eastAsia="宋体" w:hint="default"/>
          <w:spacing w:val="-3"/>
        </w:rPr>
        <w:t>2</w:t>
      </w:r>
      <w:r>
        <w:rPr>
          <w:spacing w:val="-3"/>
        </w:rPr>
        <w:t>、</w:t>
      </w:r>
      <w:r>
        <w:rPr>
          <w:rFonts w:ascii="宋体" w:hAnsi="宋体" w:cs="宋体" w:eastAsia="宋体" w:hint="default"/>
          <w:spacing w:val="-3"/>
        </w:rPr>
        <w:t>2017</w:t>
      </w:r>
      <w:r>
        <w:rPr>
          <w:spacing w:val="-3"/>
        </w:rPr>
        <w:t>年</w:t>
      </w:r>
      <w:r>
        <w:rPr>
          <w:rFonts w:ascii="宋体" w:hAnsi="宋体" w:cs="宋体" w:eastAsia="宋体" w:hint="default"/>
          <w:spacing w:val="-3"/>
        </w:rPr>
        <w:t>5</w:t>
      </w:r>
      <w:r>
        <w:rPr>
          <w:spacing w:val="-3"/>
        </w:rPr>
        <w:t>月</w:t>
      </w:r>
      <w:r>
        <w:rPr>
          <w:rFonts w:ascii="宋体" w:hAnsi="宋体" w:cs="宋体" w:eastAsia="宋体" w:hint="default"/>
          <w:spacing w:val="-3"/>
        </w:rPr>
        <w:t>10</w:t>
      </w:r>
      <w:r>
        <w:rPr>
          <w:spacing w:val="-3"/>
        </w:rPr>
        <w:t>日，财政部颁布了《关于印发修订</w:t>
      </w:r>
      <w:r>
        <w:rPr>
          <w:rFonts w:ascii="宋体" w:hAnsi="宋体" w:cs="宋体" w:eastAsia="宋体" w:hint="default"/>
          <w:spacing w:val="-3"/>
        </w:rPr>
        <w:t>&lt;</w:t>
      </w:r>
      <w:r>
        <w:rPr>
          <w:spacing w:val="-3"/>
        </w:rPr>
        <w:t>企业会计准则第</w:t>
      </w:r>
      <w:r>
        <w:rPr>
          <w:rFonts w:ascii="宋体" w:hAnsi="宋体" w:cs="宋体" w:eastAsia="宋体" w:hint="default"/>
          <w:spacing w:val="-3"/>
        </w:rPr>
        <w:t>16</w:t>
      </w:r>
      <w:r>
        <w:rPr>
          <w:spacing w:val="-3"/>
        </w:rPr>
        <w:t>号——政府补助</w:t>
      </w:r>
      <w:r>
        <w:rPr>
          <w:rFonts w:ascii="宋体" w:hAnsi="宋体" w:cs="宋体" w:eastAsia="宋体" w:hint="default"/>
          <w:spacing w:val="-3"/>
        </w:rPr>
        <w:t>&gt;</w:t>
      </w:r>
      <w:r>
        <w:rPr>
          <w:spacing w:val="-3"/>
        </w:rPr>
        <w:t>的通知》（财会〔</w:t>
      </w:r>
      <w:r>
        <w:rPr>
          <w:rFonts w:ascii="宋体" w:hAnsi="宋体" w:cs="宋体" w:eastAsia="宋体" w:hint="default"/>
          <w:spacing w:val="-3"/>
        </w:rPr>
        <w:t>2017</w:t>
      </w:r>
      <w:r>
        <w:rPr>
          <w:spacing w:val="-3"/>
        </w:rPr>
        <w:t>〕</w:t>
      </w:r>
      <w:r>
        <w:rPr>
          <w:rFonts w:ascii="宋体" w:hAnsi="宋体" w:cs="宋体" w:eastAsia="宋体" w:hint="default"/>
          <w:spacing w:val="-3"/>
        </w:rPr>
        <w:t>15</w:t>
      </w:r>
      <w:r>
        <w:rPr>
          <w:spacing w:val="-3"/>
        </w:rPr>
        <w:t>号），</w:t>
      </w:r>
      <w:r>
        <w:rPr/>
        <w:t> 对《企业会计准则第</w:t>
      </w:r>
      <w:r>
        <w:rPr>
          <w:rFonts w:ascii="宋体" w:hAnsi="宋体" w:cs="宋体" w:eastAsia="宋体" w:hint="default"/>
        </w:rPr>
        <w:t>16</w:t>
      </w:r>
      <w:r>
        <w:rPr/>
        <w:t>号——政府补助》进行了修订，自</w:t>
      </w:r>
      <w:r>
        <w:rPr>
          <w:rFonts w:ascii="宋体" w:hAnsi="宋体" w:cs="宋体" w:eastAsia="宋体" w:hint="default"/>
        </w:rPr>
        <w:t>2017</w:t>
      </w:r>
      <w:r>
        <w:rPr/>
        <w:t>年</w:t>
      </w:r>
      <w:r>
        <w:rPr>
          <w:rFonts w:ascii="宋体" w:hAnsi="宋体" w:cs="宋体" w:eastAsia="宋体" w:hint="default"/>
        </w:rPr>
        <w:t>6</w:t>
      </w:r>
      <w:r>
        <w:rPr/>
        <w:t>月</w:t>
      </w:r>
      <w:r>
        <w:rPr>
          <w:rFonts w:ascii="宋体" w:hAnsi="宋体" w:cs="宋体" w:eastAsia="宋体" w:hint="default"/>
        </w:rPr>
        <w:t>12</w:t>
      </w:r>
      <w:r>
        <w:rPr/>
        <w:t>日起施行。根据财政部的相关要求，公司对会计政策</w:t>
      </w:r>
      <w:r>
        <w:rPr>
          <w:spacing w:val="-85"/>
        </w:rPr>
        <w:t> </w:t>
      </w:r>
      <w:r>
        <w:rPr>
          <w:spacing w:val="-85"/>
        </w:rPr>
      </w:r>
      <w:r>
        <w:rPr>
          <w:spacing w:val="-2"/>
        </w:rPr>
        <w:t>予以相应变更。根据财政部《关于印发修订</w:t>
      </w:r>
      <w:r>
        <w:rPr>
          <w:rFonts w:ascii="宋体" w:hAnsi="宋体" w:cs="宋体" w:eastAsia="宋体" w:hint="default"/>
          <w:spacing w:val="-2"/>
        </w:rPr>
        <w:t>&lt;</w:t>
      </w:r>
      <w:r>
        <w:rPr>
          <w:spacing w:val="-2"/>
        </w:rPr>
        <w:t>企业会计准则第</w:t>
      </w:r>
      <w:r>
        <w:rPr>
          <w:rFonts w:ascii="宋体" w:hAnsi="宋体" w:cs="宋体" w:eastAsia="宋体" w:hint="default"/>
          <w:spacing w:val="-2"/>
        </w:rPr>
        <w:t>16</w:t>
      </w:r>
      <w:r>
        <w:rPr>
          <w:spacing w:val="-2"/>
        </w:rPr>
        <w:t>号——政府补助</w:t>
      </w:r>
      <w:r>
        <w:rPr>
          <w:rFonts w:ascii="宋体" w:hAnsi="宋体" w:cs="宋体" w:eastAsia="宋体" w:hint="default"/>
          <w:spacing w:val="-2"/>
        </w:rPr>
        <w:t>&gt;</w:t>
      </w:r>
      <w:r>
        <w:rPr>
          <w:spacing w:val="-2"/>
        </w:rPr>
        <w:t>的通知》（财会〔</w:t>
      </w:r>
      <w:r>
        <w:rPr>
          <w:rFonts w:ascii="宋体" w:hAnsi="宋体" w:cs="宋体" w:eastAsia="宋体" w:hint="default"/>
          <w:spacing w:val="-2"/>
        </w:rPr>
        <w:t>2017</w:t>
      </w:r>
      <w:r>
        <w:rPr>
          <w:spacing w:val="-2"/>
        </w:rPr>
        <w:t>〕</w:t>
      </w:r>
      <w:r>
        <w:rPr>
          <w:rFonts w:ascii="宋体" w:hAnsi="宋体" w:cs="宋体" w:eastAsia="宋体" w:hint="default"/>
          <w:spacing w:val="-2"/>
        </w:rPr>
        <w:t>15</w:t>
      </w:r>
      <w:r>
        <w:rPr>
          <w:spacing w:val="-2"/>
        </w:rPr>
        <w:t>号）的规定和要</w:t>
      </w:r>
      <w:r>
        <w:rPr>
          <w:spacing w:val="-61"/>
        </w:rPr>
        <w:t> </w:t>
      </w:r>
      <w:r>
        <w:rPr>
          <w:spacing w:val="-61"/>
        </w:rPr>
      </w:r>
      <w:r>
        <w:rPr>
          <w:spacing w:val="-2"/>
        </w:rPr>
        <w:t>求，公司将修改财务报表列报，与日常活动有关且与收益有关的政府补助，从利润表“营业外收入”项目调整为利润表“其</w:t>
      </w:r>
      <w:r>
        <w:rPr>
          <w:spacing w:val="-68"/>
        </w:rPr>
        <w:t> </w:t>
      </w:r>
      <w:r>
        <w:rPr>
          <w:spacing w:val="-68"/>
        </w:rPr>
      </w:r>
      <w:r>
        <w:rPr/>
        <w:t>他收益”项目列报，该变更仅对公司财务报表项目列示产生影响，对公司的财务状况、经营成果和现金流量不产生影响。</w:t>
      </w:r>
    </w:p>
    <w:p>
      <w:pPr>
        <w:pStyle w:val="BodyText"/>
        <w:spacing w:line="477" w:lineRule="auto" w:before="54"/>
        <w:ind w:right="204" w:firstLine="360"/>
        <w:jc w:val="left"/>
      </w:pPr>
      <w:r>
        <w:rPr>
          <w:rFonts w:ascii="宋体" w:hAnsi="宋体" w:cs="宋体" w:eastAsia="宋体" w:hint="default"/>
        </w:rPr>
        <w:t>3</w:t>
      </w:r>
      <w:r>
        <w:rPr/>
        <w:t>、财政部于</w:t>
      </w:r>
      <w:r>
        <w:rPr>
          <w:rFonts w:ascii="宋体" w:hAnsi="宋体" w:cs="宋体" w:eastAsia="宋体" w:hint="default"/>
        </w:rPr>
        <w:t>2017</w:t>
      </w:r>
      <w:r>
        <w:rPr/>
        <w:t>年度发布了《财政部关于修订印发一般企业财务报表格式的通知》，对一般企业财务报表格式进行了 修订，适用于</w:t>
      </w:r>
      <w:r>
        <w:rPr>
          <w:rFonts w:ascii="宋体" w:hAnsi="宋体" w:cs="宋体" w:eastAsia="宋体" w:hint="default"/>
        </w:rPr>
        <w:t>2017</w:t>
      </w:r>
      <w:r>
        <w:rPr/>
        <w:t>年度及以后期间的财务报表。</w:t>
      </w:r>
    </w:p>
    <w:p>
      <w:pPr>
        <w:pStyle w:val="Heading2"/>
        <w:spacing w:line="240" w:lineRule="auto" w:before="152"/>
        <w:ind w:right="0"/>
        <w:jc w:val="both"/>
        <w:rPr>
          <w:b w:val="0"/>
          <w:bCs w:val="0"/>
        </w:rPr>
      </w:pPr>
      <w:r>
        <w:rPr/>
        <w:t>七、报告期内发生重大会计差错更正需追溯重述的情况说明</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338" w:lineRule="auto"/>
        <w:ind w:right="56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公司报告期无重大会计差错更正需追溯重述的情况。</w:t>
      </w:r>
    </w:p>
    <w:p>
      <w:pPr>
        <w:spacing w:line="240" w:lineRule="auto" w:before="10"/>
        <w:rPr>
          <w:rFonts w:ascii="宋体" w:hAnsi="宋体" w:cs="宋体" w:eastAsia="宋体" w:hint="default"/>
          <w:sz w:val="13"/>
          <w:szCs w:val="13"/>
        </w:rPr>
      </w:pPr>
    </w:p>
    <w:p>
      <w:pPr>
        <w:pStyle w:val="Heading2"/>
        <w:spacing w:line="240" w:lineRule="auto"/>
        <w:ind w:right="0"/>
        <w:jc w:val="both"/>
        <w:rPr>
          <w:b w:val="0"/>
          <w:bCs w:val="0"/>
        </w:rPr>
      </w:pPr>
      <w:r>
        <w:rPr/>
        <w:t>八、与上年度财务报告相比，合并报表范围发生变化的情况说明</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412" w:lineRule="auto"/>
        <w:ind w:left="513" w:right="107" w:hanging="361"/>
        <w:jc w:val="left"/>
        <w:rPr>
          <w:rFonts w:ascii="宋体" w:hAnsi="宋体" w:cs="宋体" w:eastAsia="宋体" w:hint="default"/>
        </w:rPr>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w:t>
      </w:r>
      <w:r>
        <w:rPr>
          <w:spacing w:val="-3"/>
        </w:rPr>
        <w:t>本公司于</w:t>
      </w:r>
      <w:r>
        <w:rPr>
          <w:rFonts w:ascii="宋体" w:hAnsi="宋体" w:cs="宋体" w:eastAsia="宋体" w:hint="default"/>
          <w:spacing w:val="-3"/>
        </w:rPr>
        <w:t>2017</w:t>
      </w:r>
      <w:r>
        <w:rPr>
          <w:spacing w:val="-3"/>
        </w:rPr>
        <w:t>年</w:t>
      </w:r>
      <w:r>
        <w:rPr>
          <w:rFonts w:ascii="宋体" w:hAnsi="宋体" w:cs="宋体" w:eastAsia="宋体" w:hint="default"/>
          <w:spacing w:val="-3"/>
        </w:rPr>
        <w:t>1</w:t>
      </w:r>
      <w:r>
        <w:rPr>
          <w:spacing w:val="-3"/>
        </w:rPr>
        <w:t>月</w:t>
      </w:r>
      <w:r>
        <w:rPr>
          <w:rFonts w:ascii="宋体" w:hAnsi="宋体" w:cs="宋体" w:eastAsia="宋体" w:hint="default"/>
          <w:spacing w:val="-3"/>
        </w:rPr>
        <w:t>22</w:t>
      </w:r>
      <w:r>
        <w:rPr>
          <w:spacing w:val="-3"/>
        </w:rPr>
        <w:t>日以自有资金</w:t>
      </w:r>
      <w:r>
        <w:rPr>
          <w:rFonts w:ascii="宋体" w:hAnsi="宋体" w:cs="宋体" w:eastAsia="宋体" w:hint="default"/>
          <w:spacing w:val="-3"/>
        </w:rPr>
        <w:t>1</w:t>
      </w:r>
      <w:r>
        <w:rPr>
          <w:spacing w:val="-3"/>
        </w:rPr>
        <w:t>亿元人民币投资设立歌乐宝（汕头）网络科技有限公司，持股比例</w:t>
      </w:r>
      <w:r>
        <w:rPr>
          <w:rFonts w:ascii="宋体" w:hAnsi="宋体" w:cs="宋体" w:eastAsia="宋体" w:hint="default"/>
          <w:spacing w:val="-3"/>
        </w:rPr>
        <w:t>100.00%</w:t>
      </w:r>
      <w:r>
        <w:rPr>
          <w:spacing w:val="-3"/>
        </w:rPr>
        <w:t>；于</w:t>
      </w:r>
      <w:r>
        <w:rPr>
          <w:rFonts w:ascii="宋体" w:hAnsi="宋体" w:cs="宋体" w:eastAsia="宋体" w:hint="default"/>
          <w:spacing w:val="-3"/>
        </w:rPr>
        <w:t>2017</w:t>
      </w:r>
    </w:p>
    <w:p>
      <w:pPr>
        <w:pStyle w:val="BodyText"/>
        <w:spacing w:line="477" w:lineRule="auto" w:before="103"/>
        <w:ind w:right="211"/>
        <w:jc w:val="both"/>
      </w:pPr>
      <w:r>
        <w:rPr>
          <w:spacing w:val="-2"/>
        </w:rPr>
        <w:t>年</w:t>
      </w:r>
      <w:r>
        <w:rPr>
          <w:rFonts w:ascii="宋体" w:hAnsi="宋体" w:cs="宋体" w:eastAsia="宋体" w:hint="default"/>
          <w:spacing w:val="-2"/>
        </w:rPr>
        <w:t>5</w:t>
      </w:r>
      <w:r>
        <w:rPr>
          <w:spacing w:val="-2"/>
        </w:rPr>
        <w:t>月</w:t>
      </w:r>
      <w:r>
        <w:rPr>
          <w:rFonts w:ascii="宋体" w:hAnsi="宋体" w:cs="宋体" w:eastAsia="宋体" w:hint="default"/>
          <w:spacing w:val="-2"/>
        </w:rPr>
        <w:t>17</w:t>
      </w:r>
      <w:r>
        <w:rPr>
          <w:spacing w:val="-2"/>
        </w:rPr>
        <w:t>日以自有资金</w:t>
      </w:r>
      <w:r>
        <w:rPr>
          <w:rFonts w:ascii="宋体" w:hAnsi="宋体" w:cs="宋体" w:eastAsia="宋体" w:hint="default"/>
          <w:spacing w:val="-2"/>
        </w:rPr>
        <w:t>5000</w:t>
      </w:r>
      <w:r>
        <w:rPr>
          <w:spacing w:val="-2"/>
        </w:rPr>
        <w:t>万元人民币投资设立西藏蓝道智能交通科技有限责任公司，持股比例</w:t>
      </w:r>
      <w:r>
        <w:rPr>
          <w:rFonts w:ascii="宋体" w:hAnsi="宋体" w:cs="宋体" w:eastAsia="宋体" w:hint="default"/>
          <w:spacing w:val="-2"/>
        </w:rPr>
        <w:t>100.00%</w:t>
      </w:r>
      <w:r>
        <w:rPr>
          <w:spacing w:val="-2"/>
        </w:rPr>
        <w:t>。根据企业合并准则</w:t>
      </w:r>
      <w:r>
        <w:rPr>
          <w:spacing w:val="-55"/>
        </w:rPr>
        <w:t> </w:t>
      </w:r>
      <w:r>
        <w:rPr>
          <w:spacing w:val="-55"/>
        </w:rPr>
      </w:r>
      <w:r>
        <w:rPr>
          <w:spacing w:val="-2"/>
        </w:rPr>
        <w:t>的相关规定，通过设立或投资等方式取得的子公司应纳入企业财务报表合并范围，本报告期合并财务报表的合并范围增加歌</w:t>
      </w:r>
      <w:r>
        <w:rPr>
          <w:spacing w:val="-64"/>
        </w:rPr>
        <w:t> </w:t>
      </w:r>
      <w:r>
        <w:rPr>
          <w:spacing w:val="-64"/>
        </w:rPr>
      </w:r>
      <w:r>
        <w:rPr/>
        <w:t>乐宝、西藏蓝道。</w:t>
      </w:r>
    </w:p>
    <w:p>
      <w:pPr>
        <w:pStyle w:val="Heading2"/>
        <w:spacing w:line="240" w:lineRule="auto" w:before="153"/>
        <w:ind w:right="0"/>
        <w:jc w:val="both"/>
        <w:rPr>
          <w:b w:val="0"/>
          <w:bCs w:val="0"/>
        </w:rPr>
      </w:pPr>
      <w:r>
        <w:rPr/>
        <w:t>九、聘任、解聘会计师事务所情况</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240" w:lineRule="auto"/>
        <w:ind w:right="0"/>
        <w:jc w:val="both"/>
      </w:pPr>
      <w:r>
        <w:rPr/>
        <w:t>现聘任的会计师事务所</w:t>
      </w:r>
    </w:p>
    <w:p>
      <w:pPr>
        <w:spacing w:line="240" w:lineRule="auto" w:before="4"/>
        <w:rPr>
          <w:rFonts w:ascii="宋体" w:hAnsi="宋体" w:cs="宋体" w:eastAsia="宋体" w:hint="default"/>
          <w:sz w:val="8"/>
          <w:szCs w:val="8"/>
        </w:rPr>
      </w:pPr>
    </w:p>
    <w:tbl>
      <w:tblPr>
        <w:tblW w:w="0" w:type="auto"/>
        <w:jc w:val="left"/>
        <w:tblInd w:w="120" w:type="dxa"/>
        <w:tblLayout w:type="fixed"/>
        <w:tblCellMar>
          <w:top w:w="0" w:type="dxa"/>
          <w:left w:w="0" w:type="dxa"/>
          <w:bottom w:w="0" w:type="dxa"/>
          <w:right w:w="0" w:type="dxa"/>
        </w:tblCellMar>
        <w:tblLook w:val="01E0"/>
      </w:tblPr>
      <w:tblGrid>
        <w:gridCol w:w="4140"/>
        <w:gridCol w:w="5557"/>
      </w:tblGrid>
      <w:tr>
        <w:trPr>
          <w:trHeight w:val="401" w:hRule="exact"/>
        </w:trPr>
        <w:tc>
          <w:tcPr>
            <w:tcW w:w="41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5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r>
      <w:tr>
        <w:trPr>
          <w:trHeight w:val="403" w:hRule="exact"/>
        </w:trPr>
        <w:tc>
          <w:tcPr>
            <w:tcW w:w="41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5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60</w:t>
            </w:r>
          </w:p>
        </w:tc>
      </w:tr>
      <w:tr>
        <w:trPr>
          <w:trHeight w:val="401" w:hRule="exact"/>
        </w:trPr>
        <w:tc>
          <w:tcPr>
            <w:tcW w:w="41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5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w:t>
            </w:r>
          </w:p>
        </w:tc>
      </w:tr>
      <w:tr>
        <w:trPr>
          <w:trHeight w:val="403" w:hRule="exact"/>
        </w:trPr>
        <w:tc>
          <w:tcPr>
            <w:tcW w:w="41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5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钟宇、陈延柏</w:t>
            </w:r>
          </w:p>
        </w:tc>
      </w:tr>
      <w:tr>
        <w:trPr>
          <w:trHeight w:val="401" w:hRule="exact"/>
        </w:trPr>
        <w:tc>
          <w:tcPr>
            <w:tcW w:w="41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境内会计师事务所注册会计师审计服务的连续年限</w:t>
            </w:r>
          </w:p>
        </w:tc>
        <w:tc>
          <w:tcPr>
            <w:tcW w:w="5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bl>
    <w:p>
      <w:pPr>
        <w:pStyle w:val="BodyText"/>
        <w:spacing w:line="240" w:lineRule="auto" w:before="49"/>
        <w:ind w:right="107"/>
        <w:jc w:val="left"/>
      </w:pPr>
      <w:r>
        <w:rPr/>
        <w:t>当期是否改聘会计师事务所</w:t>
      </w:r>
    </w:p>
    <w:p>
      <w:pPr>
        <w:pStyle w:val="BodyText"/>
        <w:spacing w:line="338" w:lineRule="auto" w:before="117"/>
        <w:ind w:right="533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聘请内部控制审计会计师事务所、财务顾问或保荐人情况</w:t>
      </w:r>
    </w:p>
    <w:p>
      <w:pPr>
        <w:spacing w:after="0" w:line="338" w:lineRule="auto"/>
        <w:jc w:val="left"/>
        <w:sectPr>
          <w:pgSz w:w="11910" w:h="16840"/>
          <w:pgMar w:header="745" w:footer="979" w:top="1060" w:bottom="1160" w:left="980" w:right="920"/>
        </w:sectPr>
      </w:pPr>
    </w:p>
    <w:p>
      <w:pPr>
        <w:spacing w:line="240" w:lineRule="auto" w:before="10"/>
        <w:rPr>
          <w:rFonts w:ascii="宋体" w:hAnsi="宋体" w:cs="宋体" w:eastAsia="宋体" w:hint="default"/>
          <w:sz w:val="25"/>
          <w:szCs w:val="25"/>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5"/>
        <w:rPr>
          <w:rFonts w:ascii="宋体" w:hAnsi="宋体" w:cs="宋体" w:eastAsia="宋体" w:hint="default"/>
          <w:sz w:val="18"/>
          <w:szCs w:val="18"/>
        </w:rPr>
      </w:pPr>
    </w:p>
    <w:p>
      <w:pPr>
        <w:pStyle w:val="Heading2"/>
        <w:spacing w:line="240" w:lineRule="auto"/>
        <w:ind w:right="0"/>
        <w:jc w:val="left"/>
        <w:rPr>
          <w:b w:val="0"/>
          <w:bCs w:val="0"/>
        </w:rPr>
      </w:pPr>
      <w:r>
        <w:rPr/>
        <w:t>十、年度报告披露后面临暂停上市和终止上市情况</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18"/>
          <w:szCs w:val="18"/>
        </w:rPr>
      </w:pPr>
    </w:p>
    <w:p>
      <w:pPr>
        <w:pStyle w:val="Heading2"/>
        <w:spacing w:line="240" w:lineRule="auto"/>
        <w:ind w:right="0"/>
        <w:jc w:val="left"/>
        <w:rPr>
          <w:b w:val="0"/>
          <w:bCs w:val="0"/>
        </w:rPr>
      </w:pPr>
      <w:r>
        <w:rPr/>
        <w:t>十一、破产重整相关事项</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340" w:lineRule="auto"/>
        <w:ind w:right="67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公司报告期未发生破产重整相关事项。</w:t>
      </w:r>
    </w:p>
    <w:p>
      <w:pPr>
        <w:spacing w:line="240" w:lineRule="auto" w:before="6"/>
        <w:rPr>
          <w:rFonts w:ascii="宋体" w:hAnsi="宋体" w:cs="宋体" w:eastAsia="宋体" w:hint="default"/>
          <w:sz w:val="13"/>
          <w:szCs w:val="13"/>
        </w:rPr>
      </w:pPr>
    </w:p>
    <w:p>
      <w:pPr>
        <w:pStyle w:val="Heading2"/>
        <w:spacing w:line="240" w:lineRule="auto"/>
        <w:ind w:right="0"/>
        <w:jc w:val="left"/>
        <w:rPr>
          <w:b w:val="0"/>
          <w:bCs w:val="0"/>
        </w:rPr>
      </w:pPr>
      <w:r>
        <w:rPr/>
        <w:t>十二、重大诉讼、仲裁事项</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340" w:lineRule="auto"/>
        <w:ind w:right="67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本报告期公司无重大诉讼、仲裁事项。</w:t>
      </w:r>
    </w:p>
    <w:p>
      <w:pPr>
        <w:spacing w:line="240" w:lineRule="auto" w:before="8"/>
        <w:rPr>
          <w:rFonts w:ascii="宋体" w:hAnsi="宋体" w:cs="宋体" w:eastAsia="宋体" w:hint="default"/>
          <w:sz w:val="13"/>
          <w:szCs w:val="13"/>
        </w:rPr>
      </w:pPr>
    </w:p>
    <w:p>
      <w:pPr>
        <w:pStyle w:val="Heading2"/>
        <w:spacing w:line="240" w:lineRule="auto"/>
        <w:ind w:right="0"/>
        <w:jc w:val="left"/>
        <w:rPr>
          <w:b w:val="0"/>
          <w:bCs w:val="0"/>
        </w:rPr>
      </w:pPr>
      <w:r>
        <w:rPr/>
        <w:t>十三、处罚及整改情况</w:t>
      </w:r>
      <w:r>
        <w:rPr>
          <w:b w:val="0"/>
          <w:bCs w:val="0"/>
        </w:rPr>
      </w:r>
    </w:p>
    <w:p>
      <w:pPr>
        <w:spacing w:line="240" w:lineRule="auto" w:before="3"/>
        <w:rPr>
          <w:rFonts w:ascii="Microsoft JhengHei" w:hAnsi="Microsoft JhengHei" w:cs="Microsoft JhengHei" w:eastAsia="Microsoft JhengHei" w:hint="default"/>
          <w:b/>
          <w:bCs/>
          <w:sz w:val="18"/>
          <w:szCs w:val="18"/>
        </w:rPr>
      </w:pPr>
    </w:p>
    <w:p>
      <w:pPr>
        <w:pStyle w:val="BodyText"/>
        <w:spacing w:line="340" w:lineRule="auto"/>
        <w:ind w:right="68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公司报告期不存在处罚及整改情况。</w:t>
      </w:r>
    </w:p>
    <w:p>
      <w:pPr>
        <w:spacing w:line="240" w:lineRule="auto" w:before="9"/>
        <w:rPr>
          <w:rFonts w:ascii="宋体" w:hAnsi="宋体" w:cs="宋体" w:eastAsia="宋体" w:hint="default"/>
          <w:sz w:val="13"/>
          <w:szCs w:val="13"/>
        </w:rPr>
      </w:pPr>
    </w:p>
    <w:p>
      <w:pPr>
        <w:pStyle w:val="Heading2"/>
        <w:spacing w:line="240" w:lineRule="auto"/>
        <w:ind w:right="0"/>
        <w:jc w:val="left"/>
        <w:rPr>
          <w:b w:val="0"/>
          <w:bCs w:val="0"/>
        </w:rPr>
      </w:pPr>
      <w:r>
        <w:rPr/>
        <w:t>十四、公司及其控股股东、实际控制人的诚信状况</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338" w:lineRule="auto"/>
        <w:ind w:right="61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公司及控股股东、实际控制人诚信状况良好。</w:t>
      </w:r>
    </w:p>
    <w:p>
      <w:pPr>
        <w:spacing w:line="240" w:lineRule="auto" w:before="10"/>
        <w:rPr>
          <w:rFonts w:ascii="宋体" w:hAnsi="宋体" w:cs="宋体" w:eastAsia="宋体" w:hint="default"/>
          <w:sz w:val="13"/>
          <w:szCs w:val="13"/>
        </w:rPr>
      </w:pPr>
    </w:p>
    <w:p>
      <w:pPr>
        <w:pStyle w:val="Heading2"/>
        <w:spacing w:line="240" w:lineRule="auto"/>
        <w:ind w:right="0"/>
        <w:jc w:val="left"/>
        <w:rPr>
          <w:b w:val="0"/>
          <w:bCs w:val="0"/>
        </w:rPr>
      </w:pPr>
      <w:r>
        <w:rPr/>
        <w:t>十五、公司股权激励计划、员工持股计划或其他员工激励措施的实施情况</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340" w:lineRule="auto"/>
        <w:ind w:right="34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公司报告期无股权激励计划、员工持股计划或其他员工激励措施及其实施情况。</w:t>
      </w:r>
    </w:p>
    <w:p>
      <w:pPr>
        <w:spacing w:line="240" w:lineRule="auto" w:before="6"/>
        <w:rPr>
          <w:rFonts w:ascii="宋体" w:hAnsi="宋体" w:cs="宋体" w:eastAsia="宋体" w:hint="default"/>
          <w:sz w:val="13"/>
          <w:szCs w:val="13"/>
        </w:rPr>
      </w:pPr>
    </w:p>
    <w:p>
      <w:pPr>
        <w:pStyle w:val="Heading2"/>
        <w:spacing w:line="240" w:lineRule="auto"/>
        <w:ind w:right="0"/>
        <w:jc w:val="left"/>
        <w:rPr>
          <w:b w:val="0"/>
          <w:bCs w:val="0"/>
        </w:rPr>
      </w:pPr>
      <w:r>
        <w:rPr/>
        <w:t>十六、重大关联交易</w:t>
      </w:r>
      <w:r>
        <w:rPr>
          <w:b w:val="0"/>
          <w:bCs w:val="0"/>
        </w:rPr>
      </w:r>
    </w:p>
    <w:p>
      <w:pPr>
        <w:spacing w:line="240" w:lineRule="auto" w:before="5"/>
        <w:rPr>
          <w:rFonts w:ascii="Microsoft JhengHei" w:hAnsi="Microsoft JhengHei" w:cs="Microsoft JhengHei" w:eastAsia="Microsoft JhengHei" w:hint="default"/>
          <w:b/>
          <w:bCs/>
          <w:sz w:val="13"/>
          <w:szCs w:val="13"/>
        </w:rPr>
      </w:pPr>
    </w:p>
    <w:p>
      <w:pPr>
        <w:pStyle w:val="Heading3"/>
        <w:spacing w:line="240" w:lineRule="auto"/>
        <w:ind w:right="0"/>
        <w:jc w:val="left"/>
        <w:rPr>
          <w:b w:val="0"/>
          <w:bCs w:val="0"/>
        </w:rPr>
      </w:pPr>
      <w:r>
        <w:rPr>
          <w:rFonts w:ascii="Times New Roman" w:hAnsi="Times New Roman" w:cs="Times New Roman" w:eastAsia="Times New Roman" w:hint="default"/>
        </w:rPr>
        <w:t>1</w:t>
      </w:r>
      <w:r>
        <w:rPr/>
        <w:t>、与日常经营相关的关联交易</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38" w:lineRule="auto"/>
        <w:ind w:right="58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公司报告期未发生与日常经营相关的关联交易。</w:t>
      </w:r>
    </w:p>
    <w:p>
      <w:pPr>
        <w:spacing w:line="240" w:lineRule="auto" w:before="6"/>
        <w:rPr>
          <w:rFonts w:ascii="宋体" w:hAnsi="宋体" w:cs="宋体" w:eastAsia="宋体" w:hint="default"/>
          <w:sz w:val="16"/>
          <w:szCs w:val="16"/>
        </w:rPr>
      </w:pPr>
    </w:p>
    <w:p>
      <w:pPr>
        <w:pStyle w:val="Heading3"/>
        <w:spacing w:line="240" w:lineRule="auto"/>
        <w:ind w:right="0"/>
        <w:jc w:val="left"/>
        <w:rPr>
          <w:b w:val="0"/>
          <w:bCs w:val="0"/>
        </w:rPr>
      </w:pPr>
      <w:r>
        <w:rPr>
          <w:rFonts w:ascii="Times New Roman" w:hAnsi="Times New Roman" w:cs="Times New Roman" w:eastAsia="Times New Roman" w:hint="default"/>
        </w:rPr>
        <w:t>2</w:t>
      </w:r>
      <w:r>
        <w:rPr/>
        <w:t>、资产或股权收购、出售发生的关联交易</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40" w:lineRule="auto"/>
        <w:ind w:right="54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公司报告期未发生资产或股权收购、出售的关联交易。</w:t>
      </w:r>
    </w:p>
    <w:p>
      <w:pPr>
        <w:spacing w:after="0" w:line="340" w:lineRule="auto"/>
        <w:jc w:val="left"/>
        <w:sectPr>
          <w:pgSz w:w="11910" w:h="16840"/>
          <w:pgMar w:header="745" w:footer="979" w:top="1060" w:bottom="1160" w:left="980" w:right="980"/>
        </w:sectPr>
      </w:pPr>
    </w:p>
    <w:p>
      <w:pPr>
        <w:spacing w:line="240" w:lineRule="auto" w:before="10"/>
        <w:rPr>
          <w:rFonts w:ascii="宋体" w:hAnsi="宋体" w:cs="宋体" w:eastAsia="宋体" w:hint="default"/>
          <w:sz w:val="24"/>
          <w:szCs w:val="24"/>
        </w:rPr>
      </w:pPr>
    </w:p>
    <w:p>
      <w:pPr>
        <w:pStyle w:val="Heading3"/>
        <w:spacing w:line="335" w:lineRule="exact"/>
        <w:ind w:right="0"/>
        <w:jc w:val="left"/>
        <w:rPr>
          <w:b w:val="0"/>
          <w:bCs w:val="0"/>
        </w:rPr>
      </w:pPr>
      <w:r>
        <w:rPr>
          <w:rFonts w:ascii="Times New Roman" w:hAnsi="Times New Roman" w:cs="Times New Roman" w:eastAsia="Times New Roman" w:hint="default"/>
        </w:rPr>
        <w:t>3</w:t>
      </w:r>
      <w:r>
        <w:rPr/>
        <w:t>、共同对外投资的关联交易</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38" w:lineRule="auto"/>
        <w:ind w:right="61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公司报告期未发生共同对外投资的关联交易。</w:t>
      </w:r>
    </w:p>
    <w:p>
      <w:pPr>
        <w:spacing w:line="240" w:lineRule="auto" w:before="6"/>
        <w:rPr>
          <w:rFonts w:ascii="宋体" w:hAnsi="宋体" w:cs="宋体" w:eastAsia="宋体" w:hint="default"/>
          <w:sz w:val="16"/>
          <w:szCs w:val="16"/>
        </w:rPr>
      </w:pPr>
    </w:p>
    <w:p>
      <w:pPr>
        <w:pStyle w:val="Heading3"/>
        <w:spacing w:line="240" w:lineRule="auto"/>
        <w:ind w:right="0"/>
        <w:jc w:val="left"/>
        <w:rPr>
          <w:b w:val="0"/>
          <w:bCs w:val="0"/>
        </w:rPr>
      </w:pPr>
      <w:r>
        <w:rPr>
          <w:rFonts w:ascii="Times New Roman" w:hAnsi="Times New Roman" w:cs="Times New Roman" w:eastAsia="Times New Roman" w:hint="default"/>
        </w:rPr>
        <w:t>4</w:t>
      </w:r>
      <w:r>
        <w:rPr/>
        <w:t>、关联债权债务往来</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38" w:lineRule="auto"/>
        <w:ind w:right="67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公司报告期不存在关联债权债务往来。</w:t>
      </w:r>
    </w:p>
    <w:p>
      <w:pPr>
        <w:spacing w:line="240" w:lineRule="auto" w:before="6"/>
        <w:rPr>
          <w:rFonts w:ascii="宋体" w:hAnsi="宋体" w:cs="宋体" w:eastAsia="宋体" w:hint="default"/>
          <w:sz w:val="16"/>
          <w:szCs w:val="16"/>
        </w:rPr>
      </w:pPr>
    </w:p>
    <w:p>
      <w:pPr>
        <w:pStyle w:val="Heading3"/>
        <w:spacing w:line="240" w:lineRule="auto"/>
        <w:ind w:right="0"/>
        <w:jc w:val="left"/>
        <w:rPr>
          <w:b w:val="0"/>
          <w:bCs w:val="0"/>
        </w:rPr>
      </w:pPr>
      <w:r>
        <w:rPr>
          <w:rFonts w:ascii="Times New Roman" w:hAnsi="Times New Roman" w:cs="Times New Roman" w:eastAsia="Times New Roman" w:hint="default"/>
        </w:rPr>
        <w:t>5</w:t>
      </w:r>
      <w:r>
        <w:rPr/>
        <w:t>、其他重大关联交易</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40" w:lineRule="auto"/>
        <w:ind w:right="70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公司报告期无其他重大关联交易。</w:t>
      </w:r>
    </w:p>
    <w:p>
      <w:pPr>
        <w:spacing w:line="240" w:lineRule="auto" w:before="6"/>
        <w:rPr>
          <w:rFonts w:ascii="宋体" w:hAnsi="宋体" w:cs="宋体" w:eastAsia="宋体" w:hint="default"/>
          <w:sz w:val="13"/>
          <w:szCs w:val="13"/>
        </w:rPr>
      </w:pPr>
    </w:p>
    <w:p>
      <w:pPr>
        <w:pStyle w:val="Heading2"/>
        <w:spacing w:line="240" w:lineRule="auto"/>
        <w:ind w:right="0"/>
        <w:jc w:val="left"/>
        <w:rPr>
          <w:b w:val="0"/>
          <w:bCs w:val="0"/>
        </w:rPr>
      </w:pPr>
      <w:r>
        <w:rPr/>
        <w:t>十七、重大合同及其履行情况</w:t>
      </w:r>
      <w:r>
        <w:rPr>
          <w:b w:val="0"/>
          <w:bCs w:val="0"/>
        </w:rPr>
      </w:r>
    </w:p>
    <w:p>
      <w:pPr>
        <w:spacing w:line="240" w:lineRule="auto" w:before="5"/>
        <w:rPr>
          <w:rFonts w:ascii="Microsoft JhengHei" w:hAnsi="Microsoft JhengHei" w:cs="Microsoft JhengHei" w:eastAsia="Microsoft JhengHei" w:hint="default"/>
          <w:b/>
          <w:bCs/>
          <w:sz w:val="13"/>
          <w:szCs w:val="13"/>
        </w:rPr>
      </w:pPr>
    </w:p>
    <w:p>
      <w:pPr>
        <w:pStyle w:val="Heading3"/>
        <w:spacing w:line="240" w:lineRule="auto"/>
        <w:ind w:right="0"/>
        <w:jc w:val="left"/>
        <w:rPr>
          <w:b w:val="0"/>
          <w:bCs w:val="0"/>
        </w:rPr>
      </w:pPr>
      <w:r>
        <w:rPr>
          <w:rFonts w:ascii="Times New Roman" w:hAnsi="Times New Roman" w:cs="Times New Roman" w:eastAsia="Times New Roman" w:hint="default"/>
        </w:rPr>
        <w:t>1</w:t>
      </w:r>
      <w:r>
        <w:rPr/>
        <w:t>、托管、承包、租赁事项情况</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）托管情况</w:t>
      </w:r>
      <w:r>
        <w:rPr>
          <w:b w:val="0"/>
          <w:bCs w:val="0"/>
        </w:rPr>
      </w:r>
    </w:p>
    <w:p>
      <w:pPr>
        <w:spacing w:line="240" w:lineRule="auto" w:before="4"/>
        <w:rPr>
          <w:rFonts w:ascii="Microsoft JhengHei" w:hAnsi="Microsoft JhengHei" w:cs="Microsoft JhengHei" w:eastAsia="Microsoft JhengHei" w:hint="default"/>
          <w:b/>
          <w:bCs/>
          <w:sz w:val="19"/>
          <w:szCs w:val="19"/>
        </w:rPr>
      </w:pPr>
    </w:p>
    <w:p>
      <w:pPr>
        <w:pStyle w:val="BodyText"/>
        <w:spacing w:line="340" w:lineRule="auto"/>
        <w:ind w:right="74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公司报告期不存在托管情况。</w:t>
      </w:r>
    </w:p>
    <w:p>
      <w:pPr>
        <w:spacing w:line="240" w:lineRule="auto" w:before="4"/>
        <w:rPr>
          <w:rFonts w:ascii="宋体" w:hAnsi="宋体" w:cs="宋体" w:eastAsia="宋体" w:hint="default"/>
          <w:sz w:val="16"/>
          <w:szCs w:val="16"/>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）承包情况</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340" w:lineRule="auto"/>
        <w:ind w:right="74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公司报告期不存在承包情况。</w:t>
      </w:r>
    </w:p>
    <w:p>
      <w:pPr>
        <w:spacing w:line="240" w:lineRule="auto" w:before="4"/>
        <w:rPr>
          <w:rFonts w:ascii="宋体" w:hAnsi="宋体" w:cs="宋体" w:eastAsia="宋体" w:hint="default"/>
          <w:sz w:val="16"/>
          <w:szCs w:val="16"/>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）租赁情况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38" w:lineRule="auto"/>
        <w:ind w:right="83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租赁情况说明</w:t>
      </w:r>
    </w:p>
    <w:p>
      <w:pPr>
        <w:pStyle w:val="BodyText"/>
        <w:spacing w:line="477" w:lineRule="auto" w:before="122"/>
        <w:ind w:right="150" w:firstLine="360"/>
        <w:jc w:val="both"/>
      </w:pPr>
      <w:r>
        <w:rPr>
          <w:rFonts w:ascii="宋体" w:hAnsi="宋体" w:cs="宋体" w:eastAsia="宋体" w:hint="default"/>
          <w:spacing w:val="-5"/>
        </w:rPr>
        <w:t>1</w:t>
      </w:r>
      <w:r>
        <w:rPr>
          <w:spacing w:val="-5"/>
        </w:rPr>
        <w:t>、公司在北京租赁了办公楼，租赁面积</w:t>
      </w:r>
      <w:r>
        <w:rPr>
          <w:rFonts w:ascii="宋体" w:hAnsi="宋体" w:cs="宋体" w:eastAsia="宋体" w:hint="default"/>
          <w:spacing w:val="-5"/>
        </w:rPr>
        <w:t>410</w:t>
      </w:r>
      <w:r>
        <w:rPr>
          <w:spacing w:val="-5"/>
        </w:rPr>
        <w:t>平方米，租赁期限自</w:t>
      </w:r>
      <w:r>
        <w:rPr>
          <w:rFonts w:ascii="宋体" w:hAnsi="宋体" w:cs="宋体" w:eastAsia="宋体" w:hint="default"/>
          <w:spacing w:val="-5"/>
        </w:rPr>
        <w:t>2016</w:t>
      </w:r>
      <w:r>
        <w:rPr>
          <w:spacing w:val="-5"/>
        </w:rPr>
        <w:t>年</w:t>
      </w:r>
      <w:r>
        <w:rPr>
          <w:rFonts w:ascii="宋体" w:hAnsi="宋体" w:cs="宋体" w:eastAsia="宋体" w:hint="default"/>
          <w:spacing w:val="-5"/>
        </w:rPr>
        <w:t>12</w:t>
      </w:r>
      <w:r>
        <w:rPr>
          <w:spacing w:val="-5"/>
        </w:rPr>
        <w:t>月</w:t>
      </w:r>
      <w:r>
        <w:rPr>
          <w:rFonts w:ascii="宋体" w:hAnsi="宋体" w:cs="宋体" w:eastAsia="宋体" w:hint="default"/>
          <w:spacing w:val="-5"/>
        </w:rPr>
        <w:t>1</w:t>
      </w:r>
      <w:r>
        <w:rPr>
          <w:spacing w:val="-5"/>
        </w:rPr>
        <w:t>日至</w:t>
      </w:r>
      <w:r>
        <w:rPr>
          <w:rFonts w:ascii="宋体" w:hAnsi="宋体" w:cs="宋体" w:eastAsia="宋体" w:hint="default"/>
          <w:spacing w:val="-5"/>
        </w:rPr>
        <w:t>2019</w:t>
      </w:r>
      <w:r>
        <w:rPr>
          <w:spacing w:val="-5"/>
        </w:rPr>
        <w:t>年</w:t>
      </w:r>
      <w:r>
        <w:rPr>
          <w:rFonts w:ascii="宋体" w:hAnsi="宋体" w:cs="宋体" w:eastAsia="宋体" w:hint="default"/>
          <w:spacing w:val="-5"/>
        </w:rPr>
        <w:t>11</w:t>
      </w:r>
      <w:r>
        <w:rPr>
          <w:spacing w:val="-5"/>
        </w:rPr>
        <w:t>月</w:t>
      </w:r>
      <w:r>
        <w:rPr>
          <w:rFonts w:ascii="宋体" w:hAnsi="宋体" w:cs="宋体" w:eastAsia="宋体" w:hint="default"/>
          <w:spacing w:val="-5"/>
        </w:rPr>
        <w:t>30</w:t>
      </w:r>
      <w:r>
        <w:rPr>
          <w:spacing w:val="-5"/>
        </w:rPr>
        <w:t>日。</w:t>
      </w:r>
      <w:r>
        <w:rPr>
          <w:rFonts w:ascii="宋体" w:hAnsi="宋体" w:cs="宋体" w:eastAsia="宋体" w:hint="default"/>
          <w:spacing w:val="-5"/>
        </w:rPr>
        <w:t>2016</w:t>
      </w:r>
      <w:r>
        <w:rPr>
          <w:spacing w:val="-5"/>
        </w:rPr>
        <w:t>年</w:t>
      </w:r>
      <w:r>
        <w:rPr>
          <w:rFonts w:ascii="宋体" w:hAnsi="宋体" w:cs="宋体" w:eastAsia="宋体" w:hint="default"/>
          <w:spacing w:val="-5"/>
        </w:rPr>
        <w:t>12</w:t>
      </w:r>
      <w:r>
        <w:rPr>
          <w:spacing w:val="-5"/>
        </w:rPr>
        <w:t>月</w:t>
      </w:r>
      <w:r>
        <w:rPr>
          <w:rFonts w:ascii="宋体" w:hAnsi="宋体" w:cs="宋体" w:eastAsia="宋体" w:hint="default"/>
          <w:spacing w:val="-5"/>
        </w:rPr>
        <w:t>1</w:t>
      </w:r>
      <w:r>
        <w:rPr>
          <w:spacing w:val="-5"/>
        </w:rPr>
        <w:t>日至</w:t>
      </w:r>
      <w:r>
        <w:rPr>
          <w:rFonts w:ascii="宋体" w:hAnsi="宋体" w:cs="宋体" w:eastAsia="宋体" w:hint="default"/>
          <w:spacing w:val="-5"/>
        </w:rPr>
        <w:t>2017</w:t>
      </w:r>
      <w:r>
        <w:rPr>
          <w:rFonts w:ascii="宋体" w:hAnsi="宋体" w:cs="宋体" w:eastAsia="宋体" w:hint="default"/>
        </w:rPr>
        <w:t> </w:t>
      </w:r>
      <w:r>
        <w:rPr>
          <w:spacing w:val="-2"/>
        </w:rPr>
        <w:t>年</w:t>
      </w:r>
      <w:r>
        <w:rPr>
          <w:rFonts w:ascii="宋体" w:hAnsi="宋体" w:cs="宋体" w:eastAsia="宋体" w:hint="default"/>
          <w:spacing w:val="-2"/>
        </w:rPr>
        <w:t>11</w:t>
      </w:r>
      <w:r>
        <w:rPr>
          <w:spacing w:val="-2"/>
        </w:rPr>
        <w:t>月</w:t>
      </w:r>
      <w:r>
        <w:rPr>
          <w:rFonts w:ascii="宋体" w:hAnsi="宋体" w:cs="宋体" w:eastAsia="宋体" w:hint="default"/>
          <w:spacing w:val="-2"/>
        </w:rPr>
        <w:t>30</w:t>
      </w:r>
      <w:r>
        <w:rPr>
          <w:spacing w:val="-2"/>
        </w:rPr>
        <w:t>日，月租金总额为</w:t>
      </w:r>
      <w:r>
        <w:rPr>
          <w:rFonts w:ascii="宋体" w:hAnsi="宋体" w:cs="宋体" w:eastAsia="宋体" w:hint="default"/>
          <w:spacing w:val="-2"/>
        </w:rPr>
        <w:t>123,000</w:t>
      </w:r>
      <w:r>
        <w:rPr>
          <w:spacing w:val="-2"/>
        </w:rPr>
        <w:t>元；</w:t>
      </w:r>
      <w:r>
        <w:rPr>
          <w:rFonts w:ascii="宋体" w:hAnsi="宋体" w:cs="宋体" w:eastAsia="宋体" w:hint="default"/>
          <w:spacing w:val="-2"/>
        </w:rPr>
        <w:t>2017</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1</w:t>
      </w:r>
      <w:r>
        <w:rPr>
          <w:spacing w:val="-2"/>
        </w:rPr>
        <w:t>日至</w:t>
      </w:r>
      <w:r>
        <w:rPr>
          <w:rFonts w:ascii="宋体" w:hAnsi="宋体" w:cs="宋体" w:eastAsia="宋体" w:hint="default"/>
          <w:spacing w:val="-2"/>
        </w:rPr>
        <w:t>2018</w:t>
      </w:r>
      <w:r>
        <w:rPr>
          <w:spacing w:val="-2"/>
        </w:rPr>
        <w:t>年</w:t>
      </w:r>
      <w:r>
        <w:rPr>
          <w:rFonts w:ascii="宋体" w:hAnsi="宋体" w:cs="宋体" w:eastAsia="宋体" w:hint="default"/>
          <w:spacing w:val="-2"/>
        </w:rPr>
        <w:t>11</w:t>
      </w:r>
      <w:r>
        <w:rPr>
          <w:spacing w:val="-2"/>
        </w:rPr>
        <w:t>月</w:t>
      </w:r>
      <w:r>
        <w:rPr>
          <w:rFonts w:ascii="宋体" w:hAnsi="宋体" w:cs="宋体" w:eastAsia="宋体" w:hint="default"/>
          <w:spacing w:val="-2"/>
        </w:rPr>
        <w:t>30</w:t>
      </w:r>
      <w:r>
        <w:rPr>
          <w:spacing w:val="-2"/>
        </w:rPr>
        <w:t>日，月租金总额为</w:t>
      </w:r>
      <w:r>
        <w:rPr>
          <w:rFonts w:ascii="宋体" w:hAnsi="宋体" w:cs="宋体" w:eastAsia="宋体" w:hint="default"/>
          <w:spacing w:val="-2"/>
        </w:rPr>
        <w:t>129,150</w:t>
      </w:r>
      <w:r>
        <w:rPr>
          <w:spacing w:val="-2"/>
        </w:rPr>
        <w:t>元；</w:t>
      </w:r>
      <w:r>
        <w:rPr>
          <w:rFonts w:ascii="宋体" w:hAnsi="宋体" w:cs="宋体" w:eastAsia="宋体" w:hint="default"/>
          <w:spacing w:val="-2"/>
        </w:rPr>
        <w:t>2018</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1</w:t>
      </w:r>
      <w:r>
        <w:rPr>
          <w:spacing w:val="-2"/>
        </w:rPr>
        <w:t>日至</w:t>
      </w:r>
      <w:r>
        <w:rPr>
          <w:rFonts w:ascii="宋体" w:hAnsi="宋体" w:cs="宋体" w:eastAsia="宋体" w:hint="default"/>
          <w:spacing w:val="-2"/>
        </w:rPr>
        <w:t>2019</w:t>
      </w:r>
      <w:r>
        <w:rPr>
          <w:rFonts w:ascii="宋体" w:hAnsi="宋体" w:cs="宋体" w:eastAsia="宋体" w:hint="default"/>
          <w:spacing w:val="-38"/>
        </w:rPr>
        <w:t> </w:t>
      </w:r>
      <w:r>
        <w:rPr>
          <w:rFonts w:ascii="宋体" w:hAnsi="宋体" w:cs="宋体" w:eastAsia="宋体" w:hint="default"/>
          <w:spacing w:val="-38"/>
        </w:rPr>
      </w:r>
      <w:r>
        <w:rPr/>
        <w:t>年</w:t>
      </w:r>
      <w:r>
        <w:rPr>
          <w:rFonts w:ascii="宋体" w:hAnsi="宋体" w:cs="宋体" w:eastAsia="宋体" w:hint="default"/>
        </w:rPr>
        <w:t>11</w:t>
      </w:r>
      <w:r>
        <w:rPr/>
        <w:t>月</w:t>
      </w:r>
      <w:r>
        <w:rPr>
          <w:rFonts w:ascii="宋体" w:hAnsi="宋体" w:cs="宋体" w:eastAsia="宋体" w:hint="default"/>
        </w:rPr>
        <w:t>30</w:t>
      </w:r>
      <w:r>
        <w:rPr/>
        <w:t>日，月租金总额为</w:t>
      </w:r>
      <w:r>
        <w:rPr>
          <w:rFonts w:ascii="宋体" w:hAnsi="宋体" w:cs="宋体" w:eastAsia="宋体" w:hint="default"/>
        </w:rPr>
        <w:t>135,300</w:t>
      </w:r>
      <w:r>
        <w:rPr/>
        <w:t>元。</w:t>
      </w:r>
    </w:p>
    <w:p>
      <w:pPr>
        <w:pStyle w:val="BodyText"/>
        <w:spacing w:line="477" w:lineRule="auto" w:before="54"/>
        <w:ind w:right="148" w:firstLine="360"/>
        <w:jc w:val="both"/>
      </w:pPr>
      <w:r>
        <w:rPr>
          <w:rFonts w:ascii="宋体" w:hAnsi="宋体" w:cs="宋体" w:eastAsia="宋体" w:hint="default"/>
        </w:rPr>
        <w:t>2</w:t>
      </w:r>
      <w:r>
        <w:rPr/>
        <w:t>、公司子公司西藏群兴在西藏拉萨租赁了办公楼，租赁期限自</w:t>
      </w:r>
      <w:r>
        <w:rPr>
          <w:rFonts w:ascii="宋体" w:hAnsi="宋体" w:cs="宋体" w:eastAsia="宋体" w:hint="default"/>
        </w:rPr>
        <w:t>2016</w:t>
      </w:r>
      <w:r>
        <w:rPr/>
        <w:t>年</w:t>
      </w:r>
      <w:r>
        <w:rPr>
          <w:rFonts w:ascii="宋体" w:hAnsi="宋体" w:cs="宋体" w:eastAsia="宋体" w:hint="default"/>
        </w:rPr>
        <w:t>10</w:t>
      </w:r>
      <w:r>
        <w:rPr/>
        <w:t>月</w:t>
      </w:r>
      <w:r>
        <w:rPr>
          <w:rFonts w:ascii="宋体" w:hAnsi="宋体" w:cs="宋体" w:eastAsia="宋体" w:hint="default"/>
        </w:rPr>
        <w:t>24</w:t>
      </w:r>
      <w:r>
        <w:rPr/>
        <w:t>日至</w:t>
      </w:r>
      <w:r>
        <w:rPr>
          <w:rFonts w:ascii="宋体" w:hAnsi="宋体" w:cs="宋体" w:eastAsia="宋体" w:hint="default"/>
        </w:rPr>
        <w:t>2017</w:t>
      </w:r>
      <w:r>
        <w:rPr/>
        <w:t>年</w:t>
      </w:r>
      <w:r>
        <w:rPr>
          <w:rFonts w:ascii="宋体" w:hAnsi="宋体" w:cs="宋体" w:eastAsia="宋体" w:hint="default"/>
        </w:rPr>
        <w:t>10</w:t>
      </w:r>
      <w:r>
        <w:rPr/>
        <w:t>月</w:t>
      </w:r>
      <w:r>
        <w:rPr>
          <w:rFonts w:ascii="宋体" w:hAnsi="宋体" w:cs="宋体" w:eastAsia="宋体" w:hint="default"/>
        </w:rPr>
        <w:t>22</w:t>
      </w:r>
      <w:r>
        <w:rPr/>
        <w:t>日，租金总额为</w:t>
      </w:r>
      <w:r>
        <w:rPr>
          <w:rFonts w:ascii="宋体" w:hAnsi="宋体" w:cs="宋体" w:eastAsia="宋体" w:hint="default"/>
        </w:rPr>
        <w:t>10,000 </w:t>
      </w:r>
      <w:r>
        <w:rPr/>
        <w:t>元。；</w:t>
      </w:r>
      <w:r>
        <w:rPr>
          <w:rFonts w:ascii="宋体" w:hAnsi="宋体" w:cs="宋体" w:eastAsia="宋体" w:hint="default"/>
        </w:rPr>
        <w:t>2017</w:t>
      </w:r>
      <w:r>
        <w:rPr/>
        <w:t>年</w:t>
      </w:r>
      <w:r>
        <w:rPr>
          <w:rFonts w:ascii="宋体" w:hAnsi="宋体" w:cs="宋体" w:eastAsia="宋体" w:hint="default"/>
        </w:rPr>
        <w:t>10</w:t>
      </w:r>
      <w:r>
        <w:rPr/>
        <w:t>月</w:t>
      </w:r>
      <w:r>
        <w:rPr>
          <w:rFonts w:ascii="宋体" w:hAnsi="宋体" w:cs="宋体" w:eastAsia="宋体" w:hint="default"/>
        </w:rPr>
        <w:t>23</w:t>
      </w:r>
      <w:r>
        <w:rPr/>
        <w:t>日至</w:t>
      </w:r>
      <w:r>
        <w:rPr>
          <w:rFonts w:ascii="宋体" w:hAnsi="宋体" w:cs="宋体" w:eastAsia="宋体" w:hint="default"/>
        </w:rPr>
        <w:t>2022</w:t>
      </w:r>
      <w:r>
        <w:rPr/>
        <w:t>年</w:t>
      </w:r>
      <w:r>
        <w:rPr>
          <w:rFonts w:ascii="宋体" w:hAnsi="宋体" w:cs="宋体" w:eastAsia="宋体" w:hint="default"/>
        </w:rPr>
        <w:t>10</w:t>
      </w:r>
      <w:r>
        <w:rPr/>
        <w:t>月</w:t>
      </w:r>
      <w:r>
        <w:rPr>
          <w:rFonts w:ascii="宋体" w:hAnsi="宋体" w:cs="宋体" w:eastAsia="宋体" w:hint="default"/>
        </w:rPr>
        <w:t>22</w:t>
      </w:r>
      <w:r>
        <w:rPr/>
        <w:t>日，每年含税租赁费用</w:t>
      </w:r>
      <w:r>
        <w:rPr>
          <w:rFonts w:ascii="宋体" w:hAnsi="宋体" w:cs="宋体" w:eastAsia="宋体" w:hint="default"/>
        </w:rPr>
        <w:t>13,000</w:t>
      </w:r>
      <w:r>
        <w:rPr/>
        <w:t>元。</w:t>
      </w:r>
    </w:p>
    <w:p>
      <w:pPr>
        <w:pStyle w:val="BodyText"/>
        <w:spacing w:line="240" w:lineRule="auto" w:before="54"/>
        <w:ind w:left="513" w:right="0"/>
        <w:jc w:val="left"/>
      </w:pPr>
      <w:r>
        <w:rPr>
          <w:rFonts w:ascii="宋体" w:hAnsi="宋体" w:cs="宋体" w:eastAsia="宋体" w:hint="default"/>
        </w:rPr>
        <w:t>3</w:t>
      </w:r>
      <w:r>
        <w:rPr/>
        <w:t>、公司子公司西藏蓝道在西藏拉萨租赁了办公楼，租赁期限自</w:t>
      </w:r>
      <w:r>
        <w:rPr>
          <w:rFonts w:ascii="宋体" w:hAnsi="宋体" w:cs="宋体" w:eastAsia="宋体" w:hint="default"/>
        </w:rPr>
        <w:t>2017</w:t>
      </w:r>
      <w:r>
        <w:rPr/>
        <w:t>年</w:t>
      </w:r>
      <w:r>
        <w:rPr>
          <w:rFonts w:ascii="宋体" w:hAnsi="宋体" w:cs="宋体" w:eastAsia="宋体" w:hint="default"/>
        </w:rPr>
        <w:t>4</w:t>
      </w:r>
      <w:r>
        <w:rPr/>
        <w:t>月</w:t>
      </w:r>
      <w:r>
        <w:rPr>
          <w:rFonts w:ascii="宋体" w:hAnsi="宋体" w:cs="宋体" w:eastAsia="宋体" w:hint="default"/>
        </w:rPr>
        <w:t>21</w:t>
      </w:r>
      <w:r>
        <w:rPr/>
        <w:t>日至</w:t>
      </w:r>
      <w:r>
        <w:rPr>
          <w:rFonts w:ascii="宋体" w:hAnsi="宋体" w:cs="宋体" w:eastAsia="宋体" w:hint="default"/>
        </w:rPr>
        <w:t>2019</w:t>
      </w:r>
      <w:r>
        <w:rPr/>
        <w:t>年</w:t>
      </w:r>
      <w:r>
        <w:rPr>
          <w:rFonts w:ascii="宋体" w:hAnsi="宋体" w:cs="宋体" w:eastAsia="宋体" w:hint="default"/>
        </w:rPr>
        <w:t>4</w:t>
      </w:r>
      <w:r>
        <w:rPr/>
        <w:t>月</w:t>
      </w:r>
      <w:r>
        <w:rPr>
          <w:rFonts w:ascii="宋体" w:hAnsi="宋体" w:cs="宋体" w:eastAsia="宋体" w:hint="default"/>
        </w:rPr>
        <w:t>20</w:t>
      </w:r>
      <w:r>
        <w:rPr/>
        <w:t>日，月租金</w:t>
      </w:r>
      <w:r>
        <w:rPr>
          <w:rFonts w:ascii="宋体" w:hAnsi="宋体" w:cs="宋体" w:eastAsia="宋体" w:hint="default"/>
        </w:rPr>
        <w:t>1500</w:t>
      </w:r>
      <w:r>
        <w:rPr/>
        <w:t>元。</w:t>
      </w:r>
    </w:p>
    <w:p>
      <w:pPr>
        <w:spacing w:line="240" w:lineRule="auto" w:before="11"/>
        <w:rPr>
          <w:rFonts w:ascii="宋体" w:hAnsi="宋体" w:cs="宋体" w:eastAsia="宋体" w:hint="default"/>
          <w:sz w:val="14"/>
          <w:szCs w:val="14"/>
        </w:rPr>
      </w:pPr>
    </w:p>
    <w:p>
      <w:pPr>
        <w:pStyle w:val="BodyText"/>
        <w:spacing w:line="240" w:lineRule="auto"/>
        <w:ind w:right="0"/>
        <w:jc w:val="left"/>
      </w:pPr>
      <w:r>
        <w:rPr/>
        <w:t>为公司带来的损益达到公司报告期利润总额</w:t>
      </w:r>
      <w:r>
        <w:rPr>
          <w:spacing w:val="-44"/>
        </w:rPr>
        <w:t> </w:t>
      </w:r>
      <w:r>
        <w:rPr>
          <w:rFonts w:ascii="Times New Roman" w:hAnsi="Times New Roman" w:cs="Times New Roman" w:eastAsia="Times New Roman" w:hint="default"/>
        </w:rPr>
        <w:t>10%</w:t>
      </w:r>
      <w:r>
        <w:rPr/>
        <w:t>以上的项目</w:t>
      </w:r>
    </w:p>
    <w:p>
      <w:pPr>
        <w:pStyle w:val="BodyText"/>
        <w:spacing w:line="240" w:lineRule="auto" w:before="101"/>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79" w:top="1060" w:bottom="1160" w:left="980" w:right="980"/>
        </w:sectPr>
      </w:pPr>
    </w:p>
    <w:p>
      <w:pPr>
        <w:spacing w:line="240" w:lineRule="auto" w:before="10"/>
        <w:rPr>
          <w:rFonts w:ascii="宋体" w:hAnsi="宋体" w:cs="宋体" w:eastAsia="宋体" w:hint="default"/>
          <w:sz w:val="25"/>
          <w:szCs w:val="25"/>
        </w:rPr>
      </w:pPr>
    </w:p>
    <w:p>
      <w:pPr>
        <w:pStyle w:val="BodyText"/>
        <w:spacing w:line="240" w:lineRule="auto" w:before="44"/>
        <w:ind w:right="94"/>
        <w:jc w:val="left"/>
      </w:pPr>
      <w:r>
        <w:rPr/>
        <w:t>公司报告期不存在为公司带来的损益达到公司报告期利润总额</w:t>
      </w:r>
      <w:r>
        <w:rPr>
          <w:spacing w:val="-43"/>
        </w:rPr>
        <w:t> </w:t>
      </w:r>
      <w:r>
        <w:rPr>
          <w:rFonts w:ascii="Times New Roman" w:hAnsi="Times New Roman" w:cs="Times New Roman" w:eastAsia="Times New Roman" w:hint="default"/>
        </w:rPr>
        <w:t>10%</w:t>
      </w:r>
      <w:r>
        <w:rPr/>
        <w:t>以上的租赁项目。</w:t>
      </w:r>
    </w:p>
    <w:p>
      <w:pPr>
        <w:spacing w:line="240" w:lineRule="auto" w:before="1"/>
        <w:rPr>
          <w:rFonts w:ascii="宋体" w:hAnsi="宋体" w:cs="宋体" w:eastAsia="宋体" w:hint="default"/>
          <w:sz w:val="21"/>
          <w:szCs w:val="21"/>
        </w:rPr>
      </w:pPr>
    </w:p>
    <w:p>
      <w:pPr>
        <w:pStyle w:val="Heading3"/>
        <w:spacing w:line="240" w:lineRule="auto"/>
        <w:ind w:right="94"/>
        <w:jc w:val="left"/>
        <w:rPr>
          <w:b w:val="0"/>
          <w:bCs w:val="0"/>
        </w:rPr>
      </w:pPr>
      <w:r>
        <w:rPr>
          <w:rFonts w:ascii="Times New Roman" w:hAnsi="Times New Roman" w:cs="Times New Roman" w:eastAsia="Times New Roman" w:hint="default"/>
        </w:rPr>
        <w:t>2</w:t>
      </w:r>
      <w:r>
        <w:rPr/>
        <w:t>、重大担保</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38" w:lineRule="auto"/>
        <w:ind w:right="71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公司报告期不存在担保情况。</w:t>
      </w:r>
    </w:p>
    <w:p>
      <w:pPr>
        <w:spacing w:line="240" w:lineRule="auto" w:before="6"/>
        <w:rPr>
          <w:rFonts w:ascii="宋体" w:hAnsi="宋体" w:cs="宋体" w:eastAsia="宋体" w:hint="default"/>
          <w:sz w:val="16"/>
          <w:szCs w:val="16"/>
        </w:rPr>
      </w:pPr>
    </w:p>
    <w:p>
      <w:pPr>
        <w:pStyle w:val="Heading3"/>
        <w:spacing w:line="240" w:lineRule="auto"/>
        <w:ind w:right="94"/>
        <w:jc w:val="left"/>
        <w:rPr>
          <w:b w:val="0"/>
          <w:bCs w:val="0"/>
        </w:rPr>
      </w:pPr>
      <w:r>
        <w:rPr>
          <w:rFonts w:ascii="Times New Roman" w:hAnsi="Times New Roman" w:cs="Times New Roman" w:eastAsia="Times New Roman" w:hint="default"/>
        </w:rPr>
        <w:t>3</w:t>
      </w:r>
      <w:r>
        <w:rPr/>
        <w:t>、委托他人进行现金资产管理情况</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94"/>
        <w:jc w:val="left"/>
        <w:rPr>
          <w:b w:val="0"/>
          <w:bCs w:val="0"/>
        </w:rPr>
      </w:pPr>
      <w:r>
        <w:rPr/>
        <w:t>（</w:t>
      </w:r>
      <w:r>
        <w:rPr>
          <w:rFonts w:ascii="Times New Roman" w:hAnsi="Times New Roman" w:cs="Times New Roman" w:eastAsia="Times New Roman" w:hint="default"/>
        </w:rPr>
        <w:t>1</w:t>
      </w:r>
      <w:r>
        <w:rPr/>
        <w:t>）委托理财情况</w:t>
      </w:r>
      <w:r>
        <w:rPr>
          <w:b w:val="0"/>
          <w:bCs w:val="0"/>
        </w:rPr>
      </w:r>
    </w:p>
    <w:p>
      <w:pPr>
        <w:spacing w:line="240" w:lineRule="auto" w:before="4"/>
        <w:rPr>
          <w:rFonts w:ascii="Microsoft JhengHei" w:hAnsi="Microsoft JhengHei" w:cs="Microsoft JhengHei" w:eastAsia="Microsoft JhengHei" w:hint="default"/>
          <w:b/>
          <w:bCs/>
          <w:sz w:val="19"/>
          <w:szCs w:val="19"/>
        </w:rPr>
      </w:pPr>
    </w:p>
    <w:p>
      <w:pPr>
        <w:pStyle w:val="BodyText"/>
        <w:spacing w:line="340" w:lineRule="auto"/>
        <w:ind w:right="74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公司报告期不存在委托理财。</w:t>
      </w:r>
    </w:p>
    <w:p>
      <w:pPr>
        <w:spacing w:line="240" w:lineRule="auto" w:before="4"/>
        <w:rPr>
          <w:rFonts w:ascii="宋体" w:hAnsi="宋体" w:cs="宋体" w:eastAsia="宋体" w:hint="default"/>
          <w:sz w:val="16"/>
          <w:szCs w:val="16"/>
        </w:rPr>
      </w:pPr>
    </w:p>
    <w:p>
      <w:pPr>
        <w:pStyle w:val="Heading3"/>
        <w:spacing w:line="240" w:lineRule="auto"/>
        <w:ind w:right="94"/>
        <w:jc w:val="left"/>
        <w:rPr>
          <w:b w:val="0"/>
          <w:bCs w:val="0"/>
        </w:rPr>
      </w:pPr>
      <w:r>
        <w:rPr/>
        <w:t>（</w:t>
      </w:r>
      <w:r>
        <w:rPr>
          <w:rFonts w:ascii="Times New Roman" w:hAnsi="Times New Roman" w:cs="Times New Roman" w:eastAsia="Times New Roman" w:hint="default"/>
        </w:rPr>
        <w:t>2</w:t>
      </w:r>
      <w:r>
        <w:rPr/>
        <w:t>）委托贷款情况</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340" w:lineRule="auto"/>
        <w:ind w:right="74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公司报告期不存在委托贷款。</w:t>
      </w:r>
    </w:p>
    <w:p>
      <w:pPr>
        <w:spacing w:line="240" w:lineRule="auto" w:before="4"/>
        <w:rPr>
          <w:rFonts w:ascii="宋体" w:hAnsi="宋体" w:cs="宋体" w:eastAsia="宋体" w:hint="default"/>
          <w:sz w:val="16"/>
          <w:szCs w:val="16"/>
        </w:rPr>
      </w:pPr>
    </w:p>
    <w:p>
      <w:pPr>
        <w:pStyle w:val="Heading3"/>
        <w:spacing w:line="240" w:lineRule="auto"/>
        <w:ind w:right="94"/>
        <w:jc w:val="left"/>
        <w:rPr>
          <w:b w:val="0"/>
          <w:bCs w:val="0"/>
        </w:rPr>
      </w:pPr>
      <w:r>
        <w:rPr>
          <w:rFonts w:ascii="Times New Roman" w:hAnsi="Times New Roman" w:cs="Times New Roman" w:eastAsia="Times New Roman" w:hint="default"/>
        </w:rPr>
        <w:t>4</w:t>
      </w:r>
      <w:r>
        <w:rPr/>
        <w:t>、其他重大合同</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38" w:lineRule="auto"/>
        <w:ind w:right="71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公司报告期不存在其他重大合同。</w:t>
      </w:r>
    </w:p>
    <w:p>
      <w:pPr>
        <w:spacing w:line="240" w:lineRule="auto" w:before="10"/>
        <w:rPr>
          <w:rFonts w:ascii="宋体" w:hAnsi="宋体" w:cs="宋体" w:eastAsia="宋体" w:hint="default"/>
          <w:sz w:val="13"/>
          <w:szCs w:val="13"/>
        </w:rPr>
      </w:pPr>
    </w:p>
    <w:p>
      <w:pPr>
        <w:pStyle w:val="Heading2"/>
        <w:spacing w:line="240" w:lineRule="auto"/>
        <w:ind w:right="94"/>
        <w:jc w:val="left"/>
        <w:rPr>
          <w:b w:val="0"/>
          <w:bCs w:val="0"/>
        </w:rPr>
      </w:pPr>
      <w:r>
        <w:rPr/>
        <w:t>十八、社会责任情况</w:t>
      </w:r>
      <w:r>
        <w:rPr>
          <w:b w:val="0"/>
          <w:bCs w:val="0"/>
        </w:rPr>
      </w:r>
    </w:p>
    <w:p>
      <w:pPr>
        <w:spacing w:line="240" w:lineRule="auto" w:before="5"/>
        <w:rPr>
          <w:rFonts w:ascii="Microsoft JhengHei" w:hAnsi="Microsoft JhengHei" w:cs="Microsoft JhengHei" w:eastAsia="Microsoft JhengHei" w:hint="default"/>
          <w:b/>
          <w:bCs/>
          <w:sz w:val="13"/>
          <w:szCs w:val="13"/>
        </w:rPr>
      </w:pPr>
    </w:p>
    <w:p>
      <w:pPr>
        <w:pStyle w:val="Heading3"/>
        <w:spacing w:line="240" w:lineRule="auto"/>
        <w:ind w:right="94"/>
        <w:jc w:val="left"/>
        <w:rPr>
          <w:b w:val="0"/>
          <w:bCs w:val="0"/>
        </w:rPr>
      </w:pPr>
      <w:r>
        <w:rPr>
          <w:rFonts w:ascii="Times New Roman" w:hAnsi="Times New Roman" w:cs="Times New Roman" w:eastAsia="Times New Roman" w:hint="default"/>
        </w:rPr>
        <w:t>1</w:t>
      </w:r>
      <w:r>
        <w:rPr/>
        <w:t>、履行社会责任情况</w:t>
      </w:r>
      <w:r>
        <w:rPr>
          <w:b w:val="0"/>
          <w:bCs w:val="0"/>
        </w:rPr>
      </w:r>
    </w:p>
    <w:p>
      <w:pPr>
        <w:spacing w:line="240" w:lineRule="auto" w:before="13"/>
        <w:rPr>
          <w:rFonts w:ascii="Microsoft JhengHei" w:hAnsi="Microsoft JhengHei" w:cs="Microsoft JhengHei" w:eastAsia="Microsoft JhengHei" w:hint="default"/>
          <w:b/>
          <w:bCs/>
          <w:sz w:val="23"/>
          <w:szCs w:val="23"/>
        </w:rPr>
      </w:pPr>
    </w:p>
    <w:p>
      <w:pPr>
        <w:pStyle w:val="BodyText"/>
        <w:spacing w:line="477" w:lineRule="auto"/>
        <w:ind w:right="94" w:firstLine="360"/>
        <w:jc w:val="left"/>
      </w:pPr>
      <w:r>
        <w:rPr>
          <w:spacing w:val="-2"/>
        </w:rPr>
        <w:t>报告期内公司按照国家有关法律法规、规范性文件要求，坚持公司和社会共同发展，不断加强和完善内部控制，注重安</w:t>
      </w:r>
      <w:r>
        <w:rPr/>
        <w:t> 全生产、产品质量、环境保护和职工、投资者的合法利益，积极履行社会责任，促进公司与社会、自然的和谐发展。</w:t>
      </w:r>
    </w:p>
    <w:p>
      <w:pPr>
        <w:pStyle w:val="BodyText"/>
        <w:spacing w:line="477" w:lineRule="auto" w:before="55"/>
        <w:ind w:right="94" w:firstLine="360"/>
        <w:jc w:val="left"/>
      </w:pPr>
      <w:r>
        <w:rPr>
          <w:spacing w:val="-2"/>
        </w:rPr>
        <w:t>公司重视企业社会价值的实现，并一直秉承“质量为本、信誉为魂、追求卓著、独树品牌”的可持续发展理念，重视研</w:t>
      </w:r>
      <w:r>
        <w:rPr/>
        <w:t> 发及生产优质玩具、践行企业社会责任。</w:t>
      </w:r>
    </w:p>
    <w:p>
      <w:pPr>
        <w:pStyle w:val="BodyText"/>
        <w:spacing w:line="477" w:lineRule="auto" w:before="54"/>
        <w:ind w:right="192" w:firstLine="360"/>
        <w:jc w:val="both"/>
      </w:pPr>
      <w:r>
        <w:rPr/>
        <w:t>公司把“发展产业</w:t>
      </w:r>
      <w:r>
        <w:rPr>
          <w:rFonts w:ascii="宋体" w:hAnsi="宋体" w:cs="宋体" w:eastAsia="宋体" w:hint="default"/>
        </w:rPr>
        <w:t>,</w:t>
      </w:r>
      <w:r>
        <w:rPr/>
        <w:t>回报社会”作为企业使命，在发展过程中积极实践自身的社会责任，持续支持员工扶贫、慈善助学 </w:t>
      </w:r>
      <w:r>
        <w:rPr>
          <w:spacing w:val="-2"/>
        </w:rPr>
        <w:t>事业，在教育、文化、救灾、援助等领域不断投入，为社会奉献自己的一份微薄之力，报告期内，公司向广东省汕头市澄海</w:t>
      </w:r>
      <w:r>
        <w:rPr>
          <w:spacing w:val="-70"/>
        </w:rPr>
        <w:t> </w:t>
      </w:r>
      <w:r>
        <w:rPr>
          <w:spacing w:val="-70"/>
        </w:rPr>
      </w:r>
      <w:r>
        <w:rPr/>
        <w:t>慈善总会捐赠人民币</w:t>
      </w:r>
      <w:r>
        <w:rPr>
          <w:rFonts w:ascii="宋体" w:hAnsi="宋体" w:cs="宋体" w:eastAsia="宋体" w:hint="default"/>
        </w:rPr>
        <w:t>200</w:t>
      </w:r>
      <w:r>
        <w:rPr/>
        <w:t>万元用于澄海区主出入口文化景观创文惠民工程建设。</w:t>
      </w:r>
    </w:p>
    <w:p>
      <w:pPr>
        <w:pStyle w:val="BodyText"/>
        <w:spacing w:line="477" w:lineRule="auto" w:before="54"/>
        <w:ind w:right="94" w:firstLine="360"/>
        <w:jc w:val="left"/>
      </w:pPr>
      <w:r>
        <w:rPr>
          <w:spacing w:val="-2"/>
        </w:rPr>
        <w:t>保障股东的利益是公司最基本的社会责任，公司建立了较为完善的公司治理结构，形成了完整的内部控制制度，报告期</w:t>
      </w:r>
      <w:r>
        <w:rPr/>
        <w:t> </w:t>
      </w:r>
      <w:r>
        <w:rPr>
          <w:spacing w:val="-4"/>
        </w:rPr>
        <w:t>内，公司根据《公司法》、《证券法》、《上市公司治理准则》等法律法规，不断完善公司治理，进一步修订了《公司章程》</w:t>
      </w:r>
      <w:r>
        <w:rPr>
          <w:spacing w:val="-48"/>
        </w:rPr>
        <w:t> </w:t>
      </w:r>
      <w:r>
        <w:rPr>
          <w:spacing w:val="-48"/>
        </w:rPr>
      </w:r>
      <w:r>
        <w:rPr>
          <w:spacing w:val="-2"/>
        </w:rPr>
        <w:t>及其他相关制度，改善内部控制，建立了以《公司章程》为基础的内控体系，形成了以股东大会、董事会、监事会及管理层</w:t>
      </w:r>
      <w:r>
        <w:rPr>
          <w:spacing w:val="-72"/>
        </w:rPr>
        <w:t> </w:t>
      </w:r>
      <w:r>
        <w:rPr>
          <w:spacing w:val="-72"/>
        </w:rPr>
      </w:r>
      <w:r>
        <w:rPr/>
        <w:t>为主体结构的决策与经营体系，切实保障股东特别是中小股东的利益。</w:t>
      </w:r>
    </w:p>
    <w:p>
      <w:pPr>
        <w:spacing w:after="0" w:line="477" w:lineRule="auto"/>
        <w:jc w:val="left"/>
        <w:sectPr>
          <w:footerReference w:type="default" r:id="rId13"/>
          <w:pgSz w:w="11910" w:h="16840"/>
          <w:pgMar w:footer="979" w:header="745" w:top="1060" w:bottom="1160" w:left="980" w:right="940"/>
          <w:pgNumType w:start="34"/>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477" w:lineRule="auto"/>
        <w:ind w:right="184" w:firstLine="360"/>
        <w:jc w:val="left"/>
      </w:pPr>
      <w:r>
        <w:rPr/>
        <w:t>公司《</w:t>
      </w:r>
      <w:r>
        <w:rPr>
          <w:rFonts w:ascii="宋体" w:hAnsi="宋体" w:cs="宋体" w:eastAsia="宋体" w:hint="default"/>
        </w:rPr>
        <w:t>2015~2017</w:t>
      </w:r>
      <w:r>
        <w:rPr/>
        <w:t>年股东回报规划》、《公司章程》、《分红管理制度》规定公司足额提取法定公积金、任意公积金以 后，最近三年以现金方式累计分配的利润不少于最近三年实现的年均可分配利润的</w:t>
      </w:r>
      <w:r>
        <w:rPr>
          <w:rFonts w:ascii="宋体" w:hAnsi="宋体" w:cs="宋体" w:eastAsia="宋体" w:hint="default"/>
        </w:rPr>
        <w:t>30%</w:t>
      </w:r>
      <w:r>
        <w:rPr/>
        <w:t>。</w:t>
      </w:r>
    </w:p>
    <w:p>
      <w:pPr>
        <w:pStyle w:val="BodyText"/>
        <w:spacing w:line="477" w:lineRule="auto" w:before="54"/>
        <w:ind w:right="94" w:firstLine="360"/>
        <w:jc w:val="left"/>
      </w:pPr>
      <w:r>
        <w:rPr>
          <w:spacing w:val="-2"/>
        </w:rPr>
        <w:t>公司严格遵守《劳动法》、《劳动合同法》、《妇女权益保护法》等相关法律法规，严格执行国家用工制度和劳动保障</w:t>
      </w:r>
      <w:r>
        <w:rPr/>
        <w:t> </w:t>
      </w:r>
      <w:r>
        <w:rPr>
          <w:spacing w:val="-4"/>
        </w:rPr>
        <w:t>制度，尊重和维护员工的个人权益，切实关注员工健康、安全和满意度，重视人才培训和培养，实现员工与企业的共同成长，</w:t>
      </w:r>
      <w:r>
        <w:rPr>
          <w:spacing w:val="-42"/>
        </w:rPr>
        <w:t> </w:t>
      </w:r>
      <w:r>
        <w:rPr>
          <w:spacing w:val="-42"/>
        </w:rPr>
      </w:r>
      <w:r>
        <w:rPr/>
        <w:t>认真保障企业员工的各项权益，履行企业的责任。</w:t>
      </w:r>
    </w:p>
    <w:p>
      <w:pPr>
        <w:spacing w:line="240" w:lineRule="auto" w:before="4"/>
        <w:rPr>
          <w:rFonts w:ascii="宋体" w:hAnsi="宋体" w:cs="宋体" w:eastAsia="宋体" w:hint="default"/>
          <w:sz w:val="14"/>
          <w:szCs w:val="14"/>
        </w:rPr>
      </w:pPr>
    </w:p>
    <w:p>
      <w:pPr>
        <w:pStyle w:val="Heading3"/>
        <w:spacing w:line="240" w:lineRule="auto"/>
        <w:ind w:right="94"/>
        <w:jc w:val="left"/>
        <w:rPr>
          <w:b w:val="0"/>
          <w:bCs w:val="0"/>
        </w:rPr>
      </w:pPr>
      <w:r>
        <w:rPr>
          <w:rFonts w:ascii="Times New Roman" w:hAnsi="Times New Roman" w:cs="Times New Roman" w:eastAsia="Times New Roman" w:hint="default"/>
        </w:rPr>
        <w:t>2</w:t>
      </w:r>
      <w:r>
        <w:rPr/>
        <w:t>、履行精准扶贫社会责任情况</w:t>
      </w:r>
      <w:r>
        <w:rPr>
          <w:b w:val="0"/>
          <w:bCs w:val="0"/>
        </w:rPr>
      </w:r>
    </w:p>
    <w:p>
      <w:pPr>
        <w:spacing w:line="240" w:lineRule="auto" w:before="16"/>
        <w:rPr>
          <w:rFonts w:ascii="Microsoft JhengHei" w:hAnsi="Microsoft JhengHei" w:cs="Microsoft JhengHei" w:eastAsia="Microsoft JhengHei" w:hint="default"/>
          <w:b/>
          <w:bCs/>
          <w:sz w:val="23"/>
          <w:szCs w:val="23"/>
        </w:rPr>
      </w:pPr>
    </w:p>
    <w:p>
      <w:pPr>
        <w:pStyle w:val="BodyText"/>
        <w:spacing w:line="240" w:lineRule="auto"/>
        <w:ind w:left="513" w:right="94"/>
        <w:jc w:val="left"/>
      </w:pPr>
      <w:r>
        <w:rPr/>
        <w:t>公司报告年度暂未开展精准扶贫工作，也暂无后续精准扶贫计划。</w:t>
      </w:r>
    </w:p>
    <w:p>
      <w:pPr>
        <w:spacing w:line="240" w:lineRule="auto" w:before="0"/>
        <w:rPr>
          <w:rFonts w:ascii="宋体" w:hAnsi="宋体" w:cs="宋体" w:eastAsia="宋体" w:hint="default"/>
          <w:sz w:val="18"/>
          <w:szCs w:val="18"/>
        </w:rPr>
      </w:pPr>
    </w:p>
    <w:p>
      <w:pPr>
        <w:pStyle w:val="Heading3"/>
        <w:spacing w:line="240" w:lineRule="auto" w:before="130"/>
        <w:ind w:right="94"/>
        <w:jc w:val="left"/>
        <w:rPr>
          <w:b w:val="0"/>
          <w:bCs w:val="0"/>
        </w:rPr>
      </w:pPr>
      <w:r>
        <w:rPr>
          <w:rFonts w:ascii="Times New Roman" w:hAnsi="Times New Roman" w:cs="Times New Roman" w:eastAsia="Times New Roman" w:hint="default"/>
        </w:rPr>
        <w:t>3</w:t>
      </w:r>
      <w:r>
        <w:rPr/>
        <w:t>、环境保护相关的情况</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360" w:lineRule="auto"/>
        <w:ind w:right="4774"/>
        <w:jc w:val="left"/>
      </w:pPr>
      <w:r>
        <w:rPr/>
        <w:t>上市公司及其子公司是否属于环境保护部门公布的重点排污单位 否</w:t>
      </w:r>
    </w:p>
    <w:p>
      <w:pPr>
        <w:pStyle w:val="BodyText"/>
        <w:spacing w:line="518" w:lineRule="auto" w:before="104"/>
        <w:ind w:left="513" w:right="94"/>
        <w:jc w:val="left"/>
      </w:pPr>
      <w:r>
        <w:rPr/>
        <w:t>经公司核查，公司及其控股子公司不属于汕头市重点排污单位。 </w:t>
      </w:r>
      <w:r>
        <w:rPr>
          <w:spacing w:val="-2"/>
        </w:rPr>
        <w:t>公司及其子公司在日常生产经营中认真执行《中华人民共和国环境保护法》、《中华人民共和国水污染防治法》、《中</w:t>
      </w:r>
    </w:p>
    <w:p>
      <w:pPr>
        <w:pStyle w:val="BodyText"/>
        <w:spacing w:line="477" w:lineRule="auto" w:before="24"/>
        <w:ind w:right="94"/>
        <w:jc w:val="left"/>
      </w:pPr>
      <w:r>
        <w:rPr>
          <w:spacing w:val="-2"/>
        </w:rPr>
        <w:t>华人民共和国大气污染防治法》、《中华人民共和国环境噪声污染防治法》、《中华人民共和国固体废物污染防治法》等环</w:t>
      </w:r>
      <w:r>
        <w:rPr>
          <w:spacing w:val="-69"/>
        </w:rPr>
        <w:t> </w:t>
      </w:r>
      <w:r>
        <w:rPr>
          <w:spacing w:val="-69"/>
        </w:rPr>
      </w:r>
      <w:r>
        <w:rPr/>
        <w:t>保方面的法律法规，报告期内未出现因违</w:t>
      </w:r>
      <w:r>
        <w:rPr>
          <w:spacing w:val="2"/>
        </w:rPr>
        <w:t> </w:t>
      </w:r>
      <w:r>
        <w:rPr/>
        <w:t>法违规而受到处罚的情况。</w:t>
      </w:r>
    </w:p>
    <w:p>
      <w:pPr>
        <w:pStyle w:val="Heading2"/>
        <w:spacing w:line="240" w:lineRule="auto" w:before="152"/>
        <w:ind w:right="94"/>
        <w:jc w:val="left"/>
        <w:rPr>
          <w:b w:val="0"/>
          <w:bCs w:val="0"/>
        </w:rPr>
      </w:pPr>
      <w:r>
        <w:rPr/>
        <w:t>十九、其他重大事项的说明</w:t>
      </w:r>
      <w:r>
        <w:rPr>
          <w:b w:val="0"/>
          <w:bCs w:val="0"/>
        </w:rPr>
      </w:r>
    </w:p>
    <w:p>
      <w:pPr>
        <w:spacing w:line="240" w:lineRule="auto" w:before="6"/>
        <w:rPr>
          <w:rFonts w:ascii="Microsoft JhengHei" w:hAnsi="Microsoft JhengHei" w:cs="Microsoft JhengHei" w:eastAsia="Microsoft JhengHei" w:hint="default"/>
          <w:b/>
          <w:bCs/>
          <w:sz w:val="18"/>
          <w:szCs w:val="18"/>
        </w:rPr>
      </w:pPr>
    </w:p>
    <w:p>
      <w:pPr>
        <w:spacing w:line="357" w:lineRule="auto" w:before="0"/>
        <w:ind w:left="513" w:right="8194" w:hanging="361"/>
        <w:jc w:val="left"/>
        <w:rPr>
          <w:rFonts w:ascii="Microsoft JhengHei" w:hAnsi="Microsoft JhengHei" w:cs="Microsoft JhengHei" w:eastAsia="Microsoft JhengHei"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 </w:t>
      </w:r>
      <w:r>
        <w:rPr>
          <w:rFonts w:ascii="Trebuchet MS" w:hAnsi="Trebuchet MS" w:cs="Trebuchet MS" w:eastAsia="Trebuchet MS" w:hint="default"/>
          <w:b/>
          <w:bCs/>
          <w:w w:val="95"/>
          <w:sz w:val="18"/>
          <w:szCs w:val="18"/>
        </w:rPr>
        <w:t>1</w:t>
      </w:r>
      <w:r>
        <w:rPr>
          <w:rFonts w:ascii="Microsoft JhengHei" w:hAnsi="Microsoft JhengHei" w:cs="Microsoft JhengHei" w:eastAsia="Microsoft JhengHei" w:hint="default"/>
          <w:b/>
          <w:bCs/>
          <w:w w:val="95"/>
          <w:sz w:val="18"/>
          <w:szCs w:val="18"/>
        </w:rPr>
        <w:t>、设立子公司</w:t>
      </w:r>
      <w:r>
        <w:rPr>
          <w:rFonts w:ascii="Microsoft JhengHei" w:hAnsi="Microsoft JhengHei" w:cs="Microsoft JhengHei" w:eastAsia="Microsoft JhengHei" w:hint="default"/>
          <w:w w:val="95"/>
          <w:sz w:val="18"/>
          <w:szCs w:val="18"/>
        </w:rPr>
      </w:r>
    </w:p>
    <w:p>
      <w:pPr>
        <w:pStyle w:val="BodyText"/>
        <w:spacing w:line="477" w:lineRule="auto" w:before="94"/>
        <w:ind w:right="94" w:firstLine="360"/>
        <w:jc w:val="left"/>
      </w:pPr>
      <w:r>
        <w:rPr>
          <w:spacing w:val="-2"/>
        </w:rPr>
        <w:t>（</w:t>
      </w:r>
      <w:r>
        <w:rPr>
          <w:rFonts w:ascii="宋体" w:hAnsi="宋体" w:cs="宋体" w:eastAsia="宋体" w:hint="default"/>
          <w:spacing w:val="-2"/>
        </w:rPr>
        <w:t>1</w:t>
      </w:r>
      <w:r>
        <w:rPr>
          <w:spacing w:val="-2"/>
        </w:rPr>
        <w:t>）经公司第三届董事会第九次会议审议通过，公司于</w:t>
      </w:r>
      <w:r>
        <w:rPr>
          <w:rFonts w:ascii="宋体" w:hAnsi="宋体" w:cs="宋体" w:eastAsia="宋体" w:hint="default"/>
          <w:spacing w:val="-2"/>
        </w:rPr>
        <w:t>2017</w:t>
      </w:r>
      <w:r>
        <w:rPr>
          <w:spacing w:val="-2"/>
        </w:rPr>
        <w:t>年</w:t>
      </w:r>
      <w:r>
        <w:rPr>
          <w:rFonts w:ascii="宋体" w:hAnsi="宋体" w:cs="宋体" w:eastAsia="宋体" w:hint="default"/>
          <w:spacing w:val="-2"/>
        </w:rPr>
        <w:t>1</w:t>
      </w:r>
      <w:r>
        <w:rPr>
          <w:spacing w:val="-2"/>
        </w:rPr>
        <w:t>月</w:t>
      </w:r>
      <w:r>
        <w:rPr>
          <w:rFonts w:ascii="宋体" w:hAnsi="宋体" w:cs="宋体" w:eastAsia="宋体" w:hint="default"/>
          <w:spacing w:val="-2"/>
        </w:rPr>
        <w:t>22</w:t>
      </w:r>
      <w:r>
        <w:rPr>
          <w:spacing w:val="-2"/>
        </w:rPr>
        <w:t>日在广东汕头市设立全资子公司歌乐宝，注册资本</w:t>
      </w:r>
      <w:r>
        <w:rPr/>
        <w:t> 人民币</w:t>
      </w:r>
      <w:r>
        <w:rPr>
          <w:rFonts w:ascii="宋体" w:hAnsi="宋体" w:cs="宋体" w:eastAsia="宋体" w:hint="default"/>
        </w:rPr>
        <w:t>10000</w:t>
      </w:r>
      <w:r>
        <w:rPr/>
        <w:t>万元，经营范围：销售、网上销售：玩具、儿童用品、服装服饰、鞋帽箱包、母婴用品、电子产品、化妆品；</w:t>
      </w:r>
      <w:r>
        <w:rPr>
          <w:spacing w:val="-85"/>
        </w:rPr>
        <w:t> </w:t>
      </w:r>
      <w:r>
        <w:rPr>
          <w:spacing w:val="-85"/>
        </w:rPr>
      </w:r>
      <w:r>
        <w:rPr>
          <w:spacing w:val="-2"/>
        </w:rPr>
        <w:t>电脑软件、网络产品、计算机软硬件；通讯设备的技术开发和销售；文化活动策划；设计，制作，发布，代理国内外各类广</w:t>
      </w:r>
      <w:r>
        <w:rPr>
          <w:spacing w:val="-65"/>
        </w:rPr>
        <w:t> </w:t>
      </w:r>
      <w:r>
        <w:rPr>
          <w:spacing w:val="-65"/>
        </w:rPr>
      </w:r>
      <w:r>
        <w:rPr>
          <w:spacing w:val="-2"/>
        </w:rPr>
        <w:t>告；会议及展览服务；信息技术咨询服务；企业管理咨询服务；市场调研服务；股权投资；受托管理股权投资基金（不得以</w:t>
      </w:r>
      <w:r>
        <w:rPr>
          <w:spacing w:val="-73"/>
        </w:rPr>
        <w:t> </w:t>
      </w:r>
      <w:r>
        <w:rPr>
          <w:spacing w:val="-73"/>
        </w:rPr>
      </w:r>
      <w:r>
        <w:rPr>
          <w:spacing w:val="-4"/>
        </w:rPr>
        <w:t>任何方式公开募集及发行基金、不得从事公开募集及发行基金管理业务）；为中小企业及个人提供担保（不含融资性担保）；</w:t>
      </w:r>
      <w:r>
        <w:rPr>
          <w:spacing w:val="-45"/>
        </w:rPr>
        <w:t> </w:t>
      </w:r>
      <w:r>
        <w:rPr>
          <w:spacing w:val="-45"/>
        </w:rPr>
      </w:r>
      <w:r>
        <w:rPr>
          <w:spacing w:val="-2"/>
        </w:rPr>
        <w:t>投资兴办实业（具体项目另行申报）；开发、设计、生产：玩具、儿童用品；货物进出口，技术进出口。该子公司成立后将</w:t>
      </w:r>
      <w:r>
        <w:rPr>
          <w:spacing w:val="-72"/>
        </w:rPr>
        <w:t> </w:t>
      </w:r>
      <w:r>
        <w:rPr>
          <w:spacing w:val="-72"/>
        </w:rPr>
      </w:r>
      <w:r>
        <w:rPr/>
        <w:t>作为建立 </w:t>
      </w:r>
      <w:r>
        <w:rPr>
          <w:rFonts w:ascii="宋体" w:hAnsi="宋体" w:cs="宋体" w:eastAsia="宋体" w:hint="default"/>
        </w:rPr>
        <w:t>B2B+O2O</w:t>
      </w:r>
      <w:r>
        <w:rPr>
          <w:rFonts w:ascii="宋体" w:hAnsi="宋体" w:cs="宋体" w:eastAsia="宋体" w:hint="default"/>
          <w:spacing w:val="-3"/>
        </w:rPr>
        <w:t> </w:t>
      </w:r>
      <w:r>
        <w:rPr/>
        <w:t>玩具渠道电商系统的投资主体。</w:t>
      </w:r>
    </w:p>
    <w:p>
      <w:pPr>
        <w:pStyle w:val="BodyText"/>
        <w:spacing w:line="477" w:lineRule="auto" w:before="54"/>
        <w:ind w:right="191" w:firstLine="360"/>
        <w:jc w:val="both"/>
      </w:pPr>
      <w:r>
        <w:rPr>
          <w:spacing w:val="-2"/>
        </w:rPr>
        <w:t>（</w:t>
      </w:r>
      <w:r>
        <w:rPr>
          <w:rFonts w:ascii="宋体" w:hAnsi="宋体" w:cs="宋体" w:eastAsia="宋体" w:hint="default"/>
          <w:spacing w:val="-2"/>
        </w:rPr>
        <w:t>2</w:t>
      </w:r>
      <w:r>
        <w:rPr>
          <w:spacing w:val="-2"/>
        </w:rPr>
        <w:t>）经公司总经理（总裁）办公会审议通过，公司于</w:t>
      </w:r>
      <w:r>
        <w:rPr>
          <w:rFonts w:ascii="宋体" w:hAnsi="宋体" w:cs="宋体" w:eastAsia="宋体" w:hint="default"/>
          <w:spacing w:val="-2"/>
        </w:rPr>
        <w:t>2017</w:t>
      </w:r>
      <w:r>
        <w:rPr>
          <w:spacing w:val="-2"/>
        </w:rPr>
        <w:t>年</w:t>
      </w:r>
      <w:r>
        <w:rPr>
          <w:rFonts w:ascii="宋体" w:hAnsi="宋体" w:cs="宋体" w:eastAsia="宋体" w:hint="default"/>
          <w:spacing w:val="-2"/>
        </w:rPr>
        <w:t>5</w:t>
      </w:r>
      <w:r>
        <w:rPr>
          <w:spacing w:val="-2"/>
        </w:rPr>
        <w:t>月</w:t>
      </w:r>
      <w:r>
        <w:rPr>
          <w:rFonts w:ascii="宋体" w:hAnsi="宋体" w:cs="宋体" w:eastAsia="宋体" w:hint="default"/>
          <w:spacing w:val="-2"/>
        </w:rPr>
        <w:t>17</w:t>
      </w:r>
      <w:r>
        <w:rPr>
          <w:spacing w:val="-2"/>
        </w:rPr>
        <w:t>日在西藏自治区拉萨市设立全资子公司西藏蓝道，注</w:t>
      </w:r>
      <w:r>
        <w:rPr/>
        <w:t> </w:t>
      </w:r>
      <w:r>
        <w:rPr>
          <w:spacing w:val="-2"/>
        </w:rPr>
        <w:t>册资本人民币</w:t>
      </w:r>
      <w:r>
        <w:rPr>
          <w:rFonts w:ascii="宋体" w:hAnsi="宋体" w:cs="宋体" w:eastAsia="宋体" w:hint="default"/>
          <w:spacing w:val="-2"/>
        </w:rPr>
        <w:t>5000</w:t>
      </w:r>
      <w:r>
        <w:rPr>
          <w:spacing w:val="-2"/>
        </w:rPr>
        <w:t>万元，经营范围为：智能交通系统科技研发；租赁新能源汽车；销售汽车配件、新能源汽车及其配套充换</w:t>
      </w:r>
      <w:r>
        <w:rPr>
          <w:spacing w:val="-65"/>
        </w:rPr>
        <w:t> </w:t>
      </w:r>
      <w:r>
        <w:rPr>
          <w:spacing w:val="-65"/>
        </w:rPr>
      </w:r>
      <w:r>
        <w:rPr>
          <w:spacing w:val="-2"/>
        </w:rPr>
        <w:t>电设备、城市交通智能运输服务管控系统软件开发和销售；停车场管理；物业管理；立体停车设备的研发、生产、销售；上</w:t>
      </w:r>
    </w:p>
    <w:p>
      <w:pPr>
        <w:spacing w:after="0" w:line="477" w:lineRule="auto"/>
        <w:jc w:val="both"/>
        <w:sectPr>
          <w:pgSz w:w="11910" w:h="16840"/>
          <w:pgMar w:header="745" w:footer="979" w:top="1060" w:bottom="1160" w:left="980" w:right="94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240" w:lineRule="auto"/>
        <w:ind w:right="107"/>
        <w:jc w:val="left"/>
      </w:pPr>
      <w:r>
        <w:rPr/>
        <w:t>门维护及上门保养。</w:t>
      </w:r>
    </w:p>
    <w:p>
      <w:pPr>
        <w:pStyle w:val="Heading3"/>
        <w:spacing w:line="240" w:lineRule="auto" w:before="142"/>
        <w:ind w:left="575" w:right="107"/>
        <w:jc w:val="left"/>
        <w:rPr>
          <w:b w:val="0"/>
          <w:bCs w:val="0"/>
        </w:rPr>
      </w:pPr>
      <w:r>
        <w:rPr>
          <w:rFonts w:ascii="Trebuchet MS" w:hAnsi="Trebuchet MS" w:cs="Trebuchet MS" w:eastAsia="Trebuchet MS" w:hint="default"/>
        </w:rPr>
        <w:t>2</w:t>
      </w:r>
      <w:r>
        <w:rPr/>
        <w:t>、公司重大资产重组事项</w:t>
      </w:r>
      <w:r>
        <w:rPr>
          <w:b w:val="0"/>
          <w:bCs w:val="0"/>
        </w:rPr>
      </w:r>
    </w:p>
    <w:p>
      <w:pPr>
        <w:spacing w:line="240" w:lineRule="auto" w:before="1"/>
        <w:rPr>
          <w:rFonts w:ascii="Microsoft JhengHei" w:hAnsi="Microsoft JhengHei" w:cs="Microsoft JhengHei" w:eastAsia="Microsoft JhengHei" w:hint="default"/>
          <w:b/>
          <w:bCs/>
          <w:sz w:val="11"/>
          <w:szCs w:val="11"/>
        </w:rPr>
      </w:pPr>
    </w:p>
    <w:p>
      <w:pPr>
        <w:pStyle w:val="BodyText"/>
        <w:spacing w:line="477" w:lineRule="auto"/>
        <w:ind w:right="211" w:firstLine="360"/>
        <w:jc w:val="both"/>
      </w:pPr>
      <w:r>
        <w:rPr>
          <w:spacing w:val="-2"/>
        </w:rPr>
        <w:t>公司因筹划涉及资产收购的重大事项，经公司向深交所申请，公司股票自</w:t>
      </w:r>
      <w:r>
        <w:rPr>
          <w:rFonts w:ascii="宋体" w:hAnsi="宋体" w:cs="宋体" w:eastAsia="宋体" w:hint="default"/>
          <w:spacing w:val="-2"/>
        </w:rPr>
        <w:t>2017</w:t>
      </w:r>
      <w:r>
        <w:rPr>
          <w:spacing w:val="-2"/>
        </w:rPr>
        <w:t>年</w:t>
      </w:r>
      <w:r>
        <w:rPr>
          <w:rFonts w:ascii="宋体" w:hAnsi="宋体" w:cs="宋体" w:eastAsia="宋体" w:hint="default"/>
          <w:spacing w:val="-2"/>
        </w:rPr>
        <w:t>2</w:t>
      </w:r>
      <w:r>
        <w:rPr>
          <w:spacing w:val="-2"/>
        </w:rPr>
        <w:t>月</w:t>
      </w:r>
      <w:r>
        <w:rPr>
          <w:rFonts w:ascii="宋体" w:hAnsi="宋体" w:cs="宋体" w:eastAsia="宋体" w:hint="default"/>
          <w:spacing w:val="-2"/>
        </w:rPr>
        <w:t>3</w:t>
      </w:r>
      <w:r>
        <w:rPr>
          <w:spacing w:val="-2"/>
        </w:rPr>
        <w:t>日开市起停牌。根据《上市公司重</w:t>
      </w:r>
      <w:r>
        <w:rPr/>
        <w:t> 大资产重组管理办法》的规定，本次筹划资产收购事项构成重大资产重组，经申请公司股票自</w:t>
      </w:r>
      <w:r>
        <w:rPr>
          <w:rFonts w:ascii="宋体" w:hAnsi="宋体" w:cs="宋体" w:eastAsia="宋体" w:hint="default"/>
        </w:rPr>
        <w:t>2017</w:t>
      </w:r>
      <w:r>
        <w:rPr/>
        <w:t>年</w:t>
      </w:r>
      <w:r>
        <w:rPr>
          <w:rFonts w:ascii="宋体" w:hAnsi="宋体" w:cs="宋体" w:eastAsia="宋体" w:hint="default"/>
        </w:rPr>
        <w:t>2</w:t>
      </w:r>
      <w:r>
        <w:rPr/>
        <w:t>月</w:t>
      </w:r>
      <w:r>
        <w:rPr>
          <w:rFonts w:ascii="宋体" w:hAnsi="宋体" w:cs="宋体" w:eastAsia="宋体" w:hint="default"/>
        </w:rPr>
        <w:t>17</w:t>
      </w:r>
      <w:r>
        <w:rPr/>
        <w:t>日开市起转入重</w:t>
      </w:r>
      <w:r>
        <w:rPr>
          <w:spacing w:val="-85"/>
        </w:rPr>
        <w:t> </w:t>
      </w:r>
      <w:r>
        <w:rPr>
          <w:spacing w:val="-85"/>
        </w:rPr>
      </w:r>
      <w:r>
        <w:rPr/>
        <w:t>大资产重组程序并继续停牌。</w:t>
      </w:r>
      <w:r>
        <w:rPr>
          <w:rFonts w:ascii="宋体" w:hAnsi="宋体" w:cs="宋体" w:eastAsia="宋体" w:hint="default"/>
        </w:rPr>
        <w:t>2017</w:t>
      </w:r>
      <w:r>
        <w:rPr>
          <w:rFonts w:ascii="宋体" w:hAnsi="宋体" w:cs="宋体" w:eastAsia="宋体" w:hint="default"/>
          <w:spacing w:val="-18"/>
        </w:rPr>
        <w:t> </w:t>
      </w:r>
      <w:r>
        <w:rPr/>
        <w:t>年</w:t>
      </w:r>
      <w:r>
        <w:rPr>
          <w:spacing w:val="-19"/>
        </w:rPr>
        <w:t> </w:t>
      </w:r>
      <w:r>
        <w:rPr>
          <w:rFonts w:ascii="宋体" w:hAnsi="宋体" w:cs="宋体" w:eastAsia="宋体" w:hint="default"/>
        </w:rPr>
        <w:t>3</w:t>
      </w:r>
      <w:r>
        <w:rPr>
          <w:rFonts w:ascii="宋体" w:hAnsi="宋体" w:cs="宋体" w:eastAsia="宋体" w:hint="default"/>
          <w:spacing w:val="-16"/>
        </w:rPr>
        <w:t> </w:t>
      </w:r>
      <w:r>
        <w:rPr/>
        <w:t>月</w:t>
      </w:r>
      <w:r>
        <w:rPr>
          <w:spacing w:val="-19"/>
        </w:rPr>
        <w:t> </w:t>
      </w:r>
      <w:r>
        <w:rPr>
          <w:rFonts w:ascii="宋体" w:hAnsi="宋体" w:cs="宋体" w:eastAsia="宋体" w:hint="default"/>
        </w:rPr>
        <w:t>31</w:t>
      </w:r>
      <w:r>
        <w:rPr>
          <w:rFonts w:ascii="宋体" w:hAnsi="宋体" w:cs="宋体" w:eastAsia="宋体" w:hint="default"/>
          <w:spacing w:val="-16"/>
        </w:rPr>
        <w:t> </w:t>
      </w:r>
      <w:r>
        <w:rPr/>
        <w:t>日，公司第三届董事会第十三次会议审议通过了《广东群兴玩具股份有限公 </w:t>
      </w:r>
      <w:r>
        <w:rPr>
          <w:spacing w:val="-2"/>
        </w:rPr>
        <w:t>司发行股份购买资产并募集配套资金暨关联交易预案》等与本次重大资产重组相关的议案，公司拟以发行股份方式购买时空</w:t>
      </w:r>
      <w:r>
        <w:rPr>
          <w:spacing w:val="-64"/>
        </w:rPr>
        <w:t> </w:t>
      </w:r>
      <w:r>
        <w:rPr>
          <w:spacing w:val="-64"/>
        </w:rPr>
      </w:r>
      <w:r>
        <w:rPr/>
        <w:t>能源</w:t>
      </w:r>
      <w:r>
        <w:rPr>
          <w:rFonts w:ascii="宋体" w:hAnsi="宋体" w:cs="宋体" w:eastAsia="宋体" w:hint="default"/>
        </w:rPr>
        <w:t>100%</w:t>
      </w:r>
      <w:r>
        <w:rPr/>
        <w:t>股权，交易价格</w:t>
      </w:r>
      <w:r>
        <w:rPr>
          <w:rFonts w:ascii="宋体" w:hAnsi="宋体" w:cs="宋体" w:eastAsia="宋体" w:hint="default"/>
        </w:rPr>
        <w:t>290,000</w:t>
      </w:r>
      <w:r>
        <w:rPr/>
        <w:t>万元。本次重组预案披露后，因资本市场环境较项目筹划之初发生较大变化，经沟通，交</w:t>
      </w:r>
      <w:r>
        <w:rPr>
          <w:spacing w:val="-87"/>
        </w:rPr>
        <w:t> </w:t>
      </w:r>
      <w:r>
        <w:rPr>
          <w:spacing w:val="-87"/>
        </w:rPr>
      </w:r>
      <w:r>
        <w:rPr/>
        <w:t>易双方就本次重组的发行价格等核心条款无法达成一致意见，公司审慎研究决定终止本次重大资产重组。</w:t>
      </w:r>
    </w:p>
    <w:p>
      <w:pPr>
        <w:pStyle w:val="Heading3"/>
        <w:spacing w:line="330" w:lineRule="exact"/>
        <w:ind w:left="575" w:right="107"/>
        <w:jc w:val="left"/>
        <w:rPr>
          <w:b w:val="0"/>
          <w:bCs w:val="0"/>
        </w:rPr>
      </w:pPr>
      <w:r>
        <w:rPr>
          <w:rFonts w:ascii="Trebuchet MS" w:hAnsi="Trebuchet MS" w:cs="Trebuchet MS" w:eastAsia="Trebuchet MS" w:hint="default"/>
        </w:rPr>
        <w:t>3</w:t>
      </w:r>
      <w:r>
        <w:rPr/>
        <w:t>、公司重大资产出售事项</w:t>
      </w:r>
      <w:r>
        <w:rPr>
          <w:b w:val="0"/>
          <w:bCs w:val="0"/>
        </w:rPr>
      </w:r>
    </w:p>
    <w:p>
      <w:pPr>
        <w:spacing w:line="240" w:lineRule="auto" w:before="1"/>
        <w:rPr>
          <w:rFonts w:ascii="Microsoft JhengHei" w:hAnsi="Microsoft JhengHei" w:cs="Microsoft JhengHei" w:eastAsia="Microsoft JhengHei" w:hint="default"/>
          <w:b/>
          <w:bCs/>
          <w:sz w:val="11"/>
          <w:szCs w:val="11"/>
        </w:rPr>
      </w:pPr>
    </w:p>
    <w:p>
      <w:pPr>
        <w:pStyle w:val="BodyText"/>
        <w:spacing w:line="477" w:lineRule="auto"/>
        <w:ind w:right="208" w:firstLine="420"/>
        <w:jc w:val="both"/>
      </w:pPr>
      <w:r>
        <w:rPr>
          <w:spacing w:val="-1"/>
        </w:rPr>
        <w:t>公司于</w:t>
      </w:r>
      <w:r>
        <w:rPr>
          <w:rFonts w:ascii="宋体" w:hAnsi="宋体" w:cs="宋体" w:eastAsia="宋体" w:hint="default"/>
          <w:spacing w:val="-1"/>
        </w:rPr>
        <w:t>2017</w:t>
      </w:r>
      <w:r>
        <w:rPr>
          <w:spacing w:val="-1"/>
        </w:rPr>
        <w:t>年</w:t>
      </w:r>
      <w:r>
        <w:rPr>
          <w:rFonts w:ascii="宋体" w:hAnsi="宋体" w:cs="宋体" w:eastAsia="宋体" w:hint="default"/>
          <w:spacing w:val="-1"/>
        </w:rPr>
        <w:t>12</w:t>
      </w:r>
      <w:r>
        <w:rPr>
          <w:spacing w:val="-1"/>
        </w:rPr>
        <w:t>月</w:t>
      </w:r>
      <w:r>
        <w:rPr>
          <w:rFonts w:ascii="宋体" w:hAnsi="宋体" w:cs="宋体" w:eastAsia="宋体" w:hint="default"/>
          <w:spacing w:val="-1"/>
        </w:rPr>
        <w:t>25</w:t>
      </w:r>
      <w:r>
        <w:rPr>
          <w:spacing w:val="-1"/>
        </w:rPr>
        <w:t>日发布了《广东群兴玩具股份有限公司关于转让广东粤科融资租赁有限公司</w:t>
      </w:r>
      <w:r>
        <w:rPr>
          <w:rFonts w:ascii="宋体" w:hAnsi="宋体" w:cs="宋体" w:eastAsia="宋体" w:hint="default"/>
          <w:spacing w:val="-1"/>
        </w:rPr>
        <w:t>20%</w:t>
      </w:r>
      <w:r>
        <w:rPr>
          <w:spacing w:val="-1"/>
        </w:rPr>
        <w:t>股权首轮公开征集</w:t>
      </w:r>
      <w:r>
        <w:rPr/>
        <w:t> </w:t>
      </w:r>
      <w:r>
        <w:rPr>
          <w:spacing w:val="-5"/>
        </w:rPr>
        <w:t>受让方的公告》（公告编号：</w:t>
      </w:r>
      <w:r>
        <w:rPr>
          <w:rFonts w:ascii="宋体" w:hAnsi="宋体" w:cs="宋体" w:eastAsia="宋体" w:hint="default"/>
          <w:spacing w:val="-5"/>
        </w:rPr>
        <w:t>2017-112</w:t>
      </w:r>
      <w:r>
        <w:rPr>
          <w:spacing w:val="-5"/>
        </w:rPr>
        <w:t>），拟通过向社会公开征集受让方方式出售公司持有的广东粤科融资租赁有限公司（以</w:t>
      </w:r>
      <w:r>
        <w:rPr>
          <w:spacing w:val="-63"/>
        </w:rPr>
        <w:t> </w:t>
      </w:r>
      <w:r>
        <w:rPr>
          <w:spacing w:val="-63"/>
        </w:rPr>
      </w:r>
      <w:r>
        <w:rPr/>
        <w:t>下简称“粤科租赁”）</w:t>
      </w:r>
      <w:r>
        <w:rPr>
          <w:rFonts w:ascii="宋体" w:hAnsi="宋体" w:cs="宋体" w:eastAsia="宋体" w:hint="default"/>
        </w:rPr>
        <w:t>20%</w:t>
      </w:r>
      <w:r>
        <w:rPr/>
        <w:t>股权。</w:t>
      </w:r>
    </w:p>
    <w:p>
      <w:pPr>
        <w:pStyle w:val="BodyText"/>
        <w:spacing w:line="477" w:lineRule="auto" w:before="54"/>
        <w:ind w:right="209" w:firstLine="420"/>
        <w:jc w:val="both"/>
      </w:pPr>
      <w:r>
        <w:rPr>
          <w:rFonts w:ascii="宋体" w:hAnsi="宋体" w:cs="宋体" w:eastAsia="宋体" w:hint="default"/>
          <w:spacing w:val="-1"/>
        </w:rPr>
        <w:t>2018</w:t>
      </w:r>
      <w:r>
        <w:rPr>
          <w:spacing w:val="-1"/>
        </w:rPr>
        <w:t>年</w:t>
      </w:r>
      <w:r>
        <w:rPr>
          <w:rFonts w:ascii="宋体" w:hAnsi="宋体" w:cs="宋体" w:eastAsia="宋体" w:hint="default"/>
          <w:spacing w:val="-1"/>
        </w:rPr>
        <w:t>1</w:t>
      </w:r>
      <w:r>
        <w:rPr>
          <w:spacing w:val="-1"/>
        </w:rPr>
        <w:t>月</w:t>
      </w:r>
      <w:r>
        <w:rPr>
          <w:rFonts w:ascii="宋体" w:hAnsi="宋体" w:cs="宋体" w:eastAsia="宋体" w:hint="default"/>
          <w:spacing w:val="-1"/>
        </w:rPr>
        <w:t>9</w:t>
      </w:r>
      <w:r>
        <w:rPr>
          <w:spacing w:val="-1"/>
        </w:rPr>
        <w:t>日公司披露了《关于转让广东粤科融资租赁有限公司</w:t>
      </w:r>
      <w:r>
        <w:rPr>
          <w:rFonts w:ascii="宋体" w:hAnsi="宋体" w:cs="宋体" w:eastAsia="宋体" w:hint="default"/>
          <w:spacing w:val="-1"/>
        </w:rPr>
        <w:t>20%</w:t>
      </w:r>
      <w:r>
        <w:rPr>
          <w:spacing w:val="-1"/>
        </w:rPr>
        <w:t>股权首轮公开征集受让方结果的公告》。截至本报</w:t>
      </w:r>
      <w:r>
        <w:rPr/>
        <w:t> 告日，公司正积极协调推进股权转让事宜。</w:t>
      </w:r>
    </w:p>
    <w:p>
      <w:pPr>
        <w:pStyle w:val="Heading3"/>
        <w:spacing w:line="330" w:lineRule="exact"/>
        <w:ind w:left="575" w:right="107"/>
        <w:jc w:val="left"/>
        <w:rPr>
          <w:b w:val="0"/>
          <w:bCs w:val="0"/>
        </w:rPr>
      </w:pPr>
      <w:r>
        <w:rPr>
          <w:rFonts w:ascii="Trebuchet MS" w:hAnsi="Trebuchet MS" w:cs="Trebuchet MS" w:eastAsia="Trebuchet MS" w:hint="default"/>
        </w:rPr>
        <w:t>4</w:t>
      </w:r>
      <w:r>
        <w:rPr/>
        <w:t>、公司控股股东筹划股权转让及重大资产重组事项</w:t>
      </w:r>
      <w:r>
        <w:rPr>
          <w:b w:val="0"/>
          <w:bCs w:val="0"/>
        </w:rPr>
      </w:r>
    </w:p>
    <w:p>
      <w:pPr>
        <w:spacing w:line="240" w:lineRule="auto" w:before="1"/>
        <w:rPr>
          <w:rFonts w:ascii="Microsoft JhengHei" w:hAnsi="Microsoft JhengHei" w:cs="Microsoft JhengHei" w:eastAsia="Microsoft JhengHei" w:hint="default"/>
          <w:b/>
          <w:bCs/>
          <w:sz w:val="11"/>
          <w:szCs w:val="11"/>
        </w:rPr>
      </w:pPr>
    </w:p>
    <w:p>
      <w:pPr>
        <w:pStyle w:val="BodyText"/>
        <w:spacing w:line="477" w:lineRule="auto"/>
        <w:ind w:right="213" w:firstLine="422"/>
        <w:jc w:val="both"/>
      </w:pPr>
      <w:r>
        <w:rPr/>
        <w:t>公司于</w:t>
      </w:r>
      <w:r>
        <w:rPr>
          <w:rFonts w:ascii="宋体" w:hAnsi="宋体" w:cs="宋体" w:eastAsia="宋体" w:hint="default"/>
        </w:rPr>
        <w:t>2017</w:t>
      </w:r>
      <w:r>
        <w:rPr/>
        <w:t>年</w:t>
      </w:r>
      <w:r>
        <w:rPr>
          <w:rFonts w:ascii="宋体" w:hAnsi="宋体" w:cs="宋体" w:eastAsia="宋体" w:hint="default"/>
        </w:rPr>
        <w:t>12</w:t>
      </w:r>
      <w:r>
        <w:rPr/>
        <w:t>月</w:t>
      </w:r>
      <w:r>
        <w:rPr>
          <w:rFonts w:ascii="宋体" w:hAnsi="宋体" w:cs="宋体" w:eastAsia="宋体" w:hint="default"/>
        </w:rPr>
        <w:t>25</w:t>
      </w:r>
      <w:r>
        <w:rPr/>
        <w:t>日披露了《关于公司控股股东筹划股权转让暨重大事项停牌公告》，因公司控股股东广东群兴投 </w:t>
      </w:r>
      <w:r>
        <w:rPr>
          <w:spacing w:val="-2"/>
        </w:rPr>
        <w:t>资有限公司（以下简称“群兴投资”）正在筹划公司股权转让事项，且该事项可能导致公司实际控制人发生变更，公司股票</w:t>
      </w:r>
      <w:r>
        <w:rPr>
          <w:spacing w:val="-68"/>
        </w:rPr>
        <w:t> </w:t>
      </w:r>
      <w:r>
        <w:rPr>
          <w:spacing w:val="-68"/>
        </w:rPr>
      </w:r>
      <w:r>
        <w:rPr/>
        <w:t>于</w:t>
      </w:r>
      <w:r>
        <w:rPr>
          <w:rFonts w:ascii="宋体" w:hAnsi="宋体" w:cs="宋体" w:eastAsia="宋体" w:hint="default"/>
        </w:rPr>
        <w:t>2017</w:t>
      </w:r>
      <w:r>
        <w:rPr/>
        <w:t>年</w:t>
      </w:r>
      <w:r>
        <w:rPr>
          <w:rFonts w:ascii="宋体" w:hAnsi="宋体" w:cs="宋体" w:eastAsia="宋体" w:hint="default"/>
        </w:rPr>
        <w:t>12</w:t>
      </w:r>
      <w:r>
        <w:rPr/>
        <w:t>月</w:t>
      </w:r>
      <w:r>
        <w:rPr>
          <w:rFonts w:ascii="宋体" w:hAnsi="宋体" w:cs="宋体" w:eastAsia="宋体" w:hint="default"/>
        </w:rPr>
        <w:t>25</w:t>
      </w:r>
      <w:r>
        <w:rPr/>
        <w:t>日开市起停牌。</w:t>
      </w:r>
    </w:p>
    <w:p>
      <w:pPr>
        <w:pStyle w:val="BodyText"/>
        <w:spacing w:line="477" w:lineRule="auto" w:before="54"/>
        <w:ind w:right="107" w:firstLine="422"/>
        <w:jc w:val="left"/>
      </w:pPr>
      <w:r>
        <w:rPr>
          <w:spacing w:val="-1"/>
        </w:rPr>
        <w:t>因拟受让方系国有控股企业，其受让上市公司股份需履行国有资产监督管理部门事前批准程序，公司于</w:t>
      </w:r>
      <w:r>
        <w:rPr>
          <w:rFonts w:ascii="宋体" w:hAnsi="宋体" w:cs="宋体" w:eastAsia="宋体" w:hint="default"/>
          <w:spacing w:val="-1"/>
        </w:rPr>
        <w:t>2018</w:t>
      </w:r>
      <w:r>
        <w:rPr>
          <w:spacing w:val="-1"/>
        </w:rPr>
        <w:t>年</w:t>
      </w:r>
      <w:r>
        <w:rPr>
          <w:rFonts w:ascii="宋体" w:hAnsi="宋体" w:cs="宋体" w:eastAsia="宋体" w:hint="default"/>
          <w:spacing w:val="-1"/>
        </w:rPr>
        <w:t>1</w:t>
      </w:r>
      <w:r>
        <w:rPr>
          <w:spacing w:val="-1"/>
        </w:rPr>
        <w:t>月</w:t>
      </w:r>
      <w:r>
        <w:rPr>
          <w:rFonts w:ascii="宋体" w:hAnsi="宋体" w:cs="宋体" w:eastAsia="宋体" w:hint="default"/>
          <w:spacing w:val="-1"/>
        </w:rPr>
        <w:t>8</w:t>
      </w:r>
      <w:r>
        <w:rPr>
          <w:spacing w:val="-1"/>
        </w:rPr>
        <w:t>日、</w:t>
      </w:r>
      <w:r>
        <w:rPr/>
        <w:t> </w:t>
      </w:r>
      <w:r>
        <w:rPr>
          <w:rFonts w:ascii="宋体" w:hAnsi="宋体" w:cs="宋体" w:eastAsia="宋体" w:hint="default"/>
          <w:spacing w:val="-2"/>
        </w:rPr>
        <w:t>2018</w:t>
      </w:r>
      <w:r>
        <w:rPr>
          <w:spacing w:val="-2"/>
        </w:rPr>
        <w:t>年</w:t>
      </w:r>
      <w:r>
        <w:rPr>
          <w:rFonts w:ascii="宋体" w:hAnsi="宋体" w:cs="宋体" w:eastAsia="宋体" w:hint="default"/>
          <w:spacing w:val="-2"/>
        </w:rPr>
        <w:t>2</w:t>
      </w:r>
      <w:r>
        <w:rPr>
          <w:spacing w:val="-2"/>
        </w:rPr>
        <w:t>月</w:t>
      </w:r>
      <w:r>
        <w:rPr>
          <w:rFonts w:ascii="宋体" w:hAnsi="宋体" w:cs="宋体" w:eastAsia="宋体" w:hint="default"/>
          <w:spacing w:val="-2"/>
        </w:rPr>
        <w:t>13</w:t>
      </w:r>
      <w:r>
        <w:rPr>
          <w:spacing w:val="-2"/>
        </w:rPr>
        <w:t>日、</w:t>
      </w:r>
      <w:r>
        <w:rPr>
          <w:rFonts w:ascii="宋体" w:hAnsi="宋体" w:cs="宋体" w:eastAsia="宋体" w:hint="default"/>
          <w:spacing w:val="-2"/>
        </w:rPr>
        <w:t>2018</w:t>
      </w:r>
      <w:r>
        <w:rPr>
          <w:spacing w:val="-2"/>
        </w:rPr>
        <w:t>年</w:t>
      </w:r>
      <w:r>
        <w:rPr>
          <w:rFonts w:ascii="宋体" w:hAnsi="宋体" w:cs="宋体" w:eastAsia="宋体" w:hint="default"/>
          <w:spacing w:val="-2"/>
        </w:rPr>
        <w:t>3</w:t>
      </w:r>
      <w:r>
        <w:rPr>
          <w:spacing w:val="-2"/>
        </w:rPr>
        <w:t>月</w:t>
      </w:r>
      <w:r>
        <w:rPr>
          <w:rFonts w:ascii="宋体" w:hAnsi="宋体" w:cs="宋体" w:eastAsia="宋体" w:hint="default"/>
          <w:spacing w:val="-2"/>
        </w:rPr>
        <w:t>20</w:t>
      </w:r>
      <w:r>
        <w:rPr>
          <w:spacing w:val="-2"/>
        </w:rPr>
        <w:t>日三次向深交所申请延期复牌。</w:t>
      </w:r>
      <w:r>
        <w:rPr>
          <w:rFonts w:ascii="宋体" w:hAnsi="宋体" w:cs="宋体" w:eastAsia="宋体" w:hint="default"/>
          <w:spacing w:val="-2"/>
        </w:rPr>
        <w:t>2018</w:t>
      </w:r>
      <w:r>
        <w:rPr>
          <w:spacing w:val="-2"/>
        </w:rPr>
        <w:t>年</w:t>
      </w:r>
      <w:r>
        <w:rPr>
          <w:rFonts w:ascii="宋体" w:hAnsi="宋体" w:cs="宋体" w:eastAsia="宋体" w:hint="default"/>
          <w:spacing w:val="-2"/>
        </w:rPr>
        <w:t>4</w:t>
      </w:r>
      <w:r>
        <w:rPr>
          <w:spacing w:val="-2"/>
        </w:rPr>
        <w:t>月</w:t>
      </w:r>
      <w:r>
        <w:rPr>
          <w:rFonts w:ascii="宋体" w:hAnsi="宋体" w:cs="宋体" w:eastAsia="宋体" w:hint="default"/>
          <w:spacing w:val="-2"/>
        </w:rPr>
        <w:t>3</w:t>
      </w:r>
      <w:r>
        <w:rPr>
          <w:spacing w:val="-2"/>
        </w:rPr>
        <w:t>日公司股票复牌，公司继续推进控股权转让并进行</w:t>
      </w:r>
      <w:r>
        <w:rPr>
          <w:spacing w:val="-52"/>
        </w:rPr>
        <w:t> </w:t>
      </w:r>
      <w:r>
        <w:rPr>
          <w:spacing w:val="-52"/>
        </w:rPr>
      </w:r>
      <w:r>
        <w:rPr/>
        <w:t>重大资产重组筹划。</w:t>
      </w:r>
    </w:p>
    <w:p>
      <w:pPr>
        <w:pStyle w:val="BodyText"/>
        <w:spacing w:line="477" w:lineRule="auto" w:before="54"/>
        <w:ind w:right="208" w:firstLine="360"/>
        <w:jc w:val="both"/>
      </w:pPr>
      <w:r>
        <w:rPr>
          <w:rFonts w:ascii="宋体" w:hAnsi="宋体" w:cs="宋体" w:eastAsia="宋体" w:hint="default"/>
        </w:rPr>
        <w:t>2018</w:t>
      </w:r>
      <w:r>
        <w:rPr/>
        <w:t>年</w:t>
      </w:r>
      <w:r>
        <w:rPr>
          <w:rFonts w:ascii="宋体" w:hAnsi="宋体" w:cs="宋体" w:eastAsia="宋体" w:hint="default"/>
        </w:rPr>
        <w:t>4</w:t>
      </w:r>
      <w:r>
        <w:rPr/>
        <w:t>月</w:t>
      </w:r>
      <w:r>
        <w:rPr>
          <w:rFonts w:ascii="宋体" w:hAnsi="宋体" w:cs="宋体" w:eastAsia="宋体" w:hint="default"/>
        </w:rPr>
        <w:t>10</w:t>
      </w:r>
      <w:r>
        <w:rPr/>
        <w:t>日，公司收到控股权拟受让方发来的《关于停止收购控股权及进行资产重组的函》，函中表示受让控股权 </w:t>
      </w:r>
      <w:r>
        <w:rPr>
          <w:spacing w:val="-2"/>
        </w:rPr>
        <w:t>和借壳上市重组方案未能获得批准，决定停止收购公司控股权及与公司资产重组事宜。鉴于上述情况，公司控股股东及公司</w:t>
      </w:r>
      <w:r>
        <w:rPr>
          <w:spacing w:val="-61"/>
        </w:rPr>
        <w:t> </w:t>
      </w:r>
      <w:r>
        <w:rPr>
          <w:spacing w:val="-61"/>
        </w:rPr>
      </w:r>
      <w:r>
        <w:rPr/>
        <w:t>决定终止筹划本次股权转让及重大资产重组事项。</w:t>
      </w:r>
      <w:r>
        <w:rPr>
          <w:rFonts w:ascii="宋体" w:hAnsi="宋体" w:cs="宋体" w:eastAsia="宋体" w:hint="default"/>
        </w:rPr>
        <w:t>2018</w:t>
      </w:r>
      <w:r>
        <w:rPr/>
        <w:t>年</w:t>
      </w:r>
      <w:r>
        <w:rPr>
          <w:rFonts w:ascii="宋体" w:hAnsi="宋体" w:cs="宋体" w:eastAsia="宋体" w:hint="default"/>
        </w:rPr>
        <w:t>4</w:t>
      </w:r>
      <w:r>
        <w:rPr/>
        <w:t>月</w:t>
      </w:r>
      <w:r>
        <w:rPr>
          <w:rFonts w:ascii="宋体" w:hAnsi="宋体" w:cs="宋体" w:eastAsia="宋体" w:hint="default"/>
        </w:rPr>
        <w:t>11</w:t>
      </w:r>
      <w:r>
        <w:rPr/>
        <w:t>日，公司就本次终止筹划控股权转让暨重大资产重组事宜召</w:t>
      </w:r>
      <w:r>
        <w:rPr>
          <w:spacing w:val="-85"/>
        </w:rPr>
        <w:t> </w:t>
      </w:r>
      <w:r>
        <w:rPr>
          <w:spacing w:val="-85"/>
        </w:rPr>
      </w:r>
      <w:r>
        <w:rPr/>
        <w:t>开了网上投资者说明会，就投资者普遍关心的问题进行回复。</w:t>
      </w:r>
    </w:p>
    <w:p>
      <w:pPr>
        <w:pStyle w:val="Heading2"/>
        <w:spacing w:line="240" w:lineRule="auto" w:before="152"/>
        <w:ind w:right="107"/>
        <w:jc w:val="left"/>
        <w:rPr>
          <w:b w:val="0"/>
          <w:bCs w:val="0"/>
        </w:rPr>
      </w:pPr>
      <w:r>
        <w:rPr/>
        <w:t>二十、公司子公司重大事项</w:t>
      </w:r>
      <w:r>
        <w:rPr>
          <w:b w:val="0"/>
          <w:bCs w:val="0"/>
        </w:rPr>
      </w:r>
    </w:p>
    <w:p>
      <w:pPr>
        <w:spacing w:line="240" w:lineRule="auto" w:before="4"/>
        <w:rPr>
          <w:rFonts w:ascii="Microsoft JhengHei" w:hAnsi="Microsoft JhengHei" w:cs="Microsoft JhengHei" w:eastAsia="Microsoft JhengHei" w:hint="default"/>
          <w:b/>
          <w:bCs/>
          <w:sz w:val="18"/>
          <w:szCs w:val="18"/>
        </w:rPr>
      </w:pPr>
    </w:p>
    <w:p>
      <w:pPr>
        <w:pStyle w:val="BodyText"/>
        <w:spacing w:line="240" w:lineRule="auto"/>
        <w:ind w:right="10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79" w:top="1060" w:bottom="1160" w:left="980" w:right="9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456" w:lineRule="exact"/>
        <w:ind w:left="2964" w:right="0"/>
        <w:jc w:val="left"/>
        <w:rPr>
          <w:b w:val="0"/>
          <w:bCs w:val="0"/>
        </w:rPr>
      </w:pPr>
      <w:bookmarkStart w:name="_bookmark5" w:id="6"/>
      <w:bookmarkEnd w:id="6"/>
      <w:r>
        <w:rPr>
          <w:b w:val="0"/>
          <w:bCs w:val="0"/>
        </w:rPr>
      </w:r>
      <w:r>
        <w:rPr/>
        <w:t>第六节 </w:t>
      </w:r>
      <w:r>
        <w:rPr>
          <w:spacing w:val="11"/>
        </w:rPr>
        <w:t> </w:t>
      </w:r>
      <w:r>
        <w:rPr/>
        <w:t>股份变动及股东情况</w:t>
      </w:r>
      <w:r>
        <w:rPr>
          <w:b w:val="0"/>
          <w:bCs w:val="0"/>
        </w:rPr>
      </w:r>
    </w:p>
    <w:p>
      <w:pPr>
        <w:spacing w:line="240" w:lineRule="auto" w:before="15"/>
        <w:rPr>
          <w:rFonts w:ascii="Microsoft JhengHei" w:hAnsi="Microsoft JhengHei" w:cs="Microsoft JhengHei" w:eastAsia="Microsoft JhengHei" w:hint="default"/>
          <w:b/>
          <w:bCs/>
          <w:sz w:val="25"/>
          <w:szCs w:val="25"/>
        </w:rPr>
      </w:pPr>
    </w:p>
    <w:p>
      <w:pPr>
        <w:pStyle w:val="Heading2"/>
        <w:spacing w:line="367" w:lineRule="exact"/>
        <w:ind w:right="0"/>
        <w:jc w:val="left"/>
        <w:rPr>
          <w:b w:val="0"/>
          <w:bCs w:val="0"/>
        </w:rPr>
      </w:pPr>
      <w:r>
        <w:rPr/>
        <w:t>一、股份变动情况</w:t>
      </w:r>
      <w:r>
        <w:rPr>
          <w:b w:val="0"/>
          <w:bCs w:val="0"/>
        </w:rPr>
      </w:r>
    </w:p>
    <w:p>
      <w:pPr>
        <w:spacing w:line="240" w:lineRule="auto" w:before="3"/>
        <w:rPr>
          <w:rFonts w:ascii="Microsoft JhengHei" w:hAnsi="Microsoft JhengHei" w:cs="Microsoft JhengHei" w:eastAsia="Microsoft JhengHei" w:hint="default"/>
          <w:b/>
          <w:bCs/>
          <w:sz w:val="13"/>
          <w:szCs w:val="13"/>
        </w:rPr>
      </w:pPr>
    </w:p>
    <w:p>
      <w:pPr>
        <w:pStyle w:val="Heading3"/>
        <w:spacing w:line="240" w:lineRule="auto"/>
        <w:ind w:right="0"/>
        <w:jc w:val="left"/>
        <w:rPr>
          <w:b w:val="0"/>
          <w:bCs w:val="0"/>
        </w:rPr>
      </w:pPr>
      <w:r>
        <w:rPr>
          <w:rFonts w:ascii="Times New Roman" w:hAnsi="Times New Roman" w:cs="Times New Roman" w:eastAsia="Times New Roman" w:hint="default"/>
        </w:rPr>
        <w:t>1</w:t>
      </w:r>
      <w:r>
        <w:rPr/>
        <w:t>、股份变动情况</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单位：股</w:t>
      </w:r>
    </w:p>
    <w:p>
      <w:pPr>
        <w:spacing w:line="240" w:lineRule="auto" w:before="2"/>
        <w:rPr>
          <w:rFonts w:ascii="宋体" w:hAnsi="宋体" w:cs="宋体" w:eastAsia="宋体" w:hint="default"/>
          <w:sz w:val="8"/>
          <w:szCs w:val="8"/>
        </w:rPr>
      </w:pPr>
    </w:p>
    <w:tbl>
      <w:tblPr>
        <w:tblW w:w="0" w:type="auto"/>
        <w:jc w:val="left"/>
        <w:tblInd w:w="119" w:type="dxa"/>
        <w:tblLayout w:type="fixed"/>
        <w:tblCellMar>
          <w:top w:w="0" w:type="dxa"/>
          <w:left w:w="0" w:type="dxa"/>
          <w:bottom w:w="0" w:type="dxa"/>
          <w:right w:w="0" w:type="dxa"/>
        </w:tblCellMar>
        <w:tblLook w:val="01E0"/>
      </w:tblPr>
      <w:tblGrid>
        <w:gridCol w:w="2220"/>
        <w:gridCol w:w="958"/>
        <w:gridCol w:w="799"/>
        <w:gridCol w:w="799"/>
        <w:gridCol w:w="797"/>
        <w:gridCol w:w="797"/>
        <w:gridCol w:w="799"/>
        <w:gridCol w:w="802"/>
        <w:gridCol w:w="955"/>
        <w:gridCol w:w="770"/>
      </w:tblGrid>
      <w:tr>
        <w:trPr>
          <w:trHeight w:val="404" w:hRule="exact"/>
        </w:trPr>
        <w:tc>
          <w:tcPr>
            <w:tcW w:w="2220" w:type="dxa"/>
            <w:vMerge w:val="restart"/>
            <w:tcBorders>
              <w:top w:val="single" w:sz="4" w:space="0" w:color="000000"/>
              <w:left w:val="single" w:sz="4" w:space="0" w:color="000000"/>
              <w:right w:val="single" w:sz="4" w:space="0" w:color="000000"/>
            </w:tcBorders>
            <w:shd w:val="clear" w:color="auto" w:fill="D2D2D2"/>
          </w:tcPr>
          <w:p>
            <w:pPr/>
          </w:p>
        </w:tc>
        <w:tc>
          <w:tcPr>
            <w:tcW w:w="17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23"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399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03"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7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07"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713" w:hRule="exact"/>
        </w:trPr>
        <w:tc>
          <w:tcPr>
            <w:tcW w:w="2220" w:type="dxa"/>
            <w:vMerge/>
            <w:tcBorders>
              <w:left w:val="single" w:sz="4" w:space="0" w:color="000000"/>
              <w:bottom w:val="single" w:sz="4" w:space="0" w:color="000000"/>
              <w:right w:val="single" w:sz="4" w:space="0" w:color="000000"/>
            </w:tcBorders>
            <w:shd w:val="clear" w:color="auto" w:fill="D2D2D2"/>
          </w:tcPr>
          <w:p>
            <w:pP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数量</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31"/>
              <w:jc w:val="right"/>
              <w:rPr>
                <w:rFonts w:ascii="宋体" w:hAnsi="宋体" w:cs="宋体" w:eastAsia="宋体" w:hint="default"/>
                <w:sz w:val="18"/>
                <w:szCs w:val="18"/>
              </w:rPr>
            </w:pPr>
            <w:r>
              <w:rPr>
                <w:rFonts w:ascii="宋体" w:hAnsi="宋体" w:cs="宋体" w:eastAsia="宋体" w:hint="default"/>
                <w:sz w:val="18"/>
                <w:szCs w:val="18"/>
              </w:rPr>
              <w:t>发行新股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4"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04" w:right="31" w:hanging="272"/>
              <w:jc w:val="left"/>
              <w:rPr>
                <w:rFonts w:ascii="宋体" w:hAnsi="宋体" w:cs="宋体" w:eastAsia="宋体" w:hint="default"/>
                <w:sz w:val="18"/>
                <w:szCs w:val="18"/>
              </w:rPr>
            </w:pPr>
            <w:r>
              <w:rPr>
                <w:rFonts w:ascii="宋体" w:hAnsi="宋体" w:cs="宋体" w:eastAsia="宋体" w:hint="default"/>
                <w:sz w:val="18"/>
                <w:szCs w:val="18"/>
              </w:rPr>
              <w:t>公积金转 股</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6"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数量</w:t>
            </w:r>
          </w:p>
        </w:tc>
        <w:tc>
          <w:tcPr>
            <w:tcW w:w="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403" w:hRule="exact"/>
        </w:trPr>
        <w:tc>
          <w:tcPr>
            <w:tcW w:w="2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一、无限售条件股份</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588,720,000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1" w:right="0"/>
              <w:jc w:val="center"/>
              <w:rPr>
                <w:rFonts w:ascii="Times New Roman" w:hAnsi="Times New Roman" w:cs="Times New Roman" w:eastAsia="Times New Roman" w:hint="default"/>
                <w:sz w:val="18"/>
                <w:szCs w:val="18"/>
              </w:rPr>
            </w:pPr>
            <w:r>
              <w:rPr>
                <w:rFonts w:ascii="Times New Roman"/>
                <w:sz w:val="18"/>
              </w:rPr>
              <w:t>100.00%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588,720,000</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100.00%</w:t>
            </w:r>
          </w:p>
        </w:tc>
      </w:tr>
      <w:tr>
        <w:trPr>
          <w:trHeight w:val="401" w:hRule="exact"/>
        </w:trPr>
        <w:tc>
          <w:tcPr>
            <w:tcW w:w="2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588,720,000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1" w:right="0"/>
              <w:jc w:val="center"/>
              <w:rPr>
                <w:rFonts w:ascii="Times New Roman" w:hAnsi="Times New Roman" w:cs="Times New Roman" w:eastAsia="Times New Roman" w:hint="default"/>
                <w:sz w:val="18"/>
                <w:szCs w:val="18"/>
              </w:rPr>
            </w:pPr>
            <w:r>
              <w:rPr>
                <w:rFonts w:ascii="Times New Roman"/>
                <w:sz w:val="18"/>
              </w:rPr>
              <w:t>100.00%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588,720,000</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100.00%</w:t>
            </w:r>
          </w:p>
        </w:tc>
      </w:tr>
      <w:tr>
        <w:trPr>
          <w:trHeight w:val="403" w:hRule="exact"/>
        </w:trPr>
        <w:tc>
          <w:tcPr>
            <w:tcW w:w="2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二、股份总数</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588,720,000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1" w:right="0"/>
              <w:jc w:val="center"/>
              <w:rPr>
                <w:rFonts w:ascii="Times New Roman" w:hAnsi="Times New Roman" w:cs="Times New Roman" w:eastAsia="Times New Roman" w:hint="default"/>
                <w:sz w:val="18"/>
                <w:szCs w:val="18"/>
              </w:rPr>
            </w:pPr>
            <w:r>
              <w:rPr>
                <w:rFonts w:ascii="Times New Roman"/>
                <w:sz w:val="18"/>
              </w:rPr>
              <w:t>100.00%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588,720,000</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100.00%</w:t>
            </w:r>
          </w:p>
        </w:tc>
      </w:tr>
    </w:tbl>
    <w:p>
      <w:pPr>
        <w:pStyle w:val="BodyText"/>
        <w:spacing w:line="240" w:lineRule="auto" w:before="49"/>
        <w:ind w:right="0"/>
        <w:jc w:val="left"/>
      </w:pPr>
      <w:r>
        <w:rPr/>
        <w:t>股份变动的原因</w:t>
      </w:r>
    </w:p>
    <w:p>
      <w:pPr>
        <w:pStyle w:val="BodyText"/>
        <w:spacing w:line="340" w:lineRule="auto" w:before="115"/>
        <w:ind w:right="81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股份变动的批准情况</w:t>
      </w:r>
    </w:p>
    <w:p>
      <w:pPr>
        <w:pStyle w:val="BodyText"/>
        <w:spacing w:line="338" w:lineRule="auto" w:before="42"/>
        <w:ind w:right="81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股份变动的过户情况</w:t>
      </w:r>
    </w:p>
    <w:p>
      <w:pPr>
        <w:pStyle w:val="BodyText"/>
        <w:spacing w:line="340" w:lineRule="auto" w:before="43"/>
        <w:ind w:right="4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股份变动对最近一年和最近一期基本每股收益和稀释每股收益、归属于公司普通股股东的每股净资产等财务指标的影响</w:t>
      </w:r>
    </w:p>
    <w:p>
      <w:pPr>
        <w:pStyle w:val="BodyText"/>
        <w:spacing w:line="340" w:lineRule="auto" w:before="39"/>
        <w:ind w:right="58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公司认为必要或证券监管机构要求披露的其他内容</w:t>
      </w:r>
    </w:p>
    <w:p>
      <w:pPr>
        <w:pStyle w:val="BodyText"/>
        <w:spacing w:line="240" w:lineRule="auto" w:before="41"/>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1"/>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2</w:t>
      </w:r>
      <w:r>
        <w:rPr/>
        <w:t>、限售股份变动情况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5"/>
        <w:rPr>
          <w:rFonts w:ascii="宋体" w:hAnsi="宋体" w:cs="宋体" w:eastAsia="宋体" w:hint="default"/>
          <w:sz w:val="18"/>
          <w:szCs w:val="18"/>
        </w:rPr>
      </w:pPr>
    </w:p>
    <w:p>
      <w:pPr>
        <w:pStyle w:val="Heading2"/>
        <w:spacing w:line="240" w:lineRule="auto"/>
        <w:ind w:right="0"/>
        <w:jc w:val="left"/>
        <w:rPr>
          <w:b w:val="0"/>
          <w:bCs w:val="0"/>
        </w:rPr>
      </w:pPr>
      <w:r>
        <w:rPr/>
        <w:t>二、证券发行与上市情况</w:t>
      </w:r>
      <w:r>
        <w:rPr>
          <w:b w:val="0"/>
          <w:bCs w:val="0"/>
        </w:rPr>
      </w:r>
    </w:p>
    <w:p>
      <w:pPr>
        <w:spacing w:line="240" w:lineRule="auto" w:before="5"/>
        <w:rPr>
          <w:rFonts w:ascii="Microsoft JhengHei" w:hAnsi="Microsoft JhengHei" w:cs="Microsoft JhengHei" w:eastAsia="Microsoft JhengHei" w:hint="default"/>
          <w:b/>
          <w:bCs/>
          <w:sz w:val="13"/>
          <w:szCs w:val="13"/>
        </w:rPr>
      </w:pPr>
    </w:p>
    <w:p>
      <w:pPr>
        <w:pStyle w:val="Heading3"/>
        <w:spacing w:line="240" w:lineRule="auto"/>
        <w:ind w:right="0"/>
        <w:jc w:val="left"/>
        <w:rPr>
          <w:b w:val="0"/>
          <w:bCs w:val="0"/>
        </w:rPr>
      </w:pPr>
      <w:r>
        <w:rPr>
          <w:rFonts w:ascii="Times New Roman" w:hAnsi="Times New Roman" w:cs="Times New Roman" w:eastAsia="Times New Roman" w:hint="default"/>
        </w:rPr>
        <w:t>1</w:t>
      </w:r>
      <w:r>
        <w:rPr/>
        <w:t>、报告期内证券发行（不含优先股）情况</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79" w:top="1060" w:bottom="1160" w:left="980" w:right="980"/>
        </w:sectPr>
      </w:pPr>
    </w:p>
    <w:p>
      <w:pPr>
        <w:spacing w:line="240" w:lineRule="auto" w:before="10"/>
        <w:rPr>
          <w:rFonts w:ascii="宋体" w:hAnsi="宋体" w:cs="宋体" w:eastAsia="宋体" w:hint="default"/>
          <w:sz w:val="24"/>
          <w:szCs w:val="24"/>
        </w:rPr>
      </w:pPr>
    </w:p>
    <w:p>
      <w:pPr>
        <w:pStyle w:val="Heading3"/>
        <w:spacing w:line="335" w:lineRule="exact"/>
        <w:ind w:right="0"/>
        <w:jc w:val="left"/>
        <w:rPr>
          <w:b w:val="0"/>
          <w:bCs w:val="0"/>
        </w:rPr>
      </w:pPr>
      <w:r>
        <w:rPr>
          <w:rFonts w:ascii="Times New Roman" w:hAnsi="Times New Roman" w:cs="Times New Roman" w:eastAsia="Times New Roman" w:hint="default"/>
        </w:rPr>
        <w:t>3</w:t>
      </w:r>
      <w:r>
        <w:rPr/>
        <w:t>、现存的内部职工股情况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18"/>
          <w:szCs w:val="18"/>
        </w:rPr>
      </w:pPr>
    </w:p>
    <w:p>
      <w:pPr>
        <w:pStyle w:val="Heading2"/>
        <w:spacing w:line="240" w:lineRule="auto"/>
        <w:ind w:right="0"/>
        <w:jc w:val="left"/>
        <w:rPr>
          <w:b w:val="0"/>
          <w:bCs w:val="0"/>
        </w:rPr>
      </w:pPr>
      <w:r>
        <w:rPr/>
        <w:t>三、股东和实际控制人情况</w:t>
      </w:r>
      <w:r>
        <w:rPr>
          <w:b w:val="0"/>
          <w:bCs w:val="0"/>
        </w:rPr>
      </w:r>
    </w:p>
    <w:p>
      <w:pPr>
        <w:spacing w:line="240" w:lineRule="auto" w:before="5"/>
        <w:rPr>
          <w:rFonts w:ascii="Microsoft JhengHei" w:hAnsi="Microsoft JhengHei" w:cs="Microsoft JhengHei" w:eastAsia="Microsoft JhengHei" w:hint="default"/>
          <w:b/>
          <w:bCs/>
          <w:sz w:val="13"/>
          <w:szCs w:val="13"/>
        </w:rPr>
      </w:pPr>
    </w:p>
    <w:p>
      <w:pPr>
        <w:pStyle w:val="Heading3"/>
        <w:spacing w:line="240" w:lineRule="auto"/>
        <w:ind w:right="0"/>
        <w:jc w:val="left"/>
        <w:rPr>
          <w:b w:val="0"/>
          <w:bCs w:val="0"/>
        </w:rPr>
      </w:pPr>
      <w:r>
        <w:rPr>
          <w:rFonts w:ascii="Times New Roman" w:hAnsi="Times New Roman" w:cs="Times New Roman" w:eastAsia="Times New Roman" w:hint="default"/>
        </w:rPr>
        <w:t>1</w:t>
      </w:r>
      <w:r>
        <w:rPr/>
        <w:t>、公司股东数量及持股情况</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单位：股</w:t>
      </w:r>
    </w:p>
    <w:p>
      <w:pPr>
        <w:spacing w:line="240" w:lineRule="auto" w:before="2"/>
        <w:rPr>
          <w:rFonts w:ascii="宋体" w:hAnsi="宋体" w:cs="宋体" w:eastAsia="宋体" w:hint="default"/>
          <w:sz w:val="8"/>
          <w:szCs w:val="8"/>
        </w:rPr>
      </w:pPr>
    </w:p>
    <w:tbl>
      <w:tblPr>
        <w:tblW w:w="0" w:type="auto"/>
        <w:jc w:val="left"/>
        <w:tblInd w:w="119" w:type="dxa"/>
        <w:tblLayout w:type="fixed"/>
        <w:tblCellMar>
          <w:top w:w="0" w:type="dxa"/>
          <w:left w:w="0" w:type="dxa"/>
          <w:bottom w:w="0" w:type="dxa"/>
          <w:right w:w="0" w:type="dxa"/>
        </w:tblCellMar>
        <w:tblLook w:val="01E0"/>
      </w:tblPr>
      <w:tblGrid>
        <w:gridCol w:w="1186"/>
        <w:gridCol w:w="254"/>
        <w:gridCol w:w="907"/>
        <w:gridCol w:w="473"/>
        <w:gridCol w:w="721"/>
        <w:gridCol w:w="988"/>
        <w:gridCol w:w="347"/>
        <w:gridCol w:w="491"/>
        <w:gridCol w:w="726"/>
        <w:gridCol w:w="971"/>
        <w:gridCol w:w="284"/>
        <w:gridCol w:w="1034"/>
        <w:gridCol w:w="127"/>
        <w:gridCol w:w="1188"/>
      </w:tblGrid>
      <w:tr>
        <w:trPr>
          <w:trHeight w:val="1969" w:hRule="exact"/>
        </w:trPr>
        <w:tc>
          <w:tcPr>
            <w:tcW w:w="1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24" w:right="70"/>
              <w:jc w:val="left"/>
              <w:rPr>
                <w:rFonts w:ascii="宋体" w:hAnsi="宋体" w:cs="宋体" w:eastAsia="宋体" w:hint="default"/>
                <w:sz w:val="18"/>
                <w:szCs w:val="18"/>
              </w:rPr>
            </w:pPr>
            <w:r>
              <w:rPr>
                <w:rFonts w:ascii="宋体" w:hAnsi="宋体" w:cs="宋体" w:eastAsia="宋体" w:hint="default"/>
                <w:sz w:val="18"/>
                <w:szCs w:val="18"/>
              </w:rPr>
              <w:t>报告期末普通 股股东总数</w:t>
            </w:r>
          </w:p>
        </w:tc>
        <w:tc>
          <w:tcPr>
            <w:tcW w:w="116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635" w:right="0"/>
              <w:jc w:val="left"/>
              <w:rPr>
                <w:rFonts w:ascii="Times New Roman" w:hAnsi="Times New Roman" w:cs="Times New Roman" w:eastAsia="Times New Roman" w:hint="default"/>
                <w:sz w:val="18"/>
                <w:szCs w:val="18"/>
              </w:rPr>
            </w:pPr>
            <w:r>
              <w:rPr>
                <w:rFonts w:ascii="Times New Roman"/>
                <w:sz w:val="18"/>
              </w:rPr>
              <w:t>22,351</w:t>
            </w:r>
          </w:p>
        </w:tc>
        <w:tc>
          <w:tcPr>
            <w:tcW w:w="119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3" w:right="80"/>
              <w:jc w:val="both"/>
              <w:rPr>
                <w:rFonts w:ascii="宋体" w:hAnsi="宋体" w:cs="宋体" w:eastAsia="宋体" w:hint="default"/>
                <w:sz w:val="18"/>
                <w:szCs w:val="18"/>
              </w:rPr>
            </w:pPr>
            <w:r>
              <w:rPr>
                <w:rFonts w:ascii="宋体" w:hAnsi="宋体" w:cs="宋体" w:eastAsia="宋体" w:hint="default"/>
                <w:sz w:val="18"/>
                <w:szCs w:val="18"/>
              </w:rPr>
              <w:t>年度报告披露 日前上一月末 普通股股东总 数</w:t>
            </w:r>
          </w:p>
        </w:tc>
        <w:tc>
          <w:tcPr>
            <w:tcW w:w="13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807" w:right="0"/>
              <w:jc w:val="left"/>
              <w:rPr>
                <w:rFonts w:ascii="Times New Roman" w:hAnsi="Times New Roman" w:cs="Times New Roman" w:eastAsia="Times New Roman" w:hint="default"/>
                <w:sz w:val="18"/>
                <w:szCs w:val="18"/>
              </w:rPr>
            </w:pPr>
            <w:r>
              <w:rPr>
                <w:rFonts w:ascii="Times New Roman"/>
                <w:sz w:val="18"/>
              </w:rPr>
              <w:t>22,351</w:t>
            </w:r>
          </w:p>
        </w:tc>
        <w:tc>
          <w:tcPr>
            <w:tcW w:w="121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22" w:right="102"/>
              <w:jc w:val="both"/>
              <w:rPr>
                <w:rFonts w:ascii="宋体" w:hAnsi="宋体" w:cs="宋体" w:eastAsia="宋体" w:hint="default"/>
                <w:sz w:val="18"/>
                <w:szCs w:val="18"/>
              </w:rPr>
            </w:pPr>
            <w:r>
              <w:rPr>
                <w:rFonts w:ascii="宋体" w:hAnsi="宋体" w:cs="宋体" w:eastAsia="宋体" w:hint="default"/>
                <w:sz w:val="18"/>
                <w:szCs w:val="18"/>
              </w:rPr>
              <w:t>报告期末表决 权恢复的优先 股股东总数</w:t>
            </w:r>
          </w:p>
          <w:p>
            <w:pPr>
              <w:pStyle w:val="TableParagraph"/>
              <w:spacing w:line="316" w:lineRule="auto" w:before="17"/>
              <w:ind w:left="22" w:right="102"/>
              <w:jc w:val="both"/>
              <w:rPr>
                <w:rFonts w:ascii="宋体" w:hAnsi="宋体" w:cs="宋体" w:eastAsia="宋体" w:hint="default"/>
                <w:sz w:val="18"/>
                <w:szCs w:val="18"/>
              </w:rPr>
            </w:pPr>
            <w:r>
              <w:rPr>
                <w:rFonts w:ascii="宋体" w:hAnsi="宋体" w:cs="宋体" w:eastAsia="宋体" w:hint="default"/>
                <w:sz w:val="18"/>
                <w:szCs w:val="18"/>
              </w:rPr>
              <w:t>（如有）（参 见注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125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116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3" w:right="17"/>
              <w:jc w:val="both"/>
              <w:rPr>
                <w:rFonts w:ascii="宋体" w:hAnsi="宋体" w:cs="宋体" w:eastAsia="宋体" w:hint="default"/>
                <w:sz w:val="18"/>
                <w:szCs w:val="18"/>
              </w:rPr>
            </w:pPr>
            <w:r>
              <w:rPr>
                <w:rFonts w:ascii="宋体" w:hAnsi="宋体" w:cs="宋体" w:eastAsia="宋体" w:hint="default"/>
                <w:sz w:val="18"/>
                <w:szCs w:val="18"/>
              </w:rPr>
              <w:t>年度报告披露 日前上一月末 表决权恢复的 优先股股东总 </w:t>
            </w:r>
            <w:r>
              <w:rPr>
                <w:rFonts w:ascii="宋体" w:hAnsi="宋体" w:cs="宋体" w:eastAsia="宋体" w:hint="default"/>
                <w:spacing w:val="-22"/>
                <w:sz w:val="18"/>
                <w:szCs w:val="18"/>
              </w:rPr>
              <w:t>数（如有）（参</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见注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396" w:hRule="exact"/>
        </w:trPr>
        <w:tc>
          <w:tcPr>
            <w:tcW w:w="9698" w:type="dxa"/>
            <w:gridSpan w:val="1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3125"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403" w:hRule="exact"/>
        </w:trPr>
        <w:tc>
          <w:tcPr>
            <w:tcW w:w="144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355"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8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326"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72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83" w:right="66" w:hanging="180"/>
              <w:jc w:val="left"/>
              <w:rPr>
                <w:rFonts w:ascii="宋体" w:hAnsi="宋体" w:cs="宋体" w:eastAsia="宋体" w:hint="default"/>
                <w:sz w:val="18"/>
                <w:szCs w:val="18"/>
              </w:rPr>
            </w:pPr>
            <w:r>
              <w:rPr>
                <w:rFonts w:ascii="宋体" w:hAnsi="宋体" w:cs="宋体" w:eastAsia="宋体" w:hint="default"/>
                <w:sz w:val="18"/>
                <w:szCs w:val="18"/>
              </w:rPr>
              <w:t>持股比 例</w:t>
            </w:r>
          </w:p>
        </w:tc>
        <w:tc>
          <w:tcPr>
            <w:tcW w:w="9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6" w:right="19" w:hanging="180"/>
              <w:jc w:val="left"/>
              <w:rPr>
                <w:rFonts w:ascii="宋体" w:hAnsi="宋体" w:cs="宋体" w:eastAsia="宋体" w:hint="default"/>
                <w:sz w:val="18"/>
                <w:szCs w:val="18"/>
              </w:rPr>
            </w:pPr>
            <w:r>
              <w:rPr>
                <w:rFonts w:ascii="宋体" w:hAnsi="宋体" w:cs="宋体" w:eastAsia="宋体" w:hint="default"/>
                <w:sz w:val="18"/>
                <w:szCs w:val="18"/>
              </w:rPr>
              <w:t>报告期末持 股数量</w:t>
            </w:r>
          </w:p>
        </w:tc>
        <w:tc>
          <w:tcPr>
            <w:tcW w:w="83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55" w:right="51"/>
              <w:jc w:val="center"/>
              <w:rPr>
                <w:rFonts w:ascii="宋体" w:hAnsi="宋体" w:cs="宋体" w:eastAsia="宋体" w:hint="default"/>
                <w:sz w:val="18"/>
                <w:szCs w:val="18"/>
              </w:rPr>
            </w:pPr>
            <w:r>
              <w:rPr>
                <w:rFonts w:ascii="宋体" w:hAnsi="宋体" w:cs="宋体" w:eastAsia="宋体" w:hint="default"/>
                <w:sz w:val="18"/>
                <w:szCs w:val="18"/>
              </w:rPr>
              <w:t>报告期内 增减变动 情况</w:t>
            </w:r>
          </w:p>
        </w:tc>
        <w:tc>
          <w:tcPr>
            <w:tcW w:w="72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95" w:right="78"/>
              <w:jc w:val="both"/>
              <w:rPr>
                <w:rFonts w:ascii="宋体" w:hAnsi="宋体" w:cs="宋体" w:eastAsia="宋体" w:hint="default"/>
                <w:sz w:val="18"/>
                <w:szCs w:val="18"/>
              </w:rPr>
            </w:pPr>
            <w:r>
              <w:rPr>
                <w:rFonts w:ascii="宋体" w:hAnsi="宋体" w:cs="宋体" w:eastAsia="宋体" w:hint="default"/>
                <w:sz w:val="18"/>
                <w:szCs w:val="18"/>
              </w:rPr>
              <w:t>持有有 限售条 件的股 份数量</w:t>
            </w:r>
          </w:p>
        </w:tc>
        <w:tc>
          <w:tcPr>
            <w:tcW w:w="97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9" w:right="19"/>
              <w:jc w:val="center"/>
              <w:rPr>
                <w:rFonts w:ascii="宋体" w:hAnsi="宋体" w:cs="宋体" w:eastAsia="宋体" w:hint="default"/>
                <w:sz w:val="18"/>
                <w:szCs w:val="18"/>
              </w:rPr>
            </w:pPr>
            <w:r>
              <w:rPr>
                <w:rFonts w:ascii="宋体" w:hAnsi="宋体" w:cs="宋体" w:eastAsia="宋体" w:hint="default"/>
                <w:sz w:val="18"/>
                <w:szCs w:val="18"/>
              </w:rPr>
              <w:t>持有无限售 条件的股份 数量</w:t>
            </w:r>
          </w:p>
        </w:tc>
        <w:tc>
          <w:tcPr>
            <w:tcW w:w="263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82"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936" w:hRule="exact"/>
        </w:trPr>
        <w:tc>
          <w:tcPr>
            <w:tcW w:w="1440" w:type="dxa"/>
            <w:gridSpan w:val="2"/>
            <w:vMerge/>
            <w:tcBorders>
              <w:left w:val="single" w:sz="4" w:space="0" w:color="000000"/>
              <w:bottom w:val="single" w:sz="4" w:space="0" w:color="000000"/>
              <w:right w:val="single" w:sz="4" w:space="0" w:color="000000"/>
            </w:tcBorders>
            <w:shd w:val="clear" w:color="auto" w:fill="D2D2D2"/>
          </w:tcPr>
          <w:p>
            <w:pPr/>
          </w:p>
        </w:tc>
        <w:tc>
          <w:tcPr>
            <w:tcW w:w="1381" w:type="dxa"/>
            <w:gridSpan w:val="2"/>
            <w:vMerge/>
            <w:tcBorders>
              <w:left w:val="single" w:sz="4" w:space="0" w:color="000000"/>
              <w:bottom w:val="single" w:sz="4" w:space="0" w:color="000000"/>
              <w:right w:val="single" w:sz="4" w:space="0" w:color="000000"/>
            </w:tcBorders>
            <w:shd w:val="clear" w:color="auto" w:fill="D2D2D2"/>
          </w:tcPr>
          <w:p>
            <w:pPr/>
          </w:p>
        </w:tc>
        <w:tc>
          <w:tcPr>
            <w:tcW w:w="721" w:type="dxa"/>
            <w:vMerge/>
            <w:tcBorders>
              <w:left w:val="single" w:sz="4" w:space="0" w:color="000000"/>
              <w:bottom w:val="single" w:sz="4" w:space="0" w:color="000000"/>
              <w:right w:val="single" w:sz="4" w:space="0" w:color="000000"/>
            </w:tcBorders>
            <w:shd w:val="clear" w:color="auto" w:fill="D2D2D2"/>
          </w:tcPr>
          <w:p>
            <w:pPr/>
          </w:p>
        </w:tc>
        <w:tc>
          <w:tcPr>
            <w:tcW w:w="988" w:type="dxa"/>
            <w:vMerge/>
            <w:tcBorders>
              <w:left w:val="single" w:sz="4" w:space="0" w:color="000000"/>
              <w:bottom w:val="single" w:sz="4" w:space="0" w:color="000000"/>
              <w:right w:val="single" w:sz="4" w:space="0" w:color="000000"/>
            </w:tcBorders>
            <w:shd w:val="clear" w:color="auto" w:fill="D2D2D2"/>
          </w:tcPr>
          <w:p>
            <w:pPr/>
          </w:p>
        </w:tc>
        <w:tc>
          <w:tcPr>
            <w:tcW w:w="838" w:type="dxa"/>
            <w:gridSpan w:val="2"/>
            <w:vMerge/>
            <w:tcBorders>
              <w:left w:val="single" w:sz="4" w:space="0" w:color="000000"/>
              <w:bottom w:val="single" w:sz="4" w:space="0" w:color="000000"/>
              <w:right w:val="single" w:sz="4" w:space="0" w:color="000000"/>
            </w:tcBorders>
            <w:shd w:val="clear" w:color="auto" w:fill="D2D2D2"/>
          </w:tcPr>
          <w:p>
            <w:pPr/>
          </w:p>
        </w:tc>
        <w:tc>
          <w:tcPr>
            <w:tcW w:w="726" w:type="dxa"/>
            <w:vMerge/>
            <w:tcBorders>
              <w:left w:val="single" w:sz="4" w:space="0" w:color="000000"/>
              <w:bottom w:val="single" w:sz="4" w:space="0" w:color="000000"/>
              <w:right w:val="single" w:sz="4" w:space="0" w:color="000000"/>
            </w:tcBorders>
            <w:shd w:val="clear" w:color="auto" w:fill="D2D2D2"/>
          </w:tcPr>
          <w:p>
            <w:pPr/>
          </w:p>
        </w:tc>
        <w:tc>
          <w:tcPr>
            <w:tcW w:w="971" w:type="dxa"/>
            <w:vMerge/>
            <w:tcBorders>
              <w:left w:val="single" w:sz="4" w:space="0" w:color="000000"/>
              <w:bottom w:val="single" w:sz="4" w:space="0" w:color="000000"/>
              <w:right w:val="single" w:sz="4" w:space="0" w:color="000000"/>
            </w:tcBorders>
            <w:shd w:val="clear" w:color="auto" w:fill="D2D2D2"/>
          </w:tcPr>
          <w:p>
            <w:pPr/>
          </w:p>
        </w:tc>
        <w:tc>
          <w:tcPr>
            <w:tcW w:w="131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left="293"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31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713" w:hRule="exact"/>
        </w:trPr>
        <w:tc>
          <w:tcPr>
            <w:tcW w:w="1440"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44"/>
              <w:jc w:val="left"/>
              <w:rPr>
                <w:rFonts w:ascii="宋体" w:hAnsi="宋体" w:cs="宋体" w:eastAsia="宋体" w:hint="default"/>
                <w:sz w:val="18"/>
                <w:szCs w:val="18"/>
              </w:rPr>
            </w:pPr>
            <w:r>
              <w:rPr>
                <w:rFonts w:ascii="宋体" w:hAnsi="宋体" w:cs="宋体" w:eastAsia="宋体" w:hint="default"/>
                <w:sz w:val="18"/>
                <w:szCs w:val="18"/>
              </w:rPr>
              <w:t>广东群兴投资有 限公司</w:t>
            </w:r>
          </w:p>
        </w:tc>
        <w:tc>
          <w:tcPr>
            <w:tcW w:w="13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44.85%</w:t>
            </w:r>
          </w:p>
        </w:tc>
        <w:tc>
          <w:tcPr>
            <w:tcW w:w="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264,053,000</w:t>
            </w:r>
          </w:p>
        </w:tc>
        <w:tc>
          <w:tcPr>
            <w:tcW w:w="83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7"/>
              <w:jc w:val="right"/>
              <w:rPr>
                <w:rFonts w:ascii="Times New Roman" w:hAnsi="Times New Roman" w:cs="Times New Roman" w:eastAsia="Times New Roman" w:hint="default"/>
                <w:sz w:val="18"/>
                <w:szCs w:val="18"/>
              </w:rPr>
            </w:pPr>
            <w:r>
              <w:rPr>
                <w:rFonts w:ascii="Times New Roman"/>
                <w:sz w:val="18"/>
              </w:rPr>
              <w:t>0</w:t>
            </w:r>
          </w:p>
        </w:tc>
        <w:tc>
          <w:tcPr>
            <w:tcW w:w="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204,053,000</w:t>
            </w:r>
          </w:p>
        </w:tc>
        <w:tc>
          <w:tcPr>
            <w:tcW w:w="13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1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3" w:right="0"/>
              <w:jc w:val="left"/>
              <w:rPr>
                <w:rFonts w:ascii="Times New Roman" w:hAnsi="Times New Roman" w:cs="Times New Roman" w:eastAsia="Times New Roman" w:hint="default"/>
                <w:sz w:val="18"/>
                <w:szCs w:val="18"/>
              </w:rPr>
            </w:pPr>
            <w:r>
              <w:rPr>
                <w:rFonts w:ascii="Times New Roman"/>
                <w:sz w:val="18"/>
              </w:rPr>
              <w:t>126,960,000</w:t>
            </w:r>
          </w:p>
        </w:tc>
      </w:tr>
      <w:tr>
        <w:trPr>
          <w:trHeight w:val="403" w:hRule="exact"/>
        </w:trPr>
        <w:tc>
          <w:tcPr>
            <w:tcW w:w="14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朱光祥</w:t>
            </w:r>
          </w:p>
        </w:tc>
        <w:tc>
          <w:tcPr>
            <w:tcW w:w="13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z w:val="18"/>
              </w:rPr>
              <w:t>3.15%</w:t>
            </w:r>
          </w:p>
        </w:tc>
        <w:tc>
          <w:tcPr>
            <w:tcW w:w="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18,534,220</w:t>
            </w:r>
          </w:p>
        </w:tc>
        <w:tc>
          <w:tcPr>
            <w:tcW w:w="83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z w:val="18"/>
              </w:rPr>
              <w:t>0</w:t>
            </w:r>
          </w:p>
        </w:tc>
        <w:tc>
          <w:tcPr>
            <w:tcW w:w="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18,534,220</w:t>
            </w:r>
          </w:p>
        </w:tc>
        <w:tc>
          <w:tcPr>
            <w:tcW w:w="13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w:t>
            </w:r>
          </w:p>
        </w:tc>
        <w:tc>
          <w:tcPr>
            <w:tcW w:w="131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713" w:hRule="exact"/>
        </w:trPr>
        <w:tc>
          <w:tcPr>
            <w:tcW w:w="1440"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44"/>
              <w:jc w:val="left"/>
              <w:rPr>
                <w:rFonts w:ascii="宋体" w:hAnsi="宋体" w:cs="宋体" w:eastAsia="宋体" w:hint="default"/>
                <w:sz w:val="18"/>
                <w:szCs w:val="18"/>
              </w:rPr>
            </w:pPr>
            <w:r>
              <w:rPr>
                <w:rFonts w:ascii="宋体" w:hAnsi="宋体" w:cs="宋体" w:eastAsia="宋体" w:hint="default"/>
                <w:sz w:val="18"/>
                <w:szCs w:val="18"/>
              </w:rPr>
              <w:t>北京星恒动影文 化传播有限公司</w:t>
            </w:r>
          </w:p>
        </w:tc>
        <w:tc>
          <w:tcPr>
            <w:tcW w:w="13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2.55%</w:t>
            </w:r>
          </w:p>
        </w:tc>
        <w:tc>
          <w:tcPr>
            <w:tcW w:w="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15,000,000</w:t>
            </w:r>
          </w:p>
        </w:tc>
        <w:tc>
          <w:tcPr>
            <w:tcW w:w="83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-5,000,000</w:t>
            </w:r>
          </w:p>
        </w:tc>
        <w:tc>
          <w:tcPr>
            <w:tcW w:w="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7"/>
              <w:jc w:val="right"/>
              <w:rPr>
                <w:rFonts w:ascii="Times New Roman" w:hAnsi="Times New Roman" w:cs="Times New Roman" w:eastAsia="Times New Roman" w:hint="default"/>
                <w:sz w:val="18"/>
                <w:szCs w:val="18"/>
              </w:rPr>
            </w:pPr>
            <w:r>
              <w:rPr>
                <w:rFonts w:ascii="Times New Roman"/>
                <w:sz w:val="18"/>
              </w:rPr>
              <w:t>0</w:t>
            </w:r>
          </w:p>
        </w:tc>
        <w:tc>
          <w:tcPr>
            <w:tcW w:w="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15,000,000</w:t>
            </w:r>
          </w:p>
        </w:tc>
        <w:tc>
          <w:tcPr>
            <w:tcW w:w="13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1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2" w:right="0"/>
              <w:jc w:val="left"/>
              <w:rPr>
                <w:rFonts w:ascii="Times New Roman" w:hAnsi="Times New Roman" w:cs="Times New Roman" w:eastAsia="Times New Roman" w:hint="default"/>
                <w:sz w:val="18"/>
                <w:szCs w:val="18"/>
              </w:rPr>
            </w:pPr>
            <w:r>
              <w:rPr>
                <w:rFonts w:ascii="Times New Roman"/>
                <w:sz w:val="18"/>
              </w:rPr>
              <w:t>15,000,000</w:t>
            </w:r>
          </w:p>
        </w:tc>
      </w:tr>
      <w:tr>
        <w:trPr>
          <w:trHeight w:val="403" w:hRule="exact"/>
        </w:trPr>
        <w:tc>
          <w:tcPr>
            <w:tcW w:w="14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邱良深</w:t>
            </w:r>
          </w:p>
        </w:tc>
        <w:tc>
          <w:tcPr>
            <w:tcW w:w="13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z w:val="18"/>
              </w:rPr>
              <w:t>2.33%</w:t>
            </w:r>
          </w:p>
        </w:tc>
        <w:tc>
          <w:tcPr>
            <w:tcW w:w="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13,700,000</w:t>
            </w:r>
          </w:p>
        </w:tc>
        <w:tc>
          <w:tcPr>
            <w:tcW w:w="83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z w:val="18"/>
              </w:rPr>
              <w:t>0</w:t>
            </w:r>
          </w:p>
        </w:tc>
        <w:tc>
          <w:tcPr>
            <w:tcW w:w="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13,700,000</w:t>
            </w:r>
          </w:p>
        </w:tc>
        <w:tc>
          <w:tcPr>
            <w:tcW w:w="13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w:t>
            </w:r>
          </w:p>
        </w:tc>
        <w:tc>
          <w:tcPr>
            <w:tcW w:w="131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14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陈楚敏</w:t>
            </w:r>
          </w:p>
        </w:tc>
        <w:tc>
          <w:tcPr>
            <w:tcW w:w="13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z w:val="18"/>
              </w:rPr>
              <w:t>1.40%</w:t>
            </w:r>
          </w:p>
        </w:tc>
        <w:tc>
          <w:tcPr>
            <w:tcW w:w="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8,235,000</w:t>
            </w:r>
          </w:p>
        </w:tc>
        <w:tc>
          <w:tcPr>
            <w:tcW w:w="83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sz w:val="18"/>
              </w:rPr>
              <w:t>8,235,000</w:t>
            </w:r>
          </w:p>
        </w:tc>
        <w:tc>
          <w:tcPr>
            <w:tcW w:w="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z w:val="18"/>
              </w:rPr>
              <w:t>0</w:t>
            </w:r>
          </w:p>
        </w:tc>
        <w:tc>
          <w:tcPr>
            <w:tcW w:w="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8,235,000</w:t>
            </w:r>
          </w:p>
        </w:tc>
        <w:tc>
          <w:tcPr>
            <w:tcW w:w="13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w:t>
            </w:r>
          </w:p>
        </w:tc>
        <w:tc>
          <w:tcPr>
            <w:tcW w:w="131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14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黄佳茵</w:t>
            </w:r>
          </w:p>
        </w:tc>
        <w:tc>
          <w:tcPr>
            <w:tcW w:w="13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z w:val="18"/>
              </w:rPr>
              <w:t>1.38%</w:t>
            </w:r>
          </w:p>
        </w:tc>
        <w:tc>
          <w:tcPr>
            <w:tcW w:w="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8,124,173</w:t>
            </w:r>
          </w:p>
        </w:tc>
        <w:tc>
          <w:tcPr>
            <w:tcW w:w="83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sz w:val="18"/>
              </w:rPr>
              <w:t>8,124,173</w:t>
            </w:r>
          </w:p>
        </w:tc>
        <w:tc>
          <w:tcPr>
            <w:tcW w:w="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z w:val="18"/>
              </w:rPr>
              <w:t>0</w:t>
            </w:r>
          </w:p>
        </w:tc>
        <w:tc>
          <w:tcPr>
            <w:tcW w:w="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8,124,173</w:t>
            </w:r>
          </w:p>
        </w:tc>
        <w:tc>
          <w:tcPr>
            <w:tcW w:w="13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w:t>
            </w:r>
          </w:p>
        </w:tc>
        <w:tc>
          <w:tcPr>
            <w:tcW w:w="131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14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刁云景</w:t>
            </w:r>
          </w:p>
        </w:tc>
        <w:tc>
          <w:tcPr>
            <w:tcW w:w="13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z w:val="18"/>
              </w:rPr>
              <w:t>0.80%</w:t>
            </w:r>
          </w:p>
        </w:tc>
        <w:tc>
          <w:tcPr>
            <w:tcW w:w="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4,730,000</w:t>
            </w:r>
          </w:p>
        </w:tc>
        <w:tc>
          <w:tcPr>
            <w:tcW w:w="83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51" w:right="0"/>
              <w:jc w:val="left"/>
              <w:rPr>
                <w:rFonts w:ascii="Times New Roman" w:hAnsi="Times New Roman" w:cs="Times New Roman" w:eastAsia="Times New Roman" w:hint="default"/>
                <w:sz w:val="18"/>
                <w:szCs w:val="18"/>
              </w:rPr>
            </w:pPr>
            <w:r>
              <w:rPr>
                <w:rFonts w:ascii="Times New Roman"/>
                <w:sz w:val="18"/>
              </w:rPr>
              <w:t>-40,000</w:t>
            </w:r>
          </w:p>
        </w:tc>
        <w:tc>
          <w:tcPr>
            <w:tcW w:w="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z w:val="18"/>
              </w:rPr>
              <w:t>0</w:t>
            </w:r>
          </w:p>
        </w:tc>
        <w:tc>
          <w:tcPr>
            <w:tcW w:w="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4,730,000</w:t>
            </w:r>
          </w:p>
        </w:tc>
        <w:tc>
          <w:tcPr>
            <w:tcW w:w="13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w:t>
            </w:r>
          </w:p>
        </w:tc>
        <w:tc>
          <w:tcPr>
            <w:tcW w:w="131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14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王秀英</w:t>
            </w:r>
          </w:p>
        </w:tc>
        <w:tc>
          <w:tcPr>
            <w:tcW w:w="13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z w:val="18"/>
              </w:rPr>
              <w:t>0.61%</w:t>
            </w:r>
          </w:p>
        </w:tc>
        <w:tc>
          <w:tcPr>
            <w:tcW w:w="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3,575,698</w:t>
            </w:r>
          </w:p>
        </w:tc>
        <w:tc>
          <w:tcPr>
            <w:tcW w:w="83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sz w:val="18"/>
              </w:rPr>
              <w:t>3,029,312</w:t>
            </w:r>
          </w:p>
        </w:tc>
        <w:tc>
          <w:tcPr>
            <w:tcW w:w="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z w:val="18"/>
              </w:rPr>
              <w:t>0</w:t>
            </w:r>
          </w:p>
        </w:tc>
        <w:tc>
          <w:tcPr>
            <w:tcW w:w="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3,575,698</w:t>
            </w:r>
          </w:p>
        </w:tc>
        <w:tc>
          <w:tcPr>
            <w:tcW w:w="13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w:t>
            </w:r>
          </w:p>
        </w:tc>
        <w:tc>
          <w:tcPr>
            <w:tcW w:w="131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14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唐春山</w:t>
            </w:r>
          </w:p>
        </w:tc>
        <w:tc>
          <w:tcPr>
            <w:tcW w:w="13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z w:val="18"/>
              </w:rPr>
              <w:t>0.42%</w:t>
            </w:r>
          </w:p>
        </w:tc>
        <w:tc>
          <w:tcPr>
            <w:tcW w:w="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2,456,800</w:t>
            </w:r>
          </w:p>
        </w:tc>
        <w:tc>
          <w:tcPr>
            <w:tcW w:w="83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z w:val="18"/>
              </w:rPr>
              <w:t>0</w:t>
            </w:r>
          </w:p>
        </w:tc>
        <w:tc>
          <w:tcPr>
            <w:tcW w:w="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2,456,800</w:t>
            </w:r>
          </w:p>
        </w:tc>
        <w:tc>
          <w:tcPr>
            <w:tcW w:w="13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w:t>
            </w:r>
          </w:p>
        </w:tc>
        <w:tc>
          <w:tcPr>
            <w:tcW w:w="131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1027" w:hRule="exact"/>
        </w:trPr>
        <w:tc>
          <w:tcPr>
            <w:tcW w:w="1440"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44"/>
              <w:jc w:val="both"/>
              <w:rPr>
                <w:rFonts w:ascii="宋体" w:hAnsi="宋体" w:cs="宋体" w:eastAsia="宋体" w:hint="default"/>
                <w:sz w:val="18"/>
                <w:szCs w:val="18"/>
              </w:rPr>
            </w:pPr>
            <w:r>
              <w:rPr>
                <w:rFonts w:ascii="宋体" w:hAnsi="宋体" w:cs="宋体" w:eastAsia="宋体" w:hint="default"/>
                <w:sz w:val="18"/>
                <w:szCs w:val="18"/>
              </w:rPr>
              <w:t>海通证券股份有 限公司约定购回 专用账户</w:t>
            </w:r>
          </w:p>
        </w:tc>
        <w:tc>
          <w:tcPr>
            <w:tcW w:w="13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0.40%</w:t>
            </w:r>
          </w:p>
        </w:tc>
        <w:tc>
          <w:tcPr>
            <w:tcW w:w="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2,333,600</w:t>
            </w:r>
          </w:p>
        </w:tc>
        <w:tc>
          <w:tcPr>
            <w:tcW w:w="83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2,333,600</w:t>
            </w:r>
          </w:p>
        </w:tc>
        <w:tc>
          <w:tcPr>
            <w:tcW w:w="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7"/>
              <w:jc w:val="right"/>
              <w:rPr>
                <w:rFonts w:ascii="Times New Roman" w:hAnsi="Times New Roman" w:cs="Times New Roman" w:eastAsia="Times New Roman" w:hint="default"/>
                <w:sz w:val="18"/>
                <w:szCs w:val="18"/>
              </w:rPr>
            </w:pPr>
            <w:r>
              <w:rPr>
                <w:rFonts w:ascii="Times New Roman"/>
                <w:sz w:val="18"/>
              </w:rPr>
              <w:t>0</w:t>
            </w:r>
          </w:p>
        </w:tc>
        <w:tc>
          <w:tcPr>
            <w:tcW w:w="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2,333,600</w:t>
            </w:r>
          </w:p>
        </w:tc>
        <w:tc>
          <w:tcPr>
            <w:tcW w:w="13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w:t>
            </w:r>
          </w:p>
        </w:tc>
        <w:tc>
          <w:tcPr>
            <w:tcW w:w="131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61" w:hRule="exact"/>
        </w:trPr>
        <w:tc>
          <w:tcPr>
            <w:tcW w:w="2821" w:type="dxa"/>
            <w:gridSpan w:val="4"/>
            <w:tcBorders>
              <w:top w:val="single" w:sz="4" w:space="0" w:color="000000"/>
              <w:left w:val="single" w:sz="4" w:space="0" w:color="000000"/>
              <w:bottom w:val="nil" w:sz="6" w:space="0" w:color="auto"/>
              <w:right w:val="single" w:sz="4" w:space="0" w:color="000000"/>
            </w:tcBorders>
            <w:shd w:val="clear" w:color="auto" w:fill="D2D2D2"/>
          </w:tcPr>
          <w:p>
            <w:pPr/>
          </w:p>
        </w:tc>
        <w:tc>
          <w:tcPr>
            <w:tcW w:w="6877" w:type="dxa"/>
            <w:gridSpan w:val="10"/>
            <w:vMerge w:val="restart"/>
            <w:tcBorders>
              <w:top w:val="single" w:sz="4" w:space="0" w:color="000000"/>
              <w:left w:val="single" w:sz="4" w:space="0" w:color="000000"/>
              <w:right w:val="single" w:sz="4" w:space="0" w:color="000000"/>
            </w:tcBorders>
          </w:tcPr>
          <w:p>
            <w:pPr>
              <w:pStyle w:val="TableParagraph"/>
              <w:spacing w:line="309" w:lineRule="auto" w:before="49"/>
              <w:ind w:left="23" w:right="20"/>
              <w:jc w:val="both"/>
              <w:rPr>
                <w:rFonts w:ascii="宋体" w:hAnsi="宋体" w:cs="宋体" w:eastAsia="宋体" w:hint="default"/>
                <w:sz w:val="18"/>
                <w:szCs w:val="18"/>
              </w:rPr>
            </w:pP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、广东群兴投资有限公司是本公司的控股股东；</w:t>
            </w: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、本公司未知上述其他股东之间是否</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1"/>
                <w:sz w:val="18"/>
                <w:szCs w:val="18"/>
              </w:rPr>
              <w:t>存在关联关系，也未知上述股东之间是否属于《上市公司股东持股变动信息披露管理办</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法》中规定的一致行动人。</w:t>
            </w:r>
          </w:p>
        </w:tc>
      </w:tr>
      <w:tr>
        <w:trPr>
          <w:trHeight w:val="703" w:hRule="exact"/>
        </w:trPr>
        <w:tc>
          <w:tcPr>
            <w:tcW w:w="2821" w:type="dxa"/>
            <w:gridSpan w:val="4"/>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24" w:right="85"/>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上述股东关联关系或一致行动的说 明</w:t>
            </w:r>
          </w:p>
        </w:tc>
        <w:tc>
          <w:tcPr>
            <w:tcW w:w="6877" w:type="dxa"/>
            <w:gridSpan w:val="10"/>
            <w:vMerge/>
            <w:tcBorders>
              <w:left w:val="single" w:sz="4" w:space="0" w:color="000000"/>
              <w:right w:val="single" w:sz="4" w:space="0" w:color="000000"/>
            </w:tcBorders>
          </w:tcPr>
          <w:p>
            <w:pPr/>
          </w:p>
        </w:tc>
      </w:tr>
      <w:tr>
        <w:trPr>
          <w:trHeight w:val="161" w:hRule="exact"/>
        </w:trPr>
        <w:tc>
          <w:tcPr>
            <w:tcW w:w="2821" w:type="dxa"/>
            <w:gridSpan w:val="4"/>
            <w:tcBorders>
              <w:top w:val="nil" w:sz="6" w:space="0" w:color="auto"/>
              <w:left w:val="single" w:sz="4" w:space="0" w:color="000000"/>
              <w:bottom w:val="single" w:sz="4" w:space="0" w:color="000000"/>
              <w:right w:val="single" w:sz="4" w:space="0" w:color="000000"/>
            </w:tcBorders>
            <w:shd w:val="clear" w:color="auto" w:fill="D2D2D2"/>
          </w:tcPr>
          <w:p>
            <w:pPr/>
          </w:p>
        </w:tc>
        <w:tc>
          <w:tcPr>
            <w:tcW w:w="6877" w:type="dxa"/>
            <w:gridSpan w:val="10"/>
            <w:vMerge/>
            <w:tcBorders>
              <w:left w:val="single" w:sz="4" w:space="0" w:color="000000"/>
              <w:bottom w:val="single" w:sz="4" w:space="0" w:color="000000"/>
              <w:right w:val="single" w:sz="4" w:space="0" w:color="000000"/>
            </w:tcBorders>
          </w:tcPr>
          <w:p>
            <w:pPr/>
          </w:p>
        </w:tc>
      </w:tr>
      <w:tr>
        <w:trPr>
          <w:trHeight w:val="403" w:hRule="exact"/>
        </w:trPr>
        <w:tc>
          <w:tcPr>
            <w:tcW w:w="9698" w:type="dxa"/>
            <w:gridSpan w:val="1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名无限售条件股东持股情况</w:t>
            </w:r>
          </w:p>
        </w:tc>
      </w:tr>
      <w:tr>
        <w:trPr>
          <w:trHeight w:val="401" w:hRule="exact"/>
        </w:trPr>
        <w:tc>
          <w:tcPr>
            <w:tcW w:w="282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4244"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67"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63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股份种类</w:t>
            </w:r>
          </w:p>
        </w:tc>
      </w:tr>
    </w:tbl>
    <w:p>
      <w:pPr>
        <w:spacing w:after="0" w:line="240" w:lineRule="auto"/>
        <w:jc w:val="center"/>
        <w:rPr>
          <w:rFonts w:ascii="宋体" w:hAnsi="宋体" w:cs="宋体" w:eastAsia="宋体"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19" w:type="dxa"/>
        <w:tblLayout w:type="fixed"/>
        <w:tblCellMar>
          <w:top w:w="0" w:type="dxa"/>
          <w:left w:w="0" w:type="dxa"/>
          <w:bottom w:w="0" w:type="dxa"/>
          <w:right w:w="0" w:type="dxa"/>
        </w:tblCellMar>
        <w:tblLook w:val="01E0"/>
      </w:tblPr>
      <w:tblGrid>
        <w:gridCol w:w="2821"/>
        <w:gridCol w:w="4244"/>
        <w:gridCol w:w="1318"/>
        <w:gridCol w:w="1315"/>
      </w:tblGrid>
      <w:tr>
        <w:trPr>
          <w:trHeight w:val="401" w:hRule="exact"/>
        </w:trPr>
        <w:tc>
          <w:tcPr>
            <w:tcW w:w="28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24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93"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3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403" w:hRule="exact"/>
        </w:trPr>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广东群兴投资有限公司</w:t>
            </w:r>
          </w:p>
        </w:tc>
        <w:tc>
          <w:tcPr>
            <w:tcW w:w="4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264,053,000</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264,053,000</w:t>
            </w:r>
          </w:p>
        </w:tc>
      </w:tr>
      <w:tr>
        <w:trPr>
          <w:trHeight w:val="401" w:hRule="exact"/>
        </w:trPr>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朱光祥</w:t>
            </w:r>
          </w:p>
        </w:tc>
        <w:tc>
          <w:tcPr>
            <w:tcW w:w="4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18,534,220</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18,534,220</w:t>
            </w:r>
          </w:p>
        </w:tc>
      </w:tr>
      <w:tr>
        <w:trPr>
          <w:trHeight w:val="403" w:hRule="exact"/>
        </w:trPr>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北京星恒动影文化传播有限公司</w:t>
            </w:r>
          </w:p>
        </w:tc>
        <w:tc>
          <w:tcPr>
            <w:tcW w:w="4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15,000,000</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15,000,000</w:t>
            </w:r>
          </w:p>
        </w:tc>
      </w:tr>
      <w:tr>
        <w:trPr>
          <w:trHeight w:val="401" w:hRule="exact"/>
        </w:trPr>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邱良深</w:t>
            </w:r>
          </w:p>
        </w:tc>
        <w:tc>
          <w:tcPr>
            <w:tcW w:w="4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13,700,000</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13,700,000</w:t>
            </w:r>
          </w:p>
        </w:tc>
      </w:tr>
      <w:tr>
        <w:trPr>
          <w:trHeight w:val="403" w:hRule="exact"/>
        </w:trPr>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陈楚敏</w:t>
            </w:r>
          </w:p>
        </w:tc>
        <w:tc>
          <w:tcPr>
            <w:tcW w:w="4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8,235,000</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8,235,000</w:t>
            </w:r>
          </w:p>
        </w:tc>
      </w:tr>
      <w:tr>
        <w:trPr>
          <w:trHeight w:val="401" w:hRule="exact"/>
        </w:trPr>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黄佳茵</w:t>
            </w:r>
          </w:p>
        </w:tc>
        <w:tc>
          <w:tcPr>
            <w:tcW w:w="4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8,124,173</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8,124,173</w:t>
            </w:r>
          </w:p>
        </w:tc>
      </w:tr>
      <w:tr>
        <w:trPr>
          <w:trHeight w:val="403" w:hRule="exact"/>
        </w:trPr>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刁云景</w:t>
            </w:r>
          </w:p>
        </w:tc>
        <w:tc>
          <w:tcPr>
            <w:tcW w:w="4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4,730,000</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4,730,000</w:t>
            </w:r>
          </w:p>
        </w:tc>
      </w:tr>
      <w:tr>
        <w:trPr>
          <w:trHeight w:val="401" w:hRule="exact"/>
        </w:trPr>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王秀英</w:t>
            </w:r>
          </w:p>
        </w:tc>
        <w:tc>
          <w:tcPr>
            <w:tcW w:w="4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3,575,698</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3,575,698</w:t>
            </w:r>
          </w:p>
        </w:tc>
      </w:tr>
      <w:tr>
        <w:trPr>
          <w:trHeight w:val="403" w:hRule="exact"/>
        </w:trPr>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唐春山</w:t>
            </w:r>
          </w:p>
        </w:tc>
        <w:tc>
          <w:tcPr>
            <w:tcW w:w="4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2,456,800</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2,456,800</w:t>
            </w:r>
          </w:p>
        </w:tc>
      </w:tr>
      <w:tr>
        <w:trPr>
          <w:trHeight w:val="713" w:hRule="exact"/>
        </w:trPr>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5"/>
              <w:jc w:val="left"/>
              <w:rPr>
                <w:rFonts w:ascii="宋体" w:hAnsi="宋体" w:cs="宋体" w:eastAsia="宋体" w:hint="default"/>
                <w:sz w:val="18"/>
                <w:szCs w:val="18"/>
              </w:rPr>
            </w:pPr>
            <w:r>
              <w:rPr>
                <w:rFonts w:ascii="宋体" w:hAnsi="宋体" w:cs="宋体" w:eastAsia="宋体" w:hint="default"/>
                <w:sz w:val="18"/>
                <w:szCs w:val="18"/>
              </w:rPr>
              <w:t>海通证券股份有限公司约定购回专 用账户</w:t>
            </w:r>
          </w:p>
        </w:tc>
        <w:tc>
          <w:tcPr>
            <w:tcW w:w="4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2,333,600</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2,333,600</w:t>
            </w:r>
          </w:p>
        </w:tc>
      </w:tr>
      <w:tr>
        <w:trPr>
          <w:trHeight w:val="1339" w:hRule="exact"/>
        </w:trPr>
        <w:tc>
          <w:tcPr>
            <w:tcW w:w="28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6"/>
                <w:sz w:val="18"/>
                <w:szCs w:val="18"/>
              </w:rPr>
              <w:t> </w:t>
            </w:r>
            <w:r>
              <w:rPr>
                <w:rFonts w:ascii="宋体" w:hAnsi="宋体" w:cs="宋体" w:eastAsia="宋体" w:hint="default"/>
                <w:spacing w:val="-3"/>
                <w:sz w:val="18"/>
                <w:szCs w:val="18"/>
              </w:rPr>
              <w:t>名无限售流通股股东之间，以</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及前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名无限售流通股股东和前</w:t>
            </w:r>
          </w:p>
          <w:p>
            <w:pPr>
              <w:pStyle w:val="TableParagraph"/>
              <w:spacing w:line="300" w:lineRule="auto" w:before="63"/>
              <w:ind w:left="24" w:right="39"/>
              <w:jc w:val="left"/>
              <w:rPr>
                <w:rFonts w:ascii="宋体" w:hAnsi="宋体" w:cs="宋体" w:eastAsia="宋体"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名股东之间关联关系或一致行动 的说明</w:t>
            </w:r>
          </w:p>
        </w:tc>
        <w:tc>
          <w:tcPr>
            <w:tcW w:w="687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07" w:lineRule="auto"/>
              <w:ind w:left="23" w:right="20"/>
              <w:jc w:val="both"/>
              <w:rPr>
                <w:rFonts w:ascii="宋体" w:hAnsi="宋体" w:cs="宋体" w:eastAsia="宋体" w:hint="default"/>
                <w:sz w:val="18"/>
                <w:szCs w:val="18"/>
              </w:rPr>
            </w:pP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、广东群兴投资有限公司是本公司的控股股东；</w:t>
            </w: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、本公司未知上述其他股东之间是否</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1"/>
                <w:sz w:val="18"/>
                <w:szCs w:val="18"/>
              </w:rPr>
              <w:t>存在关联关系，也未知上述股东之间是否属于《上市公司股东持股变动信息披露管理办</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法》中规定的一致行动人。</w:t>
            </w:r>
          </w:p>
        </w:tc>
      </w:tr>
      <w:tr>
        <w:trPr>
          <w:trHeight w:val="716" w:hRule="exact"/>
        </w:trPr>
        <w:tc>
          <w:tcPr>
            <w:tcW w:w="28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22"/>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名普通股股东参与融资融券业 务情况说明（如有）（参见注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687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广东群兴投资有限公司参与融资融券信用证券账户持有</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60,000,000</w:t>
            </w:r>
            <w:r>
              <w:rPr>
                <w:rFonts w:ascii="Times New Roman" w:hAnsi="Times New Roman" w:cs="Times New Roman" w:eastAsia="Times New Roman" w:hint="default"/>
                <w:spacing w:val="5"/>
                <w:sz w:val="18"/>
                <w:szCs w:val="18"/>
              </w:rPr>
              <w:t> </w:t>
            </w:r>
            <w:r>
              <w:rPr>
                <w:rFonts w:ascii="宋体" w:hAnsi="宋体" w:cs="宋体" w:eastAsia="宋体" w:hint="default"/>
                <w:spacing w:val="-3"/>
                <w:sz w:val="18"/>
                <w:szCs w:val="18"/>
              </w:rPr>
              <w:t>股，与其普通证券账</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户合计持有公司股份</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264,053,000 </w:t>
            </w:r>
            <w:r>
              <w:rPr>
                <w:rFonts w:ascii="宋体" w:hAnsi="宋体" w:cs="宋体" w:eastAsia="宋体" w:hint="default"/>
                <w:sz w:val="18"/>
                <w:szCs w:val="18"/>
              </w:rPr>
              <w:t>股。</w:t>
            </w:r>
          </w:p>
        </w:tc>
      </w:tr>
    </w:tbl>
    <w:p>
      <w:pPr>
        <w:pStyle w:val="BodyText"/>
        <w:spacing w:line="240" w:lineRule="auto" w:before="49"/>
        <w:ind w:right="0"/>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7"/>
        </w:rPr>
        <w:t> </w:t>
      </w:r>
      <w:r>
        <w:rPr>
          <w:rFonts w:ascii="Times New Roman" w:hAnsi="Times New Roman" w:cs="Times New Roman" w:eastAsia="Times New Roman" w:hint="default"/>
        </w:rPr>
        <w:t>10 </w:t>
      </w:r>
      <w:r>
        <w:rPr/>
        <w:t>名无限售条件普通股股东在报告期内是否进行约定购回交易</w:t>
      </w:r>
    </w:p>
    <w:p>
      <w:pPr>
        <w:pStyle w:val="BodyText"/>
        <w:spacing w:line="340" w:lineRule="auto" w:before="101"/>
        <w:ind w:right="669"/>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否 海通证券股份有限公司约定购回专用账户，报告期内购回交易所涉股份数量为</w:t>
      </w:r>
      <w:r>
        <w:rPr>
          <w:rFonts w:ascii="Times New Roman" w:hAnsi="Times New Roman" w:cs="Times New Roman" w:eastAsia="Times New Roman" w:hint="default"/>
        </w:rPr>
        <w:t>2,333,600</w:t>
      </w:r>
      <w:r>
        <w:rPr/>
        <w:t>股，占公司总股本的</w:t>
      </w:r>
      <w:r>
        <w:rPr>
          <w:rFonts w:ascii="Times New Roman" w:hAnsi="Times New Roman" w:cs="Times New Roman" w:eastAsia="Times New Roman" w:hint="default"/>
        </w:rPr>
        <w:t>0.40%</w:t>
      </w:r>
      <w:r>
        <w:rPr/>
        <w:t>。</w:t>
      </w:r>
    </w:p>
    <w:p>
      <w:pPr>
        <w:spacing w:line="240" w:lineRule="auto" w:before="8"/>
        <w:rPr>
          <w:rFonts w:ascii="宋体" w:hAnsi="宋体" w:cs="宋体" w:eastAsia="宋体" w:hint="default"/>
          <w:sz w:val="14"/>
          <w:szCs w:val="14"/>
        </w:rPr>
      </w:pPr>
    </w:p>
    <w:p>
      <w:pPr>
        <w:pStyle w:val="Heading3"/>
        <w:spacing w:line="240" w:lineRule="auto"/>
        <w:ind w:right="0"/>
        <w:jc w:val="left"/>
        <w:rPr>
          <w:b w:val="0"/>
          <w:bCs w:val="0"/>
        </w:rPr>
      </w:pPr>
      <w:r>
        <w:rPr>
          <w:rFonts w:ascii="Times New Roman" w:hAnsi="Times New Roman" w:cs="Times New Roman" w:eastAsia="Times New Roman" w:hint="default"/>
        </w:rPr>
        <w:t>2</w:t>
      </w:r>
      <w:r>
        <w:rPr/>
        <w:t>、公司控股股东情况</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360" w:lineRule="auto"/>
        <w:ind w:right="7614"/>
        <w:jc w:val="left"/>
      </w:pPr>
      <w:r>
        <w:rPr/>
        <w:t>控股股东性质：自然人控股 控股股东类型：法人</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7"/>
          <w:szCs w:val="17"/>
        </w:rPr>
      </w:pPr>
    </w:p>
    <w:p>
      <w:pPr>
        <w:pStyle w:val="BodyText"/>
        <w:spacing w:line="240" w:lineRule="auto" w:before="44"/>
        <w:ind w:left="0" w:right="158"/>
        <w:jc w:val="right"/>
      </w:pPr>
      <w:r>
        <w:rPr/>
        <w:pict>
          <v:shape style="position:absolute;margin-left:56.400002pt;margin-top:-36.395321pt;width:479.3pt;height:210.3pt;mso-position-horizontal-relative:page;mso-position-vertical-relative:paragraph;z-index:11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997"/>
                    <w:gridCol w:w="1829"/>
                    <w:gridCol w:w="1894"/>
                    <w:gridCol w:w="1935"/>
                    <w:gridCol w:w="1915"/>
                  </w:tblGrid>
                  <w:tr>
                    <w:trPr>
                      <w:trHeight w:val="713" w:hRule="exact"/>
                    </w:trPr>
                    <w:tc>
                      <w:tcPr>
                        <w:tcW w:w="19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54" w:right="0"/>
                          <w:jc w:val="left"/>
                          <w:rPr>
                            <w:rFonts w:ascii="宋体" w:hAnsi="宋体" w:cs="宋体" w:eastAsia="宋体" w:hint="default"/>
                            <w:sz w:val="18"/>
                            <w:szCs w:val="18"/>
                          </w:rPr>
                        </w:pPr>
                        <w:r>
                          <w:rPr>
                            <w:rFonts w:ascii="宋体" w:hAnsi="宋体" w:cs="宋体" w:eastAsia="宋体" w:hint="default"/>
                            <w:sz w:val="18"/>
                            <w:szCs w:val="18"/>
                          </w:rPr>
                          <w:t>控股股东名称</w:t>
                        </w:r>
                      </w:p>
                    </w:tc>
                    <w:tc>
                      <w:tcPr>
                        <w:tcW w:w="18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49"/>
                          <w:ind w:left="821" w:right="72" w:hanging="747"/>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w:t>
                        </w:r>
                        <w:r>
                          <w:rPr>
                            <w:rFonts w:ascii="宋体" w:hAnsi="宋体" w:cs="宋体" w:eastAsia="宋体" w:hint="default"/>
                            <w:sz w:val="18"/>
                            <w:szCs w:val="18"/>
                          </w:rPr>
                          <w:t>单位负责 人</w:t>
                        </w:r>
                      </w:p>
                    </w:tc>
                    <w:tc>
                      <w:tcPr>
                        <w:tcW w:w="18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80" w:right="0"/>
                          <w:jc w:val="left"/>
                          <w:rPr>
                            <w:rFonts w:ascii="宋体" w:hAnsi="宋体" w:cs="宋体" w:eastAsia="宋体" w:hint="default"/>
                            <w:sz w:val="18"/>
                            <w:szCs w:val="18"/>
                          </w:rPr>
                        </w:pPr>
                        <w:r>
                          <w:rPr>
                            <w:rFonts w:ascii="宋体" w:hAnsi="宋体" w:cs="宋体" w:eastAsia="宋体" w:hint="default"/>
                            <w:sz w:val="18"/>
                            <w:szCs w:val="18"/>
                          </w:rPr>
                          <w:t>成立日期</w:t>
                        </w:r>
                      </w:p>
                    </w:tc>
                    <w:tc>
                      <w:tcPr>
                        <w:tcW w:w="1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22"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主要经营业务</w:t>
                        </w:r>
                      </w:p>
                    </w:tc>
                  </w:tr>
                  <w:tr>
                    <w:trPr>
                      <w:trHeight w:val="3483" w:hRule="exact"/>
                    </w:trPr>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广东群兴投资有限公司</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林伟章</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w:t>
                        </w: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9144051569243727X4</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9"/>
                          <w:jc w:val="left"/>
                          <w:rPr>
                            <w:rFonts w:ascii="宋体" w:hAnsi="宋体" w:cs="宋体" w:eastAsia="宋体" w:hint="default"/>
                            <w:sz w:val="18"/>
                            <w:szCs w:val="18"/>
                          </w:rPr>
                        </w:pPr>
                        <w:r>
                          <w:rPr>
                            <w:rFonts w:ascii="宋体" w:hAnsi="宋体" w:cs="宋体" w:eastAsia="宋体" w:hint="default"/>
                            <w:spacing w:val="-4"/>
                            <w:sz w:val="18"/>
                            <w:szCs w:val="18"/>
                          </w:rPr>
                          <w:t>对农林牧渔业、采矿业</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制造业、电力燃气及水 的生产业、建筑业、交 通运输仓储和邮政业、 信息传输计算机服务和 </w:t>
                        </w:r>
                        <w:r>
                          <w:rPr>
                            <w:rFonts w:ascii="宋体" w:hAnsi="宋体" w:cs="宋体" w:eastAsia="宋体" w:hint="default"/>
                            <w:spacing w:val="-4"/>
                            <w:sz w:val="18"/>
                            <w:szCs w:val="18"/>
                          </w:rPr>
                          <w:t>软件业、批发和零售业</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金融业、房地产业、租 赁和商务服务业、水利 环境和公共设施管理 业、居民服务和其他服 务业、文化体育和娱乐</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6"/>
          <w:szCs w:val="16"/>
        </w:rPr>
      </w:pPr>
    </w:p>
    <w:p>
      <w:pPr>
        <w:pStyle w:val="BodyText"/>
        <w:spacing w:line="240" w:lineRule="auto" w:before="63"/>
        <w:ind w:left="0" w:right="158"/>
        <w:jc w:val="right"/>
      </w:pPr>
      <w:r>
        <w:rPr/>
        <w:t>、</w:t>
      </w:r>
    </w:p>
    <w:p>
      <w:pPr>
        <w:spacing w:after="0" w:line="240" w:lineRule="auto"/>
        <w:jc w:val="right"/>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997"/>
        <w:gridCol w:w="1829"/>
        <w:gridCol w:w="1894"/>
        <w:gridCol w:w="1935"/>
        <w:gridCol w:w="1915"/>
      </w:tblGrid>
      <w:tr>
        <w:trPr>
          <w:trHeight w:val="3795" w:hRule="exact"/>
        </w:trPr>
        <w:tc>
          <w:tcPr>
            <w:tcW w:w="1997" w:type="dxa"/>
            <w:tcBorders>
              <w:top w:val="single" w:sz="4" w:space="0" w:color="000000"/>
              <w:left w:val="single" w:sz="4" w:space="0" w:color="000000"/>
              <w:bottom w:val="single" w:sz="4" w:space="0" w:color="000000"/>
              <w:right w:val="single" w:sz="4" w:space="0" w:color="000000"/>
            </w:tcBorders>
          </w:tcPr>
          <w:p>
            <w:pPr/>
          </w:p>
        </w:tc>
        <w:tc>
          <w:tcPr>
            <w:tcW w:w="1829" w:type="dxa"/>
            <w:tcBorders>
              <w:top w:val="single" w:sz="4" w:space="0" w:color="000000"/>
              <w:left w:val="single" w:sz="4" w:space="0" w:color="000000"/>
              <w:bottom w:val="single" w:sz="4" w:space="0" w:color="000000"/>
              <w:right w:val="single" w:sz="4" w:space="0" w:color="000000"/>
            </w:tcBorders>
          </w:tcPr>
          <w:p>
            <w:pPr/>
          </w:p>
        </w:tc>
        <w:tc>
          <w:tcPr>
            <w:tcW w:w="1894" w:type="dxa"/>
            <w:tcBorders>
              <w:top w:val="single" w:sz="4" w:space="0" w:color="000000"/>
              <w:left w:val="single" w:sz="4" w:space="0" w:color="000000"/>
              <w:bottom w:val="single" w:sz="4" w:space="0" w:color="000000"/>
              <w:right w:val="single" w:sz="4" w:space="0" w:color="000000"/>
            </w:tcBorders>
          </w:tcPr>
          <w:p>
            <w:pPr/>
          </w:p>
        </w:tc>
        <w:tc>
          <w:tcPr>
            <w:tcW w:w="193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19"/>
              <w:jc w:val="left"/>
              <w:rPr>
                <w:rFonts w:ascii="宋体" w:hAnsi="宋体" w:cs="宋体" w:eastAsia="宋体" w:hint="default"/>
                <w:sz w:val="18"/>
                <w:szCs w:val="18"/>
              </w:rPr>
            </w:pPr>
            <w:r>
              <w:rPr>
                <w:rFonts w:ascii="宋体" w:hAnsi="宋体" w:cs="宋体" w:eastAsia="宋体" w:hint="default"/>
                <w:sz w:val="18"/>
                <w:szCs w:val="18"/>
              </w:rPr>
              <w:t>业等行业的投资；投资 管理咨询等；销售金属 材料、建筑材料、机械 设备、五金交电、日用 百货、纸及纸制品、化 工产品及化工原料（危 险化学品除外）；货物 </w:t>
            </w:r>
            <w:r>
              <w:rPr>
                <w:rFonts w:ascii="宋体" w:hAnsi="宋体" w:cs="宋体" w:eastAsia="宋体" w:hint="default"/>
                <w:spacing w:val="-11"/>
                <w:sz w:val="18"/>
                <w:szCs w:val="18"/>
              </w:rPr>
              <w:t>进出口，技术进出口（法</w:t>
            </w:r>
            <w:r>
              <w:rPr>
                <w:rFonts w:ascii="宋体" w:hAnsi="宋体" w:cs="宋体" w:eastAsia="宋体" w:hint="default"/>
                <w:sz w:val="18"/>
                <w:szCs w:val="18"/>
              </w:rPr>
              <w:t> 律、行政法规禁止的项 目除外；法律、行政法 规限制的项目须取得许 可后方可经营）</w:t>
            </w:r>
          </w:p>
        </w:tc>
      </w:tr>
      <w:tr>
        <w:trPr>
          <w:trHeight w:val="1025" w:hRule="exact"/>
        </w:trPr>
        <w:tc>
          <w:tcPr>
            <w:tcW w:w="19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61"/>
              <w:jc w:val="both"/>
              <w:rPr>
                <w:rFonts w:ascii="宋体" w:hAnsi="宋体" w:cs="宋体" w:eastAsia="宋体" w:hint="default"/>
                <w:sz w:val="18"/>
                <w:szCs w:val="18"/>
              </w:rPr>
            </w:pPr>
            <w:r>
              <w:rPr>
                <w:rFonts w:ascii="宋体" w:hAnsi="宋体" w:cs="宋体" w:eastAsia="宋体" w:hint="default"/>
                <w:sz w:val="18"/>
                <w:szCs w:val="18"/>
              </w:rPr>
              <w:t>控股股东报告期内控股 和参股的其他境内外上 市公司的股权情况</w:t>
            </w:r>
          </w:p>
        </w:tc>
        <w:tc>
          <w:tcPr>
            <w:tcW w:w="7574"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pStyle w:val="BodyText"/>
        <w:spacing w:line="240" w:lineRule="auto" w:before="49"/>
        <w:ind w:right="0"/>
        <w:jc w:val="left"/>
      </w:pPr>
      <w:r>
        <w:rPr/>
        <w:t>控股股东报告期内变更</w:t>
      </w:r>
    </w:p>
    <w:p>
      <w:pPr>
        <w:pStyle w:val="BodyText"/>
        <w:spacing w:line="338" w:lineRule="auto" w:before="117"/>
        <w:ind w:right="70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公司报告期控股股东未发生变更。</w:t>
      </w:r>
    </w:p>
    <w:p>
      <w:pPr>
        <w:spacing w:line="240" w:lineRule="auto" w:before="6"/>
        <w:rPr>
          <w:rFonts w:ascii="宋体" w:hAnsi="宋体" w:cs="宋体" w:eastAsia="宋体" w:hint="default"/>
          <w:sz w:val="16"/>
          <w:szCs w:val="16"/>
        </w:rPr>
      </w:pPr>
    </w:p>
    <w:p>
      <w:pPr>
        <w:pStyle w:val="Heading3"/>
        <w:spacing w:line="240" w:lineRule="auto"/>
        <w:ind w:right="0"/>
        <w:jc w:val="left"/>
        <w:rPr>
          <w:b w:val="0"/>
          <w:bCs w:val="0"/>
        </w:rPr>
      </w:pPr>
      <w:r>
        <w:rPr>
          <w:rFonts w:ascii="Times New Roman" w:hAnsi="Times New Roman" w:cs="Times New Roman" w:eastAsia="Times New Roman" w:hint="default"/>
        </w:rPr>
        <w:t>3</w:t>
      </w:r>
      <w:r>
        <w:rPr/>
        <w:t>、公司实际控制人情况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60" w:lineRule="auto"/>
        <w:ind w:right="7434"/>
        <w:jc w:val="left"/>
      </w:pPr>
      <w:r>
        <w:rPr/>
        <w:t>实际控制人性质：境内自然人 实际控制人类型：自然人</w:t>
      </w:r>
    </w:p>
    <w:tbl>
      <w:tblPr>
        <w:tblW w:w="0" w:type="auto"/>
        <w:jc w:val="left"/>
        <w:tblInd w:w="148" w:type="dxa"/>
        <w:tblLayout w:type="fixed"/>
        <w:tblCellMar>
          <w:top w:w="0" w:type="dxa"/>
          <w:left w:w="0" w:type="dxa"/>
          <w:bottom w:w="0" w:type="dxa"/>
          <w:right w:w="0" w:type="dxa"/>
        </w:tblCellMar>
        <w:tblLook w:val="01E0"/>
      </w:tblPr>
      <w:tblGrid>
        <w:gridCol w:w="3419"/>
        <w:gridCol w:w="2302"/>
        <w:gridCol w:w="3850"/>
      </w:tblGrid>
      <w:tr>
        <w:trPr>
          <w:trHeight w:val="402" w:hRule="exact"/>
        </w:trPr>
        <w:tc>
          <w:tcPr>
            <w:tcW w:w="3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75"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3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59"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1" w:hRule="exact"/>
        </w:trPr>
        <w:tc>
          <w:tcPr>
            <w:tcW w:w="3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林伟章（一致行动人）</w:t>
            </w:r>
          </w:p>
        </w:tc>
        <w:tc>
          <w:tcPr>
            <w:tcW w:w="2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3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3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黄仕群（一致行动人）</w:t>
            </w:r>
          </w:p>
        </w:tc>
        <w:tc>
          <w:tcPr>
            <w:tcW w:w="2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3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3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1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林伟章先生与黄仕群先生分别担任群兴投资执行董事和监事一职。</w:t>
            </w:r>
          </w:p>
        </w:tc>
      </w:tr>
      <w:tr>
        <w:trPr>
          <w:trHeight w:val="403" w:hRule="exact"/>
        </w:trPr>
        <w:tc>
          <w:tcPr>
            <w:tcW w:w="3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年曾控股的境内外上市公司情况</w:t>
            </w:r>
          </w:p>
        </w:tc>
        <w:tc>
          <w:tcPr>
            <w:tcW w:w="61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67"/>
        <w:ind w:right="0"/>
        <w:jc w:val="left"/>
      </w:pPr>
      <w:r>
        <w:rPr/>
        <w:t>实际控制人报告期内变更</w:t>
      </w:r>
    </w:p>
    <w:p>
      <w:pPr>
        <w:pStyle w:val="BodyText"/>
        <w:spacing w:line="350" w:lineRule="auto" w:before="115"/>
        <w:ind w:right="58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公司报告期实际控制人未发生变更。 公司与实际控制人之间的产权及控制关系的方框图</w:t>
      </w:r>
    </w:p>
    <w:p>
      <w:pPr>
        <w:spacing w:after="0" w:line="350" w:lineRule="auto"/>
        <w:jc w:val="left"/>
        <w:sectPr>
          <w:pgSz w:w="11910" w:h="16840"/>
          <w:pgMar w:header="745" w:footer="979" w:top="1060" w:bottom="1160" w:left="980" w:right="98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2"/>
          <w:szCs w:val="12"/>
        </w:rPr>
      </w:pPr>
    </w:p>
    <w:p>
      <w:pPr>
        <w:spacing w:line="3628" w:lineRule="exact"/>
        <w:ind w:left="1115" w:right="0" w:firstLine="0"/>
        <w:rPr>
          <w:rFonts w:ascii="宋体" w:hAnsi="宋体" w:cs="宋体" w:eastAsia="宋体" w:hint="default"/>
          <w:sz w:val="20"/>
          <w:szCs w:val="20"/>
        </w:rPr>
      </w:pPr>
      <w:r>
        <w:rPr>
          <w:rFonts w:ascii="宋体" w:hAnsi="宋体" w:cs="宋体" w:eastAsia="宋体" w:hint="default"/>
          <w:position w:val="-72"/>
          <w:sz w:val="20"/>
          <w:szCs w:val="20"/>
        </w:rPr>
        <w:drawing>
          <wp:inline distT="0" distB="0" distL="0" distR="0">
            <wp:extent cx="4897564" cy="2304288"/>
            <wp:effectExtent l="0" t="0" r="0" b="0"/>
            <wp:docPr id="3" name="image2.jpeg" descr=""/>
            <wp:cNvGraphicFramePr>
              <a:graphicFrameLocks noChangeAspect="1"/>
            </wp:cNvGraphicFramePr>
            <a:graphic>
              <a:graphicData uri="http://schemas.openxmlformats.org/drawingml/2006/picture">
                <pic:pic>
                  <pic:nvPicPr>
                    <pic:cNvPr id="4" name="image2.jpeg"/>
                    <pic:cNvPicPr/>
                  </pic:nvPicPr>
                  <pic:blipFill>
                    <a:blip r:embed="rId14" cstate="print"/>
                    <a:stretch>
                      <a:fillRect/>
                    </a:stretch>
                  </pic:blipFill>
                  <pic:spPr>
                    <a:xfrm>
                      <a:off x="0" y="0"/>
                      <a:ext cx="4897564" cy="2304288"/>
                    </a:xfrm>
                    <a:prstGeom prst="rect">
                      <a:avLst/>
                    </a:prstGeom>
                  </pic:spPr>
                </pic:pic>
              </a:graphicData>
            </a:graphic>
          </wp:inline>
        </w:drawing>
      </w:r>
      <w:r>
        <w:rPr>
          <w:rFonts w:ascii="宋体" w:hAnsi="宋体" w:cs="宋体" w:eastAsia="宋体" w:hint="default"/>
          <w:position w:val="-72"/>
          <w:sz w:val="20"/>
          <w:szCs w:val="20"/>
        </w:rPr>
      </w:r>
    </w:p>
    <w:p>
      <w:pPr>
        <w:spacing w:line="240" w:lineRule="auto" w:before="13"/>
        <w:rPr>
          <w:rFonts w:ascii="宋体" w:hAnsi="宋体" w:cs="宋体" w:eastAsia="宋体" w:hint="default"/>
          <w:sz w:val="16"/>
          <w:szCs w:val="16"/>
        </w:rPr>
      </w:pPr>
    </w:p>
    <w:p>
      <w:pPr>
        <w:pStyle w:val="BodyText"/>
        <w:spacing w:line="240" w:lineRule="auto" w:before="44"/>
        <w:ind w:right="0"/>
        <w:jc w:val="left"/>
      </w:pPr>
      <w:r>
        <w:rPr/>
        <w:t>实际控制人通过信托或其他资产管理方式控制公司</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4</w:t>
      </w:r>
      <w:r>
        <w:rPr/>
        <w:t>、其他持股在</w:t>
      </w:r>
      <w:r>
        <w:rPr>
          <w:spacing w:val="12"/>
        </w:rPr>
        <w:t> </w:t>
      </w:r>
      <w:r>
        <w:rPr>
          <w:rFonts w:ascii="Times New Roman" w:hAnsi="Times New Roman" w:cs="Times New Roman" w:eastAsia="Times New Roman" w:hint="default"/>
        </w:rPr>
        <w:t>10%</w:t>
      </w:r>
      <w:r>
        <w:rPr/>
        <w:t>以上的法人股东</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1"/>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5</w:t>
      </w:r>
      <w:r>
        <w:rPr/>
        <w:t>、控股股东、实际控制人、重组方及其他承诺主体股份限制减持情况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79"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456" w:lineRule="exact"/>
        <w:ind w:left="3285" w:right="0"/>
        <w:jc w:val="left"/>
        <w:rPr>
          <w:b w:val="0"/>
          <w:bCs w:val="0"/>
        </w:rPr>
      </w:pPr>
      <w:bookmarkStart w:name="_bookmark6" w:id="7"/>
      <w:bookmarkEnd w:id="7"/>
      <w:r>
        <w:rPr>
          <w:b w:val="0"/>
          <w:bCs w:val="0"/>
        </w:rPr>
      </w:r>
      <w:r>
        <w:rPr/>
        <w:t>第七节 </w:t>
      </w:r>
      <w:r>
        <w:rPr>
          <w:spacing w:val="8"/>
        </w:rPr>
        <w:t> </w:t>
      </w:r>
      <w:r>
        <w:rPr/>
        <w:t>优先股相关情况</w:t>
      </w:r>
      <w:r>
        <w:rPr>
          <w:b w:val="0"/>
          <w:bCs w:val="0"/>
        </w:rPr>
      </w:r>
    </w:p>
    <w:p>
      <w:pPr>
        <w:spacing w:line="240" w:lineRule="auto" w:before="8"/>
        <w:rPr>
          <w:rFonts w:ascii="Microsoft JhengHei" w:hAnsi="Microsoft JhengHei" w:cs="Microsoft JhengHei" w:eastAsia="Microsoft JhengHei" w:hint="default"/>
          <w:b/>
          <w:bCs/>
          <w:sz w:val="27"/>
          <w:szCs w:val="27"/>
        </w:rPr>
      </w:pPr>
    </w:p>
    <w:p>
      <w:pPr>
        <w:pStyle w:val="BodyText"/>
        <w:spacing w:line="338" w:lineRule="auto" w:before="44"/>
        <w:ind w:right="76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报告期公司不存在优先股。</w:t>
      </w:r>
    </w:p>
    <w:p>
      <w:pPr>
        <w:spacing w:after="0" w:line="338" w:lineRule="auto"/>
        <w:jc w:val="left"/>
        <w:sectPr>
          <w:pgSz w:w="11910" w:h="16840"/>
          <w:pgMar w:header="745" w:footer="979"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456" w:lineRule="exact"/>
        <w:ind w:left="1679" w:right="0"/>
        <w:jc w:val="left"/>
        <w:rPr>
          <w:b w:val="0"/>
          <w:bCs w:val="0"/>
        </w:rPr>
      </w:pPr>
      <w:bookmarkStart w:name="_bookmark7" w:id="8"/>
      <w:bookmarkEnd w:id="8"/>
      <w:r>
        <w:rPr>
          <w:b w:val="0"/>
          <w:bCs w:val="0"/>
        </w:rPr>
      </w:r>
      <w:r>
        <w:rPr/>
        <w:t>第八节 </w:t>
      </w:r>
      <w:r>
        <w:rPr>
          <w:spacing w:val="18"/>
        </w:rPr>
        <w:t> </w:t>
      </w:r>
      <w:r>
        <w:rPr/>
        <w:t>董事、监事、高级管理人员和员工情况</w:t>
      </w:r>
      <w:r>
        <w:rPr>
          <w:b w:val="0"/>
          <w:bCs w:val="0"/>
        </w:rPr>
      </w:r>
    </w:p>
    <w:p>
      <w:pPr>
        <w:spacing w:line="240" w:lineRule="auto" w:before="17"/>
        <w:rPr>
          <w:rFonts w:ascii="Microsoft JhengHei" w:hAnsi="Microsoft JhengHei" w:cs="Microsoft JhengHei" w:eastAsia="Microsoft JhengHei" w:hint="default"/>
          <w:b/>
          <w:bCs/>
          <w:sz w:val="22"/>
          <w:szCs w:val="22"/>
        </w:rPr>
      </w:pPr>
    </w:p>
    <w:p>
      <w:pPr>
        <w:pStyle w:val="Heading2"/>
        <w:spacing w:line="240" w:lineRule="auto"/>
        <w:ind w:right="0"/>
        <w:jc w:val="left"/>
        <w:rPr>
          <w:b w:val="0"/>
          <w:bCs w:val="0"/>
        </w:rPr>
      </w:pPr>
      <w:r>
        <w:rPr/>
        <w:t>一、董事、监事和高级管理人员持股变动</w:t>
      </w:r>
      <w:r>
        <w:rPr>
          <w:b w:val="0"/>
          <w:bCs w:val="0"/>
        </w:rPr>
      </w:r>
    </w:p>
    <w:p>
      <w:pPr>
        <w:spacing w:line="240" w:lineRule="auto" w:before="13"/>
        <w:rPr>
          <w:rFonts w:ascii="Microsoft JhengHei" w:hAnsi="Microsoft JhengHei" w:cs="Microsoft JhengHei" w:eastAsia="Microsoft JhengHei" w:hint="default"/>
          <w:b/>
          <w:bCs/>
          <w:sz w:val="17"/>
          <w:szCs w:val="17"/>
        </w:rPr>
      </w:pPr>
    </w:p>
    <w:tbl>
      <w:tblPr>
        <w:tblW w:w="0" w:type="auto"/>
        <w:jc w:val="left"/>
        <w:tblInd w:w="119" w:type="dxa"/>
        <w:tblLayout w:type="fixed"/>
        <w:tblCellMar>
          <w:top w:w="0" w:type="dxa"/>
          <w:left w:w="0" w:type="dxa"/>
          <w:bottom w:w="0" w:type="dxa"/>
          <w:right w:w="0" w:type="dxa"/>
        </w:tblCellMar>
        <w:tblLook w:val="01E0"/>
      </w:tblPr>
      <w:tblGrid>
        <w:gridCol w:w="821"/>
        <w:gridCol w:w="823"/>
        <w:gridCol w:w="818"/>
        <w:gridCol w:w="543"/>
        <w:gridCol w:w="427"/>
        <w:gridCol w:w="1498"/>
        <w:gridCol w:w="1598"/>
        <w:gridCol w:w="614"/>
        <w:gridCol w:w="826"/>
        <w:gridCol w:w="823"/>
        <w:gridCol w:w="617"/>
        <w:gridCol w:w="612"/>
      </w:tblGrid>
      <w:tr>
        <w:trPr>
          <w:trHeight w:val="1032" w:hRule="exact"/>
        </w:trPr>
        <w:tc>
          <w:tcPr>
            <w:tcW w:w="8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right="0"/>
              <w:jc w:val="left"/>
              <w:rPr>
                <w:rFonts w:ascii="Microsoft JhengHei" w:hAnsi="Microsoft JhengHei" w:cs="Microsoft JhengHei" w:eastAsia="Microsoft JhengHei" w:hint="default"/>
                <w:b/>
                <w:bCs/>
                <w:sz w:val="20"/>
                <w:szCs w:val="20"/>
              </w:rPr>
            </w:pPr>
          </w:p>
          <w:p>
            <w:pPr>
              <w:pStyle w:val="TableParagraph"/>
              <w:spacing w:line="240" w:lineRule="auto"/>
              <w:ind w:left="226"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8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right="0"/>
              <w:jc w:val="left"/>
              <w:rPr>
                <w:rFonts w:ascii="Microsoft JhengHei" w:hAnsi="Microsoft JhengHei" w:cs="Microsoft JhengHei" w:eastAsia="Microsoft JhengHei" w:hint="default"/>
                <w:b/>
                <w:bCs/>
                <w:sz w:val="20"/>
                <w:szCs w:val="20"/>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8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right="0"/>
              <w:jc w:val="left"/>
              <w:rPr>
                <w:rFonts w:ascii="Microsoft JhengHei" w:hAnsi="Microsoft JhengHei" w:cs="Microsoft JhengHei" w:eastAsia="Microsoft JhengHei" w:hint="default"/>
                <w:b/>
                <w:bCs/>
                <w:sz w:val="20"/>
                <w:szCs w:val="20"/>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任职状态</w:t>
            </w:r>
          </w:p>
        </w:tc>
        <w:tc>
          <w:tcPr>
            <w:tcW w:w="5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right="0"/>
              <w:jc w:val="left"/>
              <w:rPr>
                <w:rFonts w:ascii="Microsoft JhengHei" w:hAnsi="Microsoft JhengHei" w:cs="Microsoft JhengHei" w:eastAsia="Microsoft JhengHei" w:hint="default"/>
                <w:b/>
                <w:bCs/>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right="0"/>
              <w:jc w:val="left"/>
              <w:rPr>
                <w:rFonts w:ascii="Microsoft JhengHei" w:hAnsi="Microsoft JhengHei" w:cs="Microsoft JhengHei" w:eastAsia="Microsoft JhengHei" w:hint="default"/>
                <w:b/>
                <w:bCs/>
                <w:sz w:val="20"/>
                <w:szCs w:val="20"/>
              </w:rPr>
            </w:pPr>
          </w:p>
          <w:p>
            <w:pPr>
              <w:pStyle w:val="TableParagraph"/>
              <w:spacing w:line="240" w:lineRule="auto"/>
              <w:ind w:right="26"/>
              <w:jc w:val="right"/>
              <w:rPr>
                <w:rFonts w:ascii="宋体" w:hAnsi="宋体" w:cs="宋体" w:eastAsia="宋体" w:hint="default"/>
                <w:sz w:val="18"/>
                <w:szCs w:val="18"/>
              </w:rPr>
            </w:pPr>
            <w:r>
              <w:rPr>
                <w:rFonts w:ascii="宋体" w:hAnsi="宋体" w:cs="宋体" w:eastAsia="宋体" w:hint="default"/>
                <w:sz w:val="18"/>
                <w:szCs w:val="18"/>
              </w:rPr>
              <w:t>年龄</w:t>
            </w:r>
          </w:p>
        </w:tc>
        <w:tc>
          <w:tcPr>
            <w:tcW w:w="14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right="0"/>
              <w:jc w:val="left"/>
              <w:rPr>
                <w:rFonts w:ascii="Microsoft JhengHei" w:hAnsi="Microsoft JhengHei" w:cs="Microsoft JhengHei" w:eastAsia="Microsoft JhengHei" w:hint="default"/>
                <w:b/>
                <w:bCs/>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任期起始日期</w:t>
            </w:r>
          </w:p>
        </w:tc>
        <w:tc>
          <w:tcPr>
            <w:tcW w:w="1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right="0"/>
              <w:jc w:val="left"/>
              <w:rPr>
                <w:rFonts w:ascii="Microsoft JhengHei" w:hAnsi="Microsoft JhengHei" w:cs="Microsoft JhengHei" w:eastAsia="Microsoft JhengHei" w:hint="default"/>
                <w:b/>
                <w:bCs/>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任期终止日期</w:t>
            </w:r>
          </w:p>
        </w:tc>
        <w:tc>
          <w:tcPr>
            <w:tcW w:w="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2" w:right="29" w:hanging="89"/>
              <w:jc w:val="left"/>
              <w:rPr>
                <w:rFonts w:ascii="宋体" w:hAnsi="宋体" w:cs="宋体" w:eastAsia="宋体" w:hint="default"/>
                <w:sz w:val="18"/>
                <w:szCs w:val="18"/>
              </w:rPr>
            </w:pPr>
            <w:r>
              <w:rPr>
                <w:rFonts w:ascii="宋体" w:hAnsi="宋体" w:cs="宋体" w:eastAsia="宋体" w:hint="default"/>
                <w:sz w:val="18"/>
                <w:szCs w:val="18"/>
              </w:rPr>
              <w:t>期初持 股数</w:t>
            </w:r>
          </w:p>
          <w:p>
            <w:pPr>
              <w:pStyle w:val="TableParagraph"/>
              <w:spacing w:line="240" w:lineRule="auto" w:before="19"/>
              <w:ind w:left="33" w:right="0"/>
              <w:jc w:val="left"/>
              <w:rPr>
                <w:rFonts w:ascii="宋体" w:hAnsi="宋体" w:cs="宋体" w:eastAsia="宋体" w:hint="default"/>
                <w:sz w:val="18"/>
                <w:szCs w:val="18"/>
              </w:rPr>
            </w:pPr>
            <w:r>
              <w:rPr>
                <w:rFonts w:ascii="宋体" w:hAnsi="宋体" w:cs="宋体" w:eastAsia="宋体" w:hint="default"/>
                <w:sz w:val="18"/>
                <w:szCs w:val="18"/>
              </w:rPr>
              <w:t>（股）</w:t>
            </w:r>
          </w:p>
        </w:tc>
        <w:tc>
          <w:tcPr>
            <w:tcW w:w="8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8" w:right="46"/>
              <w:jc w:val="left"/>
              <w:rPr>
                <w:rFonts w:ascii="宋体" w:hAnsi="宋体" w:cs="宋体" w:eastAsia="宋体" w:hint="default"/>
                <w:sz w:val="18"/>
                <w:szCs w:val="18"/>
              </w:rPr>
            </w:pPr>
            <w:r>
              <w:rPr>
                <w:rFonts w:ascii="宋体" w:hAnsi="宋体" w:cs="宋体" w:eastAsia="宋体" w:hint="default"/>
                <w:sz w:val="18"/>
                <w:szCs w:val="18"/>
              </w:rPr>
              <w:t>本期增持 股份数量</w:t>
            </w:r>
          </w:p>
          <w:p>
            <w:pPr>
              <w:pStyle w:val="TableParagraph"/>
              <w:spacing w:line="240" w:lineRule="auto" w:before="19"/>
              <w:ind w:left="136" w:right="0"/>
              <w:jc w:val="left"/>
              <w:rPr>
                <w:rFonts w:ascii="宋体" w:hAnsi="宋体" w:cs="宋体" w:eastAsia="宋体" w:hint="default"/>
                <w:sz w:val="18"/>
                <w:szCs w:val="18"/>
              </w:rPr>
            </w:pPr>
            <w:r>
              <w:rPr>
                <w:rFonts w:ascii="宋体" w:hAnsi="宋体" w:cs="宋体" w:eastAsia="宋体" w:hint="default"/>
                <w:sz w:val="18"/>
                <w:szCs w:val="18"/>
              </w:rPr>
              <w:t>（股）</w:t>
            </w:r>
          </w:p>
        </w:tc>
        <w:tc>
          <w:tcPr>
            <w:tcW w:w="8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7" w:right="43"/>
              <w:jc w:val="left"/>
              <w:rPr>
                <w:rFonts w:ascii="宋体" w:hAnsi="宋体" w:cs="宋体" w:eastAsia="宋体" w:hint="default"/>
                <w:sz w:val="18"/>
                <w:szCs w:val="18"/>
              </w:rPr>
            </w:pPr>
            <w:r>
              <w:rPr>
                <w:rFonts w:ascii="宋体" w:hAnsi="宋体" w:cs="宋体" w:eastAsia="宋体" w:hint="default"/>
                <w:sz w:val="18"/>
                <w:szCs w:val="18"/>
              </w:rPr>
              <w:t>本期减持 股份数量</w:t>
            </w:r>
          </w:p>
          <w:p>
            <w:pPr>
              <w:pStyle w:val="TableParagraph"/>
              <w:spacing w:line="240" w:lineRule="auto" w:before="19"/>
              <w:ind w:left="136" w:right="0"/>
              <w:jc w:val="left"/>
              <w:rPr>
                <w:rFonts w:ascii="宋体" w:hAnsi="宋体" w:cs="宋体" w:eastAsia="宋体" w:hint="default"/>
                <w:sz w:val="18"/>
                <w:szCs w:val="18"/>
              </w:rPr>
            </w:pPr>
            <w:r>
              <w:rPr>
                <w:rFonts w:ascii="宋体" w:hAnsi="宋体" w:cs="宋体" w:eastAsia="宋体" w:hint="default"/>
                <w:sz w:val="18"/>
                <w:szCs w:val="18"/>
              </w:rPr>
              <w:t>（股）</w:t>
            </w:r>
          </w:p>
        </w:tc>
        <w:tc>
          <w:tcPr>
            <w:tcW w:w="6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3" w:right="31"/>
              <w:jc w:val="left"/>
              <w:rPr>
                <w:rFonts w:ascii="宋体" w:hAnsi="宋体" w:cs="宋体" w:eastAsia="宋体" w:hint="default"/>
                <w:sz w:val="18"/>
                <w:szCs w:val="18"/>
              </w:rPr>
            </w:pPr>
            <w:r>
              <w:rPr>
                <w:rFonts w:ascii="宋体" w:hAnsi="宋体" w:cs="宋体" w:eastAsia="宋体" w:hint="default"/>
                <w:sz w:val="18"/>
                <w:szCs w:val="18"/>
              </w:rPr>
              <w:t>其他增 减变动</w:t>
            </w:r>
          </w:p>
          <w:p>
            <w:pPr>
              <w:pStyle w:val="TableParagraph"/>
              <w:spacing w:line="240" w:lineRule="auto" w:before="19"/>
              <w:ind w:left="33" w:right="0"/>
              <w:jc w:val="left"/>
              <w:rPr>
                <w:rFonts w:ascii="宋体" w:hAnsi="宋体" w:cs="宋体" w:eastAsia="宋体" w:hint="default"/>
                <w:sz w:val="18"/>
                <w:szCs w:val="18"/>
              </w:rPr>
            </w:pPr>
            <w:r>
              <w:rPr>
                <w:rFonts w:ascii="宋体" w:hAnsi="宋体" w:cs="宋体" w:eastAsia="宋体" w:hint="default"/>
                <w:sz w:val="18"/>
                <w:szCs w:val="18"/>
              </w:rPr>
              <w:t>（股）</w:t>
            </w:r>
          </w:p>
        </w:tc>
        <w:tc>
          <w:tcPr>
            <w:tcW w:w="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2" w:right="29" w:hanging="92"/>
              <w:jc w:val="left"/>
              <w:rPr>
                <w:rFonts w:ascii="宋体" w:hAnsi="宋体" w:cs="宋体" w:eastAsia="宋体" w:hint="default"/>
                <w:sz w:val="18"/>
                <w:szCs w:val="18"/>
              </w:rPr>
            </w:pPr>
            <w:r>
              <w:rPr>
                <w:rFonts w:ascii="宋体" w:hAnsi="宋体" w:cs="宋体" w:eastAsia="宋体" w:hint="default"/>
                <w:sz w:val="18"/>
                <w:szCs w:val="18"/>
              </w:rPr>
              <w:t>期末持 股数</w:t>
            </w:r>
          </w:p>
          <w:p>
            <w:pPr>
              <w:pStyle w:val="TableParagraph"/>
              <w:spacing w:line="240" w:lineRule="auto" w:before="19"/>
              <w:ind w:left="31" w:right="0"/>
              <w:jc w:val="left"/>
              <w:rPr>
                <w:rFonts w:ascii="宋体" w:hAnsi="宋体" w:cs="宋体" w:eastAsia="宋体" w:hint="default"/>
                <w:sz w:val="18"/>
                <w:szCs w:val="18"/>
              </w:rPr>
            </w:pPr>
            <w:r>
              <w:rPr>
                <w:rFonts w:ascii="宋体" w:hAnsi="宋体" w:cs="宋体" w:eastAsia="宋体" w:hint="default"/>
                <w:sz w:val="18"/>
                <w:szCs w:val="18"/>
              </w:rPr>
              <w:t>（股）</w:t>
            </w:r>
          </w:p>
        </w:tc>
      </w:tr>
      <w:tr>
        <w:trPr>
          <w:trHeight w:val="401" w:hRule="exact"/>
        </w:trPr>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纪晓文</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董事长</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46</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5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安鹏啸</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42</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5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陈永阳</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47</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5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1342" w:hRule="exact"/>
        </w:trPr>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5"/>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朱小艳</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47" w:right="43"/>
              <w:jc w:val="both"/>
              <w:rPr>
                <w:rFonts w:ascii="宋体" w:hAnsi="宋体" w:cs="宋体" w:eastAsia="宋体" w:hint="default"/>
                <w:sz w:val="18"/>
                <w:szCs w:val="18"/>
              </w:rPr>
            </w:pPr>
            <w:r>
              <w:rPr>
                <w:rFonts w:ascii="宋体" w:hAnsi="宋体" w:cs="宋体" w:eastAsia="宋体" w:hint="default"/>
                <w:sz w:val="18"/>
                <w:szCs w:val="18"/>
              </w:rPr>
              <w:t>董事、总 监理、董 事秘书、 财务总监</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5"/>
              <w:ind w:right="0"/>
              <w:jc w:val="left"/>
              <w:rPr>
                <w:rFonts w:ascii="Microsoft JhengHei" w:hAnsi="Microsoft JhengHei" w:cs="Microsoft JhengHei" w:eastAsia="Microsoft JhengHei" w:hint="default"/>
                <w:b/>
                <w:bCs/>
                <w:sz w:val="11"/>
                <w:szCs w:val="11"/>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5"/>
              <w:ind w:right="0"/>
              <w:jc w:val="left"/>
              <w:rPr>
                <w:rFonts w:ascii="Microsoft JhengHei" w:hAnsi="Microsoft JhengHei" w:cs="Microsoft JhengHei" w:eastAsia="Microsoft JhengHei" w:hint="default"/>
                <w:b/>
                <w:bCs/>
                <w:sz w:val="11"/>
                <w:szCs w:val="11"/>
              </w:rPr>
            </w:pPr>
          </w:p>
          <w:p>
            <w:pPr>
              <w:pStyle w:val="TableParagraph"/>
              <w:spacing w:line="240" w:lineRule="auto"/>
              <w:ind w:left="3"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5"/>
              <w:ind w:right="0"/>
              <w:jc w:val="left"/>
              <w:rPr>
                <w:rFonts w:ascii="Microsoft JhengHei" w:hAnsi="Microsoft JhengHei" w:cs="Microsoft JhengHei" w:eastAsia="Microsoft JhengHei" w:hint="default"/>
                <w:b/>
                <w:bCs/>
                <w:sz w:val="14"/>
                <w:szCs w:val="1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29</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5"/>
              <w:ind w:right="0"/>
              <w:jc w:val="left"/>
              <w:rPr>
                <w:rFonts w:ascii="Microsoft JhengHei" w:hAnsi="Microsoft JhengHei" w:cs="Microsoft JhengHei" w:eastAsia="Microsoft JhengHei" w:hint="default"/>
                <w:b/>
                <w:bCs/>
                <w:sz w:val="11"/>
                <w:szCs w:val="11"/>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5"/>
              <w:ind w:right="0"/>
              <w:jc w:val="left"/>
              <w:rPr>
                <w:rFonts w:ascii="Microsoft JhengHei" w:hAnsi="Microsoft JhengHei" w:cs="Microsoft JhengHei" w:eastAsia="Microsoft JhengHei" w:hint="default"/>
                <w:b/>
                <w:bCs/>
                <w:sz w:val="11"/>
                <w:szCs w:val="11"/>
              </w:rPr>
            </w:pPr>
          </w:p>
          <w:p>
            <w:pPr>
              <w:pStyle w:val="TableParagraph"/>
              <w:spacing w:line="240" w:lineRule="auto"/>
              <w:ind w:right="5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5"/>
              <w:ind w:right="0"/>
              <w:jc w:val="left"/>
              <w:rPr>
                <w:rFonts w:ascii="Microsoft JhengHei" w:hAnsi="Microsoft JhengHei" w:cs="Microsoft JhengHei" w:eastAsia="Microsoft JhengHei"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5"/>
              <w:ind w:right="0"/>
              <w:jc w:val="left"/>
              <w:rPr>
                <w:rFonts w:ascii="Microsoft JhengHei" w:hAnsi="Microsoft JhengHei" w:cs="Microsoft JhengHei" w:eastAsia="Microsoft JhengHei" w:hint="default"/>
                <w:b/>
                <w:bCs/>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5"/>
              <w:ind w:right="0"/>
              <w:jc w:val="left"/>
              <w:rPr>
                <w:rFonts w:ascii="Microsoft JhengHei" w:hAnsi="Microsoft JhengHei" w:cs="Microsoft JhengHei" w:eastAsia="Microsoft JhengHei"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5"/>
              <w:ind w:right="0"/>
              <w:jc w:val="left"/>
              <w:rPr>
                <w:rFonts w:ascii="Microsoft JhengHei" w:hAnsi="Microsoft JhengHei" w:cs="Microsoft JhengHei" w:eastAsia="Microsoft JhengHei"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5"/>
              <w:ind w:right="0"/>
              <w:jc w:val="left"/>
              <w:rPr>
                <w:rFonts w:ascii="Microsoft JhengHei" w:hAnsi="Microsoft JhengHei" w:cs="Microsoft JhengHei" w:eastAsia="Microsoft JhengHei"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顾旭芬</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72</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5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纪晓腾</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50</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r>
      <w:tr>
        <w:trPr>
          <w:trHeight w:val="411" w:hRule="exact"/>
        </w:trPr>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邢伟</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3"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47</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5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0</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0</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0</w:t>
            </w:r>
          </w:p>
        </w:tc>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0</w:t>
            </w:r>
          </w:p>
        </w:tc>
      </w:tr>
      <w:tr>
        <w:trPr>
          <w:trHeight w:val="713" w:hRule="exact"/>
        </w:trPr>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沈新鹏</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319" w:right="43" w:hanging="272"/>
              <w:jc w:val="left"/>
              <w:rPr>
                <w:rFonts w:ascii="宋体" w:hAnsi="宋体" w:cs="宋体" w:eastAsia="宋体" w:hint="default"/>
                <w:sz w:val="18"/>
                <w:szCs w:val="18"/>
              </w:rPr>
            </w:pPr>
            <w:r>
              <w:rPr>
                <w:rFonts w:ascii="宋体" w:hAnsi="宋体" w:cs="宋体" w:eastAsia="宋体" w:hint="default"/>
                <w:sz w:val="18"/>
                <w:szCs w:val="18"/>
              </w:rPr>
              <w:t>监事会主 席</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3"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48</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right="5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邹赐春</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46</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5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施冉冉</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39</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5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10" w:hRule="exact"/>
        </w:trPr>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陈惠板</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3"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45</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5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0</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0</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0</w:t>
            </w:r>
          </w:p>
        </w:tc>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孙昊</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46</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5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栾明</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46</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5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716" w:hRule="exact"/>
        </w:trPr>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黄逸贤</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39" w:right="43" w:hanging="92"/>
              <w:jc w:val="left"/>
              <w:rPr>
                <w:rFonts w:ascii="宋体" w:hAnsi="宋体" w:cs="宋体" w:eastAsia="宋体" w:hint="default"/>
                <w:sz w:val="18"/>
                <w:szCs w:val="18"/>
              </w:rPr>
            </w:pPr>
            <w:r>
              <w:rPr>
                <w:rFonts w:ascii="宋体" w:hAnsi="宋体" w:cs="宋体" w:eastAsia="宋体" w:hint="default"/>
                <w:sz w:val="18"/>
                <w:szCs w:val="18"/>
              </w:rPr>
              <w:t>董事、副 总经理</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3"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4"/>
                <w:szCs w:val="1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46</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right="5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408" w:hRule="exact"/>
        </w:trPr>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郑伟华</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40</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日</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向隽</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43</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8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8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5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11"/>
        <w:rPr>
          <w:rFonts w:ascii="Microsoft JhengHei" w:hAnsi="Microsoft JhengHei" w:cs="Microsoft JhengHei" w:eastAsia="Microsoft JhengHei" w:hint="default"/>
          <w:b/>
          <w:bCs/>
          <w:sz w:val="13"/>
          <w:szCs w:val="13"/>
        </w:rPr>
      </w:pPr>
    </w:p>
    <w:p>
      <w:pPr>
        <w:pStyle w:val="Heading2"/>
        <w:spacing w:line="367" w:lineRule="exact"/>
        <w:ind w:right="0"/>
        <w:jc w:val="left"/>
        <w:rPr>
          <w:b w:val="0"/>
          <w:bCs w:val="0"/>
        </w:rPr>
      </w:pPr>
      <w:r>
        <w:rPr/>
        <w:t>二、公司董事、监事、高级管理人员变动情况</w:t>
      </w:r>
      <w:r>
        <w:rPr>
          <w:b w:val="0"/>
          <w:bCs w:val="0"/>
        </w:rPr>
      </w:r>
    </w:p>
    <w:p>
      <w:pPr>
        <w:spacing w:line="240" w:lineRule="auto" w:before="3"/>
        <w:rPr>
          <w:rFonts w:ascii="Microsoft JhengHei" w:hAnsi="Microsoft JhengHei" w:cs="Microsoft JhengHei" w:eastAsia="Microsoft JhengHei" w:hint="default"/>
          <w:b/>
          <w:bCs/>
          <w:sz w:val="18"/>
          <w:szCs w:val="18"/>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19" w:type="dxa"/>
        <w:tblLayout w:type="fixed"/>
        <w:tblCellMar>
          <w:top w:w="0" w:type="dxa"/>
          <w:left w:w="0" w:type="dxa"/>
          <w:bottom w:w="0" w:type="dxa"/>
          <w:right w:w="0" w:type="dxa"/>
        </w:tblCellMar>
        <w:tblLook w:val="01E0"/>
      </w:tblPr>
      <w:tblGrid>
        <w:gridCol w:w="1349"/>
        <w:gridCol w:w="1347"/>
        <w:gridCol w:w="1349"/>
        <w:gridCol w:w="1656"/>
        <w:gridCol w:w="3997"/>
      </w:tblGrid>
      <w:tr>
        <w:trPr>
          <w:trHeight w:val="401" w:hRule="exact"/>
        </w:trPr>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日期</w:t>
            </w:r>
          </w:p>
        </w:tc>
        <w:tc>
          <w:tcPr>
            <w:tcW w:w="39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403" w:hRule="exact"/>
        </w:trPr>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黄逸贤</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3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个人原因</w:t>
            </w:r>
          </w:p>
        </w:tc>
      </w:tr>
      <w:tr>
        <w:trPr>
          <w:trHeight w:val="401" w:hRule="exact"/>
        </w:trPr>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郑伟华</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1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日</w:t>
            </w:r>
          </w:p>
        </w:tc>
        <w:tc>
          <w:tcPr>
            <w:tcW w:w="3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个人原因</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660"/>
        </w:sectPr>
      </w:pPr>
    </w:p>
    <w:p>
      <w:pPr>
        <w:spacing w:line="240" w:lineRule="auto" w:before="6"/>
        <w:rPr>
          <w:rFonts w:ascii="宋体" w:hAnsi="宋体" w:cs="宋体" w:eastAsia="宋体" w:hint="default"/>
          <w:sz w:val="28"/>
          <w:szCs w:val="28"/>
        </w:rPr>
      </w:pPr>
    </w:p>
    <w:tbl>
      <w:tblPr>
        <w:tblW w:w="0" w:type="auto"/>
        <w:jc w:val="left"/>
        <w:tblInd w:w="116" w:type="dxa"/>
        <w:tblLayout w:type="fixed"/>
        <w:tblCellMar>
          <w:top w:w="0" w:type="dxa"/>
          <w:left w:w="0" w:type="dxa"/>
          <w:bottom w:w="0" w:type="dxa"/>
          <w:right w:w="0" w:type="dxa"/>
        </w:tblCellMar>
        <w:tblLook w:val="01E0"/>
      </w:tblPr>
      <w:tblGrid>
        <w:gridCol w:w="1352"/>
        <w:gridCol w:w="1347"/>
        <w:gridCol w:w="1349"/>
        <w:gridCol w:w="1656"/>
        <w:gridCol w:w="3997"/>
      </w:tblGrid>
      <w:tr>
        <w:trPr>
          <w:trHeight w:val="404" w:hRule="exact"/>
        </w:trPr>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向隽</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3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个人原因</w:t>
            </w:r>
          </w:p>
        </w:tc>
      </w:tr>
    </w:tbl>
    <w:p>
      <w:pPr>
        <w:spacing w:line="240" w:lineRule="auto" w:before="1"/>
        <w:rPr>
          <w:rFonts w:ascii="宋体" w:hAnsi="宋体" w:cs="宋体" w:eastAsia="宋体" w:hint="default"/>
          <w:sz w:val="18"/>
          <w:szCs w:val="18"/>
        </w:rPr>
      </w:pPr>
    </w:p>
    <w:p>
      <w:pPr>
        <w:pStyle w:val="Heading2"/>
        <w:spacing w:line="367" w:lineRule="exact"/>
        <w:ind w:right="94"/>
        <w:jc w:val="left"/>
        <w:rPr>
          <w:b w:val="0"/>
          <w:bCs w:val="0"/>
        </w:rPr>
      </w:pPr>
      <w:r>
        <w:rPr/>
        <w:t>三、任职情况</w:t>
      </w:r>
      <w:r>
        <w:rPr>
          <w:b w:val="0"/>
          <w:bCs w:val="0"/>
        </w:rPr>
      </w:r>
    </w:p>
    <w:p>
      <w:pPr>
        <w:spacing w:line="240" w:lineRule="auto" w:before="3"/>
        <w:rPr>
          <w:rFonts w:ascii="Microsoft JhengHei" w:hAnsi="Microsoft JhengHei" w:cs="Microsoft JhengHei" w:eastAsia="Microsoft JhengHei" w:hint="default"/>
          <w:b/>
          <w:bCs/>
          <w:sz w:val="18"/>
          <w:szCs w:val="18"/>
        </w:rPr>
      </w:pPr>
    </w:p>
    <w:p>
      <w:pPr>
        <w:pStyle w:val="BodyText"/>
        <w:spacing w:line="240" w:lineRule="auto"/>
        <w:ind w:right="94"/>
        <w:jc w:val="left"/>
      </w:pPr>
      <w:r>
        <w:rPr/>
        <w:t>公司现任董事、监事、高级管理人员专业背景、主要工作经历以及目前在公司的主要职责</w:t>
      </w:r>
    </w:p>
    <w:p>
      <w:pPr>
        <w:pStyle w:val="Heading3"/>
        <w:spacing w:line="240" w:lineRule="auto" w:before="106"/>
        <w:ind w:left="575" w:right="94"/>
        <w:jc w:val="left"/>
        <w:rPr>
          <w:b w:val="0"/>
          <w:bCs w:val="0"/>
        </w:rPr>
      </w:pPr>
      <w:r>
        <w:rPr/>
        <w:t>（一）现任董事</w:t>
      </w:r>
      <w:r>
        <w:rPr>
          <w:b w:val="0"/>
          <w:bCs w:val="0"/>
        </w:rPr>
      </w:r>
    </w:p>
    <w:p>
      <w:pPr>
        <w:spacing w:line="240" w:lineRule="auto" w:before="7"/>
        <w:rPr>
          <w:rFonts w:ascii="Microsoft JhengHei" w:hAnsi="Microsoft JhengHei" w:cs="Microsoft JhengHei" w:eastAsia="Microsoft JhengHei" w:hint="default"/>
          <w:b/>
          <w:bCs/>
          <w:sz w:val="13"/>
          <w:szCs w:val="13"/>
        </w:rPr>
      </w:pPr>
    </w:p>
    <w:p>
      <w:pPr>
        <w:pStyle w:val="BodyText"/>
        <w:spacing w:line="477" w:lineRule="auto"/>
        <w:ind w:right="94" w:firstLine="360"/>
        <w:jc w:val="left"/>
      </w:pPr>
      <w:r>
        <w:rPr>
          <w:spacing w:val="-2"/>
        </w:rPr>
        <w:t>纪晓文，男，中国国籍，汉族，</w:t>
      </w:r>
      <w:r>
        <w:rPr>
          <w:rFonts w:ascii="宋体" w:hAnsi="宋体" w:cs="宋体" w:eastAsia="宋体" w:hint="default"/>
          <w:spacing w:val="-2"/>
        </w:rPr>
        <w:t>1972</w:t>
      </w:r>
      <w:r>
        <w:rPr>
          <w:spacing w:val="-2"/>
        </w:rPr>
        <w:t>年出生，天津大学经济法专业、工业工程管理专业毕业，山东大学</w:t>
      </w:r>
      <w:r>
        <w:rPr>
          <w:rFonts w:ascii="宋体" w:hAnsi="宋体" w:cs="宋体" w:eastAsia="宋体" w:hint="default"/>
          <w:spacing w:val="-2"/>
        </w:rPr>
        <w:t>EMBA</w:t>
      </w:r>
      <w:r>
        <w:rPr>
          <w:spacing w:val="-2"/>
        </w:rPr>
        <w:t>，获得国家</w:t>
      </w:r>
      <w:r>
        <w:rPr/>
        <w:t> </w:t>
      </w:r>
      <w:r>
        <w:rPr>
          <w:spacing w:val="-2"/>
        </w:rPr>
        <w:t>律师资格、证券从业资格、独立董事任职资格、董事会秘书任职资格。先后担任中国银行山东省分行法律事务处主管、中国</w:t>
      </w:r>
      <w:r>
        <w:rPr>
          <w:spacing w:val="-67"/>
        </w:rPr>
        <w:t> </w:t>
      </w:r>
      <w:r>
        <w:rPr>
          <w:spacing w:val="-67"/>
        </w:rPr>
      </w:r>
      <w:r>
        <w:rPr/>
        <w:t>东方资产管理公司青岛办事处投资部经理、中银信投资有限公司副总经理、山东九发食用菌股份有限公司董事长兼总经理、 瑞茂通供应链管理股份有限公司董事、深圳市惠程电气股份有限公司董事长。</w:t>
      </w:r>
      <w:r>
        <w:rPr>
          <w:rFonts w:ascii="宋体" w:hAnsi="宋体" w:cs="宋体" w:eastAsia="宋体" w:hint="default"/>
        </w:rPr>
        <w:t>2016</w:t>
      </w:r>
      <w:r>
        <w:rPr/>
        <w:t>年</w:t>
      </w:r>
      <w:r>
        <w:rPr>
          <w:rFonts w:ascii="宋体" w:hAnsi="宋体" w:cs="宋体" w:eastAsia="宋体" w:hint="default"/>
        </w:rPr>
        <w:t>9</w:t>
      </w:r>
      <w:r>
        <w:rPr/>
        <w:t>月</w:t>
      </w:r>
      <w:r>
        <w:rPr>
          <w:rFonts w:ascii="宋体" w:hAnsi="宋体" w:cs="宋体" w:eastAsia="宋体" w:hint="default"/>
        </w:rPr>
        <w:t>20</w:t>
      </w:r>
      <w:r>
        <w:rPr/>
        <w:t>日起担任公司第三届董事会董事</w:t>
      </w:r>
      <w:r>
        <w:rPr>
          <w:spacing w:val="-85"/>
        </w:rPr>
        <w:t> </w:t>
      </w:r>
      <w:r>
        <w:rPr>
          <w:spacing w:val="-85"/>
        </w:rPr>
      </w:r>
      <w:r>
        <w:rPr/>
        <w:t>长。</w:t>
      </w:r>
    </w:p>
    <w:p>
      <w:pPr>
        <w:pStyle w:val="BodyText"/>
        <w:spacing w:line="477" w:lineRule="auto" w:before="92"/>
        <w:ind w:right="94" w:firstLine="360"/>
        <w:jc w:val="left"/>
      </w:pPr>
      <w:r>
        <w:rPr/>
        <w:t>安鹏啸，男，中国国籍，汉族，</w:t>
      </w:r>
      <w:r>
        <w:rPr>
          <w:rFonts w:ascii="宋体" w:hAnsi="宋体" w:cs="宋体" w:eastAsia="宋体" w:hint="default"/>
        </w:rPr>
        <w:t>1976</w:t>
      </w:r>
      <w:r>
        <w:rPr/>
        <w:t>年出生，西安交通大学法学专业本科毕业。历任山东中创软件股份有限公司职员、 </w:t>
      </w:r>
      <w:r>
        <w:rPr>
          <w:spacing w:val="-2"/>
        </w:rPr>
        <w:t>山东建邦集团部门总经理、蓝色经济区产业投资基金首席风控官、深圳市惠程电气股份有限公司监事，现任山东建邦集团副</w:t>
      </w:r>
      <w:r>
        <w:rPr>
          <w:spacing w:val="-61"/>
        </w:rPr>
        <w:t> </w:t>
      </w:r>
      <w:r>
        <w:rPr>
          <w:spacing w:val="-61"/>
        </w:rPr>
      </w:r>
      <w:r>
        <w:rPr/>
        <w:t>总裁。</w:t>
      </w:r>
      <w:r>
        <w:rPr>
          <w:rFonts w:ascii="宋体" w:hAnsi="宋体" w:cs="宋体" w:eastAsia="宋体" w:hint="default"/>
        </w:rPr>
        <w:t>2016</w:t>
      </w:r>
      <w:r>
        <w:rPr/>
        <w:t>年</w:t>
      </w:r>
      <w:r>
        <w:rPr>
          <w:rFonts w:ascii="宋体" w:hAnsi="宋体" w:cs="宋体" w:eastAsia="宋体" w:hint="default"/>
        </w:rPr>
        <w:t>9</w:t>
      </w:r>
      <w:r>
        <w:rPr/>
        <w:t>月</w:t>
      </w:r>
      <w:r>
        <w:rPr>
          <w:rFonts w:ascii="宋体" w:hAnsi="宋体" w:cs="宋体" w:eastAsia="宋体" w:hint="default"/>
        </w:rPr>
        <w:t>20</w:t>
      </w:r>
      <w:r>
        <w:rPr/>
        <w:t>日起担任公司董事会董事。</w:t>
      </w:r>
    </w:p>
    <w:p>
      <w:pPr>
        <w:pStyle w:val="BodyText"/>
        <w:spacing w:line="477" w:lineRule="auto" w:before="95"/>
        <w:ind w:right="190" w:firstLine="360"/>
        <w:jc w:val="both"/>
      </w:pPr>
      <w:r>
        <w:rPr>
          <w:spacing w:val="-2"/>
        </w:rPr>
        <w:t>陈永阳，男，中国国籍，汉族，</w:t>
      </w:r>
      <w:r>
        <w:rPr>
          <w:rFonts w:ascii="宋体" w:hAnsi="宋体" w:cs="宋体" w:eastAsia="宋体" w:hint="default"/>
          <w:spacing w:val="-2"/>
        </w:rPr>
        <w:t>1971</w:t>
      </w:r>
      <w:r>
        <w:rPr>
          <w:spacing w:val="-2"/>
        </w:rPr>
        <w:t>年出生，湖南师范大学中文系本科毕业、西南政法大学研究生经济法硕士毕业、长</w:t>
      </w:r>
      <w:r>
        <w:rPr/>
        <w:t> </w:t>
      </w:r>
      <w:r>
        <w:rPr>
          <w:spacing w:val="-2"/>
        </w:rPr>
        <w:t>江商学院</w:t>
      </w:r>
      <w:r>
        <w:rPr>
          <w:rFonts w:ascii="宋体" w:hAnsi="宋体" w:cs="宋体" w:eastAsia="宋体" w:hint="default"/>
          <w:spacing w:val="-2"/>
        </w:rPr>
        <w:t>EMBA</w:t>
      </w:r>
      <w:r>
        <w:rPr>
          <w:spacing w:val="-2"/>
        </w:rPr>
        <w:t>，曾任中信北京国安电气总公司计划部项目经理、国信证券投资银行部高级经理、上海证券投资银行部副总经</w:t>
      </w:r>
      <w:r>
        <w:rPr>
          <w:spacing w:val="-61"/>
        </w:rPr>
        <w:t> </w:t>
      </w:r>
      <w:r>
        <w:rPr>
          <w:spacing w:val="-61"/>
        </w:rPr>
      </w:r>
      <w:r>
        <w:rPr/>
        <w:t>理、海际证券公司副总经理、现任上海趵朴投资管理有限公司总经理。</w:t>
      </w:r>
      <w:r>
        <w:rPr>
          <w:rFonts w:ascii="宋体" w:hAnsi="宋体" w:cs="宋体" w:eastAsia="宋体" w:hint="default"/>
        </w:rPr>
        <w:t>2016</w:t>
      </w:r>
      <w:r>
        <w:rPr/>
        <w:t>年</w:t>
      </w:r>
      <w:r>
        <w:rPr>
          <w:rFonts w:ascii="宋体" w:hAnsi="宋体" w:cs="宋体" w:eastAsia="宋体" w:hint="default"/>
        </w:rPr>
        <w:t>9</w:t>
      </w:r>
      <w:r>
        <w:rPr/>
        <w:t>月</w:t>
      </w:r>
      <w:r>
        <w:rPr>
          <w:rFonts w:ascii="宋体" w:hAnsi="宋体" w:cs="宋体" w:eastAsia="宋体" w:hint="default"/>
        </w:rPr>
        <w:t>20</w:t>
      </w:r>
      <w:r>
        <w:rPr/>
        <w:t>日起担任公司董事会董事。</w:t>
      </w:r>
    </w:p>
    <w:p>
      <w:pPr>
        <w:pStyle w:val="BodyText"/>
        <w:spacing w:line="475" w:lineRule="auto" w:before="95"/>
        <w:ind w:right="94" w:firstLine="360"/>
        <w:jc w:val="left"/>
      </w:pPr>
      <w:r>
        <w:rPr>
          <w:spacing w:val="-2"/>
        </w:rPr>
        <w:t>朱小艳，女，中国国籍，汉族，</w:t>
      </w:r>
      <w:r>
        <w:rPr>
          <w:rFonts w:ascii="宋体" w:hAnsi="宋体" w:cs="宋体" w:eastAsia="宋体" w:hint="default"/>
          <w:spacing w:val="-2"/>
        </w:rPr>
        <w:t>1989</w:t>
      </w:r>
      <w:r>
        <w:rPr>
          <w:spacing w:val="-2"/>
        </w:rPr>
        <w:t>年出生，湖南商学院物流管理专业毕业，获得中国注册会计师资格、董事会秘书任</w:t>
      </w:r>
      <w:r>
        <w:rPr/>
        <w:t> 职资格、证券从业资格、会计从业资格。曾任天职国际会计师事务所审计员、深圳市惠程电气股份有限公司证券事务代表、 投资管理部副经理。</w:t>
      </w:r>
      <w:r>
        <w:rPr>
          <w:rFonts w:ascii="宋体" w:hAnsi="宋体" w:cs="宋体" w:eastAsia="宋体" w:hint="default"/>
        </w:rPr>
        <w:t>2016</w:t>
      </w:r>
      <w:r>
        <w:rPr/>
        <w:t>年</w:t>
      </w:r>
      <w:r>
        <w:rPr>
          <w:rFonts w:ascii="宋体" w:hAnsi="宋体" w:cs="宋体" w:eastAsia="宋体" w:hint="default"/>
        </w:rPr>
        <w:t>9</w:t>
      </w:r>
      <w:r>
        <w:rPr/>
        <w:t>月</w:t>
      </w:r>
      <w:r>
        <w:rPr>
          <w:rFonts w:ascii="宋体" w:hAnsi="宋体" w:cs="宋体" w:eastAsia="宋体" w:hint="default"/>
        </w:rPr>
        <w:t>20</w:t>
      </w:r>
      <w:r>
        <w:rPr/>
        <w:t>日起担任公司董事会董事、总经理、董事会秘书、财务总监。</w:t>
      </w:r>
    </w:p>
    <w:p>
      <w:pPr>
        <w:pStyle w:val="BodyText"/>
        <w:spacing w:line="477" w:lineRule="auto" w:before="97"/>
        <w:ind w:right="94" w:firstLine="360"/>
        <w:jc w:val="left"/>
      </w:pPr>
      <w:r>
        <w:rPr>
          <w:spacing w:val="-2"/>
        </w:rPr>
        <w:t>顾旭芬，女，中国国籍，汉族，</w:t>
      </w:r>
      <w:r>
        <w:rPr>
          <w:rFonts w:ascii="宋体" w:hAnsi="宋体" w:cs="宋体" w:eastAsia="宋体" w:hint="default"/>
          <w:spacing w:val="-2"/>
        </w:rPr>
        <w:t>1946</w:t>
      </w:r>
      <w:r>
        <w:rPr>
          <w:spacing w:val="-2"/>
        </w:rPr>
        <w:t>年出生，东方高级管理学院硕士，先后获得高级会计师、注册会计师、注册税务师</w:t>
      </w:r>
      <w:r>
        <w:rPr/>
        <w:t> </w:t>
      </w:r>
      <w:r>
        <w:rPr>
          <w:spacing w:val="-4"/>
        </w:rPr>
        <w:t>资格、独立董事任职资格。曾任青岛市地税市北分局副局长、局长，青岛市国税局市北分局书记、青岛市南国家税务局书记，</w:t>
      </w:r>
      <w:r>
        <w:rPr>
          <w:spacing w:val="-43"/>
        </w:rPr>
        <w:t> </w:t>
      </w:r>
      <w:r>
        <w:rPr>
          <w:spacing w:val="-43"/>
        </w:rPr>
      </w:r>
      <w:r>
        <w:rPr/>
        <w:t>现任青岛振青会计师事务所有限公司董事长、主任会计师，兼任中国注册会计师协会理事、中国注册税务师协会常务理事、</w:t>
      </w:r>
      <w:r>
        <w:rPr/>
        <w:t> 青岛市人民检察院督察员、山东省高级人民法院执法监督员、中国海洋大学兼职教授等。</w:t>
      </w:r>
      <w:r>
        <w:rPr>
          <w:rFonts w:ascii="宋体" w:hAnsi="宋体" w:cs="宋体" w:eastAsia="宋体" w:hint="default"/>
        </w:rPr>
        <w:t>2016</w:t>
      </w:r>
      <w:r>
        <w:rPr/>
        <w:t>年</w:t>
      </w:r>
      <w:r>
        <w:rPr>
          <w:rFonts w:ascii="宋体" w:hAnsi="宋体" w:cs="宋体" w:eastAsia="宋体" w:hint="default"/>
        </w:rPr>
        <w:t>9</w:t>
      </w:r>
      <w:r>
        <w:rPr/>
        <w:t>月</w:t>
      </w:r>
      <w:r>
        <w:rPr>
          <w:rFonts w:ascii="宋体" w:hAnsi="宋体" w:cs="宋体" w:eastAsia="宋体" w:hint="default"/>
        </w:rPr>
        <w:t>20</w:t>
      </w:r>
      <w:r>
        <w:rPr/>
        <w:t>日起担任公司董事会</w:t>
      </w:r>
      <w:r>
        <w:rPr>
          <w:spacing w:val="-85"/>
        </w:rPr>
        <w:t> </w:t>
      </w:r>
      <w:r>
        <w:rPr/>
        <w:t>独立董事。</w:t>
      </w:r>
    </w:p>
    <w:p>
      <w:pPr>
        <w:pStyle w:val="BodyText"/>
        <w:spacing w:line="477" w:lineRule="auto" w:before="95"/>
        <w:ind w:right="193" w:firstLine="360"/>
        <w:jc w:val="both"/>
      </w:pPr>
      <w:r>
        <w:rPr>
          <w:spacing w:val="-2"/>
        </w:rPr>
        <w:t>纪晓腾，男，中国国籍，汉族，</w:t>
      </w:r>
      <w:r>
        <w:rPr>
          <w:rFonts w:ascii="宋体" w:hAnsi="宋体" w:cs="宋体" w:eastAsia="宋体" w:hint="default"/>
          <w:spacing w:val="-2"/>
        </w:rPr>
        <w:t>1968</w:t>
      </w:r>
      <w:r>
        <w:rPr>
          <w:spacing w:val="-2"/>
        </w:rPr>
        <w:t>年生，山东省政法干部管理学院法律专业毕业，获中华人民共和国律师资格、全国</w:t>
      </w:r>
      <w:r>
        <w:rPr/>
        <w:t> </w:t>
      </w:r>
      <w:r>
        <w:rPr>
          <w:spacing w:val="-2"/>
        </w:rPr>
        <w:t>法律顾问资格、经济师、独立董事任职资格。曾任山东省苍山县法律顾问处律师、中国农业银行山东省分行法律处科长、中</w:t>
      </w:r>
      <w:r>
        <w:rPr>
          <w:spacing w:val="-67"/>
        </w:rPr>
        <w:t> </w:t>
      </w:r>
      <w:r>
        <w:rPr>
          <w:spacing w:val="-67"/>
        </w:rPr>
      </w:r>
      <w:r>
        <w:rPr>
          <w:spacing w:val="-2"/>
        </w:rPr>
        <w:t>国长城投资管理有限公司济南办事处处长助理、副处长，资产经营部重大项目管理部经理，现任山东欧亚投资有限公司总经</w:t>
      </w:r>
      <w:r>
        <w:rPr>
          <w:spacing w:val="-66"/>
        </w:rPr>
        <w:t> </w:t>
      </w:r>
      <w:r>
        <w:rPr>
          <w:spacing w:val="-66"/>
        </w:rPr>
      </w:r>
      <w:r>
        <w:rPr/>
        <w:t>理。</w:t>
      </w:r>
      <w:r>
        <w:rPr>
          <w:rFonts w:ascii="宋体" w:hAnsi="宋体" w:cs="宋体" w:eastAsia="宋体" w:hint="default"/>
        </w:rPr>
        <w:t>2016</w:t>
      </w:r>
      <w:r>
        <w:rPr/>
        <w:t>年</w:t>
      </w:r>
      <w:r>
        <w:rPr>
          <w:rFonts w:ascii="宋体" w:hAnsi="宋体" w:cs="宋体" w:eastAsia="宋体" w:hint="default"/>
        </w:rPr>
        <w:t>9</w:t>
      </w:r>
      <w:r>
        <w:rPr/>
        <w:t>月</w:t>
      </w:r>
      <w:r>
        <w:rPr>
          <w:rFonts w:ascii="宋体" w:hAnsi="宋体" w:cs="宋体" w:eastAsia="宋体" w:hint="default"/>
        </w:rPr>
        <w:t>20</w:t>
      </w:r>
      <w:r>
        <w:rPr/>
        <w:t>日起担任公司董事会独立董事。</w:t>
      </w:r>
    </w:p>
    <w:p>
      <w:pPr>
        <w:pStyle w:val="BodyText"/>
        <w:spacing w:line="240" w:lineRule="auto" w:before="92"/>
        <w:ind w:left="513" w:right="0"/>
        <w:jc w:val="left"/>
      </w:pPr>
      <w:r>
        <w:rPr/>
        <w:t>邢伟，男，中国国籍，汉族，</w:t>
      </w:r>
      <w:r>
        <w:rPr>
          <w:rFonts w:ascii="宋体" w:hAnsi="宋体" w:cs="宋体" w:eastAsia="宋体" w:hint="default"/>
        </w:rPr>
        <w:t>1971</w:t>
      </w:r>
      <w:r>
        <w:rPr/>
        <w:t>年出生，西南农业大学经济学学士，先后获得审计师、注册会计师、律师、独立董事</w:t>
      </w:r>
    </w:p>
    <w:p>
      <w:pPr>
        <w:spacing w:after="0" w:line="240" w:lineRule="auto"/>
        <w:jc w:val="left"/>
        <w:sectPr>
          <w:pgSz w:w="11910" w:h="16840"/>
          <w:pgMar w:header="745" w:footer="979" w:top="1060" w:bottom="1160" w:left="980" w:right="94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477" w:lineRule="auto"/>
        <w:ind w:right="190"/>
        <w:jc w:val="both"/>
      </w:pPr>
      <w:r>
        <w:rPr>
          <w:spacing w:val="-2"/>
        </w:rPr>
        <w:t>任职等资格。曾任山东华鲁审计事务所项目经理、山东天恒信有限责任会计师事务所济南分所项目经理、山东德衡律师事务</w:t>
      </w:r>
      <w:r>
        <w:rPr>
          <w:spacing w:val="-63"/>
        </w:rPr>
        <w:t> </w:t>
      </w:r>
      <w:r>
        <w:rPr>
          <w:spacing w:val="-63"/>
        </w:rPr>
      </w:r>
      <w:r>
        <w:rPr>
          <w:spacing w:val="-2"/>
        </w:rPr>
        <w:t>所济南分所律师、山东华兴会计师事务所有限公司项目经理、山东新永信会计师事务所有限公司部门经理、山东大华会计师</w:t>
      </w:r>
      <w:r>
        <w:rPr>
          <w:spacing w:val="-63"/>
        </w:rPr>
        <w:t> </w:t>
      </w:r>
      <w:r>
        <w:rPr>
          <w:spacing w:val="-63"/>
        </w:rPr>
      </w:r>
      <w:r>
        <w:rPr>
          <w:spacing w:val="-2"/>
        </w:rPr>
        <w:t>事务所有限公司副董事长、深圳市惠程电气股份有限公司独立董事。现任山东东和会计师事务所（普通合伙）执行事务合伙</w:t>
      </w:r>
      <w:r>
        <w:rPr>
          <w:spacing w:val="-64"/>
        </w:rPr>
        <w:t> </w:t>
      </w:r>
      <w:r>
        <w:rPr>
          <w:spacing w:val="-64"/>
        </w:rPr>
      </w:r>
      <w:r>
        <w:rPr/>
        <w:t>人。</w:t>
      </w:r>
      <w:r>
        <w:rPr>
          <w:rFonts w:ascii="宋体" w:hAnsi="宋体" w:cs="宋体" w:eastAsia="宋体" w:hint="default"/>
        </w:rPr>
        <w:t>2016</w:t>
      </w:r>
      <w:r>
        <w:rPr/>
        <w:t>年</w:t>
      </w:r>
      <w:r>
        <w:rPr>
          <w:rFonts w:ascii="宋体" w:hAnsi="宋体" w:cs="宋体" w:eastAsia="宋体" w:hint="default"/>
        </w:rPr>
        <w:t>9</w:t>
      </w:r>
      <w:r>
        <w:rPr/>
        <w:t>月</w:t>
      </w:r>
      <w:r>
        <w:rPr>
          <w:rFonts w:ascii="宋体" w:hAnsi="宋体" w:cs="宋体" w:eastAsia="宋体" w:hint="default"/>
        </w:rPr>
        <w:t>20</w:t>
      </w:r>
      <w:r>
        <w:rPr/>
        <w:t>日起担任公司董事会独立董事。</w:t>
      </w:r>
    </w:p>
    <w:p>
      <w:pPr>
        <w:pStyle w:val="Heading3"/>
        <w:spacing w:line="240" w:lineRule="auto" w:before="5"/>
        <w:ind w:left="575" w:right="94"/>
        <w:jc w:val="left"/>
        <w:rPr>
          <w:b w:val="0"/>
          <w:bCs w:val="0"/>
        </w:rPr>
      </w:pPr>
      <w:r>
        <w:rPr/>
        <w:t>（二）现任监事</w:t>
      </w:r>
      <w:r>
        <w:rPr>
          <w:b w:val="0"/>
          <w:bCs w:val="0"/>
        </w:rPr>
      </w:r>
    </w:p>
    <w:p>
      <w:pPr>
        <w:spacing w:line="240" w:lineRule="auto" w:before="4"/>
        <w:rPr>
          <w:rFonts w:ascii="Microsoft JhengHei" w:hAnsi="Microsoft JhengHei" w:cs="Microsoft JhengHei" w:eastAsia="Microsoft JhengHei" w:hint="default"/>
          <w:b/>
          <w:bCs/>
          <w:sz w:val="13"/>
          <w:szCs w:val="13"/>
        </w:rPr>
      </w:pPr>
    </w:p>
    <w:p>
      <w:pPr>
        <w:pStyle w:val="BodyText"/>
        <w:spacing w:line="477" w:lineRule="auto"/>
        <w:ind w:right="191" w:firstLine="360"/>
        <w:jc w:val="both"/>
      </w:pPr>
      <w:r>
        <w:rPr>
          <w:spacing w:val="-2"/>
        </w:rPr>
        <w:t>沈新鹏，男，中国国籍，汉族，</w:t>
      </w:r>
      <w:r>
        <w:rPr>
          <w:rFonts w:ascii="宋体" w:hAnsi="宋体" w:cs="宋体" w:eastAsia="宋体" w:hint="default"/>
          <w:spacing w:val="-2"/>
        </w:rPr>
        <w:t>1970</w:t>
      </w:r>
      <w:r>
        <w:rPr>
          <w:spacing w:val="-2"/>
        </w:rPr>
        <w:t>年出生，湖南省中南工学院建筑工程本科毕业、山东大学工商管理硕士毕业，获国</w:t>
      </w:r>
      <w:r>
        <w:rPr/>
        <w:t> 家一级建造师资格、高级工程师资格、江苏省南通市海安县第七批专业技术拔尖人才称号、江苏省南通市第四期“</w:t>
      </w:r>
      <w:r>
        <w:rPr>
          <w:rFonts w:ascii="宋体" w:hAnsi="宋体" w:cs="宋体" w:eastAsia="宋体" w:hint="default"/>
        </w:rPr>
        <w:t>226</w:t>
      </w:r>
      <w:r>
        <w:rPr/>
        <w:t>高层</w:t>
      </w:r>
      <w:r>
        <w:rPr>
          <w:spacing w:val="-85"/>
        </w:rPr>
        <w:t> </w:t>
      </w:r>
      <w:r>
        <w:rPr/>
        <w:t>次人才培养工程”优秀人才称号、江苏省第四期“</w:t>
      </w:r>
      <w:r>
        <w:rPr>
          <w:rFonts w:ascii="宋体" w:hAnsi="宋体" w:cs="宋体" w:eastAsia="宋体" w:hint="default"/>
        </w:rPr>
        <w:t>333</w:t>
      </w:r>
      <w:r>
        <w:rPr/>
        <w:t>高层次人才培养工程”优秀人才称号，曾任江苏省苏中建设集团股份</w:t>
      </w:r>
      <w:r>
        <w:rPr>
          <w:spacing w:val="-85"/>
        </w:rPr>
        <w:t> </w:t>
      </w:r>
      <w:r>
        <w:rPr>
          <w:spacing w:val="-85"/>
        </w:rPr>
      </w:r>
      <w:r>
        <w:rPr/>
        <w:t>有限公司山东公司经理、现任江苏省苏中建设集团股份有限公司西北公司经理、兼任山东省建筑大学客座教授。</w:t>
      </w:r>
      <w:r>
        <w:rPr>
          <w:rFonts w:ascii="宋体" w:hAnsi="宋体" w:cs="宋体" w:eastAsia="宋体" w:hint="default"/>
        </w:rPr>
        <w:t>2016</w:t>
      </w:r>
      <w:r>
        <w:rPr/>
        <w:t>年</w:t>
      </w:r>
      <w:r>
        <w:rPr>
          <w:rFonts w:ascii="宋体" w:hAnsi="宋体" w:cs="宋体" w:eastAsia="宋体" w:hint="default"/>
        </w:rPr>
        <w:t>9</w:t>
      </w:r>
      <w:r>
        <w:rPr/>
        <w:t>月</w:t>
      </w:r>
      <w:r>
        <w:rPr>
          <w:spacing w:val="-84"/>
        </w:rPr>
        <w:t> </w:t>
      </w:r>
      <w:r>
        <w:rPr>
          <w:rFonts w:ascii="宋体" w:hAnsi="宋体" w:cs="宋体" w:eastAsia="宋体" w:hint="default"/>
        </w:rPr>
        <w:t>20</w:t>
      </w:r>
      <w:r>
        <w:rPr/>
        <w:t>日起担任公司监事会主席。</w:t>
      </w:r>
    </w:p>
    <w:p>
      <w:pPr>
        <w:pStyle w:val="BodyText"/>
        <w:spacing w:line="477" w:lineRule="auto" w:before="95"/>
        <w:ind w:right="94" w:firstLine="360"/>
        <w:jc w:val="left"/>
      </w:pPr>
      <w:r>
        <w:rPr>
          <w:spacing w:val="-2"/>
        </w:rPr>
        <w:t>邹赐春，男，中国国籍，汉族，</w:t>
      </w:r>
      <w:r>
        <w:rPr>
          <w:rFonts w:ascii="宋体" w:hAnsi="宋体" w:cs="宋体" w:eastAsia="宋体" w:hint="default"/>
          <w:spacing w:val="-2"/>
        </w:rPr>
        <w:t>1972</w:t>
      </w:r>
      <w:r>
        <w:rPr>
          <w:spacing w:val="-2"/>
        </w:rPr>
        <w:t>年出生，无境外居留权，山东财经大学经济学学士，山东大学工商管理硕士，先后</w:t>
      </w:r>
      <w:r>
        <w:rPr/>
        <w:t> 获得会计师、国家注册担保风险分析师职称。历任济南科技风险投资有限公司高级经理、部门主任经理、总经理助理等职， </w:t>
      </w:r>
      <w:r>
        <w:rPr>
          <w:spacing w:val="-5"/>
        </w:rPr>
        <w:t>现任济南科技风险投资公司总经理助理、兼任济南新合纤科技发展有限公司董事长、济南欣海特种纤维有限公司董事长。</w:t>
      </w:r>
      <w:r>
        <w:rPr>
          <w:rFonts w:ascii="宋体" w:hAnsi="宋体" w:cs="宋体" w:eastAsia="宋体" w:hint="default"/>
          <w:spacing w:val="-5"/>
        </w:rPr>
        <w:t>2016</w:t>
      </w:r>
      <w:r>
        <w:rPr>
          <w:rFonts w:ascii="宋体" w:hAnsi="宋体" w:cs="宋体" w:eastAsia="宋体" w:hint="default"/>
          <w:spacing w:val="-64"/>
        </w:rPr>
        <w:t> </w:t>
      </w:r>
      <w:r>
        <w:rPr>
          <w:rFonts w:ascii="宋体" w:hAnsi="宋体" w:cs="宋体" w:eastAsia="宋体" w:hint="default"/>
          <w:spacing w:val="-64"/>
        </w:rPr>
      </w:r>
      <w:r>
        <w:rPr/>
        <w:t>年</w:t>
      </w:r>
      <w:r>
        <w:rPr>
          <w:rFonts w:ascii="宋体" w:hAnsi="宋体" w:cs="宋体" w:eastAsia="宋体" w:hint="default"/>
        </w:rPr>
        <w:t>9</w:t>
      </w:r>
      <w:r>
        <w:rPr/>
        <w:t>月</w:t>
      </w:r>
      <w:r>
        <w:rPr>
          <w:rFonts w:ascii="宋体" w:hAnsi="宋体" w:cs="宋体" w:eastAsia="宋体" w:hint="default"/>
        </w:rPr>
        <w:t>20</w:t>
      </w:r>
      <w:r>
        <w:rPr/>
        <w:t>日起担任公司监事会监事。</w:t>
      </w:r>
    </w:p>
    <w:p>
      <w:pPr>
        <w:pStyle w:val="BodyText"/>
        <w:spacing w:line="477" w:lineRule="auto" w:before="95"/>
        <w:ind w:right="192" w:firstLine="360"/>
        <w:jc w:val="both"/>
      </w:pPr>
      <w:r>
        <w:rPr>
          <w:spacing w:val="-2"/>
        </w:rPr>
        <w:t>施冉冉，女，</w:t>
      </w:r>
      <w:r>
        <w:rPr>
          <w:rFonts w:ascii="宋体" w:hAnsi="宋体" w:cs="宋体" w:eastAsia="宋体" w:hint="default"/>
          <w:spacing w:val="-2"/>
        </w:rPr>
        <w:t>1979</w:t>
      </w:r>
      <w:r>
        <w:rPr>
          <w:spacing w:val="-2"/>
        </w:rPr>
        <w:t>年出生，中国籍，无境外居留权，山东大学工商管理硕士。历任山东鲁能商贸有限公司贵和商厦人力</w:t>
      </w:r>
      <w:r>
        <w:rPr/>
        <w:t> 资源部经理、山东鲁能商贸有限公司贵和物业人力资源部经理等职。</w:t>
      </w:r>
      <w:r>
        <w:rPr>
          <w:rFonts w:ascii="宋体" w:hAnsi="宋体" w:cs="宋体" w:eastAsia="宋体" w:hint="default"/>
        </w:rPr>
        <w:t>2017</w:t>
      </w:r>
      <w:r>
        <w:rPr/>
        <w:t>年</w:t>
      </w:r>
      <w:r>
        <w:rPr>
          <w:rFonts w:ascii="宋体" w:hAnsi="宋体" w:cs="宋体" w:eastAsia="宋体" w:hint="default"/>
        </w:rPr>
        <w:t>1</w:t>
      </w:r>
      <w:r>
        <w:rPr/>
        <w:t>月</w:t>
      </w:r>
      <w:r>
        <w:rPr>
          <w:rFonts w:ascii="宋体" w:hAnsi="宋体" w:cs="宋体" w:eastAsia="宋体" w:hint="default"/>
        </w:rPr>
        <w:t>12</w:t>
      </w:r>
      <w:r>
        <w:rPr/>
        <w:t>日起担任公司监事会监事。</w:t>
      </w:r>
    </w:p>
    <w:p>
      <w:pPr>
        <w:pStyle w:val="Heading3"/>
        <w:spacing w:line="240" w:lineRule="auto" w:before="2"/>
        <w:ind w:left="575" w:right="94"/>
        <w:jc w:val="left"/>
        <w:rPr>
          <w:b w:val="0"/>
          <w:bCs w:val="0"/>
        </w:rPr>
      </w:pPr>
      <w:r>
        <w:rPr/>
        <w:t>（三）现任高级管理人员</w:t>
      </w:r>
      <w:r>
        <w:rPr>
          <w:b w:val="0"/>
          <w:bCs w:val="0"/>
        </w:rPr>
      </w:r>
    </w:p>
    <w:p>
      <w:pPr>
        <w:spacing w:line="240" w:lineRule="auto" w:before="7"/>
        <w:rPr>
          <w:rFonts w:ascii="Microsoft JhengHei" w:hAnsi="Microsoft JhengHei" w:cs="Microsoft JhengHei" w:eastAsia="Microsoft JhengHei" w:hint="default"/>
          <w:b/>
          <w:bCs/>
          <w:sz w:val="13"/>
          <w:szCs w:val="13"/>
        </w:rPr>
      </w:pPr>
    </w:p>
    <w:p>
      <w:pPr>
        <w:pStyle w:val="BodyText"/>
        <w:spacing w:line="477" w:lineRule="auto"/>
        <w:ind w:right="188" w:firstLine="360"/>
        <w:jc w:val="both"/>
      </w:pPr>
      <w:r>
        <w:rPr>
          <w:spacing w:val="-2"/>
        </w:rPr>
        <w:t>陈惠板，男，</w:t>
      </w:r>
      <w:r>
        <w:rPr>
          <w:rFonts w:ascii="宋体" w:hAnsi="宋体" w:cs="宋体" w:eastAsia="宋体" w:hint="default"/>
          <w:spacing w:val="-2"/>
        </w:rPr>
        <w:t>1973</w:t>
      </w:r>
      <w:r>
        <w:rPr>
          <w:spacing w:val="-2"/>
        </w:rPr>
        <w:t>年出生，中国国籍，无境外永久居留权。本科学历，毕业于华南农业大学。现任本公司副总经理，曾</w:t>
      </w:r>
      <w:r>
        <w:rPr/>
        <w:t> 任职汕头市中联建会计师事务所有限公司，汕头海信发展有限公司任财务总监，曾任公司第二届董事会董事。</w:t>
      </w:r>
      <w:r>
        <w:rPr>
          <w:rFonts w:ascii="宋体" w:hAnsi="宋体" w:cs="宋体" w:eastAsia="宋体" w:hint="default"/>
        </w:rPr>
        <w:t>2016</w:t>
      </w:r>
      <w:r>
        <w:rPr/>
        <w:t>年</w:t>
      </w:r>
      <w:r>
        <w:rPr>
          <w:rFonts w:ascii="宋体" w:hAnsi="宋体" w:cs="宋体" w:eastAsia="宋体" w:hint="default"/>
        </w:rPr>
        <w:t>9</w:t>
      </w:r>
      <w:r>
        <w:rPr/>
        <w:t>月</w:t>
      </w:r>
      <w:r>
        <w:rPr>
          <w:rFonts w:ascii="宋体" w:hAnsi="宋体" w:cs="宋体" w:eastAsia="宋体" w:hint="default"/>
        </w:rPr>
        <w:t>20</w:t>
      </w:r>
      <w:r>
        <w:rPr>
          <w:rFonts w:ascii="宋体" w:hAnsi="宋体" w:cs="宋体" w:eastAsia="宋体" w:hint="default"/>
          <w:spacing w:val="-82"/>
        </w:rPr>
        <w:t> </w:t>
      </w:r>
      <w:r>
        <w:rPr/>
        <w:t>日起担任公司副总经理。</w:t>
      </w:r>
    </w:p>
    <w:p>
      <w:pPr>
        <w:pStyle w:val="BodyText"/>
        <w:spacing w:line="477" w:lineRule="auto" w:before="95"/>
        <w:ind w:right="190" w:firstLine="360"/>
        <w:jc w:val="both"/>
      </w:pPr>
      <w:r>
        <w:rPr>
          <w:spacing w:val="-2"/>
        </w:rPr>
        <w:t>孙昊，男，中国国籍，汉族，</w:t>
      </w:r>
      <w:r>
        <w:rPr>
          <w:rFonts w:ascii="宋体" w:hAnsi="宋体" w:cs="宋体" w:eastAsia="宋体" w:hint="default"/>
          <w:spacing w:val="-2"/>
        </w:rPr>
        <w:t>1972</w:t>
      </w:r>
      <w:r>
        <w:rPr>
          <w:spacing w:val="-2"/>
        </w:rPr>
        <w:t>年出生，硕士学历，南开大学</w:t>
      </w:r>
      <w:r>
        <w:rPr>
          <w:rFonts w:ascii="宋体" w:hAnsi="宋体" w:cs="宋体" w:eastAsia="宋体" w:hint="default"/>
          <w:spacing w:val="-2"/>
        </w:rPr>
        <w:t>EMBA</w:t>
      </w:r>
      <w:r>
        <w:rPr>
          <w:spacing w:val="-2"/>
        </w:rPr>
        <w:t>，获得国家律师资格。先后担任中国化工供销华北</w:t>
      </w:r>
      <w:r>
        <w:rPr/>
        <w:t> </w:t>
      </w:r>
      <w:r>
        <w:rPr>
          <w:spacing w:val="-2"/>
        </w:rPr>
        <w:t>公司办公室主任、中化物产股份有限公司天津分公司副总经理、中国化工供销华北公司副总经理、中国海洋石油总公司销售</w:t>
      </w:r>
      <w:r>
        <w:rPr>
          <w:spacing w:val="-63"/>
        </w:rPr>
        <w:t> </w:t>
      </w:r>
      <w:r>
        <w:rPr>
          <w:spacing w:val="-63"/>
        </w:rPr>
      </w:r>
      <w:r>
        <w:rPr/>
        <w:t>天津分公司副总经理、中海油销售天津有限公司副总经理。</w:t>
      </w:r>
      <w:r>
        <w:rPr>
          <w:rFonts w:ascii="宋体" w:hAnsi="宋体" w:cs="宋体" w:eastAsia="宋体" w:hint="default"/>
        </w:rPr>
        <w:t>2016</w:t>
      </w:r>
      <w:r>
        <w:rPr/>
        <w:t>年</w:t>
      </w:r>
      <w:r>
        <w:rPr>
          <w:rFonts w:ascii="宋体" w:hAnsi="宋体" w:cs="宋体" w:eastAsia="宋体" w:hint="default"/>
        </w:rPr>
        <w:t>10</w:t>
      </w:r>
      <w:r>
        <w:rPr/>
        <w:t>月</w:t>
      </w:r>
      <w:r>
        <w:rPr>
          <w:rFonts w:ascii="宋体" w:hAnsi="宋体" w:cs="宋体" w:eastAsia="宋体" w:hint="default"/>
        </w:rPr>
        <w:t>12</w:t>
      </w:r>
      <w:r>
        <w:rPr/>
        <w:t>日起担任公司副总经理。</w:t>
      </w:r>
    </w:p>
    <w:p>
      <w:pPr>
        <w:pStyle w:val="BodyText"/>
        <w:spacing w:line="477" w:lineRule="auto" w:before="92"/>
        <w:ind w:right="190" w:firstLine="360"/>
        <w:jc w:val="both"/>
      </w:pPr>
      <w:r>
        <w:rPr>
          <w:spacing w:val="-2"/>
        </w:rPr>
        <w:t>栾明，男，中国国籍，汉族，</w:t>
      </w:r>
      <w:r>
        <w:rPr>
          <w:rFonts w:ascii="宋体" w:hAnsi="宋体" w:cs="宋体" w:eastAsia="宋体" w:hint="default"/>
          <w:spacing w:val="-2"/>
        </w:rPr>
        <w:t>1972</w:t>
      </w:r>
      <w:r>
        <w:rPr>
          <w:spacing w:val="-2"/>
        </w:rPr>
        <w:t>年出生，硕士，上海海事大学</w:t>
      </w:r>
      <w:r>
        <w:rPr>
          <w:rFonts w:ascii="宋体" w:hAnsi="宋体" w:cs="宋体" w:eastAsia="宋体" w:hint="default"/>
          <w:spacing w:val="-2"/>
        </w:rPr>
        <w:t>EMBA</w:t>
      </w:r>
      <w:r>
        <w:rPr>
          <w:spacing w:val="-2"/>
        </w:rPr>
        <w:t>。先后担任青岛华侨理工学院董事长、青岛盛世华</w:t>
      </w:r>
      <w:r>
        <w:rPr/>
        <w:t> </w:t>
      </w:r>
      <w:r>
        <w:rPr>
          <w:spacing w:val="-2"/>
        </w:rPr>
        <w:t>侨教育管理有限公司董事长、青岛理工大学琴岛学院董事长、青岛高校重工机械制造有限公司董事长兼总经理、青岛墨尔文</w:t>
      </w:r>
      <w:r>
        <w:rPr>
          <w:spacing w:val="-63"/>
        </w:rPr>
        <w:t> </w:t>
      </w:r>
      <w:r>
        <w:rPr>
          <w:spacing w:val="-63"/>
        </w:rPr>
      </w:r>
      <w:r>
        <w:rPr/>
        <w:t>中学董事长、青岛华侨老年大学董事长。</w:t>
      </w:r>
      <w:r>
        <w:rPr>
          <w:rFonts w:ascii="宋体" w:hAnsi="宋体" w:cs="宋体" w:eastAsia="宋体" w:hint="default"/>
        </w:rPr>
        <w:t>2016</w:t>
      </w:r>
      <w:r>
        <w:rPr/>
        <w:t>年</w:t>
      </w:r>
      <w:r>
        <w:rPr>
          <w:rFonts w:ascii="宋体" w:hAnsi="宋体" w:cs="宋体" w:eastAsia="宋体" w:hint="default"/>
        </w:rPr>
        <w:t>10</w:t>
      </w:r>
      <w:r>
        <w:rPr/>
        <w:t>月</w:t>
      </w:r>
      <w:r>
        <w:rPr>
          <w:rFonts w:ascii="宋体" w:hAnsi="宋体" w:cs="宋体" w:eastAsia="宋体" w:hint="default"/>
        </w:rPr>
        <w:t>12</w:t>
      </w:r>
      <w:r>
        <w:rPr/>
        <w:t>日起担任公司副总经理。</w:t>
      </w:r>
    </w:p>
    <w:p>
      <w:pPr>
        <w:pStyle w:val="BodyText"/>
        <w:spacing w:line="240" w:lineRule="auto" w:before="16"/>
        <w:ind w:right="0"/>
        <w:jc w:val="both"/>
      </w:pPr>
      <w:r>
        <w:rPr/>
        <w:t>在股东单位任职情况</w:t>
      </w:r>
    </w:p>
    <w:p>
      <w:pPr>
        <w:pStyle w:val="BodyText"/>
        <w:spacing w:line="338" w:lineRule="auto" w:before="117"/>
        <w:ind w:right="81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在其他单位任职情况</w:t>
      </w:r>
    </w:p>
    <w:p>
      <w:pPr>
        <w:pStyle w:val="BodyText"/>
        <w:spacing w:line="240" w:lineRule="auto" w:before="43"/>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after="0" w:line="240" w:lineRule="auto"/>
        <w:jc w:val="both"/>
        <w:sectPr>
          <w:pgSz w:w="11910" w:h="16840"/>
          <w:pgMar w:header="745" w:footer="979" w:top="1060" w:bottom="1160" w:left="980" w:right="940"/>
        </w:sectPr>
      </w:pPr>
    </w:p>
    <w:p>
      <w:pPr>
        <w:spacing w:line="240" w:lineRule="auto" w:before="6"/>
        <w:rPr>
          <w:rFonts w:ascii="宋体" w:hAnsi="宋体" w:cs="宋体" w:eastAsia="宋体" w:hint="default"/>
          <w:sz w:val="28"/>
          <w:szCs w:val="28"/>
        </w:rPr>
      </w:pPr>
    </w:p>
    <w:tbl>
      <w:tblPr>
        <w:tblW w:w="0" w:type="auto"/>
        <w:jc w:val="left"/>
        <w:tblInd w:w="119" w:type="dxa"/>
        <w:tblLayout w:type="fixed"/>
        <w:tblCellMar>
          <w:top w:w="0" w:type="dxa"/>
          <w:left w:w="0" w:type="dxa"/>
          <w:bottom w:w="0" w:type="dxa"/>
          <w:right w:w="0" w:type="dxa"/>
        </w:tblCellMar>
        <w:tblLook w:val="01E0"/>
      </w:tblPr>
      <w:tblGrid>
        <w:gridCol w:w="1251"/>
        <w:gridCol w:w="3032"/>
        <w:gridCol w:w="1136"/>
        <w:gridCol w:w="1699"/>
        <w:gridCol w:w="1186"/>
        <w:gridCol w:w="1394"/>
      </w:tblGrid>
      <w:tr>
        <w:trPr>
          <w:trHeight w:val="713" w:hRule="exact"/>
        </w:trPr>
        <w:tc>
          <w:tcPr>
            <w:tcW w:w="12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9"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0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971" w:right="0"/>
              <w:jc w:val="left"/>
              <w:rPr>
                <w:rFonts w:ascii="宋体" w:hAnsi="宋体" w:cs="宋体" w:eastAsia="宋体" w:hint="default"/>
                <w:sz w:val="18"/>
                <w:szCs w:val="18"/>
              </w:rPr>
            </w:pPr>
            <w:r>
              <w:rPr>
                <w:rFonts w:ascii="宋体" w:hAnsi="宋体" w:cs="宋体" w:eastAsia="宋体" w:hint="default"/>
                <w:sz w:val="18"/>
                <w:szCs w:val="18"/>
              </w:rPr>
              <w:t>其他单位名称</w:t>
            </w:r>
          </w:p>
        </w:tc>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12" w:right="111"/>
              <w:jc w:val="left"/>
              <w:rPr>
                <w:rFonts w:ascii="宋体" w:hAnsi="宋体" w:cs="宋体" w:eastAsia="宋体" w:hint="default"/>
                <w:sz w:val="18"/>
                <w:szCs w:val="18"/>
              </w:rPr>
            </w:pPr>
            <w:r>
              <w:rPr>
                <w:rFonts w:ascii="宋体" w:hAnsi="宋体" w:cs="宋体" w:eastAsia="宋体" w:hint="default"/>
                <w:sz w:val="18"/>
                <w:szCs w:val="18"/>
              </w:rPr>
              <w:t>在其他单位 担任的职务</w:t>
            </w:r>
          </w:p>
        </w:tc>
        <w:tc>
          <w:tcPr>
            <w:tcW w:w="16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4"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6"/>
              <w:jc w:val="right"/>
              <w:rPr>
                <w:rFonts w:ascii="宋体" w:hAnsi="宋体" w:cs="宋体" w:eastAsia="宋体" w:hint="default"/>
                <w:sz w:val="18"/>
                <w:szCs w:val="18"/>
              </w:rPr>
            </w:pPr>
            <w:r>
              <w:rPr>
                <w:rFonts w:ascii="宋体" w:hAnsi="宋体" w:cs="宋体" w:eastAsia="宋体" w:hint="default"/>
                <w:sz w:val="18"/>
                <w:szCs w:val="18"/>
              </w:rPr>
              <w:t>任期终止日期</w:t>
            </w:r>
          </w:p>
        </w:tc>
        <w:tc>
          <w:tcPr>
            <w:tcW w:w="1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51" w:right="60" w:hanging="89"/>
              <w:jc w:val="left"/>
              <w:rPr>
                <w:rFonts w:ascii="宋体" w:hAnsi="宋体" w:cs="宋体" w:eastAsia="宋体" w:hint="default"/>
                <w:sz w:val="18"/>
                <w:szCs w:val="18"/>
              </w:rPr>
            </w:pPr>
            <w:r>
              <w:rPr>
                <w:rFonts w:ascii="宋体" w:hAnsi="宋体" w:cs="宋体" w:eastAsia="宋体" w:hint="default"/>
                <w:sz w:val="18"/>
                <w:szCs w:val="18"/>
              </w:rPr>
              <w:t>在其他单位是否 领取报酬津贴</w:t>
            </w:r>
          </w:p>
        </w:tc>
      </w:tr>
      <w:tr>
        <w:trPr>
          <w:trHeight w:val="403" w:hRule="exact"/>
        </w:trPr>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安鹏啸</w:t>
            </w:r>
          </w:p>
        </w:tc>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山东建邦集团有限公司</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z w:val="18"/>
              </w:rPr>
              <w:t>/</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陈永阳</w:t>
            </w:r>
          </w:p>
        </w:tc>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上海趵朴投资管理有限公司</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顾旭芬</w:t>
            </w:r>
          </w:p>
        </w:tc>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青岛振青会计师事务所有限公司</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22"/>
              <w:jc w:val="left"/>
              <w:rPr>
                <w:rFonts w:ascii="宋体" w:hAnsi="宋体" w:cs="宋体" w:eastAsia="宋体" w:hint="default"/>
                <w:sz w:val="18"/>
                <w:szCs w:val="18"/>
              </w:rPr>
            </w:pPr>
            <w:r>
              <w:rPr>
                <w:rFonts w:ascii="宋体" w:hAnsi="宋体" w:cs="宋体" w:eastAsia="宋体" w:hint="default"/>
                <w:sz w:val="18"/>
                <w:szCs w:val="18"/>
              </w:rPr>
              <w:t>董事长、主任 会计师</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纪晓腾</w:t>
            </w:r>
          </w:p>
        </w:tc>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山东欧亚投资有限公司</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6" w:hRule="exact"/>
        </w:trPr>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邢伟</w:t>
            </w:r>
          </w:p>
        </w:tc>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山东东和会计师事务所（普通合伙）</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201"/>
              <w:jc w:val="left"/>
              <w:rPr>
                <w:rFonts w:ascii="宋体" w:hAnsi="宋体" w:cs="宋体" w:eastAsia="宋体" w:hint="default"/>
                <w:sz w:val="18"/>
                <w:szCs w:val="18"/>
              </w:rPr>
            </w:pPr>
            <w:r>
              <w:rPr>
                <w:rFonts w:ascii="宋体" w:hAnsi="宋体" w:cs="宋体" w:eastAsia="宋体" w:hint="default"/>
                <w:sz w:val="18"/>
                <w:szCs w:val="18"/>
              </w:rPr>
              <w:t>执行事务合 伙人</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pStyle w:val="BodyText"/>
        <w:spacing w:line="240" w:lineRule="auto" w:before="49"/>
        <w:ind w:right="0"/>
        <w:jc w:val="left"/>
      </w:pPr>
      <w:r>
        <w:rPr/>
        <w:t>公司现任及报告期内离任董事、监事和高级管理人员近三年证券监管机构处罚的情况</w:t>
      </w:r>
    </w:p>
    <w:p>
      <w:pPr>
        <w:pStyle w:val="BodyText"/>
        <w:spacing w:line="240" w:lineRule="auto" w:before="115"/>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5"/>
        <w:rPr>
          <w:rFonts w:ascii="宋体" w:hAnsi="宋体" w:cs="宋体" w:eastAsia="宋体" w:hint="default"/>
          <w:sz w:val="18"/>
          <w:szCs w:val="18"/>
        </w:rPr>
      </w:pPr>
    </w:p>
    <w:p>
      <w:pPr>
        <w:pStyle w:val="Heading2"/>
        <w:spacing w:line="240" w:lineRule="auto"/>
        <w:ind w:right="0"/>
        <w:jc w:val="left"/>
        <w:rPr>
          <w:b w:val="0"/>
          <w:bCs w:val="0"/>
        </w:rPr>
      </w:pPr>
      <w:r>
        <w:rPr/>
        <w:t>四、董事、监事、高级管理人员报酬情况</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439" w:lineRule="auto"/>
        <w:ind w:left="513" w:right="0" w:hanging="361"/>
        <w:jc w:val="left"/>
      </w:pPr>
      <w:r>
        <w:rPr/>
        <w:t>董事、监事、高级管理人员报酬的决策程序、确定依据、实际支付情况 </w:t>
      </w:r>
      <w:r>
        <w:rPr>
          <w:spacing w:val="-2"/>
        </w:rPr>
        <w:t>公司董事、监事、高级管理人员的报酬决策程序、报酬确定依据：公司董事会薪酬与考核委员会提出的公司董事、监事</w:t>
      </w:r>
    </w:p>
    <w:p>
      <w:pPr>
        <w:pStyle w:val="BodyText"/>
        <w:spacing w:line="477" w:lineRule="auto" w:before="83"/>
        <w:ind w:right="0"/>
        <w:jc w:val="left"/>
      </w:pPr>
      <w:r>
        <w:rPr>
          <w:spacing w:val="-2"/>
        </w:rPr>
        <w:t>的薪酬方案，须报经董事会同意并提交股东大会审议通过后方可实施；公司其他高级管理人员的薪酬分配方案须报董事会批</w:t>
      </w:r>
      <w:r>
        <w:rPr>
          <w:spacing w:val="-64"/>
        </w:rPr>
        <w:t> </w:t>
      </w:r>
      <w:r>
        <w:rPr>
          <w:spacing w:val="-64"/>
        </w:rPr>
      </w:r>
      <w:r>
        <w:rPr/>
        <w:t>准后方可实施。公司现行的薪酬方案经第三届董事会第一次会议和公司</w:t>
      </w:r>
      <w:r>
        <w:rPr>
          <w:rFonts w:ascii="宋体" w:hAnsi="宋体" w:cs="宋体" w:eastAsia="宋体" w:hint="default"/>
        </w:rPr>
        <w:t>2016</w:t>
      </w:r>
      <w:r>
        <w:rPr/>
        <w:t>年第二次临时股东大会审议确定。</w:t>
      </w:r>
    </w:p>
    <w:p>
      <w:pPr>
        <w:pStyle w:val="BodyText"/>
        <w:spacing w:line="240" w:lineRule="auto" w:before="16"/>
        <w:ind w:right="0"/>
        <w:jc w:val="left"/>
      </w:pPr>
      <w:r>
        <w:rPr/>
        <w:t>公司报告期内董事、监事和高级管理人员报酬情况</w:t>
      </w:r>
    </w:p>
    <w:p>
      <w:pPr>
        <w:pStyle w:val="BodyText"/>
        <w:spacing w:line="240" w:lineRule="auto" w:before="115"/>
        <w:ind w:left="0" w:right="151"/>
        <w:jc w:val="right"/>
      </w:pPr>
      <w:r>
        <w:rPr/>
        <w:t>单位：万元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7" w:right="46" w:hanging="180"/>
              <w:jc w:val="left"/>
              <w:rPr>
                <w:rFonts w:ascii="宋体" w:hAnsi="宋体" w:cs="宋体" w:eastAsia="宋体" w:hint="default"/>
                <w:sz w:val="18"/>
                <w:szCs w:val="18"/>
              </w:rPr>
            </w:pPr>
            <w:r>
              <w:rPr>
                <w:rFonts w:ascii="宋体" w:hAnsi="宋体" w:cs="宋体" w:eastAsia="宋体" w:hint="default"/>
                <w:sz w:val="18"/>
                <w:szCs w:val="18"/>
              </w:rPr>
              <w:t>从公司获得的税 前报酬总额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7" w:right="48" w:hanging="180"/>
              <w:jc w:val="left"/>
              <w:rPr>
                <w:rFonts w:ascii="宋体" w:hAnsi="宋体" w:cs="宋体" w:eastAsia="宋体" w:hint="default"/>
                <w:sz w:val="18"/>
                <w:szCs w:val="18"/>
              </w:rPr>
            </w:pPr>
            <w:r>
              <w:rPr>
                <w:rFonts w:ascii="宋体" w:hAnsi="宋体" w:cs="宋体" w:eastAsia="宋体" w:hint="default"/>
                <w:sz w:val="18"/>
                <w:szCs w:val="18"/>
              </w:rPr>
              <w:t>是否在公司关联 方获取报酬</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纪晓文</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董事、董事长</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安鹏啸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陈永阳</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朱小艳</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70"/>
              <w:jc w:val="both"/>
              <w:rPr>
                <w:rFonts w:ascii="宋体" w:hAnsi="宋体" w:cs="宋体" w:eastAsia="宋体" w:hint="default"/>
                <w:sz w:val="18"/>
                <w:szCs w:val="18"/>
              </w:rPr>
            </w:pPr>
            <w:r>
              <w:rPr>
                <w:rFonts w:ascii="宋体" w:hAnsi="宋体" w:cs="宋体" w:eastAsia="宋体" w:hint="default"/>
                <w:sz w:val="18"/>
                <w:szCs w:val="18"/>
              </w:rPr>
              <w:t>董事、总监理、 董事秘书、财务 总监</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顾旭芬</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72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纪晓腾</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邢伟</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沈新鹏</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邹赐春</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施冉冉</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陈惠板</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孙昊</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栾明</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黄逸贤</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董事、副总经理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郑伟华</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0.35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向隽</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159.35</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0"/>
        <w:ind w:right="94"/>
        <w:jc w:val="left"/>
      </w:pPr>
      <w:r>
        <w:rPr/>
        <w:t>公司董事、高级管理人员报告期内被授予的股权激励情况</w:t>
      </w:r>
    </w:p>
    <w:p>
      <w:pPr>
        <w:pStyle w:val="BodyText"/>
        <w:spacing w:line="240" w:lineRule="auto" w:before="115"/>
        <w:ind w:right="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5"/>
        <w:rPr>
          <w:rFonts w:ascii="宋体" w:hAnsi="宋体" w:cs="宋体" w:eastAsia="宋体" w:hint="default"/>
          <w:sz w:val="18"/>
          <w:szCs w:val="18"/>
        </w:rPr>
      </w:pPr>
    </w:p>
    <w:p>
      <w:pPr>
        <w:pStyle w:val="Heading2"/>
        <w:spacing w:line="240" w:lineRule="auto"/>
        <w:ind w:right="94"/>
        <w:jc w:val="left"/>
        <w:rPr>
          <w:b w:val="0"/>
          <w:bCs w:val="0"/>
        </w:rPr>
      </w:pPr>
      <w:r>
        <w:rPr/>
        <w:t>五、公司员工情况</w:t>
      </w:r>
      <w:r>
        <w:rPr>
          <w:b w:val="0"/>
          <w:bCs w:val="0"/>
        </w:rPr>
      </w:r>
    </w:p>
    <w:p>
      <w:pPr>
        <w:spacing w:line="240" w:lineRule="auto" w:before="6"/>
        <w:rPr>
          <w:rFonts w:ascii="Microsoft JhengHei" w:hAnsi="Microsoft JhengHei" w:cs="Microsoft JhengHei" w:eastAsia="Microsoft JhengHei" w:hint="default"/>
          <w:b/>
          <w:bCs/>
          <w:sz w:val="13"/>
          <w:szCs w:val="13"/>
        </w:rPr>
      </w:pPr>
    </w:p>
    <w:p>
      <w:pPr>
        <w:pStyle w:val="Heading3"/>
        <w:spacing w:line="240" w:lineRule="auto"/>
        <w:ind w:right="94"/>
        <w:jc w:val="left"/>
        <w:rPr>
          <w:b w:val="0"/>
          <w:bCs w:val="0"/>
        </w:rPr>
      </w:pPr>
      <w:r>
        <w:rPr>
          <w:rFonts w:ascii="Times New Roman" w:hAnsi="Times New Roman" w:cs="Times New Roman" w:eastAsia="Times New Roman" w:hint="default"/>
        </w:rPr>
        <w:t>1</w:t>
      </w:r>
      <w:r>
        <w:rPr/>
        <w:t>、员工数量、专业构成及教育程度</w:t>
      </w:r>
      <w:r>
        <w:rPr>
          <w:b w:val="0"/>
          <w:bCs w:val="0"/>
        </w:rPr>
      </w:r>
    </w:p>
    <w:p>
      <w:pPr>
        <w:spacing w:line="240" w:lineRule="auto" w:before="12"/>
        <w:rPr>
          <w:rFonts w:ascii="Microsoft JhengHei" w:hAnsi="Microsoft JhengHei" w:cs="Microsoft JhengHei" w:eastAsia="Microsoft JhengHei" w:hint="default"/>
          <w:b/>
          <w:bCs/>
          <w:sz w:val="18"/>
          <w:szCs w:val="18"/>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w:t>
            </w:r>
          </w:p>
        </w:tc>
      </w:tr>
      <w:tr>
        <w:trPr>
          <w:trHeight w:val="408"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396"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398"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77" w:right="0"/>
              <w:jc w:val="left"/>
              <w:rPr>
                <w:rFonts w:ascii="宋体" w:hAnsi="宋体" w:cs="宋体" w:eastAsia="宋体" w:hint="default"/>
                <w:sz w:val="18"/>
                <w:szCs w:val="18"/>
              </w:rPr>
            </w:pPr>
            <w:r>
              <w:rPr>
                <w:rFonts w:ascii="宋体" w:hAnsi="宋体" w:cs="宋体" w:eastAsia="宋体" w:hint="default"/>
                <w:sz w:val="18"/>
                <w:szCs w:val="18"/>
              </w:rPr>
              <w:t>专业构成人数（人）</w:t>
            </w:r>
          </w:p>
        </w:tc>
      </w:tr>
      <w:tr>
        <w:trPr>
          <w:trHeight w:val="406"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w:t>
            </w:r>
          </w:p>
        </w:tc>
      </w:tr>
      <w:tr>
        <w:trPr>
          <w:trHeight w:val="408"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w:t>
            </w:r>
          </w:p>
        </w:tc>
      </w:tr>
      <w:tr>
        <w:trPr>
          <w:trHeight w:val="396"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教育程度类别</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数量（人）</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本科生</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大专生</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7</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w:t>
            </w:r>
          </w:p>
        </w:tc>
      </w:tr>
    </w:tbl>
    <w:p>
      <w:pPr>
        <w:spacing w:line="240" w:lineRule="auto" w:before="8"/>
        <w:rPr>
          <w:rFonts w:ascii="Microsoft JhengHei" w:hAnsi="Microsoft JhengHei" w:cs="Microsoft JhengHei" w:eastAsia="Microsoft JhengHei" w:hint="default"/>
          <w:b/>
          <w:bCs/>
          <w:sz w:val="14"/>
          <w:szCs w:val="14"/>
        </w:rPr>
      </w:pPr>
    </w:p>
    <w:p>
      <w:pPr>
        <w:pStyle w:val="Heading3"/>
        <w:spacing w:line="335" w:lineRule="exact"/>
        <w:ind w:right="94"/>
        <w:jc w:val="left"/>
        <w:rPr>
          <w:b w:val="0"/>
          <w:bCs w:val="0"/>
        </w:rPr>
      </w:pPr>
      <w:r>
        <w:rPr>
          <w:rFonts w:ascii="Times New Roman" w:hAnsi="Times New Roman" w:cs="Times New Roman" w:eastAsia="Times New Roman" w:hint="default"/>
        </w:rPr>
        <w:t>2</w:t>
      </w:r>
      <w:r>
        <w:rPr/>
        <w:t>、薪酬政策</w:t>
      </w:r>
      <w:r>
        <w:rPr>
          <w:b w:val="0"/>
          <w:bCs w:val="0"/>
        </w:rPr>
      </w:r>
    </w:p>
    <w:p>
      <w:pPr>
        <w:spacing w:line="240" w:lineRule="auto" w:before="15"/>
        <w:rPr>
          <w:rFonts w:ascii="Microsoft JhengHei" w:hAnsi="Microsoft JhengHei" w:cs="Microsoft JhengHei" w:eastAsia="Microsoft JhengHei" w:hint="default"/>
          <w:b/>
          <w:bCs/>
          <w:sz w:val="23"/>
          <w:szCs w:val="23"/>
        </w:rPr>
      </w:pPr>
    </w:p>
    <w:p>
      <w:pPr>
        <w:pStyle w:val="BodyText"/>
        <w:spacing w:line="477" w:lineRule="auto"/>
        <w:ind w:right="94" w:firstLine="360"/>
        <w:jc w:val="left"/>
      </w:pPr>
      <w:r>
        <w:rPr>
          <w:spacing w:val="-4"/>
        </w:rPr>
        <w:t>公司根据国家有关劳动法规和政策，结合公司实际情况，建立了科学合理的薪酬考核体系。薪酬分配遵循“五大原则”，</w:t>
      </w:r>
      <w:r>
        <w:rPr/>
        <w:t> </w:t>
      </w:r>
      <w:r>
        <w:rPr>
          <w:spacing w:val="-2"/>
        </w:rPr>
        <w:t>一是市场薪酬水平、二是岗位责任大小、三是技能水平高低、四是工作条件好坏和劳动强度大小、五是创造价值大小和劳动</w:t>
      </w:r>
      <w:r>
        <w:rPr>
          <w:spacing w:val="-65"/>
        </w:rPr>
        <w:t> </w:t>
      </w:r>
      <w:r>
        <w:rPr>
          <w:spacing w:val="-65"/>
        </w:rPr>
      </w:r>
      <w:r>
        <w:rPr/>
        <w:t>成果，合理确定员工工资水平，让员工获得与贡献相匹配的薪酬收入。</w:t>
      </w:r>
    </w:p>
    <w:p>
      <w:pPr>
        <w:spacing w:after="0" w:line="477" w:lineRule="auto"/>
        <w:jc w:val="left"/>
        <w:sectPr>
          <w:pgSz w:w="11910" w:h="16840"/>
          <w:pgMar w:header="745" w:footer="979" w:top="1060" w:bottom="1160" w:left="980" w:right="940"/>
        </w:sectPr>
      </w:pPr>
    </w:p>
    <w:p>
      <w:pPr>
        <w:spacing w:line="240" w:lineRule="auto" w:before="10"/>
        <w:rPr>
          <w:rFonts w:ascii="宋体" w:hAnsi="宋体" w:cs="宋体" w:eastAsia="宋体" w:hint="default"/>
          <w:sz w:val="24"/>
          <w:szCs w:val="24"/>
        </w:rPr>
      </w:pPr>
    </w:p>
    <w:p>
      <w:pPr>
        <w:pStyle w:val="Heading3"/>
        <w:spacing w:line="335" w:lineRule="exact"/>
        <w:ind w:right="0"/>
        <w:jc w:val="left"/>
        <w:rPr>
          <w:b w:val="0"/>
          <w:bCs w:val="0"/>
        </w:rPr>
      </w:pPr>
      <w:r>
        <w:rPr>
          <w:rFonts w:ascii="Times New Roman" w:hAnsi="Times New Roman" w:cs="Times New Roman" w:eastAsia="Times New Roman" w:hint="default"/>
        </w:rPr>
        <w:t>3</w:t>
      </w:r>
      <w:r>
        <w:rPr/>
        <w:t>、培训计划</w:t>
      </w:r>
      <w:r>
        <w:rPr>
          <w:b w:val="0"/>
          <w:bCs w:val="0"/>
        </w:rPr>
      </w:r>
    </w:p>
    <w:p>
      <w:pPr>
        <w:spacing w:line="240" w:lineRule="auto" w:before="15"/>
        <w:rPr>
          <w:rFonts w:ascii="Microsoft JhengHei" w:hAnsi="Microsoft JhengHei" w:cs="Microsoft JhengHei" w:eastAsia="Microsoft JhengHei" w:hint="default"/>
          <w:b/>
          <w:bCs/>
          <w:sz w:val="23"/>
          <w:szCs w:val="23"/>
        </w:rPr>
      </w:pPr>
    </w:p>
    <w:p>
      <w:pPr>
        <w:pStyle w:val="BodyText"/>
        <w:spacing w:line="477" w:lineRule="auto"/>
        <w:ind w:right="0" w:firstLine="360"/>
        <w:jc w:val="left"/>
      </w:pPr>
      <w:r>
        <w:rPr>
          <w:spacing w:val="-2"/>
        </w:rPr>
        <w:t>为提高员工整体素质和工作效率，公司在对各部门培训需求进行充分调查分析的基础上制定出培训计划，具体包括培训</w:t>
      </w:r>
      <w:r>
        <w:rPr/>
        <w:t> 的内容、时间、参加人员。主要培训内容包括员工素质、职业技能、行政管理等各个方面。</w:t>
      </w:r>
    </w:p>
    <w:p>
      <w:pPr>
        <w:spacing w:line="240" w:lineRule="auto" w:before="4"/>
        <w:rPr>
          <w:rFonts w:ascii="宋体" w:hAnsi="宋体" w:cs="宋体" w:eastAsia="宋体" w:hint="default"/>
          <w:sz w:val="14"/>
          <w:szCs w:val="14"/>
        </w:rPr>
      </w:pPr>
    </w:p>
    <w:p>
      <w:pPr>
        <w:pStyle w:val="Heading3"/>
        <w:spacing w:line="240" w:lineRule="auto"/>
        <w:ind w:right="0"/>
        <w:jc w:val="left"/>
        <w:rPr>
          <w:b w:val="0"/>
          <w:bCs w:val="0"/>
        </w:rPr>
      </w:pPr>
      <w:r>
        <w:rPr>
          <w:rFonts w:ascii="Times New Roman" w:hAnsi="Times New Roman" w:cs="Times New Roman" w:eastAsia="Times New Roman" w:hint="default"/>
        </w:rPr>
        <w:t>4</w:t>
      </w:r>
      <w:r>
        <w:rPr/>
        <w:t>、劳务外包情况</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79"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456" w:lineRule="exact"/>
        <w:ind w:left="3750" w:right="3786"/>
        <w:jc w:val="center"/>
        <w:rPr>
          <w:b w:val="0"/>
          <w:bCs w:val="0"/>
        </w:rPr>
      </w:pPr>
      <w:bookmarkStart w:name="_bookmark8" w:id="9"/>
      <w:bookmarkEnd w:id="9"/>
      <w:r>
        <w:rPr>
          <w:b w:val="0"/>
          <w:bCs w:val="0"/>
        </w:rPr>
      </w:r>
      <w:r>
        <w:rPr/>
        <w:t>第九节 </w:t>
      </w:r>
      <w:r>
        <w:rPr>
          <w:spacing w:val="9"/>
        </w:rPr>
        <w:t> </w:t>
      </w:r>
      <w:r>
        <w:rPr/>
        <w:t>公司治理</w:t>
      </w:r>
      <w:r>
        <w:rPr>
          <w:b w:val="0"/>
          <w:bCs w:val="0"/>
        </w:rPr>
      </w:r>
    </w:p>
    <w:p>
      <w:pPr>
        <w:spacing w:line="240" w:lineRule="auto" w:before="15"/>
        <w:rPr>
          <w:rFonts w:ascii="Microsoft JhengHei" w:hAnsi="Microsoft JhengHei" w:cs="Microsoft JhengHei" w:eastAsia="Microsoft JhengHei" w:hint="default"/>
          <w:b/>
          <w:bCs/>
          <w:sz w:val="25"/>
          <w:szCs w:val="25"/>
        </w:rPr>
      </w:pPr>
    </w:p>
    <w:p>
      <w:pPr>
        <w:pStyle w:val="Heading2"/>
        <w:spacing w:line="367" w:lineRule="exact"/>
        <w:ind w:right="94"/>
        <w:jc w:val="left"/>
        <w:rPr>
          <w:b w:val="0"/>
          <w:bCs w:val="0"/>
        </w:rPr>
      </w:pPr>
      <w:r>
        <w:rPr/>
        <w:t>一、公司治理的基本状况</w:t>
      </w:r>
      <w:r>
        <w:rPr>
          <w:b w:val="0"/>
          <w:bCs w:val="0"/>
        </w:rPr>
      </w:r>
    </w:p>
    <w:p>
      <w:pPr>
        <w:spacing w:line="240" w:lineRule="auto" w:before="13"/>
        <w:rPr>
          <w:rFonts w:ascii="Microsoft JhengHei" w:hAnsi="Microsoft JhengHei" w:cs="Microsoft JhengHei" w:eastAsia="Microsoft JhengHei" w:hint="default"/>
          <w:b/>
          <w:bCs/>
          <w:sz w:val="22"/>
          <w:szCs w:val="22"/>
        </w:rPr>
      </w:pPr>
    </w:p>
    <w:p>
      <w:pPr>
        <w:pStyle w:val="BodyText"/>
        <w:spacing w:line="477" w:lineRule="auto"/>
        <w:ind w:right="94" w:firstLine="360"/>
        <w:jc w:val="left"/>
      </w:pPr>
      <w:r>
        <w:rPr>
          <w:spacing w:val="-2"/>
        </w:rPr>
        <w:t>报告期内，公司严格按照《公司法》、《证券法》、《上市公司治理准则》、《深圳证券交易所股票上市规则》和中国</w:t>
      </w:r>
      <w:r>
        <w:rPr/>
        <w:t> 证监会有关法律法规等的要求，规范运作，不断完善公司法人治理结构，建立了较为完备的公司治理及内部控制规章制度， </w:t>
      </w:r>
      <w:r>
        <w:rPr>
          <w:spacing w:val="-2"/>
        </w:rPr>
        <w:t>同时根据监管部门的最新要求及公司情况，及时对制度进行修订和完善。截至报告期末，公司治理实际情况符合中国证监会</w:t>
      </w:r>
      <w:r>
        <w:rPr>
          <w:spacing w:val="-65"/>
        </w:rPr>
        <w:t> </w:t>
      </w:r>
      <w:r>
        <w:rPr>
          <w:spacing w:val="-65"/>
        </w:rPr>
      </w:r>
      <w:r>
        <w:rPr/>
        <w:t>发布的有关上市公司治理的规范性文件的要求。</w:t>
      </w:r>
    </w:p>
    <w:p>
      <w:pPr>
        <w:pStyle w:val="BodyText"/>
        <w:spacing w:line="240" w:lineRule="auto" w:before="54"/>
        <w:ind w:left="513" w:right="94"/>
        <w:jc w:val="left"/>
      </w:pPr>
      <w:r>
        <w:rPr/>
        <w:t>报告期内，公司变更注册地址，同时对《公司章程》进行了修订。</w:t>
      </w:r>
    </w:p>
    <w:p>
      <w:pPr>
        <w:spacing w:line="240" w:lineRule="auto" w:before="10"/>
        <w:rPr>
          <w:rFonts w:ascii="宋体" w:hAnsi="宋体" w:cs="宋体" w:eastAsia="宋体" w:hint="default"/>
          <w:sz w:val="17"/>
          <w:szCs w:val="17"/>
        </w:rPr>
      </w:pPr>
    </w:p>
    <w:p>
      <w:pPr>
        <w:pStyle w:val="BodyText"/>
        <w:spacing w:line="477" w:lineRule="auto"/>
        <w:ind w:left="513" w:right="94"/>
        <w:jc w:val="left"/>
      </w:pPr>
      <w:r>
        <w:rPr/>
        <w:t>（一）关于股东与股东大会 </w:t>
      </w:r>
      <w:r>
        <w:rPr>
          <w:spacing w:val="-2"/>
        </w:rPr>
        <w:t>公司严格按照《上市公司股东大会规则》、《公司章程》和公司《股东大会议事规则》等的规定和要求，召集、召开股</w:t>
      </w:r>
    </w:p>
    <w:p>
      <w:pPr>
        <w:pStyle w:val="BodyText"/>
        <w:spacing w:line="477" w:lineRule="auto" w:before="54"/>
        <w:ind w:right="94"/>
        <w:jc w:val="left"/>
      </w:pPr>
      <w:r>
        <w:rPr>
          <w:spacing w:val="-2"/>
        </w:rPr>
        <w:t>东大会，能够确保所有股东享有平等地位，充分行使自己的权利。报告期内召开的股东大会均由董事会召集召开，并邀请见</w:t>
      </w:r>
      <w:r>
        <w:rPr>
          <w:spacing w:val="-65"/>
        </w:rPr>
        <w:t> </w:t>
      </w:r>
      <w:r>
        <w:rPr>
          <w:spacing w:val="-65"/>
        </w:rPr>
      </w:r>
      <w:r>
        <w:rPr/>
        <w:t>证律师进行现场见证。</w:t>
      </w:r>
    </w:p>
    <w:p>
      <w:pPr>
        <w:pStyle w:val="BodyText"/>
        <w:spacing w:line="477" w:lineRule="auto" w:before="54"/>
        <w:ind w:left="513" w:right="94"/>
        <w:jc w:val="left"/>
      </w:pPr>
      <w:r>
        <w:rPr/>
        <w:t>（二）关于公司与控股股东 </w:t>
      </w:r>
      <w:r>
        <w:rPr>
          <w:spacing w:val="-2"/>
        </w:rPr>
        <w:t>公司控股股东能够严格按照《公司法》、《证券法》、《深圳证券交易所股票上市规则》、《深圳证券交易所中小企业</w:t>
      </w:r>
    </w:p>
    <w:p>
      <w:pPr>
        <w:pStyle w:val="BodyText"/>
        <w:spacing w:line="477" w:lineRule="auto" w:before="54"/>
        <w:ind w:right="94"/>
        <w:jc w:val="left"/>
      </w:pPr>
      <w:r>
        <w:rPr>
          <w:spacing w:val="-2"/>
        </w:rPr>
        <w:t>板上市公司规范运作指引》、《公司章程》和《控股股东、实际控制人行为规范》的规定和要求，规范控股股东行为。公司</w:t>
      </w:r>
      <w:r>
        <w:rPr>
          <w:spacing w:val="-70"/>
        </w:rPr>
        <w:t> </w:t>
      </w:r>
      <w:r>
        <w:rPr>
          <w:spacing w:val="-70"/>
        </w:rPr>
      </w:r>
      <w:r>
        <w:rPr>
          <w:spacing w:val="-2"/>
        </w:rPr>
        <w:t>控股股东广东群兴投资有限公司，为境内非国有法人，通过股东大会行使股东权利，并承担相应义务，没有超越公司股东大</w:t>
      </w:r>
      <w:r>
        <w:rPr>
          <w:spacing w:val="-64"/>
        </w:rPr>
        <w:t> </w:t>
      </w:r>
      <w:r>
        <w:rPr>
          <w:spacing w:val="-64"/>
        </w:rPr>
      </w:r>
      <w:r>
        <w:rPr/>
        <w:t>会直接或间接干预公司的决策和经营活动的行为。公司拥有独立完整的业务和自主经营能力，在业务、资产、人员、财务、 </w:t>
      </w:r>
      <w:r>
        <w:rPr>
          <w:spacing w:val="-2"/>
        </w:rPr>
        <w:t>机构等方面独立于控股股东，公司董事会、监事会和内部机构独立运作。公司实际控制人不存在损害公司及其他股东利益的</w:t>
      </w:r>
      <w:r>
        <w:rPr>
          <w:spacing w:val="-61"/>
        </w:rPr>
        <w:t> </w:t>
      </w:r>
      <w:r>
        <w:rPr>
          <w:spacing w:val="-61"/>
        </w:rPr>
      </w:r>
      <w:r>
        <w:rPr/>
        <w:t>情况。</w:t>
      </w:r>
    </w:p>
    <w:p>
      <w:pPr>
        <w:pStyle w:val="BodyText"/>
        <w:spacing w:line="477" w:lineRule="auto" w:before="55"/>
        <w:ind w:left="513" w:right="94"/>
        <w:jc w:val="left"/>
      </w:pPr>
      <w:r>
        <w:rPr/>
        <w:t>（三）关于董事与董事会 </w:t>
      </w:r>
      <w:r>
        <w:rPr>
          <w:spacing w:val="-2"/>
        </w:rPr>
        <w:t>公司董事会严格按照《公司法》、《证券法》、《深圳证券交易所股票上市规则》、《深圳证券交易所中小企业板上市</w:t>
      </w:r>
    </w:p>
    <w:p>
      <w:pPr>
        <w:pStyle w:val="BodyText"/>
        <w:spacing w:line="477" w:lineRule="auto" w:before="54"/>
        <w:ind w:right="94"/>
        <w:jc w:val="left"/>
      </w:pPr>
      <w:r>
        <w:rPr>
          <w:spacing w:val="-2"/>
        </w:rPr>
        <w:t>公司规范运作指引》、《公司章程》、《董事会议事规则》、《独立董事工作制度》等相关规定召集召开董事会，公司董事</w:t>
      </w:r>
      <w:r>
        <w:rPr>
          <w:spacing w:val="-67"/>
        </w:rPr>
        <w:t> </w:t>
      </w:r>
      <w:r>
        <w:rPr>
          <w:spacing w:val="-67"/>
        </w:rPr>
      </w:r>
      <w:r>
        <w:rPr>
          <w:spacing w:val="-4"/>
        </w:rPr>
        <w:t>按时出席董事会及股东大会，勤勉尽责，认真审议各项议案并对公司重大事项做出科学、合理决策。公司严格按照《公司法》</w:t>
      </w:r>
      <w:r>
        <w:rPr>
          <w:spacing w:val="-43"/>
        </w:rPr>
        <w:t> </w:t>
      </w:r>
      <w:r>
        <w:rPr>
          <w:spacing w:val="-43"/>
        </w:rPr>
      </w:r>
      <w:r>
        <w:rPr>
          <w:spacing w:val="-2"/>
        </w:rPr>
        <w:t>和《公司章程》等规定的董事选聘程序以累积投票制方式选举董事，董事会成员的构成符合法律法规的要求。公司独立董事</w:t>
      </w:r>
      <w:r>
        <w:rPr>
          <w:spacing w:val="-64"/>
        </w:rPr>
        <w:t> </w:t>
      </w:r>
      <w:r>
        <w:rPr>
          <w:spacing w:val="-64"/>
        </w:rPr>
      </w:r>
      <w:r>
        <w:rPr>
          <w:spacing w:val="-2"/>
        </w:rPr>
        <w:t>独立履行职责，对公司重大事项发表独立意见，切实维护公司利益和股东权益，尤其关注中小股东的合法权益不受损害，独</w:t>
      </w:r>
      <w:r>
        <w:rPr>
          <w:spacing w:val="-64"/>
        </w:rPr>
        <w:t> </w:t>
      </w:r>
      <w:r>
        <w:rPr>
          <w:spacing w:val="-64"/>
        </w:rPr>
      </w:r>
      <w:r>
        <w:rPr>
          <w:spacing w:val="-2"/>
        </w:rPr>
        <w:t>立董事在公司重大决策以及投资方面发挥了重要作用。公司董事会设立了审计委员会、战略委员会、提名委员会、薪酬与考</w:t>
      </w:r>
      <w:r>
        <w:rPr>
          <w:spacing w:val="-64"/>
        </w:rPr>
        <w:t> </w:t>
      </w:r>
      <w:r>
        <w:rPr>
          <w:spacing w:val="-64"/>
        </w:rPr>
      </w:r>
      <w:r>
        <w:rPr>
          <w:spacing w:val="-2"/>
        </w:rPr>
        <w:t>核委员会四个专门委员会，在促进公司规范运作、健康持续发展等方面发挥了重要的作用。未出现越权行使股东大会权利的</w:t>
      </w:r>
      <w:r>
        <w:rPr>
          <w:spacing w:val="-63"/>
        </w:rPr>
        <w:t> </w:t>
      </w:r>
      <w:r>
        <w:rPr>
          <w:spacing w:val="-63"/>
        </w:rPr>
      </w:r>
      <w:r>
        <w:rPr/>
        <w:t>行为，也未出现越权干预监事会运作和经营管理层的行为。</w:t>
      </w:r>
    </w:p>
    <w:p>
      <w:pPr>
        <w:spacing w:after="0" w:line="477" w:lineRule="auto"/>
        <w:jc w:val="left"/>
        <w:sectPr>
          <w:pgSz w:w="11910" w:h="16840"/>
          <w:pgMar w:header="745" w:footer="979" w:top="1060" w:bottom="1160" w:left="980" w:right="94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477" w:lineRule="auto"/>
        <w:ind w:left="513" w:right="94"/>
        <w:jc w:val="left"/>
      </w:pPr>
      <w:r>
        <w:rPr/>
        <w:t>（四）关于监事与监事会 </w:t>
      </w:r>
      <w:r>
        <w:rPr>
          <w:spacing w:val="-2"/>
        </w:rPr>
        <w:t>公司严格按照法律、法规及《公司章程》、《股东大会议事规则》、《监事会议事规则》等的规定产生监事，公司监事</w:t>
      </w:r>
    </w:p>
    <w:p>
      <w:pPr>
        <w:pStyle w:val="BodyText"/>
        <w:spacing w:line="477" w:lineRule="auto" w:before="54"/>
        <w:ind w:right="111"/>
        <w:jc w:val="both"/>
      </w:pPr>
      <w:r>
        <w:rPr>
          <w:spacing w:val="-2"/>
        </w:rPr>
        <w:t>会的人数及人员构成符合法律、法规和《公司章程》的要求，监事会现有三名监事，其中职工代表监事一人。公司全体监事</w:t>
      </w:r>
      <w:r>
        <w:rPr>
          <w:spacing w:val="-67"/>
        </w:rPr>
        <w:t> </w:t>
      </w:r>
      <w:r>
        <w:rPr>
          <w:spacing w:val="-67"/>
        </w:rPr>
      </w:r>
      <w:r>
        <w:rPr>
          <w:spacing w:val="-2"/>
        </w:rPr>
        <w:t>能够按照法律、法规和《监事会议事规则》等的要求，从保护股东利益出发，认真履行自己的职责，对公司重大事项、财务</w:t>
      </w:r>
      <w:r>
        <w:rPr>
          <w:spacing w:val="-73"/>
        </w:rPr>
        <w:t> </w:t>
      </w:r>
      <w:r>
        <w:rPr>
          <w:spacing w:val="-73"/>
        </w:rPr>
      </w:r>
      <w:r>
        <w:rPr/>
        <w:t>状况以及公司董事、经理和其他高级管理人员履行职责的合法合规性进行监督，忠实、勤勉地维护公司及股东的合法权益。</w:t>
      </w:r>
    </w:p>
    <w:p>
      <w:pPr>
        <w:pStyle w:val="BodyText"/>
        <w:spacing w:line="477" w:lineRule="auto" w:before="54"/>
        <w:ind w:left="513" w:right="273"/>
        <w:jc w:val="left"/>
      </w:pPr>
      <w:r>
        <w:rPr/>
        <w:t>（五）关于信息披露 公司指定董事会秘书具体负责信息披露工作，严格按照监管部门颁布的制度法规和公司制定的《信息披露事务管理制</w:t>
      </w:r>
    </w:p>
    <w:p>
      <w:pPr>
        <w:pStyle w:val="BodyText"/>
        <w:spacing w:line="477" w:lineRule="auto" w:before="55"/>
        <w:ind w:right="188"/>
        <w:jc w:val="both"/>
      </w:pPr>
      <w:r>
        <w:rPr>
          <w:spacing w:val="-2"/>
        </w:rPr>
        <w:t>度》、《重大信息内部报告制度》和《投资者关系管理制度》等有关规定，加强信息披露事务管理，依法认真履行信息披露</w:t>
      </w:r>
      <w:r>
        <w:rPr>
          <w:spacing w:val="-64"/>
        </w:rPr>
        <w:t> </w:t>
      </w:r>
      <w:r>
        <w:rPr>
          <w:spacing w:val="-64"/>
        </w:rPr>
      </w:r>
      <w:r>
        <w:rPr/>
        <w:t>义务。公司指定《中国证劵报》、《上海证券报》、《证券时报》和巨潮资讯网（</w:t>
      </w:r>
      <w:hyperlink r:id="rId12">
        <w:r>
          <w:rPr>
            <w:rFonts w:ascii="宋体" w:hAnsi="宋体" w:cs="宋体" w:eastAsia="宋体" w:hint="default"/>
          </w:rPr>
          <w:t>www.cninfo.com.cn</w:t>
        </w:r>
      </w:hyperlink>
      <w:r>
        <w:rPr/>
        <w:t>）为公司信息披露的 报纸及网站，真实、完整、准确、公平、及时地披露有关信息，确保公司所有股东公平地获得公司相关信息。</w:t>
      </w:r>
    </w:p>
    <w:p>
      <w:pPr>
        <w:pStyle w:val="BodyText"/>
        <w:spacing w:line="477" w:lineRule="auto" w:before="54"/>
        <w:ind w:left="513" w:right="94"/>
        <w:jc w:val="left"/>
      </w:pPr>
      <w:r>
        <w:rPr/>
        <w:t>（六）投资者关系管理 </w:t>
      </w:r>
      <w:r>
        <w:rPr>
          <w:spacing w:val="-2"/>
        </w:rPr>
        <w:t>公司重视投资者关系管理工作，指定董事会秘书为投资者关系管理负责人，负责接待投资者的来访和咨询，公司董事会</w:t>
      </w:r>
    </w:p>
    <w:p>
      <w:pPr>
        <w:pStyle w:val="BodyText"/>
        <w:spacing w:line="477" w:lineRule="auto" w:before="54"/>
        <w:ind w:right="190"/>
        <w:jc w:val="both"/>
      </w:pPr>
      <w:r>
        <w:rPr>
          <w:spacing w:val="-2"/>
        </w:rPr>
        <w:t>办公室作为投资者关系管理的具体实施机构，协助实施投资者关系的日常管理工作，包括投资者来访接待工作、股东大会的</w:t>
      </w:r>
      <w:r>
        <w:rPr>
          <w:spacing w:val="-63"/>
        </w:rPr>
        <w:t> </w:t>
      </w:r>
      <w:r>
        <w:rPr>
          <w:spacing w:val="-63"/>
        </w:rPr>
      </w:r>
      <w:r>
        <w:rPr/>
        <w:t>安排组织工作、投资者关系互动平台答疑工作等。</w:t>
      </w:r>
    </w:p>
    <w:p>
      <w:pPr>
        <w:pStyle w:val="BodyText"/>
        <w:spacing w:line="477" w:lineRule="auto" w:before="54"/>
        <w:ind w:left="513" w:right="94"/>
        <w:jc w:val="left"/>
      </w:pPr>
      <w:r>
        <w:rPr/>
        <w:t>（七）关于利益相关者 </w:t>
      </w:r>
      <w:r>
        <w:rPr>
          <w:spacing w:val="-2"/>
        </w:rPr>
        <w:t>公司充分尊重和维护利益相关者的合法利益，实现社会、股东、公司、员工等各方利益的协调平衡，加强与各方建立良</w:t>
      </w:r>
    </w:p>
    <w:p>
      <w:pPr>
        <w:pStyle w:val="BodyText"/>
        <w:spacing w:line="436" w:lineRule="auto" w:before="54"/>
        <w:ind w:right="2614"/>
        <w:jc w:val="left"/>
      </w:pPr>
      <w:r>
        <w:rPr/>
        <w:t>好的合作关系，共同推动公司健康、持续地发展。 公司治理的实际状况与中国证监会发布的有关上市公司治理的规范性文件是否存在重大差异</w:t>
      </w:r>
    </w:p>
    <w:p>
      <w:pPr>
        <w:pStyle w:val="BodyText"/>
        <w:spacing w:line="216" w:lineRule="exact"/>
        <w:ind w:right="0"/>
        <w:jc w:val="both"/>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pStyle w:val="BodyText"/>
        <w:spacing w:line="240" w:lineRule="auto" w:before="103"/>
        <w:ind w:right="0"/>
        <w:jc w:val="both"/>
      </w:pPr>
      <w:r>
        <w:rPr/>
        <w:t>公司治理的实际状况与中国证监会发布的有关上市公司治理的规范性文件不存在重大差异。</w:t>
      </w:r>
    </w:p>
    <w:p>
      <w:pPr>
        <w:spacing w:line="240" w:lineRule="auto" w:before="5"/>
        <w:rPr>
          <w:rFonts w:ascii="宋体" w:hAnsi="宋体" w:cs="宋体" w:eastAsia="宋体" w:hint="default"/>
          <w:sz w:val="19"/>
          <w:szCs w:val="19"/>
        </w:rPr>
      </w:pPr>
    </w:p>
    <w:p>
      <w:pPr>
        <w:pStyle w:val="Heading2"/>
        <w:spacing w:line="240" w:lineRule="auto"/>
        <w:ind w:right="0"/>
        <w:jc w:val="both"/>
        <w:rPr>
          <w:b w:val="0"/>
          <w:bCs w:val="0"/>
        </w:rPr>
      </w:pPr>
      <w:r>
        <w:rPr/>
        <w:t>二、公司相对于控股股东在业务、人员、资产、机构、财务等方面的独立情况</w:t>
      </w:r>
      <w:r>
        <w:rPr>
          <w:b w:val="0"/>
          <w:bCs w:val="0"/>
        </w:rPr>
      </w:r>
    </w:p>
    <w:p>
      <w:pPr>
        <w:spacing w:line="240" w:lineRule="auto" w:before="14"/>
        <w:rPr>
          <w:rFonts w:ascii="Microsoft JhengHei" w:hAnsi="Microsoft JhengHei" w:cs="Microsoft JhengHei" w:eastAsia="Microsoft JhengHei" w:hint="default"/>
          <w:b/>
          <w:bCs/>
          <w:sz w:val="22"/>
          <w:szCs w:val="22"/>
        </w:rPr>
      </w:pPr>
    </w:p>
    <w:p>
      <w:pPr>
        <w:pStyle w:val="BodyText"/>
        <w:spacing w:line="477" w:lineRule="auto"/>
        <w:ind w:left="513" w:right="94"/>
        <w:jc w:val="left"/>
      </w:pPr>
      <w:r>
        <w:rPr>
          <w:rFonts w:ascii="宋体" w:hAnsi="宋体" w:cs="宋体" w:eastAsia="宋体" w:hint="default"/>
        </w:rPr>
        <w:t>1</w:t>
      </w:r>
      <w:r>
        <w:rPr/>
        <w:t>、业务独立： </w:t>
      </w:r>
      <w:r>
        <w:rPr>
          <w:spacing w:val="-2"/>
        </w:rPr>
        <w:t>公司业务结构完整，自主独立经营，不依赖于控股股东或其他任何关联方，与控股股东、实际控制人及其控制的其他企</w:t>
      </w:r>
    </w:p>
    <w:p>
      <w:pPr>
        <w:pStyle w:val="BodyText"/>
        <w:spacing w:line="477" w:lineRule="auto" w:before="54"/>
        <w:ind w:left="513" w:right="1534" w:hanging="361"/>
        <w:jc w:val="left"/>
      </w:pPr>
      <w:r>
        <w:rPr/>
        <w:t>业间不存在同业竞争或者显失公平的关联交易，也不存在控股股东直接或间接干预公司经营运作的情形。 </w:t>
      </w:r>
      <w:r>
        <w:rPr>
          <w:rFonts w:ascii="宋体" w:hAnsi="宋体" w:cs="宋体" w:eastAsia="宋体" w:hint="default"/>
        </w:rPr>
        <w:t>2</w:t>
      </w:r>
      <w:r>
        <w:rPr/>
        <w:t>、人员独立：</w:t>
      </w:r>
    </w:p>
    <w:p>
      <w:pPr>
        <w:pStyle w:val="BodyText"/>
        <w:spacing w:line="477" w:lineRule="auto" w:before="54"/>
        <w:ind w:right="94" w:firstLine="360"/>
        <w:jc w:val="left"/>
      </w:pPr>
      <w:r>
        <w:rPr>
          <w:spacing w:val="-2"/>
        </w:rPr>
        <w:t>公司在劳动、人事及工资等方面均完全独立于控股股东。公司董事长、总经理、副总经理、董事会秘书、财务负责人等</w:t>
      </w:r>
      <w:r>
        <w:rPr/>
        <w:t> 人员均在公司领取薪酬，未在控股股东及其下属企业担任董事、监事以外的任何职务。</w:t>
      </w:r>
    </w:p>
    <w:p>
      <w:pPr>
        <w:pStyle w:val="BodyText"/>
        <w:spacing w:line="477" w:lineRule="auto" w:before="54"/>
        <w:ind w:left="513" w:right="94"/>
        <w:jc w:val="left"/>
      </w:pPr>
      <w:r>
        <w:rPr>
          <w:rFonts w:ascii="宋体" w:hAnsi="宋体" w:cs="宋体" w:eastAsia="宋体" w:hint="default"/>
        </w:rPr>
        <w:t>3</w:t>
      </w:r>
      <w:r>
        <w:rPr/>
        <w:t>、资产独立： </w:t>
      </w:r>
      <w:r>
        <w:rPr>
          <w:spacing w:val="-2"/>
        </w:rPr>
        <w:t>公司目前拥有的资产产权清晰，生产经营场所独立，对所有资产拥有完全的控制支配权，不存在资产、资金被控股股东</w:t>
      </w:r>
    </w:p>
    <w:p>
      <w:pPr>
        <w:spacing w:after="0" w:line="477" w:lineRule="auto"/>
        <w:jc w:val="left"/>
        <w:sectPr>
          <w:pgSz w:w="11910" w:h="16840"/>
          <w:pgMar w:header="745" w:footer="979" w:top="1060" w:bottom="1160" w:left="980" w:right="94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477" w:lineRule="auto"/>
        <w:ind w:left="513" w:right="4414" w:hanging="361"/>
        <w:jc w:val="left"/>
      </w:pPr>
      <w:r>
        <w:rPr/>
        <w:t>违规占用的情况，也不存在以资产为各股东的债务提供担保的情况。 </w:t>
      </w:r>
      <w:r>
        <w:rPr>
          <w:rFonts w:ascii="宋体" w:hAnsi="宋体" w:cs="宋体" w:eastAsia="宋体" w:hint="default"/>
        </w:rPr>
        <w:t>4</w:t>
      </w:r>
      <w:r>
        <w:rPr/>
        <w:t>、机构独立：</w:t>
      </w:r>
    </w:p>
    <w:p>
      <w:pPr>
        <w:pStyle w:val="BodyText"/>
        <w:spacing w:line="477" w:lineRule="auto" w:before="54"/>
        <w:ind w:right="94" w:firstLine="360"/>
        <w:jc w:val="left"/>
      </w:pPr>
      <w:r>
        <w:rPr>
          <w:spacing w:val="-4"/>
        </w:rPr>
        <w:t>公司通过股东大会、董事会、监事会、独立董事及各专门委员会制度，强化权力制衡机制，形成了有效的法人治理结构。</w:t>
      </w:r>
      <w:r>
        <w:rPr/>
        <w:t> </w:t>
      </w:r>
      <w:r>
        <w:rPr>
          <w:spacing w:val="-2"/>
        </w:rPr>
        <w:t>在内部机构设置上，公司建立了适应自身发展需要的组织机构，明确了各机构职能，定员定岗，并制定了相应的内部管理与</w:t>
      </w:r>
      <w:r>
        <w:rPr>
          <w:spacing w:val="-64"/>
        </w:rPr>
        <w:t> </w:t>
      </w:r>
      <w:r>
        <w:rPr>
          <w:spacing w:val="-64"/>
        </w:rPr>
      </w:r>
      <w:r>
        <w:rPr/>
        <w:t>控制制度。公司各职能部门均独立履行其职能，独立开展生产经营活动，不存在受实际控制人、股东或关联方干预之情形。</w:t>
      </w:r>
    </w:p>
    <w:p>
      <w:pPr>
        <w:pStyle w:val="BodyText"/>
        <w:spacing w:line="477" w:lineRule="auto" w:before="54"/>
        <w:ind w:right="94" w:firstLine="360"/>
        <w:jc w:val="left"/>
      </w:pPr>
      <w:r>
        <w:rPr>
          <w:rFonts w:ascii="宋体" w:hAnsi="宋体" w:cs="宋体" w:eastAsia="宋体" w:hint="default"/>
          <w:spacing w:val="-2"/>
        </w:rPr>
        <w:t>5</w:t>
      </w:r>
      <w:r>
        <w:rPr>
          <w:spacing w:val="-2"/>
        </w:rPr>
        <w:t>、财务独立：公司设有独立的财务会计部门，配备独立的财务会计人员，建立了独立的会计核算体系和财务管理制度，</w:t>
      </w:r>
      <w:r>
        <w:rPr/>
        <w:t> 独立进行财务决策；公司独立开设银行账户，独立纳税。</w:t>
      </w:r>
    </w:p>
    <w:p>
      <w:pPr>
        <w:pStyle w:val="Heading2"/>
        <w:spacing w:line="240" w:lineRule="auto" w:before="153"/>
        <w:ind w:right="94"/>
        <w:jc w:val="left"/>
        <w:rPr>
          <w:b w:val="0"/>
          <w:bCs w:val="0"/>
        </w:rPr>
      </w:pPr>
      <w:r>
        <w:rPr/>
        <w:t>三、同业竞争情况</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240" w:lineRule="auto"/>
        <w:ind w:right="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18"/>
          <w:szCs w:val="18"/>
        </w:rPr>
      </w:pPr>
    </w:p>
    <w:p>
      <w:pPr>
        <w:pStyle w:val="Heading2"/>
        <w:spacing w:line="240" w:lineRule="auto"/>
        <w:ind w:right="94"/>
        <w:jc w:val="left"/>
        <w:rPr>
          <w:b w:val="0"/>
          <w:bCs w:val="0"/>
        </w:rPr>
      </w:pPr>
      <w:r>
        <w:rPr/>
        <w:t>四、报告期内召开的年度股东大会和临时股东大会的有关情况</w:t>
      </w:r>
      <w:r>
        <w:rPr>
          <w:b w:val="0"/>
          <w:bCs w:val="0"/>
        </w:rPr>
      </w:r>
    </w:p>
    <w:p>
      <w:pPr>
        <w:spacing w:line="240" w:lineRule="auto" w:before="5"/>
        <w:rPr>
          <w:rFonts w:ascii="Microsoft JhengHei" w:hAnsi="Microsoft JhengHei" w:cs="Microsoft JhengHei" w:eastAsia="Microsoft JhengHei" w:hint="default"/>
          <w:b/>
          <w:bCs/>
          <w:sz w:val="13"/>
          <w:szCs w:val="13"/>
        </w:rPr>
      </w:pPr>
    </w:p>
    <w:p>
      <w:pPr>
        <w:pStyle w:val="Heading3"/>
        <w:spacing w:line="240" w:lineRule="auto"/>
        <w:ind w:right="94"/>
        <w:jc w:val="left"/>
        <w:rPr>
          <w:b w:val="0"/>
          <w:bCs w:val="0"/>
        </w:rPr>
      </w:pPr>
      <w:r>
        <w:rPr>
          <w:rFonts w:ascii="Times New Roman" w:hAnsi="Times New Roman" w:cs="Times New Roman" w:eastAsia="Times New Roman" w:hint="default"/>
        </w:rPr>
        <w:t>1</w:t>
      </w:r>
      <w:r>
        <w:rPr/>
        <w:t>、本报告期股东大会情况</w:t>
      </w:r>
      <w:r>
        <w:rPr>
          <w:b w:val="0"/>
          <w:bCs w:val="0"/>
        </w:rPr>
      </w:r>
    </w:p>
    <w:p>
      <w:pPr>
        <w:spacing w:line="240" w:lineRule="auto" w:before="15"/>
        <w:rPr>
          <w:rFonts w:ascii="Microsoft JhengHei" w:hAnsi="Microsoft JhengHei" w:cs="Microsoft JhengHei" w:eastAsia="Microsoft JhengHei" w:hint="default"/>
          <w:b/>
          <w:bCs/>
          <w:sz w:val="18"/>
          <w:szCs w:val="18"/>
        </w:rPr>
      </w:pPr>
    </w:p>
    <w:tbl>
      <w:tblPr>
        <w:tblW w:w="0" w:type="auto"/>
        <w:jc w:val="left"/>
        <w:tblInd w:w="148" w:type="dxa"/>
        <w:tblLayout w:type="fixed"/>
        <w:tblCellMar>
          <w:top w:w="0" w:type="dxa"/>
          <w:left w:w="0" w:type="dxa"/>
          <w:bottom w:w="0" w:type="dxa"/>
          <w:right w:w="0" w:type="dxa"/>
        </w:tblCellMar>
        <w:tblLook w:val="01E0"/>
      </w:tblPr>
      <w:tblGrid>
        <w:gridCol w:w="1299"/>
        <w:gridCol w:w="1292"/>
        <w:gridCol w:w="1690"/>
        <w:gridCol w:w="1611"/>
        <w:gridCol w:w="1570"/>
        <w:gridCol w:w="2107"/>
      </w:tblGrid>
      <w:tr>
        <w:trPr>
          <w:trHeight w:val="401" w:hRule="exact"/>
        </w:trPr>
        <w:tc>
          <w:tcPr>
            <w:tcW w:w="12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6"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12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会议类型</w:t>
            </w:r>
          </w:p>
        </w:tc>
        <w:tc>
          <w:tcPr>
            <w:tcW w:w="16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1" w:right="0"/>
              <w:jc w:val="left"/>
              <w:rPr>
                <w:rFonts w:ascii="宋体" w:hAnsi="宋体" w:cs="宋体" w:eastAsia="宋体" w:hint="default"/>
                <w:sz w:val="18"/>
                <w:szCs w:val="18"/>
              </w:rPr>
            </w:pPr>
            <w:r>
              <w:rPr>
                <w:rFonts w:ascii="宋体" w:hAnsi="宋体" w:cs="宋体" w:eastAsia="宋体" w:hint="default"/>
                <w:sz w:val="18"/>
                <w:szCs w:val="18"/>
              </w:rPr>
              <w:t>投资者参与比例</w:t>
            </w:r>
          </w:p>
        </w:tc>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21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88"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1651" w:hRule="exact"/>
        </w:trPr>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2"/>
              <w:ind w:right="0"/>
              <w:jc w:val="left"/>
              <w:rPr>
                <w:rFonts w:ascii="Microsoft JhengHei" w:hAnsi="Microsoft JhengHei" w:cs="Microsoft JhengHei" w:eastAsia="Microsoft JhengHei" w:hint="default"/>
                <w:b/>
                <w:bCs/>
                <w:sz w:val="11"/>
                <w:szCs w:val="11"/>
              </w:rPr>
            </w:pPr>
          </w:p>
          <w:p>
            <w:pPr>
              <w:pStyle w:val="TableParagraph"/>
              <w:spacing w:line="300" w:lineRule="auto"/>
              <w:ind w:left="24" w:right="89"/>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年第一次 临时股东大会</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2"/>
              <w:ind w:right="0"/>
              <w:jc w:val="left"/>
              <w:rPr>
                <w:rFonts w:ascii="Microsoft JhengHei" w:hAnsi="Microsoft JhengHei" w:cs="Microsoft JhengHei" w:eastAsia="Microsoft JhengHei" w:hint="default"/>
                <w:b/>
                <w:bCs/>
                <w:sz w:val="20"/>
                <w:szCs w:val="20"/>
              </w:rPr>
            </w:pPr>
          </w:p>
          <w:p>
            <w:pPr>
              <w:pStyle w:val="TableParagraph"/>
              <w:spacing w:line="240" w:lineRule="auto"/>
              <w:ind w:right="152"/>
              <w:jc w:val="center"/>
              <w:rPr>
                <w:rFonts w:ascii="宋体" w:hAnsi="宋体" w:cs="宋体" w:eastAsia="宋体" w:hint="default"/>
                <w:sz w:val="18"/>
                <w:szCs w:val="18"/>
              </w:rPr>
            </w:pPr>
            <w:r>
              <w:rPr>
                <w:rFonts w:ascii="宋体" w:hAnsi="宋体" w:cs="宋体" w:eastAsia="宋体" w:hint="default"/>
                <w:sz w:val="18"/>
                <w:szCs w:val="18"/>
              </w:rPr>
              <w:t>临时股东大会</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2"/>
              <w:ind w:right="0"/>
              <w:jc w:val="left"/>
              <w:rPr>
                <w:rFonts w:ascii="Microsoft JhengHei" w:hAnsi="Microsoft JhengHei" w:cs="Microsoft JhengHei" w:eastAsia="Microsoft JhengHei" w:hint="default"/>
                <w:b/>
                <w:bCs/>
                <w:sz w:val="23"/>
                <w:szCs w:val="23"/>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44.86%</w:t>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2"/>
              <w:ind w:right="0"/>
              <w:jc w:val="left"/>
              <w:rPr>
                <w:rFonts w:ascii="Microsoft JhengHei" w:hAnsi="Microsoft JhengHei" w:cs="Microsoft JhengHei" w:eastAsia="Microsoft JhengHei" w:hint="default"/>
                <w:b/>
                <w:bCs/>
                <w:sz w:val="20"/>
                <w:szCs w:val="20"/>
              </w:rPr>
            </w:pPr>
          </w:p>
          <w:p>
            <w:pPr>
              <w:pStyle w:val="TableParagraph"/>
              <w:spacing w:line="240" w:lineRule="auto"/>
              <w:ind w:right="6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日</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2"/>
              <w:ind w:right="0"/>
              <w:jc w:val="left"/>
              <w:rPr>
                <w:rFonts w:ascii="Microsoft JhengHei" w:hAnsi="Microsoft JhengHei" w:cs="Microsoft JhengHei" w:eastAsia="Microsoft JhengHei" w:hint="default"/>
                <w:b/>
                <w:bCs/>
                <w:sz w:val="20"/>
                <w:szCs w:val="20"/>
              </w:rPr>
            </w:pPr>
          </w:p>
          <w:p>
            <w:pPr>
              <w:pStyle w:val="TableParagraph"/>
              <w:spacing w:line="240" w:lineRule="auto"/>
              <w:ind w:right="2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p>
        </w:tc>
        <w:tc>
          <w:tcPr>
            <w:tcW w:w="2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w:t>
            </w:r>
            <w:hyperlink r:id="rId12">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p>
            <w:pPr>
              <w:pStyle w:val="TableParagraph"/>
              <w:spacing w:line="309" w:lineRule="auto" w:before="63"/>
              <w:ind w:left="23" w:right="91"/>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年第一次临时股 东大会决议公告》（公告 编号：</w:t>
            </w:r>
            <w:r>
              <w:rPr>
                <w:rFonts w:ascii="Times New Roman" w:hAnsi="Times New Roman" w:cs="Times New Roman" w:eastAsia="Times New Roman" w:hint="default"/>
                <w:sz w:val="18"/>
                <w:szCs w:val="18"/>
              </w:rPr>
              <w:t>2017-022</w:t>
            </w:r>
            <w:r>
              <w:rPr>
                <w:rFonts w:ascii="宋体" w:hAnsi="宋体" w:cs="宋体" w:eastAsia="宋体" w:hint="default"/>
                <w:sz w:val="18"/>
                <w:szCs w:val="18"/>
              </w:rPr>
              <w:t>）</w:t>
            </w:r>
          </w:p>
        </w:tc>
      </w:tr>
      <w:tr>
        <w:trPr>
          <w:trHeight w:val="1649" w:hRule="exact"/>
        </w:trPr>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2"/>
              <w:ind w:right="0"/>
              <w:jc w:val="left"/>
              <w:rPr>
                <w:rFonts w:ascii="Microsoft JhengHei" w:hAnsi="Microsoft JhengHei" w:cs="Microsoft JhengHei" w:eastAsia="Microsoft JhengHei" w:hint="default"/>
                <w:b/>
                <w:bCs/>
                <w:sz w:val="11"/>
                <w:szCs w:val="11"/>
              </w:rPr>
            </w:pPr>
          </w:p>
          <w:p>
            <w:pPr>
              <w:pStyle w:val="TableParagraph"/>
              <w:spacing w:line="297" w:lineRule="auto"/>
              <w:ind w:left="24" w:right="89"/>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年年度股 东大会</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2"/>
              <w:ind w:right="0"/>
              <w:jc w:val="left"/>
              <w:rPr>
                <w:rFonts w:ascii="Microsoft JhengHei" w:hAnsi="Microsoft JhengHei" w:cs="Microsoft JhengHei" w:eastAsia="Microsoft JhengHei" w:hint="default"/>
                <w:b/>
                <w:bCs/>
                <w:sz w:val="20"/>
                <w:szCs w:val="20"/>
              </w:rPr>
            </w:pPr>
          </w:p>
          <w:p>
            <w:pPr>
              <w:pStyle w:val="TableParagraph"/>
              <w:spacing w:line="240" w:lineRule="auto"/>
              <w:ind w:right="152"/>
              <w:jc w:val="center"/>
              <w:rPr>
                <w:rFonts w:ascii="宋体" w:hAnsi="宋体" w:cs="宋体" w:eastAsia="宋体" w:hint="default"/>
                <w:sz w:val="18"/>
                <w:szCs w:val="18"/>
              </w:rPr>
            </w:pPr>
            <w:r>
              <w:rPr>
                <w:rFonts w:ascii="宋体" w:hAnsi="宋体" w:cs="宋体" w:eastAsia="宋体" w:hint="default"/>
                <w:sz w:val="18"/>
                <w:szCs w:val="18"/>
              </w:rPr>
              <w:t>年度股东大会</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2"/>
              <w:ind w:right="0"/>
              <w:jc w:val="left"/>
              <w:rPr>
                <w:rFonts w:ascii="Microsoft JhengHei" w:hAnsi="Microsoft JhengHei" w:cs="Microsoft JhengHei" w:eastAsia="Microsoft JhengHei" w:hint="default"/>
                <w:b/>
                <w:bCs/>
                <w:sz w:val="23"/>
                <w:szCs w:val="23"/>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44.86%</w:t>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2"/>
              <w:ind w:right="0"/>
              <w:jc w:val="left"/>
              <w:rPr>
                <w:rFonts w:ascii="Microsoft JhengHei" w:hAnsi="Microsoft JhengHei" w:cs="Microsoft JhengHei" w:eastAsia="Microsoft JhengHei" w:hint="default"/>
                <w:b/>
                <w:bCs/>
                <w:sz w:val="20"/>
                <w:szCs w:val="20"/>
              </w:rPr>
            </w:pPr>
          </w:p>
          <w:p>
            <w:pPr>
              <w:pStyle w:val="TableParagraph"/>
              <w:spacing w:line="240" w:lineRule="auto"/>
              <w:ind w:right="6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2"/>
              <w:ind w:right="0"/>
              <w:jc w:val="left"/>
              <w:rPr>
                <w:rFonts w:ascii="Microsoft JhengHei" w:hAnsi="Microsoft JhengHei" w:cs="Microsoft JhengHei" w:eastAsia="Microsoft JhengHei" w:hint="default"/>
                <w:b/>
                <w:bCs/>
                <w:sz w:val="20"/>
                <w:szCs w:val="20"/>
              </w:rPr>
            </w:pPr>
          </w:p>
          <w:p>
            <w:pPr>
              <w:pStyle w:val="TableParagraph"/>
              <w:spacing w:line="240" w:lineRule="auto"/>
              <w:ind w:right="2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2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74"/>
              <w:ind w:left="23" w:right="0"/>
              <w:jc w:val="left"/>
              <w:rPr>
                <w:rFonts w:ascii="宋体" w:hAnsi="宋体" w:cs="宋体" w:eastAsia="宋体" w:hint="default"/>
                <w:sz w:val="18"/>
                <w:szCs w:val="18"/>
              </w:rPr>
            </w:pPr>
            <w:r>
              <w:rPr>
                <w:rFonts w:ascii="宋体" w:hAnsi="宋体" w:cs="宋体" w:eastAsia="宋体" w:hint="default"/>
                <w:sz w:val="18"/>
                <w:szCs w:val="18"/>
              </w:rPr>
              <w:t>（</w:t>
            </w:r>
            <w:hyperlink r:id="rId12">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p>
            <w:pPr>
              <w:pStyle w:val="TableParagraph"/>
              <w:spacing w:line="309" w:lineRule="auto" w:before="63"/>
              <w:ind w:left="23" w:right="91"/>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年年度股东大会 决议公告》（公告编号： </w:t>
            </w:r>
            <w:r>
              <w:rPr>
                <w:rFonts w:ascii="Times New Roman" w:hAnsi="Times New Roman" w:cs="Times New Roman" w:eastAsia="Times New Roman" w:hint="default"/>
                <w:sz w:val="18"/>
                <w:szCs w:val="18"/>
              </w:rPr>
              <w:t>2017-045</w:t>
            </w:r>
            <w:r>
              <w:rPr>
                <w:rFonts w:ascii="宋体" w:hAnsi="宋体" w:cs="宋体" w:eastAsia="宋体" w:hint="default"/>
                <w:sz w:val="18"/>
                <w:szCs w:val="18"/>
              </w:rPr>
              <w:t>）</w:t>
            </w:r>
          </w:p>
        </w:tc>
      </w:tr>
    </w:tbl>
    <w:p>
      <w:pPr>
        <w:spacing w:line="240" w:lineRule="auto" w:before="8"/>
        <w:rPr>
          <w:rFonts w:ascii="Microsoft JhengHei" w:hAnsi="Microsoft JhengHei" w:cs="Microsoft JhengHei" w:eastAsia="Microsoft JhengHei" w:hint="default"/>
          <w:b/>
          <w:bCs/>
          <w:sz w:val="14"/>
          <w:szCs w:val="14"/>
        </w:rPr>
      </w:pPr>
    </w:p>
    <w:p>
      <w:pPr>
        <w:pStyle w:val="Heading3"/>
        <w:spacing w:line="335" w:lineRule="exact"/>
        <w:ind w:right="94"/>
        <w:jc w:val="left"/>
        <w:rPr>
          <w:b w:val="0"/>
          <w:bCs w:val="0"/>
        </w:rPr>
      </w:pPr>
      <w:r>
        <w:rPr>
          <w:rFonts w:ascii="Times New Roman" w:hAnsi="Times New Roman" w:cs="Times New Roman" w:eastAsia="Times New Roman" w:hint="default"/>
        </w:rPr>
        <w:t>2</w:t>
      </w:r>
      <w:r>
        <w:rPr/>
        <w:t>、表决权恢复的优先股股东请求召开临时股东大会</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18"/>
          <w:szCs w:val="18"/>
        </w:rPr>
      </w:pPr>
    </w:p>
    <w:p>
      <w:pPr>
        <w:pStyle w:val="Heading2"/>
        <w:spacing w:line="240" w:lineRule="auto"/>
        <w:ind w:right="94"/>
        <w:jc w:val="left"/>
        <w:rPr>
          <w:b w:val="0"/>
          <w:bCs w:val="0"/>
        </w:rPr>
      </w:pPr>
      <w:r>
        <w:rPr/>
        <w:t>五、报告期内独立董事履行职责的情况</w:t>
      </w:r>
      <w:r>
        <w:rPr>
          <w:b w:val="0"/>
          <w:bCs w:val="0"/>
        </w:rPr>
      </w:r>
    </w:p>
    <w:p>
      <w:pPr>
        <w:spacing w:line="240" w:lineRule="auto" w:before="5"/>
        <w:rPr>
          <w:rFonts w:ascii="Microsoft JhengHei" w:hAnsi="Microsoft JhengHei" w:cs="Microsoft JhengHei" w:eastAsia="Microsoft JhengHei" w:hint="default"/>
          <w:b/>
          <w:bCs/>
          <w:sz w:val="13"/>
          <w:szCs w:val="13"/>
        </w:rPr>
      </w:pPr>
    </w:p>
    <w:p>
      <w:pPr>
        <w:pStyle w:val="Heading3"/>
        <w:spacing w:line="240" w:lineRule="auto"/>
        <w:ind w:right="94"/>
        <w:jc w:val="left"/>
        <w:rPr>
          <w:b w:val="0"/>
          <w:bCs w:val="0"/>
        </w:rPr>
      </w:pP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15"/>
        <w:rPr>
          <w:rFonts w:ascii="Microsoft JhengHei" w:hAnsi="Microsoft JhengHei" w:cs="Microsoft JhengHei" w:eastAsia="Microsoft JhengHei" w:hint="default"/>
          <w:b/>
          <w:bCs/>
          <w:sz w:val="18"/>
          <w:szCs w:val="18"/>
        </w:rPr>
      </w:pPr>
    </w:p>
    <w:tbl>
      <w:tblPr>
        <w:tblW w:w="0" w:type="auto"/>
        <w:jc w:val="left"/>
        <w:tblInd w:w="149" w:type="dxa"/>
        <w:tblLayout w:type="fixed"/>
        <w:tblCellMar>
          <w:top w:w="0" w:type="dxa"/>
          <w:left w:w="0" w:type="dxa"/>
          <w:bottom w:w="0" w:type="dxa"/>
          <w:right w:w="0" w:type="dxa"/>
        </w:tblCellMar>
        <w:tblLook w:val="01E0"/>
      </w:tblPr>
      <w:tblGrid>
        <w:gridCol w:w="1427"/>
        <w:gridCol w:w="1165"/>
        <w:gridCol w:w="1164"/>
        <w:gridCol w:w="1162"/>
        <w:gridCol w:w="1164"/>
        <w:gridCol w:w="1162"/>
        <w:gridCol w:w="1165"/>
        <w:gridCol w:w="1164"/>
      </w:tblGrid>
      <w:tr>
        <w:trPr>
          <w:trHeight w:val="401" w:hRule="exact"/>
        </w:trPr>
        <w:tc>
          <w:tcPr>
            <w:tcW w:w="9572"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独立董事出席董事会及股东大会的情况</w:t>
            </w:r>
          </w:p>
        </w:tc>
      </w:tr>
      <w:tr>
        <w:trPr>
          <w:trHeight w:val="1027"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right="0"/>
              <w:jc w:val="left"/>
              <w:rPr>
                <w:rFonts w:ascii="Microsoft JhengHei" w:hAnsi="Microsoft JhengHei" w:cs="Microsoft JhengHei" w:eastAsia="Microsoft JhengHei" w:hint="default"/>
                <w:b/>
                <w:bCs/>
                <w:sz w:val="20"/>
                <w:szCs w:val="20"/>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314" w:lineRule="auto"/>
              <w:ind w:left="38" w:right="34"/>
              <w:jc w:val="left"/>
              <w:rPr>
                <w:rFonts w:ascii="宋体" w:hAnsi="宋体" w:cs="宋体" w:eastAsia="宋体" w:hint="default"/>
                <w:sz w:val="18"/>
                <w:szCs w:val="18"/>
              </w:rPr>
            </w:pPr>
            <w:r>
              <w:rPr>
                <w:rFonts w:ascii="宋体" w:hAnsi="宋体" w:cs="宋体" w:eastAsia="宋体" w:hint="default"/>
                <w:sz w:val="18"/>
                <w:szCs w:val="18"/>
              </w:rPr>
              <w:t>本报告期应参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314" w:lineRule="auto"/>
              <w:ind w:left="307" w:right="35" w:hanging="269"/>
              <w:jc w:val="left"/>
              <w:rPr>
                <w:rFonts w:ascii="宋体" w:hAnsi="宋体" w:cs="宋体" w:eastAsia="宋体" w:hint="default"/>
                <w:sz w:val="18"/>
                <w:szCs w:val="18"/>
              </w:rPr>
            </w:pPr>
            <w:r>
              <w:rPr>
                <w:rFonts w:ascii="宋体" w:hAnsi="宋体" w:cs="宋体" w:eastAsia="宋体" w:hint="default"/>
                <w:sz w:val="18"/>
                <w:szCs w:val="18"/>
              </w:rPr>
              <w:t>现场出席董事 会次数</w:t>
            </w: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314" w:lineRule="auto"/>
              <w:ind w:left="35" w:right="34"/>
              <w:jc w:val="left"/>
              <w:rPr>
                <w:rFonts w:ascii="宋体" w:hAnsi="宋体" w:cs="宋体" w:eastAsia="宋体" w:hint="default"/>
                <w:sz w:val="18"/>
                <w:szCs w:val="18"/>
              </w:rPr>
            </w:pPr>
            <w:r>
              <w:rPr>
                <w:rFonts w:ascii="宋体" w:hAnsi="宋体" w:cs="宋体" w:eastAsia="宋体" w:hint="default"/>
                <w:sz w:val="18"/>
                <w:szCs w:val="18"/>
              </w:rPr>
              <w:t>以通讯方式参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314" w:lineRule="auto"/>
              <w:ind w:left="307" w:right="36" w:hanging="272"/>
              <w:jc w:val="left"/>
              <w:rPr>
                <w:rFonts w:ascii="宋体" w:hAnsi="宋体" w:cs="宋体" w:eastAsia="宋体" w:hint="default"/>
                <w:sz w:val="18"/>
                <w:szCs w:val="18"/>
              </w:rPr>
            </w:pPr>
            <w:r>
              <w:rPr>
                <w:rFonts w:ascii="宋体" w:hAnsi="宋体" w:cs="宋体" w:eastAsia="宋体" w:hint="default"/>
                <w:sz w:val="18"/>
                <w:szCs w:val="18"/>
              </w:rPr>
              <w:t>委托出席董事 会次数</w:t>
            </w: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314" w:lineRule="auto"/>
              <w:ind w:left="487" w:right="35" w:hanging="452"/>
              <w:jc w:val="left"/>
              <w:rPr>
                <w:rFonts w:ascii="宋体" w:hAnsi="宋体" w:cs="宋体" w:eastAsia="宋体" w:hint="default"/>
                <w:sz w:val="18"/>
                <w:szCs w:val="18"/>
              </w:rPr>
            </w:pPr>
            <w:r>
              <w:rPr>
                <w:rFonts w:ascii="宋体" w:hAnsi="宋体" w:cs="宋体" w:eastAsia="宋体" w:hint="default"/>
                <w:sz w:val="18"/>
                <w:szCs w:val="18"/>
              </w:rPr>
              <w:t>缺席董事会次 数</w:t>
            </w:r>
          </w:p>
        </w:tc>
        <w:tc>
          <w:tcPr>
            <w:tcW w:w="1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5" w:right="38"/>
              <w:jc w:val="center"/>
              <w:rPr>
                <w:rFonts w:ascii="宋体" w:hAnsi="宋体" w:cs="宋体" w:eastAsia="宋体" w:hint="default"/>
                <w:sz w:val="18"/>
                <w:szCs w:val="18"/>
              </w:rPr>
            </w:pPr>
            <w:r>
              <w:rPr>
                <w:rFonts w:ascii="宋体" w:hAnsi="宋体" w:cs="宋体" w:eastAsia="宋体" w:hint="default"/>
                <w:sz w:val="18"/>
                <w:szCs w:val="18"/>
              </w:rPr>
              <w:t>是否连续两次 未亲自参加董 事会会议</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314" w:lineRule="auto"/>
              <w:ind w:left="396" w:right="36" w:hanging="360"/>
              <w:jc w:val="left"/>
              <w:rPr>
                <w:rFonts w:ascii="宋体" w:hAnsi="宋体" w:cs="宋体" w:eastAsia="宋体" w:hint="default"/>
                <w:sz w:val="18"/>
                <w:szCs w:val="18"/>
              </w:rPr>
            </w:pPr>
            <w:r>
              <w:rPr>
                <w:rFonts w:ascii="宋体" w:hAnsi="宋体" w:cs="宋体" w:eastAsia="宋体" w:hint="default"/>
                <w:sz w:val="18"/>
                <w:szCs w:val="18"/>
              </w:rPr>
              <w:t>出席股东大会 次数</w:t>
            </w:r>
          </w:p>
        </w:tc>
      </w:tr>
    </w:tbl>
    <w:p>
      <w:pPr>
        <w:spacing w:after="0" w:line="314" w:lineRule="auto"/>
        <w:jc w:val="left"/>
        <w:rPr>
          <w:rFonts w:ascii="宋体" w:hAnsi="宋体" w:cs="宋体" w:eastAsia="宋体" w:hint="default"/>
          <w:sz w:val="18"/>
          <w:szCs w:val="18"/>
        </w:rPr>
        <w:sectPr>
          <w:pgSz w:w="11910" w:h="16840"/>
          <w:pgMar w:header="745" w:footer="979" w:top="1060" w:bottom="1160" w:left="980" w:right="940"/>
        </w:sectPr>
      </w:pPr>
    </w:p>
    <w:p>
      <w:pPr>
        <w:spacing w:line="240" w:lineRule="auto" w:before="7"/>
        <w:rPr>
          <w:rFonts w:ascii="Microsoft JhengHei" w:hAnsi="Microsoft JhengHei" w:cs="Microsoft JhengHei" w:eastAsia="Microsoft JhengHei" w:hint="default"/>
          <w:b/>
          <w:bCs/>
          <w:sz w:val="21"/>
          <w:szCs w:val="21"/>
        </w:rPr>
      </w:pPr>
    </w:p>
    <w:tbl>
      <w:tblPr>
        <w:tblW w:w="0" w:type="auto"/>
        <w:jc w:val="left"/>
        <w:tblInd w:w="149" w:type="dxa"/>
        <w:tblLayout w:type="fixed"/>
        <w:tblCellMar>
          <w:top w:w="0" w:type="dxa"/>
          <w:left w:w="0" w:type="dxa"/>
          <w:bottom w:w="0" w:type="dxa"/>
          <w:right w:w="0" w:type="dxa"/>
        </w:tblCellMar>
        <w:tblLook w:val="01E0"/>
      </w:tblPr>
      <w:tblGrid>
        <w:gridCol w:w="1427"/>
        <w:gridCol w:w="1165"/>
        <w:gridCol w:w="1164"/>
        <w:gridCol w:w="1162"/>
        <w:gridCol w:w="1164"/>
        <w:gridCol w:w="1162"/>
        <w:gridCol w:w="1165"/>
        <w:gridCol w:w="1164"/>
      </w:tblGrid>
      <w:tr>
        <w:trPr>
          <w:trHeight w:val="401" w:hRule="exact"/>
        </w:trPr>
        <w:tc>
          <w:tcPr>
            <w:tcW w:w="142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顾旭芬</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14</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14</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142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纪晓腾</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14</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14</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1</w:t>
            </w:r>
          </w:p>
        </w:tc>
      </w:tr>
      <w:tr>
        <w:trPr>
          <w:trHeight w:val="403" w:hRule="exact"/>
        </w:trPr>
        <w:tc>
          <w:tcPr>
            <w:tcW w:w="142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邢伟</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14</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14</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bl>
    <w:p>
      <w:pPr>
        <w:pStyle w:val="BodyText"/>
        <w:spacing w:line="240" w:lineRule="auto" w:before="49"/>
        <w:ind w:right="0"/>
        <w:jc w:val="both"/>
      </w:pPr>
      <w:r>
        <w:rPr/>
        <w:t>连续两次未亲自出席董事会的说明：不适用。</w:t>
      </w:r>
    </w:p>
    <w:p>
      <w:pPr>
        <w:spacing w:line="240" w:lineRule="auto" w:before="12"/>
        <w:rPr>
          <w:rFonts w:ascii="宋体" w:hAnsi="宋体" w:cs="宋体" w:eastAsia="宋体" w:hint="default"/>
          <w:sz w:val="21"/>
          <w:szCs w:val="21"/>
        </w:rPr>
      </w:pPr>
    </w:p>
    <w:p>
      <w:pPr>
        <w:pStyle w:val="Heading3"/>
        <w:spacing w:line="240" w:lineRule="auto"/>
        <w:ind w:right="0"/>
        <w:jc w:val="both"/>
        <w:rPr>
          <w:b w:val="0"/>
          <w:bCs w:val="0"/>
        </w:rPr>
      </w:pP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0"/>
        <w:jc w:val="both"/>
      </w:pPr>
      <w:r>
        <w:rPr/>
        <w:t>独立董事对公司有关事项是否提出异议</w:t>
      </w:r>
    </w:p>
    <w:p>
      <w:pPr>
        <w:pStyle w:val="BodyText"/>
        <w:spacing w:line="338" w:lineRule="auto" w:before="117"/>
        <w:ind w:right="603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报告期内独立董事对公司有关事项未提出异议。</w:t>
      </w:r>
    </w:p>
    <w:p>
      <w:pPr>
        <w:spacing w:line="240" w:lineRule="auto" w:before="6"/>
        <w:rPr>
          <w:rFonts w:ascii="宋体" w:hAnsi="宋体" w:cs="宋体" w:eastAsia="宋体" w:hint="default"/>
          <w:sz w:val="16"/>
          <w:szCs w:val="16"/>
        </w:rPr>
      </w:pPr>
    </w:p>
    <w:p>
      <w:pPr>
        <w:pStyle w:val="Heading3"/>
        <w:spacing w:line="240" w:lineRule="auto"/>
        <w:ind w:right="0"/>
        <w:jc w:val="both"/>
        <w:rPr>
          <w:b w:val="0"/>
          <w:bCs w:val="0"/>
        </w:rPr>
      </w:pPr>
      <w:r>
        <w:rPr>
          <w:rFonts w:ascii="Times New Roman" w:hAnsi="Times New Roman" w:cs="Times New Roman" w:eastAsia="Times New Roman" w:hint="default"/>
        </w:rPr>
        <w:t>3</w:t>
      </w:r>
      <w:r>
        <w:rPr/>
        <w:t>、独立董事履行职责的其他说明</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0"/>
        <w:jc w:val="both"/>
      </w:pPr>
      <w:r>
        <w:rPr/>
        <w:t>独立董事对公司有关建议是否被采纳</w:t>
      </w:r>
    </w:p>
    <w:p>
      <w:pPr>
        <w:pStyle w:val="BodyText"/>
        <w:spacing w:line="340" w:lineRule="auto" w:before="115"/>
        <w:ind w:right="585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否 独立董事对公司有关建议被采纳或未被采纳的说明</w:t>
      </w:r>
    </w:p>
    <w:p>
      <w:pPr>
        <w:pStyle w:val="BodyText"/>
        <w:spacing w:line="477" w:lineRule="auto" w:before="121"/>
        <w:ind w:right="94" w:firstLine="360"/>
        <w:jc w:val="left"/>
      </w:pPr>
      <w:r>
        <w:rPr>
          <w:rFonts w:ascii="宋体" w:hAnsi="宋体" w:cs="宋体" w:eastAsia="宋体" w:hint="default"/>
        </w:rPr>
        <w:t>2017</w:t>
      </w:r>
      <w:r>
        <w:rPr/>
        <w:t>年度，公司独立董事认真行使职责权利，充分发挥专业知识，利用参加股东大会、董事会等会议，了解公司情况， </w:t>
      </w:r>
      <w:r>
        <w:rPr>
          <w:spacing w:val="-2"/>
        </w:rPr>
        <w:t>并与公司董事、董事会秘书、财务总监及其他相关人员进行交流，掌握公司经营动态，参与探讨公司经营策略，并就防范内</w:t>
      </w:r>
      <w:r>
        <w:rPr>
          <w:spacing w:val="-67"/>
        </w:rPr>
        <w:t> </w:t>
      </w:r>
      <w:r>
        <w:rPr>
          <w:spacing w:val="-67"/>
        </w:rPr>
      </w:r>
      <w:r>
        <w:rPr>
          <w:spacing w:val="-2"/>
        </w:rPr>
        <w:t>幕交易、信息披露合规性等提出了宝贵意见，公司诚恳予以采纳。另外，独立认真审议董事会各项议案，对重要事项发表审</w:t>
      </w:r>
      <w:r>
        <w:rPr>
          <w:spacing w:val="-67"/>
        </w:rPr>
        <w:t> </w:t>
      </w:r>
      <w:r>
        <w:rPr>
          <w:spacing w:val="-67"/>
        </w:rPr>
      </w:r>
      <w:r>
        <w:rPr/>
        <w:t>慎、客观的独立意见，有效履行独立董事职责，积极维护全体股东特别是中小股东的合法权益。</w:t>
      </w:r>
    </w:p>
    <w:p>
      <w:pPr>
        <w:pStyle w:val="Heading2"/>
        <w:spacing w:line="240" w:lineRule="auto" w:before="152"/>
        <w:ind w:right="0"/>
        <w:jc w:val="both"/>
        <w:rPr>
          <w:b w:val="0"/>
          <w:bCs w:val="0"/>
        </w:rPr>
      </w:pPr>
      <w:r>
        <w:rPr/>
        <w:t>六、董事会下设专门委员会在报告期内履行职责情况</w:t>
      </w:r>
      <w:r>
        <w:rPr>
          <w:b w:val="0"/>
          <w:bCs w:val="0"/>
        </w:rPr>
      </w:r>
    </w:p>
    <w:p>
      <w:pPr>
        <w:spacing w:line="240" w:lineRule="auto" w:before="13"/>
        <w:rPr>
          <w:rFonts w:ascii="Microsoft JhengHei" w:hAnsi="Microsoft JhengHei" w:cs="Microsoft JhengHei" w:eastAsia="Microsoft JhengHei" w:hint="default"/>
          <w:b/>
          <w:bCs/>
          <w:sz w:val="22"/>
          <w:szCs w:val="22"/>
        </w:rPr>
      </w:pPr>
    </w:p>
    <w:p>
      <w:pPr>
        <w:pStyle w:val="BodyText"/>
        <w:spacing w:line="477" w:lineRule="auto"/>
        <w:ind w:right="94" w:firstLine="360"/>
        <w:jc w:val="left"/>
      </w:pPr>
      <w:r>
        <w:rPr>
          <w:spacing w:val="-2"/>
        </w:rPr>
        <w:t>公司董事会战略委员会、审计委员会、提名委员会以及薪酬与考核委员会均按照自各的工作细则开展工作。各委员认真</w:t>
      </w:r>
      <w:r>
        <w:rPr/>
        <w:t> 履行职责，充分行使权利，确保公司规范有序运作。</w:t>
      </w:r>
    </w:p>
    <w:p>
      <w:pPr>
        <w:pStyle w:val="BodyText"/>
        <w:spacing w:line="477" w:lineRule="auto" w:before="54"/>
        <w:ind w:left="513" w:right="94"/>
        <w:jc w:val="left"/>
      </w:pPr>
      <w:r>
        <w:rPr/>
        <w:t>（一）战略委员会的履职情况 </w:t>
      </w:r>
      <w:r>
        <w:rPr>
          <w:spacing w:val="-2"/>
        </w:rPr>
        <w:t>报告期内，公司战略委员会勤勉尽责地履行职责，结合国内外经济形势和公司细分行业的特点，对公司经营状况和发展</w:t>
      </w:r>
    </w:p>
    <w:p>
      <w:pPr>
        <w:pStyle w:val="BodyText"/>
        <w:spacing w:line="477" w:lineRule="auto" w:before="54"/>
        <w:ind w:right="94"/>
        <w:jc w:val="left"/>
      </w:pPr>
      <w:r>
        <w:rPr>
          <w:spacing w:val="-2"/>
        </w:rPr>
        <w:t>前景进行深入地分析，及时对公司战略规划、对外投资等事项进行了研究，提出企业应重点关注的经营事项，为公司发展规</w:t>
      </w:r>
      <w:r>
        <w:rPr>
          <w:spacing w:val="-65"/>
        </w:rPr>
        <w:t> </w:t>
      </w:r>
      <w:r>
        <w:rPr>
          <w:spacing w:val="-65"/>
        </w:rPr>
      </w:r>
      <w:r>
        <w:rPr/>
        <w:t>划提出积极的建设性意见。</w:t>
      </w:r>
    </w:p>
    <w:p>
      <w:pPr>
        <w:pStyle w:val="BodyText"/>
        <w:spacing w:line="477" w:lineRule="auto" w:before="54"/>
        <w:ind w:left="513" w:right="94"/>
        <w:jc w:val="left"/>
      </w:pPr>
      <w:r>
        <w:rPr/>
        <w:t>（二）审计委员会的履职情况 </w:t>
      </w:r>
      <w:r>
        <w:rPr>
          <w:spacing w:val="-2"/>
        </w:rPr>
        <w:t>报告期内，公司董事会审计委员会根据《公司法》、《证券法》、《上市公司治理准则》、《审计委员会工作细则》及</w:t>
      </w:r>
    </w:p>
    <w:p>
      <w:pPr>
        <w:pStyle w:val="BodyText"/>
        <w:spacing w:line="477" w:lineRule="auto" w:before="54"/>
        <w:ind w:right="190"/>
        <w:jc w:val="both"/>
      </w:pPr>
      <w:r>
        <w:rPr>
          <w:spacing w:val="-2"/>
        </w:rPr>
        <w:t>《董事会审计委员会年报工作制度》等有关规定，积极履行职责。报告期内审计委员会召开了七次会议，审议公司审计部提</w:t>
      </w:r>
      <w:r>
        <w:rPr>
          <w:spacing w:val="-64"/>
        </w:rPr>
        <w:t> </w:t>
      </w:r>
      <w:r>
        <w:rPr>
          <w:spacing w:val="-64"/>
        </w:rPr>
      </w:r>
      <w:r>
        <w:rPr>
          <w:spacing w:val="-2"/>
        </w:rPr>
        <w:t>交的各项内部审计报告，听取审计部年度工作总结和工作计划安排，指导审计部开展各项工作，围绕定期报告审计开展各项</w:t>
      </w:r>
      <w:r>
        <w:rPr>
          <w:spacing w:val="-63"/>
        </w:rPr>
        <w:t> </w:t>
      </w:r>
      <w:r>
        <w:rPr>
          <w:spacing w:val="-63"/>
        </w:rPr>
      </w:r>
      <w:r>
        <w:rPr/>
        <w:t>工作，提名审计机构负责人，审议会计政策的变更等相关议案并提交公司董事会审议。</w:t>
      </w:r>
    </w:p>
    <w:p>
      <w:pPr>
        <w:pStyle w:val="BodyText"/>
        <w:spacing w:line="240" w:lineRule="auto" w:before="54"/>
        <w:ind w:left="513" w:right="94"/>
        <w:jc w:val="left"/>
      </w:pPr>
      <w:r>
        <w:rPr/>
        <w:t>（三）薪酬与考核委员会的履职情况</w:t>
      </w:r>
    </w:p>
    <w:p>
      <w:pPr>
        <w:spacing w:after="0" w:line="240" w:lineRule="auto"/>
        <w:jc w:val="left"/>
        <w:sectPr>
          <w:pgSz w:w="11910" w:h="16840"/>
          <w:pgMar w:header="745" w:footer="979" w:top="1060" w:bottom="1160" w:left="980" w:right="94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477" w:lineRule="auto"/>
        <w:ind w:right="151" w:firstLine="360"/>
        <w:jc w:val="both"/>
      </w:pPr>
      <w:r>
        <w:rPr>
          <w:spacing w:val="-2"/>
        </w:rPr>
        <w:t>报告期内公司薪酬与考核委员会按照《公司章程》、《董事会薪酬与考核委员会工作细则》等相关规定规范运作，对公</w:t>
      </w:r>
      <w:r>
        <w:rPr/>
        <w:t> </w:t>
      </w:r>
      <w:r>
        <w:rPr>
          <w:spacing w:val="-2"/>
        </w:rPr>
        <w:t>司董事、监事和高级管理人员的薪酬情况进行了审核，认为其薪酬标准和年度薪酬总额的确定符合公司相关薪酬管理制度的</w:t>
      </w:r>
      <w:r>
        <w:rPr>
          <w:spacing w:val="-62"/>
        </w:rPr>
        <w:t> </w:t>
      </w:r>
      <w:r>
        <w:rPr>
          <w:spacing w:val="-62"/>
        </w:rPr>
      </w:r>
      <w:r>
        <w:rPr>
          <w:spacing w:val="-2"/>
        </w:rPr>
        <w:t>规定。同时，为充分调动公司及控股子公司董事、监事以及高级管理人员和核心员工的积极性，薪酬与考核委员会不断探讨</w:t>
      </w:r>
      <w:r>
        <w:rPr>
          <w:spacing w:val="-64"/>
        </w:rPr>
        <w:t> </w:t>
      </w:r>
      <w:r>
        <w:rPr>
          <w:spacing w:val="-64"/>
        </w:rPr>
      </w:r>
      <w:r>
        <w:rPr/>
        <w:t>完善绩效考核体系。</w:t>
      </w:r>
    </w:p>
    <w:p>
      <w:pPr>
        <w:pStyle w:val="BodyText"/>
        <w:spacing w:line="477" w:lineRule="auto" w:before="54"/>
        <w:ind w:left="513" w:right="0"/>
        <w:jc w:val="left"/>
      </w:pPr>
      <w:r>
        <w:rPr/>
        <w:t>（四）提名委员会的履职情况 </w:t>
      </w:r>
      <w:r>
        <w:rPr>
          <w:spacing w:val="-2"/>
        </w:rPr>
        <w:t>报告期内，公司董事会提名委员会依照法律、法规以及《公司章程》、《董事会提名委员会工作细则》的规定，勤勉履</w:t>
      </w:r>
    </w:p>
    <w:p>
      <w:pPr>
        <w:pStyle w:val="BodyText"/>
        <w:spacing w:line="477" w:lineRule="auto" w:before="54"/>
        <w:ind w:right="150"/>
        <w:jc w:val="both"/>
      </w:pPr>
      <w:r>
        <w:rPr>
          <w:spacing w:val="-2"/>
        </w:rPr>
        <w:t>行职责，对公司董事会成员以及公司经营层主要管理人员任职等事项在</w:t>
      </w:r>
      <w:r>
        <w:rPr>
          <w:rFonts w:ascii="宋体" w:hAnsi="宋体" w:cs="宋体" w:eastAsia="宋体" w:hint="default"/>
          <w:spacing w:val="-2"/>
        </w:rPr>
        <w:t>2017</w:t>
      </w:r>
      <w:r>
        <w:rPr>
          <w:spacing w:val="-2"/>
        </w:rPr>
        <w:t>年年度内是否继续符合《公司法》及国家有关法</w:t>
      </w:r>
      <w:r>
        <w:rPr>
          <w:spacing w:val="-63"/>
        </w:rPr>
        <w:t> </w:t>
      </w:r>
      <w:r>
        <w:rPr>
          <w:spacing w:val="-63"/>
        </w:rPr>
      </w:r>
      <w:r>
        <w:rPr>
          <w:spacing w:val="-2"/>
        </w:rPr>
        <w:t>律、法规规定的任职资格进行复核，经复核公司董事会成员以及公司经营层主要管理人员任职等事项均符合《公司法》及国</w:t>
      </w:r>
      <w:r>
        <w:rPr>
          <w:spacing w:val="-64"/>
        </w:rPr>
        <w:t> </w:t>
      </w:r>
      <w:r>
        <w:rPr>
          <w:spacing w:val="-64"/>
        </w:rPr>
      </w:r>
      <w:r>
        <w:rPr/>
        <w:t>家有关法律、法规规定的任职资格。</w:t>
      </w:r>
    </w:p>
    <w:p>
      <w:pPr>
        <w:pStyle w:val="Heading2"/>
        <w:spacing w:line="240" w:lineRule="auto" w:before="152"/>
        <w:ind w:right="0"/>
        <w:jc w:val="both"/>
        <w:rPr>
          <w:b w:val="0"/>
          <w:bCs w:val="0"/>
        </w:rPr>
      </w:pPr>
      <w:r>
        <w:rPr/>
        <w:t>七、监事会工作情况</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240" w:lineRule="auto"/>
        <w:ind w:right="0"/>
        <w:jc w:val="both"/>
      </w:pPr>
      <w:r>
        <w:rPr/>
        <w:t>监事会在报告期内的监督活动中发现公司是否存在风险</w:t>
      </w:r>
    </w:p>
    <w:p>
      <w:pPr>
        <w:pStyle w:val="BodyText"/>
        <w:spacing w:line="340" w:lineRule="auto" w:before="115"/>
        <w:ind w:right="671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监事会对报告期内的监督事项无异议。</w:t>
      </w:r>
    </w:p>
    <w:p>
      <w:pPr>
        <w:spacing w:line="240" w:lineRule="auto" w:before="9"/>
        <w:rPr>
          <w:rFonts w:ascii="宋体" w:hAnsi="宋体" w:cs="宋体" w:eastAsia="宋体" w:hint="default"/>
          <w:sz w:val="13"/>
          <w:szCs w:val="13"/>
        </w:rPr>
      </w:pPr>
    </w:p>
    <w:p>
      <w:pPr>
        <w:pStyle w:val="Heading2"/>
        <w:spacing w:line="240" w:lineRule="auto"/>
        <w:ind w:right="0"/>
        <w:jc w:val="both"/>
        <w:rPr>
          <w:b w:val="0"/>
          <w:bCs w:val="0"/>
        </w:rPr>
      </w:pPr>
      <w:r>
        <w:rPr/>
        <w:t>八、高级管理人员的考评及激励情况</w:t>
      </w:r>
      <w:r>
        <w:rPr>
          <w:b w:val="0"/>
          <w:bCs w:val="0"/>
        </w:rPr>
      </w:r>
    </w:p>
    <w:p>
      <w:pPr>
        <w:spacing w:line="240" w:lineRule="auto" w:before="13"/>
        <w:rPr>
          <w:rFonts w:ascii="Microsoft JhengHei" w:hAnsi="Microsoft JhengHei" w:cs="Microsoft JhengHei" w:eastAsia="Microsoft JhengHei" w:hint="default"/>
          <w:b/>
          <w:bCs/>
          <w:sz w:val="22"/>
          <w:szCs w:val="22"/>
        </w:rPr>
      </w:pPr>
    </w:p>
    <w:p>
      <w:pPr>
        <w:pStyle w:val="BodyText"/>
        <w:spacing w:line="477" w:lineRule="auto"/>
        <w:ind w:right="152" w:firstLine="360"/>
        <w:jc w:val="both"/>
      </w:pPr>
      <w:r>
        <w:rPr>
          <w:spacing w:val="-2"/>
        </w:rPr>
        <w:t>报告期内，本公司高级管理人员能够严格按照《公司法》、《公司章程》等法律法规，认真履行职责。公司董事会设立</w:t>
      </w:r>
      <w:r>
        <w:rPr/>
        <w:t> </w:t>
      </w:r>
      <w:r>
        <w:rPr>
          <w:spacing w:val="-2"/>
        </w:rPr>
        <w:t>了薪酬与考核委员会，公司高级管理人员直接对董事会负责，接受董事会的考核，以公司规范化管理及经营效益完成情况为</w:t>
      </w:r>
      <w:r>
        <w:rPr>
          <w:spacing w:val="-66"/>
        </w:rPr>
        <w:t> </w:t>
      </w:r>
      <w:r>
        <w:rPr>
          <w:spacing w:val="-66"/>
        </w:rPr>
      </w:r>
      <w:r>
        <w:rPr>
          <w:spacing w:val="-2"/>
        </w:rPr>
        <w:t>基础，明确责任。董事会薪酬与考核委员会具体审议高级管理人员的薪酬奖励方案，根据公司实际经营完成情况以及高级管</w:t>
      </w:r>
      <w:r>
        <w:rPr>
          <w:spacing w:val="-66"/>
        </w:rPr>
        <w:t> </w:t>
      </w:r>
      <w:r>
        <w:rPr>
          <w:spacing w:val="-66"/>
        </w:rPr>
      </w:r>
      <w:r>
        <w:rPr/>
        <w:t>理人员的工作绩效，对高级管理人员进行年度绩效考核，并监督薪酬制度执行情况。</w:t>
      </w:r>
    </w:p>
    <w:p>
      <w:pPr>
        <w:pStyle w:val="Heading2"/>
        <w:spacing w:line="240" w:lineRule="auto" w:before="152"/>
        <w:ind w:right="0"/>
        <w:jc w:val="both"/>
        <w:rPr>
          <w:b w:val="0"/>
          <w:bCs w:val="0"/>
        </w:rPr>
      </w:pPr>
      <w:r>
        <w:rPr/>
        <w:t>九、内部控制评价报告</w:t>
      </w:r>
      <w:r>
        <w:rPr>
          <w:b w:val="0"/>
          <w:bCs w:val="0"/>
        </w:rPr>
      </w:r>
    </w:p>
    <w:p>
      <w:pPr>
        <w:spacing w:line="240" w:lineRule="auto" w:before="6"/>
        <w:rPr>
          <w:rFonts w:ascii="Microsoft JhengHei" w:hAnsi="Microsoft JhengHei" w:cs="Microsoft JhengHei" w:eastAsia="Microsoft JhengHei" w:hint="default"/>
          <w:b/>
          <w:bCs/>
          <w:sz w:val="13"/>
          <w:szCs w:val="13"/>
        </w:rPr>
      </w:pPr>
    </w:p>
    <w:p>
      <w:pPr>
        <w:pStyle w:val="Heading3"/>
        <w:spacing w:line="240" w:lineRule="auto"/>
        <w:ind w:right="0"/>
        <w:jc w:val="both"/>
        <w:rPr>
          <w:b w:val="0"/>
          <w:bCs w:val="0"/>
        </w:rPr>
      </w:pP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240" w:lineRule="auto"/>
        <w:ind w:right="0"/>
        <w:jc w:val="both"/>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1"/>
        <w:rPr>
          <w:rFonts w:ascii="宋体" w:hAnsi="宋体" w:cs="宋体" w:eastAsia="宋体" w:hint="default"/>
          <w:sz w:val="21"/>
          <w:szCs w:val="21"/>
        </w:rPr>
      </w:pPr>
    </w:p>
    <w:p>
      <w:pPr>
        <w:pStyle w:val="Heading3"/>
        <w:spacing w:line="240" w:lineRule="auto"/>
        <w:ind w:right="0"/>
        <w:jc w:val="both"/>
        <w:rPr>
          <w:b w:val="0"/>
          <w:bCs w:val="0"/>
        </w:rPr>
      </w:pPr>
      <w:r>
        <w:rPr>
          <w:rFonts w:ascii="Times New Roman" w:hAnsi="Times New Roman" w:cs="Times New Roman" w:eastAsia="Times New Roman" w:hint="default"/>
        </w:rPr>
        <w:t>2</w:t>
      </w:r>
      <w:r>
        <w:rPr/>
        <w:t>、内控自我评价报告</w:t>
      </w:r>
      <w:r>
        <w:rPr>
          <w:b w:val="0"/>
          <w:bCs w:val="0"/>
        </w:rPr>
      </w:r>
    </w:p>
    <w:p>
      <w:pPr>
        <w:spacing w:line="240" w:lineRule="auto" w:before="15"/>
        <w:rPr>
          <w:rFonts w:ascii="Microsoft JhengHei" w:hAnsi="Microsoft JhengHei" w:cs="Microsoft JhengHei" w:eastAsia="Microsoft JhengHei" w:hint="default"/>
          <w:b/>
          <w:bCs/>
          <w:sz w:val="18"/>
          <w:szCs w:val="18"/>
        </w:rPr>
      </w:pPr>
    </w:p>
    <w:tbl>
      <w:tblPr>
        <w:tblW w:w="0" w:type="auto"/>
        <w:jc w:val="left"/>
        <w:tblInd w:w="149" w:type="dxa"/>
        <w:tblLayout w:type="fixed"/>
        <w:tblCellMar>
          <w:top w:w="0" w:type="dxa"/>
          <w:left w:w="0" w:type="dxa"/>
          <w:bottom w:w="0" w:type="dxa"/>
          <w:right w:w="0" w:type="dxa"/>
        </w:tblCellMar>
        <w:tblLook w:val="01E0"/>
      </w:tblPr>
      <w:tblGrid>
        <w:gridCol w:w="3194"/>
        <w:gridCol w:w="6375"/>
      </w:tblGrid>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r>
      <w:tr>
        <w:trPr>
          <w:trHeight w:val="716"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《广东群兴玩具股份有限公司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年度内部控制自我评价报告》详见</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日的巨潮网资讯（</w:t>
            </w:r>
            <w:hyperlink r:id="rId12">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r>
        <w:trPr>
          <w:trHeight w:val="71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99"/>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纳入评价范围单位资产总额占公司合并 财务报表资产总额的比例</w:t>
            </w:r>
          </w:p>
        </w:tc>
        <w:tc>
          <w:tcPr>
            <w:tcW w:w="6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22" w:right="0"/>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纳入评价范围单位营业收入占公司合并</w:t>
            </w:r>
          </w:p>
        </w:tc>
        <w:tc>
          <w:tcPr>
            <w:tcW w:w="6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100.00%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7"/>
        <w:rPr>
          <w:rFonts w:ascii="Microsoft JhengHei" w:hAnsi="Microsoft JhengHei" w:cs="Microsoft JhengHei" w:eastAsia="Microsoft JhengHei" w:hint="default"/>
          <w:b/>
          <w:bCs/>
          <w:sz w:val="21"/>
          <w:szCs w:val="21"/>
        </w:rPr>
      </w:pPr>
      <w:r>
        <w:rPr/>
        <w:pict>
          <v:group style="position:absolute;margin-left:382.869995pt;margin-top:338.089996pt;width:152.1pt;height:54.6pt;mso-position-horizontal-relative:page;mso-position-vertical-relative:page;z-index:-701056" coordorigin="7657,6762" coordsize="3042,1092">
            <v:shape style="position:absolute;left:7657;top:6762;width:3042;height:1092" coordorigin="7657,6762" coordsize="3042,1092" path="m7657,7854l10699,7854,10699,6762,7657,6762,7657,7854xe" filled="true" fillcolor="#ffffff" stroked="false">
              <v:path arrowok="t"/>
              <v:fill type="solid"/>
            </v:shape>
            <w10:wrap type="none"/>
          </v:group>
        </w:pict>
      </w:r>
    </w:p>
    <w:tbl>
      <w:tblPr>
        <w:tblW w:w="0" w:type="auto"/>
        <w:jc w:val="left"/>
        <w:tblInd w:w="148" w:type="dxa"/>
        <w:tblLayout w:type="fixed"/>
        <w:tblCellMar>
          <w:top w:w="0" w:type="dxa"/>
          <w:left w:w="0" w:type="dxa"/>
          <w:bottom w:w="0" w:type="dxa"/>
          <w:right w:w="0" w:type="dxa"/>
        </w:tblCellMar>
        <w:tblLook w:val="01E0"/>
      </w:tblPr>
      <w:tblGrid>
        <w:gridCol w:w="3195"/>
        <w:gridCol w:w="3322"/>
        <w:gridCol w:w="3053"/>
      </w:tblGrid>
      <w:tr>
        <w:trPr>
          <w:trHeight w:val="36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财务报表营业收入的比例</w:t>
            </w:r>
          </w:p>
        </w:tc>
        <w:tc>
          <w:tcPr>
            <w:tcW w:w="6375" w:type="dxa"/>
            <w:gridSpan w:val="2"/>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957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0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1877" w:hRule="exact"/>
        </w:trPr>
        <w:tc>
          <w:tcPr>
            <w:tcW w:w="3195" w:type="dxa"/>
            <w:tcBorders>
              <w:top w:val="single" w:sz="4" w:space="0" w:color="000000"/>
              <w:left w:val="single" w:sz="4" w:space="0" w:color="000000"/>
              <w:bottom w:val="nil" w:sz="6" w:space="0" w:color="auto"/>
              <w:right w:val="single" w:sz="4" w:space="0" w:color="000000"/>
            </w:tcBorders>
            <w:shd w:val="clear" w:color="auto" w:fill="D2D2D2"/>
          </w:tcPr>
          <w:p>
            <w:pPr/>
          </w:p>
        </w:tc>
        <w:tc>
          <w:tcPr>
            <w:tcW w:w="3322" w:type="dxa"/>
            <w:vMerge w:val="restart"/>
            <w:tcBorders>
              <w:top w:val="single" w:sz="4" w:space="0" w:color="000000"/>
              <w:left w:val="single" w:sz="4" w:space="0" w:color="000000"/>
              <w:right w:val="single" w:sz="4" w:space="0" w:color="000000"/>
            </w:tcBorders>
          </w:tcPr>
          <w:p>
            <w:pPr>
              <w:pStyle w:val="TableParagraph"/>
              <w:spacing w:line="314" w:lineRule="auto" w:before="49"/>
              <w:ind w:left="24" w:right="17"/>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）重大缺陷：①公司控制环境无效；②</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公司董事、监事和高级管理人员舞弊；③ 注册会计师发现当期财务报表存在重大错 报，而公司内部控制在运行过程中未能发 现该错报；④公司审计委员会和审计部对 </w:t>
            </w:r>
            <w:r>
              <w:rPr>
                <w:rFonts w:ascii="宋体" w:hAnsi="宋体" w:cs="宋体" w:eastAsia="宋体" w:hint="default"/>
                <w:spacing w:val="-4"/>
                <w:sz w:val="18"/>
                <w:szCs w:val="18"/>
              </w:rPr>
              <w:t>内部控制的监督无效。（</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）重要缺陷：①</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未按照公认会计准则选择和应用会计政 策；②反舞弊程序和控制无效；③财务报 告过程中出现单独或多项缺陷，虽然未达 到重大缺陷认定标准，但影响到财务报告 </w:t>
            </w:r>
            <w:r>
              <w:rPr>
                <w:rFonts w:ascii="宋体" w:hAnsi="宋体" w:cs="宋体" w:eastAsia="宋体" w:hint="default"/>
                <w:spacing w:val="-4"/>
                <w:sz w:val="18"/>
                <w:szCs w:val="18"/>
              </w:rPr>
              <w:t>的真实、准确目标。（</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）一般缺陷：未构</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成重大缺陷、重要缺陷标准的其他内部控 制缺陷。</w:t>
            </w:r>
          </w:p>
        </w:tc>
        <w:tc>
          <w:tcPr>
            <w:tcW w:w="3053"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312" w:lineRule="auto"/>
              <w:ind w:left="26" w:right="19"/>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）重大缺陷：①违反国家法律、法 </w:t>
            </w:r>
            <w:r>
              <w:rPr>
                <w:rFonts w:ascii="宋体" w:hAnsi="宋体" w:cs="宋体" w:eastAsia="宋体" w:hint="default"/>
                <w:spacing w:val="-4"/>
                <w:sz w:val="18"/>
                <w:szCs w:val="18"/>
              </w:rPr>
              <w:t>规或规范性文件；②决策程序不科学导</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致重大决策失误；③重要业务制度性缺</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失或系统性失效；④重大或重要缺陷不</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能得到有效整改；⑤安全、环保事故对</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公司造成重大负面影响的情形。（</w:t>
            </w:r>
            <w:r>
              <w:rPr>
                <w:rFonts w:ascii="Times New Roman" w:hAnsi="Times New Roman" w:cs="Times New Roman" w:eastAsia="Times New Roman" w:hint="default"/>
                <w:sz w:val="18"/>
                <w:szCs w:val="18"/>
              </w:rPr>
              <w:t>2</w:t>
            </w:r>
            <w:r>
              <w:rPr>
                <w:rFonts w:ascii="宋体" w:hAnsi="宋体" w:cs="宋体" w:eastAsia="宋体" w:hint="default"/>
                <w:sz w:val="18"/>
                <w:szCs w:val="18"/>
              </w:rPr>
              <w:t>） </w:t>
            </w:r>
            <w:r>
              <w:rPr>
                <w:rFonts w:ascii="宋体" w:hAnsi="宋体" w:cs="宋体" w:eastAsia="宋体" w:hint="default"/>
                <w:spacing w:val="-4"/>
                <w:sz w:val="18"/>
                <w:szCs w:val="18"/>
              </w:rPr>
              <w:t>重要缺陷：①重要业务制度或系统存在</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的缺陷；②内部控制内部监督发现的重</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要缺陷未及时整改；③重要业务系统运</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转效率低下。（</w:t>
            </w:r>
            <w:r>
              <w:rPr>
                <w:rFonts w:ascii="Times New Roman" w:hAnsi="Times New Roman" w:cs="Times New Roman" w:eastAsia="Times New Roman" w:hint="default"/>
                <w:sz w:val="18"/>
                <w:szCs w:val="18"/>
              </w:rPr>
              <w:t>3</w:t>
            </w:r>
            <w:r>
              <w:rPr>
                <w:rFonts w:ascii="宋体" w:hAnsi="宋体" w:cs="宋体" w:eastAsia="宋体" w:hint="default"/>
                <w:sz w:val="18"/>
                <w:szCs w:val="18"/>
              </w:rPr>
              <w:t>）一般缺陷：一般业 务制度或系统存在缺陷。</w:t>
            </w:r>
          </w:p>
        </w:tc>
      </w:tr>
      <w:tr>
        <w:trPr>
          <w:trHeight w:val="392" w:hRule="exact"/>
        </w:trPr>
        <w:tc>
          <w:tcPr>
            <w:tcW w:w="319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322" w:type="dxa"/>
            <w:vMerge/>
            <w:tcBorders>
              <w:left w:val="single" w:sz="4" w:space="0" w:color="000000"/>
              <w:right w:val="single" w:sz="4" w:space="0" w:color="000000"/>
            </w:tcBorders>
          </w:tcPr>
          <w:p>
            <w:pPr/>
          </w:p>
        </w:tc>
        <w:tc>
          <w:tcPr>
            <w:tcW w:w="3053" w:type="dxa"/>
            <w:vMerge/>
            <w:tcBorders>
              <w:left w:val="single" w:sz="4" w:space="0" w:color="000000"/>
              <w:right w:val="single" w:sz="4" w:space="0" w:color="000000"/>
            </w:tcBorders>
          </w:tcPr>
          <w:p>
            <w:pPr/>
          </w:p>
        </w:tc>
      </w:tr>
      <w:tr>
        <w:trPr>
          <w:trHeight w:val="1877" w:hRule="exact"/>
        </w:trPr>
        <w:tc>
          <w:tcPr>
            <w:tcW w:w="3195" w:type="dxa"/>
            <w:tcBorders>
              <w:top w:val="nil" w:sz="6" w:space="0" w:color="auto"/>
              <w:left w:val="single" w:sz="4" w:space="0" w:color="000000"/>
              <w:bottom w:val="single" w:sz="4" w:space="0" w:color="000000"/>
              <w:right w:val="single" w:sz="4" w:space="0" w:color="000000"/>
            </w:tcBorders>
            <w:shd w:val="clear" w:color="auto" w:fill="D2D2D2"/>
          </w:tcPr>
          <w:p>
            <w:pPr/>
          </w:p>
        </w:tc>
        <w:tc>
          <w:tcPr>
            <w:tcW w:w="3322" w:type="dxa"/>
            <w:vMerge/>
            <w:tcBorders>
              <w:left w:val="single" w:sz="4" w:space="0" w:color="000000"/>
              <w:bottom w:val="single" w:sz="4" w:space="0" w:color="000000"/>
              <w:right w:val="single" w:sz="4" w:space="0" w:color="000000"/>
            </w:tcBorders>
          </w:tcPr>
          <w:p>
            <w:pPr/>
          </w:p>
        </w:tc>
        <w:tc>
          <w:tcPr>
            <w:tcW w:w="3053" w:type="dxa"/>
            <w:vMerge/>
            <w:tcBorders>
              <w:left w:val="single" w:sz="4" w:space="0" w:color="000000"/>
              <w:bottom w:val="single" w:sz="4" w:space="0" w:color="000000"/>
              <w:right w:val="single" w:sz="4" w:space="0" w:color="000000"/>
            </w:tcBorders>
          </w:tcPr>
          <w:p>
            <w:pPr/>
          </w:p>
        </w:tc>
      </w:tr>
      <w:tr>
        <w:trPr>
          <w:trHeight w:val="1409" w:hRule="exact"/>
        </w:trPr>
        <w:tc>
          <w:tcPr>
            <w:tcW w:w="3195" w:type="dxa"/>
            <w:tcBorders>
              <w:top w:val="single" w:sz="4" w:space="0" w:color="000000"/>
              <w:left w:val="single" w:sz="4" w:space="0" w:color="000000"/>
              <w:bottom w:val="nil" w:sz="6" w:space="0" w:color="auto"/>
              <w:right w:val="single" w:sz="4" w:space="0" w:color="000000"/>
            </w:tcBorders>
            <w:shd w:val="clear" w:color="auto" w:fill="D2D2D2"/>
          </w:tcPr>
          <w:p>
            <w:pPr/>
          </w:p>
        </w:tc>
        <w:tc>
          <w:tcPr>
            <w:tcW w:w="3322" w:type="dxa"/>
            <w:vMerge w:val="restart"/>
            <w:tcBorders>
              <w:top w:val="single" w:sz="4" w:space="0" w:color="000000"/>
              <w:left w:val="single" w:sz="4" w:space="0" w:color="000000"/>
              <w:right w:val="single" w:sz="4" w:space="0" w:color="000000"/>
            </w:tcBorders>
          </w:tcPr>
          <w:p>
            <w:pPr>
              <w:pStyle w:val="TableParagraph"/>
              <w:spacing w:line="300" w:lineRule="auto" w:before="49"/>
              <w:ind w:left="24" w:right="17"/>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）重大缺陷：①报金额</w:t>
            </w:r>
            <w:r>
              <w:rPr>
                <w:rFonts w:ascii="Times New Roman" w:hAnsi="Times New Roman" w:cs="Times New Roman" w:eastAsia="Times New Roman" w:hint="default"/>
                <w:sz w:val="18"/>
                <w:szCs w:val="18"/>
              </w:rPr>
              <w:t>≥</w:t>
            </w:r>
            <w:r>
              <w:rPr>
                <w:rFonts w:ascii="宋体" w:hAnsi="宋体" w:cs="宋体" w:eastAsia="宋体" w:hint="default"/>
                <w:sz w:val="18"/>
                <w:szCs w:val="18"/>
              </w:rPr>
              <w:t>资产总额的 </w:t>
            </w:r>
            <w:r>
              <w:rPr>
                <w:rFonts w:ascii="Times New Roman" w:hAnsi="Times New Roman" w:cs="Times New Roman" w:eastAsia="Times New Roman" w:hint="default"/>
                <w:sz w:val="18"/>
                <w:szCs w:val="18"/>
              </w:rPr>
              <w:t>2.5%</w:t>
            </w:r>
            <w:r>
              <w:rPr>
                <w:rFonts w:ascii="宋体" w:hAnsi="宋体" w:cs="宋体" w:eastAsia="宋体" w:hint="default"/>
                <w:sz w:val="18"/>
                <w:szCs w:val="18"/>
              </w:rPr>
              <w:t>；②报金额</w:t>
            </w:r>
            <w:r>
              <w:rPr>
                <w:rFonts w:ascii="Times New Roman" w:hAnsi="Times New Roman" w:cs="Times New Roman" w:eastAsia="Times New Roman" w:hint="default"/>
                <w:sz w:val="18"/>
                <w:szCs w:val="18"/>
              </w:rPr>
              <w:t>≥</w:t>
            </w:r>
            <w:r>
              <w:rPr>
                <w:rFonts w:ascii="宋体" w:hAnsi="宋体" w:cs="宋体" w:eastAsia="宋体" w:hint="default"/>
                <w:sz w:val="18"/>
                <w:szCs w:val="18"/>
              </w:rPr>
              <w:t>主营业务收入的</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；③ 报金额</w:t>
            </w:r>
            <w:r>
              <w:rPr>
                <w:rFonts w:ascii="Times New Roman" w:hAnsi="Times New Roman" w:cs="Times New Roman" w:eastAsia="Times New Roman" w:hint="default"/>
                <w:sz w:val="18"/>
                <w:szCs w:val="18"/>
              </w:rPr>
              <w:t>≥</w:t>
            </w:r>
            <w:r>
              <w:rPr>
                <w:rFonts w:ascii="宋体" w:hAnsi="宋体" w:cs="宋体" w:eastAsia="宋体" w:hint="default"/>
                <w:sz w:val="18"/>
                <w:szCs w:val="18"/>
              </w:rPr>
              <w:t>利润总额的</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）重要缺陷</w:t>
            </w:r>
          </w:p>
          <w:p>
            <w:pPr>
              <w:pStyle w:val="TableParagraph"/>
              <w:spacing w:line="300" w:lineRule="auto" w:before="13"/>
              <w:ind w:left="24" w:right="19"/>
              <w:jc w:val="left"/>
              <w:rPr>
                <w:rFonts w:ascii="宋体" w:hAnsi="宋体" w:cs="宋体" w:eastAsia="宋体" w:hint="default"/>
                <w:sz w:val="18"/>
                <w:szCs w:val="18"/>
              </w:rPr>
            </w:pPr>
            <w:r>
              <w:rPr>
                <w:rFonts w:ascii="宋体" w:hAnsi="宋体" w:cs="宋体" w:eastAsia="宋体" w:hint="default"/>
                <w:sz w:val="18"/>
                <w:szCs w:val="18"/>
              </w:rPr>
              <w:t>①资产总额的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错报金额＜资产总额的 </w:t>
            </w:r>
            <w:r>
              <w:rPr>
                <w:rFonts w:ascii="Times New Roman" w:hAnsi="Times New Roman" w:cs="Times New Roman" w:eastAsia="Times New Roman" w:hint="default"/>
                <w:sz w:val="18"/>
                <w:szCs w:val="18"/>
              </w:rPr>
              <w:t>2.5%</w:t>
            </w:r>
            <w:r>
              <w:rPr>
                <w:rFonts w:ascii="宋体" w:hAnsi="宋体" w:cs="宋体" w:eastAsia="宋体" w:hint="default"/>
                <w:sz w:val="18"/>
                <w:szCs w:val="18"/>
              </w:rPr>
              <w:t>；②营业收入的</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错报金额＜主营 业务收入的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；③利润总额的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错报 金额＜利润总额的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）一般缺陷：</w:t>
            </w:r>
          </w:p>
          <w:p>
            <w:pPr>
              <w:pStyle w:val="TableParagraph"/>
              <w:spacing w:line="240" w:lineRule="auto" w:before="13"/>
              <w:ind w:left="24" w:right="0"/>
              <w:jc w:val="left"/>
              <w:rPr>
                <w:rFonts w:ascii="宋体" w:hAnsi="宋体" w:cs="宋体" w:eastAsia="宋体" w:hint="default"/>
                <w:sz w:val="18"/>
                <w:szCs w:val="18"/>
              </w:rPr>
            </w:pPr>
            <w:r>
              <w:rPr>
                <w:rFonts w:ascii="宋体" w:hAnsi="宋体" w:cs="宋体" w:eastAsia="宋体" w:hint="default"/>
                <w:sz w:val="18"/>
                <w:szCs w:val="18"/>
              </w:rPr>
              <w:t>①错报金额＜资产总额的</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pacing w:val="-2"/>
                <w:sz w:val="18"/>
                <w:szCs w:val="18"/>
              </w:rPr>
              <w:t>%</w:t>
            </w:r>
            <w:r>
              <w:rPr>
                <w:rFonts w:ascii="宋体" w:hAnsi="宋体" w:cs="宋体" w:eastAsia="宋体" w:hint="default"/>
                <w:spacing w:val="-80"/>
                <w:sz w:val="18"/>
                <w:szCs w:val="18"/>
              </w:rPr>
              <w:t>；</w:t>
            </w:r>
            <w:r>
              <w:rPr>
                <w:rFonts w:ascii="宋体" w:hAnsi="宋体" w:cs="宋体" w:eastAsia="宋体" w:hint="default"/>
                <w:sz w:val="18"/>
                <w:szCs w:val="18"/>
              </w:rPr>
              <w:t>②错报金额</w:t>
            </w:r>
          </w:p>
          <w:p>
            <w:pPr>
              <w:pStyle w:val="TableParagraph"/>
              <w:spacing w:line="300" w:lineRule="auto" w:before="63"/>
              <w:ind w:left="24" w:right="19"/>
              <w:jc w:val="left"/>
              <w:rPr>
                <w:rFonts w:ascii="宋体" w:hAnsi="宋体" w:cs="宋体" w:eastAsia="宋体" w:hint="default"/>
                <w:sz w:val="18"/>
                <w:szCs w:val="18"/>
              </w:rPr>
            </w:pPr>
            <w:r>
              <w:rPr>
                <w:rFonts w:ascii="宋体" w:hAnsi="宋体" w:cs="宋体" w:eastAsia="宋体" w:hint="default"/>
                <w:sz w:val="18"/>
                <w:szCs w:val="18"/>
              </w:rPr>
              <w:t>＜主营业务收入的</w:t>
            </w:r>
            <w:r>
              <w:rPr>
                <w:rFonts w:ascii="宋体" w:hAnsi="宋体" w:cs="宋体" w:eastAsia="宋体" w:hint="default"/>
                <w:spacing w:val="-39"/>
                <w:sz w:val="18"/>
                <w:szCs w:val="18"/>
              </w:rPr>
              <w:t> </w:t>
            </w:r>
            <w:r>
              <w:rPr>
                <w:rFonts w:ascii="Times New Roman" w:hAnsi="Times New Roman" w:cs="Times New Roman" w:eastAsia="Times New Roman" w:hint="default"/>
                <w:spacing w:val="-8"/>
                <w:sz w:val="18"/>
                <w:szCs w:val="18"/>
              </w:rPr>
              <w:t>2%</w:t>
            </w:r>
            <w:r>
              <w:rPr>
                <w:rFonts w:ascii="宋体" w:hAnsi="宋体" w:cs="宋体" w:eastAsia="宋体" w:hint="default"/>
                <w:spacing w:val="-8"/>
                <w:sz w:val="18"/>
                <w:szCs w:val="18"/>
              </w:rPr>
              <w:t>；③错报金额＜利润</w:t>
            </w:r>
            <w:r>
              <w:rPr>
                <w:rFonts w:ascii="宋体" w:hAnsi="宋体" w:cs="宋体" w:eastAsia="宋体" w:hint="default"/>
                <w:sz w:val="18"/>
                <w:szCs w:val="18"/>
              </w:rPr>
              <w:t> 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305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2"/>
              <w:ind w:right="0"/>
              <w:jc w:val="left"/>
              <w:rPr>
                <w:rFonts w:ascii="Microsoft JhengHei" w:hAnsi="Microsoft JhengHei" w:cs="Microsoft JhengHei" w:eastAsia="Microsoft JhengHei" w:hint="default"/>
                <w:b/>
                <w:bCs/>
                <w:sz w:val="20"/>
                <w:szCs w:val="20"/>
              </w:rPr>
            </w:pPr>
          </w:p>
          <w:p>
            <w:pPr>
              <w:pStyle w:val="TableParagraph"/>
              <w:spacing w:line="240" w:lineRule="auto"/>
              <w:ind w:left="-125"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before="7"/>
              <w:ind w:right="0"/>
              <w:jc w:val="left"/>
              <w:rPr>
                <w:rFonts w:ascii="Microsoft JhengHei" w:hAnsi="Microsoft JhengHei" w:cs="Microsoft JhengHei" w:eastAsia="Microsoft JhengHei" w:hint="default"/>
                <w:b/>
                <w:bCs/>
                <w:sz w:val="13"/>
                <w:szCs w:val="13"/>
              </w:rPr>
            </w:pPr>
          </w:p>
          <w:p>
            <w:pPr>
              <w:pStyle w:val="TableParagraph"/>
              <w:spacing w:line="316" w:lineRule="auto"/>
              <w:ind w:left="26" w:right="135"/>
              <w:jc w:val="both"/>
              <w:rPr>
                <w:rFonts w:ascii="宋体" w:hAnsi="宋体" w:cs="宋体" w:eastAsia="宋体" w:hint="default"/>
                <w:sz w:val="18"/>
                <w:szCs w:val="18"/>
              </w:rPr>
            </w:pPr>
            <w:r>
              <w:rPr>
                <w:rFonts w:ascii="宋体" w:hAnsi="宋体" w:cs="宋体" w:eastAsia="宋体" w:hint="default"/>
                <w:sz w:val="18"/>
                <w:szCs w:val="18"/>
              </w:rPr>
              <w:t>非财务报告内部控制缺陷评价的定量 标准参照财务报告内部控制缺陷评价 的定量标准执行。</w:t>
            </w:r>
          </w:p>
        </w:tc>
      </w:tr>
      <w:tr>
        <w:trPr>
          <w:trHeight w:val="394" w:hRule="exact"/>
        </w:trPr>
        <w:tc>
          <w:tcPr>
            <w:tcW w:w="319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322" w:type="dxa"/>
            <w:vMerge/>
            <w:tcBorders>
              <w:left w:val="single" w:sz="4" w:space="0" w:color="000000"/>
              <w:right w:val="single" w:sz="4" w:space="0" w:color="000000"/>
            </w:tcBorders>
          </w:tcPr>
          <w:p>
            <w:pPr/>
          </w:p>
        </w:tc>
        <w:tc>
          <w:tcPr>
            <w:tcW w:w="3053" w:type="dxa"/>
            <w:vMerge/>
            <w:tcBorders>
              <w:left w:val="single" w:sz="4" w:space="0" w:color="000000"/>
              <w:right w:val="single" w:sz="4" w:space="0" w:color="000000"/>
            </w:tcBorders>
          </w:tcPr>
          <w:p>
            <w:pPr/>
          </w:p>
        </w:tc>
      </w:tr>
      <w:tr>
        <w:trPr>
          <w:trHeight w:val="1409" w:hRule="exact"/>
        </w:trPr>
        <w:tc>
          <w:tcPr>
            <w:tcW w:w="3195" w:type="dxa"/>
            <w:tcBorders>
              <w:top w:val="nil" w:sz="6" w:space="0" w:color="auto"/>
              <w:left w:val="single" w:sz="4" w:space="0" w:color="000000"/>
              <w:bottom w:val="single" w:sz="4" w:space="0" w:color="000000"/>
              <w:right w:val="single" w:sz="4" w:space="0" w:color="000000"/>
            </w:tcBorders>
            <w:shd w:val="clear" w:color="auto" w:fill="D2D2D2"/>
          </w:tcPr>
          <w:p>
            <w:pPr/>
          </w:p>
        </w:tc>
        <w:tc>
          <w:tcPr>
            <w:tcW w:w="3322" w:type="dxa"/>
            <w:vMerge/>
            <w:tcBorders>
              <w:left w:val="single" w:sz="4" w:space="0" w:color="000000"/>
              <w:bottom w:val="single" w:sz="4" w:space="0" w:color="000000"/>
              <w:right w:val="single" w:sz="4" w:space="0" w:color="000000"/>
            </w:tcBorders>
          </w:tcPr>
          <w:p>
            <w:pPr/>
          </w:p>
        </w:tc>
        <w:tc>
          <w:tcPr>
            <w:tcW w:w="3053" w:type="dxa"/>
            <w:vMerge/>
            <w:tcBorders>
              <w:left w:val="single" w:sz="4" w:space="0" w:color="000000"/>
              <w:bottom w:val="single" w:sz="4" w:space="0" w:color="000000"/>
              <w:right w:val="single" w:sz="4" w:space="0" w:color="000000"/>
            </w:tcBorders>
          </w:tcPr>
          <w:p>
            <w:pP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10"/>
        <w:rPr>
          <w:rFonts w:ascii="Microsoft JhengHei" w:hAnsi="Microsoft JhengHei" w:cs="Microsoft JhengHei" w:eastAsia="Microsoft JhengHei" w:hint="default"/>
          <w:b/>
          <w:bCs/>
          <w:sz w:val="13"/>
          <w:szCs w:val="13"/>
        </w:rPr>
      </w:pPr>
    </w:p>
    <w:p>
      <w:pPr>
        <w:pStyle w:val="Heading2"/>
        <w:spacing w:line="367" w:lineRule="exact"/>
        <w:ind w:right="0"/>
        <w:jc w:val="left"/>
        <w:rPr>
          <w:b w:val="0"/>
          <w:bCs w:val="0"/>
        </w:rPr>
      </w:pPr>
      <w:r>
        <w:rPr/>
        <w:pict>
          <v:group style="position:absolute;margin-left:382.869995pt;margin-top:-147.317505pt;width:152.1pt;height:54.6pt;mso-position-horizontal-relative:page;mso-position-vertical-relative:paragraph;z-index:-701032" coordorigin="7657,-2946" coordsize="3042,1092">
            <v:shape style="position:absolute;left:7657;top:-2946;width:3042;height:1092" coordorigin="7657,-2946" coordsize="3042,1092" path="m7657,-1854l10699,-1854,10699,-2946,7657,-2946,7657,-1854xe" filled="true" fillcolor="#ffffff" stroked="false">
              <v:path arrowok="t"/>
              <v:fill type="solid"/>
            </v:shape>
            <w10:wrap type="none"/>
          </v:group>
        </w:pict>
      </w:r>
      <w:r>
        <w:rPr/>
        <w:t>十、内部控制审计报告或鉴证报告</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240" w:lineRule="auto"/>
        <w:ind w:right="0"/>
        <w:jc w:val="left"/>
      </w:pPr>
      <w:r>
        <w:rPr/>
        <w:t>不适用</w:t>
      </w:r>
    </w:p>
    <w:p>
      <w:pPr>
        <w:spacing w:after="0" w:line="240" w:lineRule="auto"/>
        <w:jc w:val="left"/>
        <w:sectPr>
          <w:pgSz w:w="11910" w:h="16840"/>
          <w:pgMar w:header="745" w:footer="979"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456" w:lineRule="exact"/>
        <w:ind w:left="3125" w:right="0"/>
        <w:jc w:val="left"/>
        <w:rPr>
          <w:b w:val="0"/>
          <w:bCs w:val="0"/>
        </w:rPr>
      </w:pPr>
      <w:bookmarkStart w:name="_bookmark9" w:id="10"/>
      <w:bookmarkEnd w:id="10"/>
      <w:r>
        <w:rPr>
          <w:b w:val="0"/>
          <w:bCs w:val="0"/>
        </w:rPr>
      </w:r>
      <w:r>
        <w:rPr/>
        <w:t>第十节 </w:t>
      </w:r>
      <w:r>
        <w:rPr>
          <w:spacing w:val="10"/>
        </w:rPr>
        <w:t> </w:t>
      </w:r>
      <w:r>
        <w:rPr/>
        <w:t>公司债券相关情况</w:t>
      </w:r>
      <w:r>
        <w:rPr>
          <w:b w:val="0"/>
          <w:bCs w:val="0"/>
        </w:rPr>
      </w:r>
    </w:p>
    <w:p>
      <w:pPr>
        <w:spacing w:line="240" w:lineRule="auto" w:before="17"/>
        <w:rPr>
          <w:rFonts w:ascii="Microsoft JhengHei" w:hAnsi="Microsoft JhengHei" w:cs="Microsoft JhengHei" w:eastAsia="Microsoft JhengHei" w:hint="default"/>
          <w:b/>
          <w:bCs/>
          <w:sz w:val="29"/>
          <w:szCs w:val="29"/>
        </w:rPr>
      </w:pPr>
    </w:p>
    <w:p>
      <w:pPr>
        <w:pStyle w:val="BodyText"/>
        <w:spacing w:line="357" w:lineRule="auto"/>
        <w:ind w:right="1134"/>
        <w:jc w:val="left"/>
      </w:pPr>
      <w:r>
        <w:rPr/>
        <w:t>公司是否存在公开发行并在证券交易所上市，且在年度报告批准报出日未到期或到期未能全额兑付的公司债券 否</w:t>
      </w:r>
    </w:p>
    <w:p>
      <w:pPr>
        <w:spacing w:after="0" w:line="357" w:lineRule="auto"/>
        <w:jc w:val="left"/>
        <w:sectPr>
          <w:pgSz w:w="11910" w:h="16840"/>
          <w:pgMar w:header="745" w:footer="979"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456" w:lineRule="exact"/>
        <w:ind w:left="3650" w:right="3670"/>
        <w:jc w:val="center"/>
        <w:rPr>
          <w:b w:val="0"/>
          <w:bCs w:val="0"/>
        </w:rPr>
      </w:pPr>
      <w:bookmarkStart w:name="_bookmark10" w:id="11"/>
      <w:bookmarkEnd w:id="11"/>
      <w:r>
        <w:rPr>
          <w:b w:val="0"/>
          <w:bCs w:val="0"/>
        </w:rPr>
      </w:r>
      <w:r>
        <w:rPr/>
        <w:t>第十一节 </w:t>
      </w:r>
      <w:r>
        <w:rPr>
          <w:spacing w:val="6"/>
        </w:rPr>
        <w:t> </w:t>
      </w:r>
      <w:r>
        <w:rPr/>
        <w:t>财务报告</w:t>
      </w:r>
      <w:r>
        <w:rPr>
          <w:b w:val="0"/>
          <w:bCs w:val="0"/>
        </w:rPr>
      </w:r>
    </w:p>
    <w:p>
      <w:pPr>
        <w:spacing w:line="240" w:lineRule="auto" w:before="15"/>
        <w:rPr>
          <w:rFonts w:ascii="Microsoft JhengHei" w:hAnsi="Microsoft JhengHei" w:cs="Microsoft JhengHei" w:eastAsia="Microsoft JhengHei" w:hint="default"/>
          <w:b/>
          <w:bCs/>
          <w:sz w:val="25"/>
          <w:szCs w:val="25"/>
        </w:rPr>
      </w:pPr>
    </w:p>
    <w:p>
      <w:pPr>
        <w:pStyle w:val="Heading2"/>
        <w:spacing w:line="367" w:lineRule="exact"/>
        <w:ind w:left="212" w:right="0"/>
        <w:jc w:val="left"/>
        <w:rPr>
          <w:b w:val="0"/>
          <w:bCs w:val="0"/>
        </w:rPr>
      </w:pPr>
      <w:r>
        <w:rPr/>
        <w:t>一、审计报告</w:t>
      </w:r>
      <w:r>
        <w:rPr>
          <w:b w:val="0"/>
          <w:bCs w:val="0"/>
        </w:rPr>
      </w:r>
    </w:p>
    <w:p>
      <w:pPr>
        <w:spacing w:line="240" w:lineRule="auto" w:before="13"/>
        <w:rPr>
          <w:rFonts w:ascii="Microsoft JhengHei" w:hAnsi="Microsoft JhengHei" w:cs="Microsoft JhengHei" w:eastAsia="Microsoft JhengHei" w:hint="default"/>
          <w:b/>
          <w:bCs/>
          <w:sz w:val="17"/>
          <w:szCs w:val="17"/>
        </w:rPr>
      </w:pPr>
    </w:p>
    <w:tbl>
      <w:tblPr>
        <w:tblW w:w="0" w:type="auto"/>
        <w:jc w:val="left"/>
        <w:tblInd w:w="209" w:type="dxa"/>
        <w:tblLayout w:type="fixed"/>
        <w:tblCellMar>
          <w:top w:w="0" w:type="dxa"/>
          <w:left w:w="0" w:type="dxa"/>
          <w:bottom w:w="0" w:type="dxa"/>
          <w:right w:w="0" w:type="dxa"/>
        </w:tblCellMar>
        <w:tblLook w:val="01E0"/>
      </w:tblPr>
      <w:tblGrid>
        <w:gridCol w:w="4783"/>
        <w:gridCol w:w="4787"/>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标准的无保留意见</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信会师报字</w:t>
            </w:r>
            <w:r>
              <w:rPr>
                <w:rFonts w:ascii="Times New Roman" w:hAnsi="Times New Roman" w:cs="Times New Roman" w:eastAsia="Times New Roman" w:hint="default"/>
                <w:sz w:val="18"/>
                <w:szCs w:val="18"/>
              </w:rPr>
              <w:t>[2018]</w:t>
            </w:r>
            <w:r>
              <w:rPr>
                <w:rFonts w:ascii="宋体" w:hAnsi="宋体" w:cs="宋体" w:eastAsia="宋体" w:hint="default"/>
                <w:sz w:val="18"/>
                <w:szCs w:val="18"/>
              </w:rPr>
              <w:t>第</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ZI10196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钟宇、陈延柏</w:t>
            </w:r>
          </w:p>
        </w:tc>
      </w:tr>
    </w:tbl>
    <w:p>
      <w:pPr>
        <w:pStyle w:val="BodyText"/>
        <w:spacing w:line="240" w:lineRule="auto" w:before="49"/>
        <w:ind w:left="3650" w:right="3668"/>
        <w:jc w:val="center"/>
      </w:pPr>
      <w:r>
        <w:rPr/>
        <w:t>审计报告正文</w:t>
      </w:r>
    </w:p>
    <w:p>
      <w:pPr>
        <w:spacing w:line="240" w:lineRule="auto" w:before="4"/>
        <w:rPr>
          <w:rFonts w:ascii="宋体" w:hAnsi="宋体" w:cs="宋体" w:eastAsia="宋体" w:hint="default"/>
          <w:sz w:val="10"/>
          <w:szCs w:val="10"/>
        </w:rPr>
      </w:pPr>
    </w:p>
    <w:p>
      <w:pPr>
        <w:pStyle w:val="Heading3"/>
        <w:spacing w:line="335" w:lineRule="exact"/>
        <w:ind w:left="212" w:right="0"/>
        <w:jc w:val="left"/>
        <w:rPr>
          <w:b w:val="0"/>
          <w:bCs w:val="0"/>
        </w:rPr>
      </w:pPr>
      <w:r>
        <w:rPr/>
        <w:t>广东群兴玩具股份有限公司全体股东：</w:t>
      </w:r>
      <w:r>
        <w:rPr>
          <w:b w:val="0"/>
          <w:bCs w:val="0"/>
        </w:rPr>
      </w:r>
    </w:p>
    <w:p>
      <w:pPr>
        <w:spacing w:line="240" w:lineRule="auto" w:before="2"/>
        <w:rPr>
          <w:rFonts w:ascii="Microsoft JhengHei" w:hAnsi="Microsoft JhengHei" w:cs="Microsoft JhengHei" w:eastAsia="Microsoft JhengHei" w:hint="default"/>
          <w:b/>
          <w:bCs/>
          <w:sz w:val="27"/>
          <w:szCs w:val="27"/>
        </w:rPr>
      </w:pPr>
    </w:p>
    <w:p>
      <w:pPr>
        <w:pStyle w:val="Heading3"/>
        <w:spacing w:line="240" w:lineRule="auto"/>
        <w:ind w:left="635" w:right="0"/>
        <w:jc w:val="left"/>
        <w:rPr>
          <w:b w:val="0"/>
          <w:bCs w:val="0"/>
        </w:rPr>
      </w:pPr>
      <w:r>
        <w:rPr/>
        <w:t>一、审计意见</w:t>
      </w:r>
      <w:r>
        <w:rPr>
          <w:b w:val="0"/>
          <w:bCs w:val="0"/>
        </w:rPr>
      </w:r>
    </w:p>
    <w:p>
      <w:pPr>
        <w:spacing w:line="240" w:lineRule="auto" w:before="2"/>
        <w:rPr>
          <w:rFonts w:ascii="Microsoft JhengHei" w:hAnsi="Microsoft JhengHei" w:cs="Microsoft JhengHei" w:eastAsia="Microsoft JhengHei" w:hint="default"/>
          <w:b/>
          <w:bCs/>
          <w:sz w:val="27"/>
          <w:szCs w:val="27"/>
        </w:rPr>
      </w:pPr>
    </w:p>
    <w:p>
      <w:pPr>
        <w:pStyle w:val="Heading4"/>
        <w:spacing w:line="357" w:lineRule="auto" w:before="0"/>
        <w:ind w:left="212" w:right="0"/>
        <w:jc w:val="left"/>
      </w:pPr>
      <w:r>
        <w:rPr/>
        <w:t>我们审计了广东群兴玩具股份有限公司（以下简称群兴玩具）财务报表，包括</w:t>
      </w:r>
      <w:r>
        <w:rPr>
          <w:spacing w:val="-52"/>
        </w:rPr>
        <w:t> </w:t>
      </w:r>
      <w:r>
        <w:rPr>
          <w:rFonts w:ascii="宋体" w:hAnsi="宋体" w:cs="宋体" w:eastAsia="宋体" w:hint="default"/>
        </w:rPr>
        <w:t>2017</w:t>
      </w:r>
      <w:r>
        <w:rPr>
          <w:rFonts w:ascii="宋体" w:hAnsi="宋体" w:cs="宋体" w:eastAsia="宋体" w:hint="default"/>
          <w:spacing w:val="-53"/>
        </w:rPr>
        <w:t> </w:t>
      </w:r>
      <w:r>
        <w:rPr/>
        <w:t>年</w:t>
      </w:r>
      <w:r>
        <w:rPr>
          <w:spacing w:val="-55"/>
        </w:rPr>
        <w:t> </w:t>
      </w:r>
      <w:r>
        <w:rPr>
          <w:rFonts w:ascii="宋体" w:hAnsi="宋体" w:cs="宋体" w:eastAsia="宋体" w:hint="default"/>
        </w:rPr>
        <w:t>12</w:t>
      </w:r>
      <w:r>
        <w:rPr>
          <w:rFonts w:ascii="宋体" w:hAnsi="宋体" w:cs="宋体" w:eastAsia="宋体" w:hint="default"/>
          <w:spacing w:val="-55"/>
        </w:rPr>
        <w:t> </w:t>
      </w:r>
      <w:r>
        <w:rPr/>
        <w:t>月</w:t>
      </w:r>
      <w:r>
        <w:rPr>
          <w:spacing w:val="-53"/>
        </w:rPr>
        <w:t> </w:t>
      </w:r>
      <w:r>
        <w:rPr>
          <w:rFonts w:ascii="宋体" w:hAnsi="宋体" w:cs="宋体" w:eastAsia="宋体" w:hint="default"/>
        </w:rPr>
        <w:t>31</w:t>
      </w:r>
      <w:r>
        <w:rPr>
          <w:rFonts w:ascii="宋体" w:hAnsi="宋体" w:cs="宋体" w:eastAsia="宋体" w:hint="default"/>
          <w:spacing w:val="-55"/>
        </w:rPr>
        <w:t> </w:t>
      </w:r>
      <w:r>
        <w:rPr/>
        <w:t>日的</w:t>
      </w:r>
      <w:r>
        <w:rPr>
          <w:w w:val="100"/>
        </w:rPr>
        <w:t> </w:t>
      </w:r>
      <w:r>
        <w:rPr>
          <w:spacing w:val="-3"/>
        </w:rPr>
        <w:t>合并及母公司资产负债表，</w:t>
      </w:r>
      <w:r>
        <w:rPr>
          <w:rFonts w:ascii="宋体" w:hAnsi="宋体" w:cs="宋体" w:eastAsia="宋体" w:hint="default"/>
          <w:spacing w:val="-3"/>
        </w:rPr>
        <w:t>2017 </w:t>
      </w:r>
      <w:r>
        <w:rPr>
          <w:spacing w:val="-4"/>
        </w:rPr>
        <w:t>年度的合并及母公司利润表、合并及母公司现金流量表、合并及母公司股</w:t>
      </w:r>
      <w:r>
        <w:rPr>
          <w:spacing w:val="-66"/>
        </w:rPr>
        <w:t> </w:t>
      </w:r>
      <w:r>
        <w:rPr>
          <w:spacing w:val="-66"/>
        </w:rPr>
      </w:r>
      <w:r>
        <w:rPr/>
        <w:t>东权益变动表以及相关财务报表附注。</w:t>
      </w:r>
    </w:p>
    <w:p>
      <w:pPr>
        <w:pStyle w:val="Heading4"/>
        <w:spacing w:line="240" w:lineRule="auto" w:before="30"/>
        <w:ind w:left="633" w:right="0" w:firstLine="0"/>
        <w:jc w:val="left"/>
        <w:rPr>
          <w:rFonts w:ascii="宋体" w:hAnsi="宋体" w:cs="宋体" w:eastAsia="宋体" w:hint="default"/>
        </w:rPr>
      </w:pPr>
      <w:r>
        <w:rPr>
          <w:spacing w:val="-4"/>
        </w:rPr>
        <w:t>我们认为，后附的财务报表在所有重大方面按照企业会计准则的规定编制，公允反映了群兴玩具</w:t>
      </w:r>
      <w:r>
        <w:rPr>
          <w:spacing w:val="31"/>
        </w:rPr>
        <w:t> </w:t>
      </w:r>
      <w:r>
        <w:rPr>
          <w:rFonts w:ascii="宋体" w:hAnsi="宋体" w:cs="宋体" w:eastAsia="宋体" w:hint="default"/>
        </w:rPr>
        <w:t>2017</w:t>
      </w:r>
    </w:p>
    <w:p>
      <w:pPr>
        <w:pStyle w:val="Heading4"/>
        <w:spacing w:line="614" w:lineRule="auto" w:before="133"/>
        <w:ind w:left="633" w:right="0" w:hanging="421"/>
        <w:jc w:val="left"/>
        <w:rPr>
          <w:rFonts w:ascii="Microsoft JhengHei" w:hAnsi="Microsoft JhengHei" w:cs="Microsoft JhengHei" w:eastAsia="Microsoft JhengHei" w:hint="default"/>
        </w:rPr>
      </w:pPr>
      <w:r>
        <w:rPr/>
        <w:t>年</w:t>
      </w:r>
      <w:r>
        <w:rPr>
          <w:spacing w:val="-52"/>
        </w:rPr>
        <w:t> </w:t>
      </w:r>
      <w:r>
        <w:rPr>
          <w:rFonts w:ascii="宋体" w:hAnsi="宋体" w:cs="宋体" w:eastAsia="宋体" w:hint="default"/>
        </w:rPr>
        <w:t>12</w:t>
      </w:r>
      <w:r>
        <w:rPr>
          <w:rFonts w:ascii="宋体" w:hAnsi="宋体" w:cs="宋体" w:eastAsia="宋体" w:hint="default"/>
          <w:spacing w:val="-55"/>
        </w:rPr>
        <w:t> </w:t>
      </w:r>
      <w:r>
        <w:rPr/>
        <w:t>月</w:t>
      </w:r>
      <w:r>
        <w:rPr>
          <w:spacing w:val="-53"/>
        </w:rPr>
        <w:t> </w:t>
      </w:r>
      <w:r>
        <w:rPr>
          <w:rFonts w:ascii="宋体" w:hAnsi="宋体" w:cs="宋体" w:eastAsia="宋体" w:hint="default"/>
        </w:rPr>
        <w:t>31</w:t>
      </w:r>
      <w:r>
        <w:rPr>
          <w:rFonts w:ascii="宋体" w:hAnsi="宋体" w:cs="宋体" w:eastAsia="宋体" w:hint="default"/>
          <w:spacing w:val="-55"/>
        </w:rPr>
        <w:t> </w:t>
      </w:r>
      <w:r>
        <w:rPr/>
        <w:t>日的合并及母公司财务状况以及</w:t>
      </w:r>
      <w:r>
        <w:rPr>
          <w:spacing w:val="-53"/>
        </w:rPr>
        <w:t> </w:t>
      </w:r>
      <w:r>
        <w:rPr>
          <w:rFonts w:ascii="宋体" w:hAnsi="宋体" w:cs="宋体" w:eastAsia="宋体" w:hint="default"/>
        </w:rPr>
        <w:t>2017</w:t>
      </w:r>
      <w:r>
        <w:rPr>
          <w:rFonts w:ascii="宋体" w:hAnsi="宋体" w:cs="宋体" w:eastAsia="宋体" w:hint="default"/>
          <w:spacing w:val="-55"/>
        </w:rPr>
        <w:t> </w:t>
      </w:r>
      <w:r>
        <w:rPr/>
        <w:t>年度的合并及母公司经营成果和现金流量。</w:t>
      </w:r>
      <w:r>
        <w:rPr>
          <w:w w:val="100"/>
        </w:rPr>
        <w:t> </w:t>
      </w:r>
      <w:r>
        <w:rPr>
          <w:rFonts w:ascii="Microsoft JhengHei" w:hAnsi="Microsoft JhengHei" w:cs="Microsoft JhengHei" w:eastAsia="Microsoft JhengHei" w:hint="default"/>
          <w:b/>
          <w:bCs/>
        </w:rPr>
        <w:t>二、形成审计意见的基础</w:t>
      </w:r>
      <w:r>
        <w:rPr>
          <w:rFonts w:ascii="Microsoft JhengHei" w:hAnsi="Microsoft JhengHei" w:cs="Microsoft JhengHei" w:eastAsia="Microsoft JhengHei" w:hint="default"/>
        </w:rPr>
      </w:r>
    </w:p>
    <w:p>
      <w:pPr>
        <w:pStyle w:val="Heading4"/>
        <w:spacing w:line="357" w:lineRule="auto" w:before="36"/>
        <w:ind w:left="212" w:right="226"/>
        <w:jc w:val="both"/>
      </w:pPr>
      <w:r>
        <w:rPr>
          <w:spacing w:val="-2"/>
        </w:rPr>
        <w:t>我们按照中国注册会计师审计准则的规定执行了审计工作。审计报告的“注册会计师对财务报表审计</w:t>
      </w:r>
      <w:r>
        <w:rPr>
          <w:w w:val="100"/>
        </w:rPr>
        <w:t> </w:t>
      </w:r>
      <w:r>
        <w:rPr>
          <w:spacing w:val="-2"/>
        </w:rPr>
        <w:t>的责任”部分进一步阐述了我们在这些准则下的责任。按照中国注册会计师职业道德守则，我们独立于群</w:t>
      </w:r>
      <w:r>
        <w:rPr>
          <w:spacing w:val="-42"/>
        </w:rPr>
        <w:t> </w:t>
      </w:r>
      <w:r>
        <w:rPr>
          <w:spacing w:val="-42"/>
        </w:rPr>
      </w:r>
      <w:r>
        <w:rPr>
          <w:spacing w:val="-2"/>
        </w:rPr>
        <w:t>兴玩具，并履行了职业道德方面的其他责任。我们相信，我们获取的审计证据是充分、适当的，为发表审</w:t>
      </w:r>
      <w:r>
        <w:rPr>
          <w:spacing w:val="-43"/>
        </w:rPr>
        <w:t> </w:t>
      </w:r>
      <w:r>
        <w:rPr>
          <w:spacing w:val="-43"/>
        </w:rPr>
      </w:r>
      <w:r>
        <w:rPr/>
        <w:t>计意见提供了基础。</w:t>
      </w:r>
    </w:p>
    <w:p>
      <w:pPr>
        <w:pStyle w:val="Heading4"/>
        <w:spacing w:line="770" w:lineRule="exact" w:before="22"/>
        <w:ind w:left="633" w:right="0" w:firstLine="2"/>
        <w:jc w:val="left"/>
      </w:pPr>
      <w:r>
        <w:rPr>
          <w:rFonts w:ascii="Microsoft JhengHei" w:hAnsi="Microsoft JhengHei" w:cs="Microsoft JhengHei" w:eastAsia="Microsoft JhengHei" w:hint="default"/>
          <w:b/>
          <w:bCs/>
        </w:rPr>
        <w:t>三、关键审计事项</w:t>
      </w:r>
      <w:r>
        <w:rPr>
          <w:rFonts w:ascii="Microsoft JhengHei" w:hAnsi="Microsoft JhengHei" w:cs="Microsoft JhengHei" w:eastAsia="Microsoft JhengHei" w:hint="default"/>
          <w:b/>
          <w:bCs/>
          <w:spacing w:val="-45"/>
        </w:rPr>
        <w:t> </w:t>
      </w:r>
      <w:r>
        <w:rPr>
          <w:spacing w:val="-2"/>
        </w:rPr>
        <w:t>关键审计事项是我们根据职业判断，认为对本期财务报表审计最为重要的事项。这些事项的应对以对</w:t>
      </w:r>
    </w:p>
    <w:p>
      <w:pPr>
        <w:pStyle w:val="Heading4"/>
        <w:spacing w:line="357" w:lineRule="auto" w:before="11"/>
        <w:ind w:left="212" w:right="0" w:firstLine="0"/>
        <w:jc w:val="left"/>
      </w:pPr>
      <w:r>
        <w:rPr>
          <w:spacing w:val="-2"/>
        </w:rPr>
        <w:t>财务报表整体进行审计并形成审计意见为背景，我们不对这些事项单独发表意见。我们确定下列事项是需</w:t>
      </w:r>
      <w:r>
        <w:rPr>
          <w:spacing w:val="-43"/>
        </w:rPr>
        <w:t> </w:t>
      </w:r>
      <w:r>
        <w:rPr>
          <w:spacing w:val="-43"/>
        </w:rPr>
      </w:r>
      <w:r>
        <w:rPr/>
        <w:t>要在审计报告中沟通的关键审计事项。</w:t>
      </w:r>
    </w:p>
    <w:p>
      <w:pPr>
        <w:spacing w:line="240" w:lineRule="auto" w:before="12"/>
        <w:rPr>
          <w:rFonts w:ascii="宋体" w:hAnsi="宋体" w:cs="宋体" w:eastAsia="宋体" w:hint="default"/>
          <w:sz w:val="4"/>
          <w:szCs w:val="4"/>
        </w:rPr>
      </w:pPr>
    </w:p>
    <w:tbl>
      <w:tblPr>
        <w:tblW w:w="0" w:type="auto"/>
        <w:jc w:val="left"/>
        <w:tblInd w:w="100" w:type="dxa"/>
        <w:tblLayout w:type="fixed"/>
        <w:tblCellMar>
          <w:top w:w="0" w:type="dxa"/>
          <w:left w:w="0" w:type="dxa"/>
          <w:bottom w:w="0" w:type="dxa"/>
          <w:right w:w="0" w:type="dxa"/>
        </w:tblCellMar>
        <w:tblLook w:val="01E0"/>
      </w:tblPr>
      <w:tblGrid>
        <w:gridCol w:w="4928"/>
        <w:gridCol w:w="4929"/>
      </w:tblGrid>
      <w:tr>
        <w:trPr>
          <w:trHeight w:val="478"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关键审计事项</w:t>
            </w:r>
          </w:p>
        </w:tc>
        <w:tc>
          <w:tcPr>
            <w:tcW w:w="4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审计应对</w:t>
            </w:r>
          </w:p>
        </w:tc>
      </w:tr>
    </w:tbl>
    <w:p>
      <w:pPr>
        <w:spacing w:after="0" w:line="240" w:lineRule="auto"/>
        <w:jc w:val="center"/>
        <w:rPr>
          <w:rFonts w:ascii="宋体" w:hAnsi="宋体" w:cs="宋体" w:eastAsia="宋体" w:hint="default"/>
          <w:sz w:val="18"/>
          <w:szCs w:val="18"/>
        </w:rPr>
        <w:sectPr>
          <w:pgSz w:w="11910" w:h="16840"/>
          <w:pgMar w:header="745" w:footer="979" w:top="1060" w:bottom="1160" w:left="920" w:right="900"/>
        </w:sectPr>
      </w:pPr>
    </w:p>
    <w:p>
      <w:pPr>
        <w:spacing w:line="240" w:lineRule="auto" w:before="6"/>
        <w:rPr>
          <w:rFonts w:ascii="宋体" w:hAnsi="宋体" w:cs="宋体" w:eastAsia="宋体" w:hint="default"/>
          <w:sz w:val="28"/>
          <w:szCs w:val="28"/>
        </w:rPr>
      </w:pPr>
    </w:p>
    <w:tbl>
      <w:tblPr>
        <w:tblW w:w="0" w:type="auto"/>
        <w:jc w:val="left"/>
        <w:tblInd w:w="100" w:type="dxa"/>
        <w:tblLayout w:type="fixed"/>
        <w:tblCellMar>
          <w:top w:w="0" w:type="dxa"/>
          <w:left w:w="0" w:type="dxa"/>
          <w:bottom w:w="0" w:type="dxa"/>
          <w:right w:w="0" w:type="dxa"/>
        </w:tblCellMar>
        <w:tblLook w:val="01E0"/>
      </w:tblPr>
      <w:tblGrid>
        <w:gridCol w:w="4928"/>
        <w:gridCol w:w="4929"/>
      </w:tblGrid>
      <w:tr>
        <w:trPr>
          <w:trHeight w:val="567"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、应收账款坏账准备</w:t>
            </w:r>
          </w:p>
        </w:tc>
        <w:tc>
          <w:tcPr>
            <w:tcW w:w="4929" w:type="dxa"/>
            <w:tcBorders>
              <w:top w:val="single" w:sz="4" w:space="0" w:color="000000"/>
              <w:left w:val="single" w:sz="4" w:space="0" w:color="000000"/>
              <w:bottom w:val="single" w:sz="4" w:space="0" w:color="000000"/>
              <w:right w:val="single" w:sz="4" w:space="0" w:color="000000"/>
            </w:tcBorders>
          </w:tcPr>
          <w:p>
            <w:pPr/>
          </w:p>
        </w:tc>
      </w:tr>
      <w:tr>
        <w:trPr>
          <w:trHeight w:val="4035"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left="103" w:right="0"/>
              <w:jc w:val="both"/>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26"/>
                <w:sz w:val="18"/>
                <w:szCs w:val="18"/>
              </w:rPr>
              <w:t> </w:t>
            </w:r>
            <w:r>
              <w:rPr>
                <w:rFonts w:ascii="宋体" w:hAnsi="宋体" w:cs="宋体" w:eastAsia="宋体" w:hint="default"/>
                <w:sz w:val="18"/>
                <w:szCs w:val="18"/>
              </w:rPr>
              <w:t>年</w:t>
            </w:r>
            <w:r>
              <w:rPr>
                <w:rFonts w:ascii="宋体" w:hAnsi="宋体" w:cs="宋体" w:eastAsia="宋体" w:hint="default"/>
                <w:spacing w:val="24"/>
                <w:sz w:val="18"/>
                <w:szCs w:val="18"/>
              </w:rPr>
              <w:t> </w:t>
            </w:r>
            <w:r>
              <w:rPr>
                <w:rFonts w:ascii="宋体" w:hAnsi="宋体" w:cs="宋体" w:eastAsia="宋体" w:hint="default"/>
                <w:sz w:val="18"/>
                <w:szCs w:val="18"/>
              </w:rPr>
              <w:t>12</w:t>
            </w:r>
            <w:r>
              <w:rPr>
                <w:rFonts w:ascii="宋体" w:hAnsi="宋体" w:cs="宋体" w:eastAsia="宋体" w:hint="default"/>
                <w:spacing w:val="25"/>
                <w:sz w:val="18"/>
                <w:szCs w:val="18"/>
              </w:rPr>
              <w:t> </w:t>
            </w:r>
            <w:r>
              <w:rPr>
                <w:rFonts w:ascii="宋体" w:hAnsi="宋体" w:cs="宋体" w:eastAsia="宋体" w:hint="default"/>
                <w:sz w:val="18"/>
                <w:szCs w:val="18"/>
              </w:rPr>
              <w:t>月</w:t>
            </w:r>
            <w:r>
              <w:rPr>
                <w:rFonts w:ascii="宋体" w:hAnsi="宋体" w:cs="宋体" w:eastAsia="宋体" w:hint="default"/>
                <w:spacing w:val="24"/>
                <w:sz w:val="18"/>
                <w:szCs w:val="18"/>
              </w:rPr>
              <w:t> </w:t>
            </w:r>
            <w:r>
              <w:rPr>
                <w:rFonts w:ascii="宋体" w:hAnsi="宋体" w:cs="宋体" w:eastAsia="宋体" w:hint="default"/>
                <w:sz w:val="18"/>
                <w:szCs w:val="18"/>
              </w:rPr>
              <w:t>31</w:t>
            </w:r>
            <w:r>
              <w:rPr>
                <w:rFonts w:ascii="宋体" w:hAnsi="宋体" w:cs="宋体" w:eastAsia="宋体" w:hint="default"/>
                <w:spacing w:val="25"/>
                <w:sz w:val="18"/>
                <w:szCs w:val="18"/>
              </w:rPr>
              <w:t> </w:t>
            </w:r>
            <w:r>
              <w:rPr>
                <w:rFonts w:ascii="宋体" w:hAnsi="宋体" w:cs="宋体" w:eastAsia="宋体" w:hint="default"/>
                <w:sz w:val="18"/>
                <w:szCs w:val="18"/>
              </w:rPr>
              <w:t>日</w:t>
            </w:r>
            <w:r>
              <w:rPr>
                <w:rFonts w:ascii="宋体" w:hAnsi="宋体" w:cs="宋体" w:eastAsia="宋体" w:hint="default"/>
                <w:spacing w:val="-68"/>
                <w:sz w:val="18"/>
                <w:szCs w:val="18"/>
              </w:rPr>
              <w:t> </w:t>
            </w:r>
            <w:r>
              <w:rPr>
                <w:rFonts w:ascii="宋体" w:hAnsi="宋体" w:cs="宋体" w:eastAsia="宋体" w:hint="default"/>
                <w:sz w:val="18"/>
                <w:szCs w:val="18"/>
              </w:rPr>
              <w:t>，</w:t>
            </w:r>
            <w:r>
              <w:rPr>
                <w:rFonts w:ascii="宋体" w:hAnsi="宋体" w:cs="宋体" w:eastAsia="宋体" w:hint="default"/>
                <w:spacing w:val="-65"/>
                <w:sz w:val="18"/>
                <w:szCs w:val="18"/>
              </w:rPr>
              <w:t> </w:t>
            </w:r>
            <w:r>
              <w:rPr>
                <w:rFonts w:ascii="宋体" w:hAnsi="宋体" w:cs="宋体" w:eastAsia="宋体" w:hint="default"/>
                <w:sz w:val="18"/>
                <w:szCs w:val="18"/>
              </w:rPr>
              <w:t>群</w:t>
            </w:r>
            <w:r>
              <w:rPr>
                <w:rFonts w:ascii="宋体" w:hAnsi="宋体" w:cs="宋体" w:eastAsia="宋体" w:hint="default"/>
                <w:spacing w:val="-68"/>
                <w:sz w:val="18"/>
                <w:szCs w:val="18"/>
              </w:rPr>
              <w:t> </w:t>
            </w:r>
            <w:r>
              <w:rPr>
                <w:rFonts w:ascii="宋体" w:hAnsi="宋体" w:cs="宋体" w:eastAsia="宋体" w:hint="default"/>
                <w:sz w:val="18"/>
                <w:szCs w:val="18"/>
              </w:rPr>
              <w:t>兴</w:t>
            </w:r>
            <w:r>
              <w:rPr>
                <w:rFonts w:ascii="宋体" w:hAnsi="宋体" w:cs="宋体" w:eastAsia="宋体" w:hint="default"/>
                <w:spacing w:val="-65"/>
                <w:sz w:val="18"/>
                <w:szCs w:val="18"/>
              </w:rPr>
              <w:t> </w:t>
            </w:r>
            <w:r>
              <w:rPr>
                <w:rFonts w:ascii="宋体" w:hAnsi="宋体" w:cs="宋体" w:eastAsia="宋体" w:hint="default"/>
                <w:sz w:val="18"/>
                <w:szCs w:val="18"/>
              </w:rPr>
              <w:t>玩</w:t>
            </w:r>
            <w:r>
              <w:rPr>
                <w:rFonts w:ascii="宋体" w:hAnsi="宋体" w:cs="宋体" w:eastAsia="宋体" w:hint="default"/>
                <w:spacing w:val="-65"/>
                <w:sz w:val="18"/>
                <w:szCs w:val="18"/>
              </w:rPr>
              <w:t> </w:t>
            </w:r>
            <w:r>
              <w:rPr>
                <w:rFonts w:ascii="宋体" w:hAnsi="宋体" w:cs="宋体" w:eastAsia="宋体" w:hint="default"/>
                <w:sz w:val="18"/>
                <w:szCs w:val="18"/>
              </w:rPr>
              <w:t>具</w:t>
            </w:r>
            <w:r>
              <w:rPr>
                <w:rFonts w:ascii="宋体" w:hAnsi="宋体" w:cs="宋体" w:eastAsia="宋体" w:hint="default"/>
                <w:spacing w:val="-68"/>
                <w:sz w:val="18"/>
                <w:szCs w:val="18"/>
              </w:rPr>
              <w:t> </w:t>
            </w:r>
            <w:r>
              <w:rPr>
                <w:rFonts w:ascii="宋体" w:hAnsi="宋体" w:cs="宋体" w:eastAsia="宋体" w:hint="default"/>
                <w:sz w:val="18"/>
                <w:szCs w:val="18"/>
              </w:rPr>
              <w:t>应</w:t>
            </w:r>
            <w:r>
              <w:rPr>
                <w:rFonts w:ascii="宋体" w:hAnsi="宋体" w:cs="宋体" w:eastAsia="宋体" w:hint="default"/>
                <w:spacing w:val="-65"/>
                <w:sz w:val="18"/>
                <w:szCs w:val="18"/>
              </w:rPr>
              <w:t> </w:t>
            </w:r>
            <w:r>
              <w:rPr>
                <w:rFonts w:ascii="宋体" w:hAnsi="宋体" w:cs="宋体" w:eastAsia="宋体" w:hint="default"/>
                <w:sz w:val="18"/>
                <w:szCs w:val="18"/>
              </w:rPr>
              <w:t>收</w:t>
            </w:r>
            <w:r>
              <w:rPr>
                <w:rFonts w:ascii="宋体" w:hAnsi="宋体" w:cs="宋体" w:eastAsia="宋体" w:hint="default"/>
                <w:spacing w:val="-68"/>
                <w:sz w:val="18"/>
                <w:szCs w:val="18"/>
              </w:rPr>
              <w:t> </w:t>
            </w:r>
            <w:r>
              <w:rPr>
                <w:rFonts w:ascii="宋体" w:hAnsi="宋体" w:cs="宋体" w:eastAsia="宋体" w:hint="default"/>
                <w:sz w:val="18"/>
                <w:szCs w:val="18"/>
              </w:rPr>
              <w:t>账</w:t>
            </w:r>
            <w:r>
              <w:rPr>
                <w:rFonts w:ascii="宋体" w:hAnsi="宋体" w:cs="宋体" w:eastAsia="宋体" w:hint="default"/>
                <w:spacing w:val="-65"/>
                <w:sz w:val="18"/>
                <w:szCs w:val="18"/>
              </w:rPr>
              <w:t> </w:t>
            </w:r>
            <w:r>
              <w:rPr>
                <w:rFonts w:ascii="宋体" w:hAnsi="宋体" w:cs="宋体" w:eastAsia="宋体" w:hint="default"/>
                <w:sz w:val="18"/>
                <w:szCs w:val="18"/>
              </w:rPr>
              <w:t>款</w:t>
            </w:r>
            <w:r>
              <w:rPr>
                <w:rFonts w:ascii="宋体" w:hAnsi="宋体" w:cs="宋体" w:eastAsia="宋体" w:hint="default"/>
                <w:spacing w:val="-68"/>
                <w:sz w:val="18"/>
                <w:szCs w:val="18"/>
              </w:rPr>
              <w:t> </w:t>
            </w:r>
            <w:r>
              <w:rPr>
                <w:rFonts w:ascii="宋体" w:hAnsi="宋体" w:cs="宋体" w:eastAsia="宋体" w:hint="default"/>
                <w:sz w:val="18"/>
                <w:szCs w:val="18"/>
              </w:rPr>
              <w:t>账</w:t>
            </w:r>
            <w:r>
              <w:rPr>
                <w:rFonts w:ascii="宋体" w:hAnsi="宋体" w:cs="宋体" w:eastAsia="宋体" w:hint="default"/>
                <w:spacing w:val="-65"/>
                <w:sz w:val="18"/>
                <w:szCs w:val="18"/>
              </w:rPr>
              <w:t> </w:t>
            </w:r>
            <w:r>
              <w:rPr>
                <w:rFonts w:ascii="宋体" w:hAnsi="宋体" w:cs="宋体" w:eastAsia="宋体" w:hint="default"/>
                <w:sz w:val="18"/>
                <w:szCs w:val="18"/>
              </w:rPr>
              <w:t>面</w:t>
            </w:r>
            <w:r>
              <w:rPr>
                <w:rFonts w:ascii="宋体" w:hAnsi="宋体" w:cs="宋体" w:eastAsia="宋体" w:hint="default"/>
                <w:spacing w:val="-65"/>
                <w:sz w:val="18"/>
                <w:szCs w:val="18"/>
              </w:rPr>
              <w:t> </w:t>
            </w:r>
            <w:r>
              <w:rPr>
                <w:rFonts w:ascii="宋体" w:hAnsi="宋体" w:cs="宋体" w:eastAsia="宋体" w:hint="default"/>
                <w:sz w:val="18"/>
                <w:szCs w:val="18"/>
              </w:rPr>
              <w:t>余</w:t>
            </w:r>
            <w:r>
              <w:rPr>
                <w:rFonts w:ascii="宋体" w:hAnsi="宋体" w:cs="宋体" w:eastAsia="宋体" w:hint="default"/>
                <w:spacing w:val="-68"/>
                <w:sz w:val="18"/>
                <w:szCs w:val="18"/>
              </w:rPr>
              <w:t> </w:t>
            </w:r>
            <w:r>
              <w:rPr>
                <w:rFonts w:ascii="宋体" w:hAnsi="宋体" w:cs="宋体" w:eastAsia="宋体" w:hint="default"/>
                <w:sz w:val="18"/>
                <w:szCs w:val="18"/>
              </w:rPr>
              <w:t>额</w:t>
            </w:r>
            <w:r>
              <w:rPr>
                <w:rFonts w:ascii="宋体" w:hAnsi="宋体" w:cs="宋体" w:eastAsia="宋体" w:hint="default"/>
                <w:spacing w:val="-65"/>
                <w:sz w:val="18"/>
                <w:szCs w:val="18"/>
              </w:rPr>
              <w:t> </w:t>
            </w:r>
            <w:r>
              <w:rPr>
                <w:rFonts w:ascii="宋体" w:hAnsi="宋体" w:cs="宋体" w:eastAsia="宋体" w:hint="default"/>
                <w:sz w:val="18"/>
                <w:szCs w:val="18"/>
              </w:rPr>
              <w:t>为</w:t>
            </w:r>
          </w:p>
          <w:p>
            <w:pPr>
              <w:pStyle w:val="TableParagraph"/>
              <w:spacing w:line="319" w:lineRule="auto" w:before="76"/>
              <w:ind w:left="103" w:right="98"/>
              <w:jc w:val="both"/>
              <w:rPr>
                <w:rFonts w:ascii="宋体" w:hAnsi="宋体" w:cs="宋体" w:eastAsia="宋体" w:hint="default"/>
                <w:sz w:val="18"/>
                <w:szCs w:val="18"/>
              </w:rPr>
            </w:pPr>
            <w:r>
              <w:rPr>
                <w:rFonts w:ascii="宋体" w:hAnsi="宋体" w:cs="宋体" w:eastAsia="宋体" w:hint="default"/>
                <w:sz w:val="18"/>
                <w:szCs w:val="18"/>
              </w:rPr>
              <w:t>39,582,434.30 </w:t>
            </w:r>
            <w:r>
              <w:rPr>
                <w:rFonts w:ascii="宋体" w:hAnsi="宋体" w:cs="宋体" w:eastAsia="宋体" w:hint="default"/>
                <w:sz w:val="18"/>
                <w:szCs w:val="18"/>
              </w:rPr>
              <w:t>元，坏账准备为 </w:t>
            </w:r>
            <w:r>
              <w:rPr>
                <w:rFonts w:ascii="宋体" w:hAnsi="宋体" w:cs="宋体" w:eastAsia="宋体" w:hint="default"/>
                <w:sz w:val="18"/>
                <w:szCs w:val="18"/>
              </w:rPr>
              <w:t>10,467,021.56</w:t>
            </w:r>
            <w:r>
              <w:rPr>
                <w:rFonts w:ascii="宋体" w:hAnsi="宋体" w:cs="宋体" w:eastAsia="宋体" w:hint="default"/>
                <w:spacing w:val="-66"/>
                <w:sz w:val="18"/>
                <w:szCs w:val="18"/>
              </w:rPr>
              <w:t> </w:t>
            </w:r>
            <w:r>
              <w:rPr>
                <w:rFonts w:ascii="宋体" w:hAnsi="宋体" w:cs="宋体" w:eastAsia="宋体" w:hint="default"/>
                <w:sz w:val="18"/>
                <w:szCs w:val="18"/>
              </w:rPr>
              <w:t>元。群兴玩 具根据应收账款的可收回性为判断基础确认坏账准备。应收</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账款年末价值的确定需要管理层识别已发生减值的项目和客</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观证据、评估预期未来可获取的现金流量并确定其现值，涉</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及管理层运用重大会计估计和判断，且应收账款坏账准备对</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于财务报表具有重要性，因此我们将应收账款坏账准备确定</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为关键审计事项。</w:t>
            </w:r>
          </w:p>
        </w:tc>
        <w:tc>
          <w:tcPr>
            <w:tcW w:w="4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both"/>
              <w:rPr>
                <w:rFonts w:ascii="宋体" w:hAnsi="宋体" w:cs="宋体" w:eastAsia="宋体" w:hint="default"/>
                <w:sz w:val="18"/>
                <w:szCs w:val="18"/>
              </w:rPr>
            </w:pPr>
            <w:r>
              <w:rPr>
                <w:rFonts w:ascii="宋体" w:hAnsi="宋体" w:cs="宋体" w:eastAsia="宋体" w:hint="default"/>
                <w:sz w:val="18"/>
                <w:szCs w:val="18"/>
              </w:rPr>
              <w:t>我们针对应收账款坏账准备执行的审计程序主要有：</w:t>
            </w:r>
          </w:p>
          <w:p>
            <w:pPr>
              <w:pStyle w:val="TableParagraph"/>
              <w:spacing w:line="316" w:lineRule="auto" w:before="117"/>
              <w:ind w:left="103" w:right="102"/>
              <w:jc w:val="both"/>
              <w:rPr>
                <w:rFonts w:ascii="宋体" w:hAnsi="宋体" w:cs="宋体" w:eastAsia="宋体" w:hint="default"/>
                <w:sz w:val="18"/>
                <w:szCs w:val="18"/>
              </w:rPr>
            </w:pPr>
            <w:r>
              <w:rPr>
                <w:rFonts w:ascii="宋体" w:hAnsi="宋体" w:cs="宋体" w:eastAsia="宋体" w:hint="default"/>
                <w:spacing w:val="-3"/>
                <w:sz w:val="18"/>
                <w:szCs w:val="18"/>
              </w:rPr>
              <w:t>（</w:t>
            </w:r>
            <w:r>
              <w:rPr>
                <w:rFonts w:ascii="宋体" w:hAnsi="宋体" w:cs="宋体" w:eastAsia="宋体" w:hint="default"/>
                <w:spacing w:val="-3"/>
                <w:sz w:val="18"/>
                <w:szCs w:val="18"/>
              </w:rPr>
              <w:t>1</w:t>
            </w:r>
            <w:r>
              <w:rPr>
                <w:rFonts w:ascii="宋体" w:hAnsi="宋体" w:cs="宋体" w:eastAsia="宋体" w:hint="default"/>
                <w:spacing w:val="-3"/>
                <w:sz w:val="18"/>
                <w:szCs w:val="18"/>
              </w:rPr>
              <w:t>）测试管理层与应收账款日常管理及可收回性评估相关的</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关键内部控制；</w:t>
            </w:r>
          </w:p>
          <w:p>
            <w:pPr>
              <w:pStyle w:val="TableParagraph"/>
              <w:spacing w:line="316" w:lineRule="auto" w:before="57"/>
              <w:ind w:left="103" w:right="102"/>
              <w:jc w:val="both"/>
              <w:rPr>
                <w:rFonts w:ascii="宋体" w:hAnsi="宋体" w:cs="宋体" w:eastAsia="宋体" w:hint="default"/>
                <w:sz w:val="18"/>
                <w:szCs w:val="18"/>
              </w:rPr>
            </w:pPr>
            <w:r>
              <w:rPr>
                <w:rFonts w:ascii="宋体" w:hAnsi="宋体" w:cs="宋体" w:eastAsia="宋体" w:hint="default"/>
                <w:spacing w:val="-3"/>
                <w:sz w:val="18"/>
                <w:szCs w:val="18"/>
              </w:rPr>
              <w:t>（</w:t>
            </w:r>
            <w:r>
              <w:rPr>
                <w:rFonts w:ascii="宋体" w:hAnsi="宋体" w:cs="宋体" w:eastAsia="宋体" w:hint="default"/>
                <w:spacing w:val="-3"/>
                <w:sz w:val="18"/>
                <w:szCs w:val="18"/>
              </w:rPr>
              <w:t>2</w:t>
            </w:r>
            <w:r>
              <w:rPr>
                <w:rFonts w:ascii="宋体" w:hAnsi="宋体" w:cs="宋体" w:eastAsia="宋体" w:hint="default"/>
                <w:spacing w:val="-3"/>
                <w:sz w:val="18"/>
                <w:szCs w:val="18"/>
              </w:rPr>
              <w:t>）复核管理层对应收账款可收回性进行评估的相关考虑及</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客观证据；</w:t>
            </w:r>
          </w:p>
          <w:p>
            <w:pPr>
              <w:pStyle w:val="TableParagraph"/>
              <w:spacing w:line="316" w:lineRule="auto" w:before="59"/>
              <w:ind w:left="103" w:right="102"/>
              <w:jc w:val="both"/>
              <w:rPr>
                <w:rFonts w:ascii="宋体" w:hAnsi="宋体" w:cs="宋体" w:eastAsia="宋体" w:hint="default"/>
                <w:sz w:val="18"/>
                <w:szCs w:val="18"/>
              </w:rPr>
            </w:pPr>
            <w:r>
              <w:rPr>
                <w:rFonts w:ascii="宋体" w:hAnsi="宋体" w:cs="宋体" w:eastAsia="宋体" w:hint="default"/>
                <w:spacing w:val="-3"/>
                <w:sz w:val="18"/>
                <w:szCs w:val="18"/>
              </w:rPr>
              <w:t>（</w:t>
            </w:r>
            <w:r>
              <w:rPr>
                <w:rFonts w:ascii="宋体" w:hAnsi="宋体" w:cs="宋体" w:eastAsia="宋体" w:hint="default"/>
                <w:spacing w:val="-3"/>
                <w:sz w:val="18"/>
                <w:szCs w:val="18"/>
              </w:rPr>
              <w:t>3</w:t>
            </w:r>
            <w:r>
              <w:rPr>
                <w:rFonts w:ascii="宋体" w:hAnsi="宋体" w:cs="宋体" w:eastAsia="宋体" w:hint="default"/>
                <w:spacing w:val="-3"/>
                <w:sz w:val="18"/>
                <w:szCs w:val="18"/>
              </w:rPr>
              <w:t>）对于单项金额重大的应收账款，选取样本复核管理层对</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预计未来可获得的现金流量做出评估的依据；</w:t>
            </w:r>
          </w:p>
          <w:p>
            <w:pPr>
              <w:pStyle w:val="TableParagraph"/>
              <w:spacing w:line="319" w:lineRule="auto" w:before="59"/>
              <w:ind w:left="103" w:right="102"/>
              <w:jc w:val="both"/>
              <w:rPr>
                <w:rFonts w:ascii="宋体" w:hAnsi="宋体" w:cs="宋体" w:eastAsia="宋体" w:hint="default"/>
                <w:sz w:val="18"/>
                <w:szCs w:val="18"/>
              </w:rPr>
            </w:pPr>
            <w:r>
              <w:rPr>
                <w:rFonts w:ascii="宋体" w:hAnsi="宋体" w:cs="宋体" w:eastAsia="宋体" w:hint="default"/>
                <w:spacing w:val="-3"/>
                <w:sz w:val="18"/>
                <w:szCs w:val="18"/>
              </w:rPr>
              <w:t>（</w:t>
            </w:r>
            <w:r>
              <w:rPr>
                <w:rFonts w:ascii="宋体" w:hAnsi="宋体" w:cs="宋体" w:eastAsia="宋体" w:hint="default"/>
                <w:spacing w:val="-3"/>
                <w:sz w:val="18"/>
                <w:szCs w:val="18"/>
              </w:rPr>
              <w:t>4</w:t>
            </w:r>
            <w:r>
              <w:rPr>
                <w:rFonts w:ascii="宋体" w:hAnsi="宋体" w:cs="宋体" w:eastAsia="宋体" w:hint="default"/>
                <w:spacing w:val="-3"/>
                <w:sz w:val="18"/>
                <w:szCs w:val="18"/>
              </w:rPr>
              <w:t>）对于管理层按照信用风险特征组合计提坏账准备的应收</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账款，结合信用风险特征及账龄分析，评价管理层坏账准备</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计提的合理性；</w:t>
            </w:r>
          </w:p>
          <w:p>
            <w:pPr>
              <w:pStyle w:val="TableParagraph"/>
              <w:spacing w:line="316" w:lineRule="auto" w:before="55"/>
              <w:ind w:left="103" w:right="102"/>
              <w:jc w:val="both"/>
              <w:rPr>
                <w:rFonts w:ascii="宋体" w:hAnsi="宋体" w:cs="宋体" w:eastAsia="宋体" w:hint="default"/>
                <w:sz w:val="18"/>
                <w:szCs w:val="18"/>
              </w:rPr>
            </w:pPr>
            <w:r>
              <w:rPr>
                <w:rFonts w:ascii="宋体" w:hAnsi="宋体" w:cs="宋体" w:eastAsia="宋体" w:hint="default"/>
                <w:spacing w:val="-3"/>
                <w:sz w:val="18"/>
                <w:szCs w:val="18"/>
              </w:rPr>
              <w:t>（</w:t>
            </w:r>
            <w:r>
              <w:rPr>
                <w:rFonts w:ascii="宋体" w:hAnsi="宋体" w:cs="宋体" w:eastAsia="宋体" w:hint="default"/>
                <w:spacing w:val="-3"/>
                <w:sz w:val="18"/>
                <w:szCs w:val="18"/>
              </w:rPr>
              <w:t>5</w:t>
            </w:r>
            <w:r>
              <w:rPr>
                <w:rFonts w:ascii="宋体" w:hAnsi="宋体" w:cs="宋体" w:eastAsia="宋体" w:hint="default"/>
                <w:spacing w:val="-3"/>
                <w:sz w:val="18"/>
                <w:szCs w:val="18"/>
              </w:rPr>
              <w:t>）结合期后回款情况检查，评价管理层对坏账准备计提的</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合理性。</w:t>
            </w:r>
          </w:p>
        </w:tc>
      </w:tr>
      <w:tr>
        <w:trPr>
          <w:trHeight w:val="403"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、持续经营</w:t>
            </w:r>
          </w:p>
        </w:tc>
        <w:tc>
          <w:tcPr>
            <w:tcW w:w="4929" w:type="dxa"/>
            <w:tcBorders>
              <w:top w:val="single" w:sz="4" w:space="0" w:color="000000"/>
              <w:left w:val="single" w:sz="4" w:space="0" w:color="000000"/>
              <w:bottom w:val="single" w:sz="4" w:space="0" w:color="000000"/>
              <w:right w:val="single" w:sz="4" w:space="0" w:color="000000"/>
            </w:tcBorders>
          </w:tcPr>
          <w:p>
            <w:pPr/>
          </w:p>
        </w:tc>
      </w:tr>
      <w:tr>
        <w:trPr>
          <w:trHeight w:val="3716"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38"/>
              <w:ind w:left="103" w:right="41"/>
              <w:jc w:val="left"/>
              <w:rPr>
                <w:rFonts w:ascii="宋体" w:hAnsi="宋体" w:cs="宋体" w:eastAsia="宋体" w:hint="default"/>
                <w:sz w:val="18"/>
                <w:szCs w:val="18"/>
              </w:rPr>
            </w:pPr>
            <w:r>
              <w:rPr>
                <w:rFonts w:ascii="宋体" w:hAnsi="宋体" w:cs="宋体" w:eastAsia="宋体" w:hint="default"/>
                <w:sz w:val="18"/>
                <w:szCs w:val="18"/>
              </w:rPr>
              <w:t>群兴玩具</w:t>
            </w:r>
            <w:r>
              <w:rPr>
                <w:rFonts w:ascii="宋体" w:hAnsi="宋体" w:cs="宋体" w:eastAsia="宋体" w:hint="default"/>
                <w:spacing w:val="-46"/>
                <w:sz w:val="18"/>
                <w:szCs w:val="18"/>
              </w:rPr>
              <w:t> </w:t>
            </w:r>
            <w:r>
              <w:rPr>
                <w:rFonts w:ascii="宋体" w:hAnsi="宋体" w:cs="宋体" w:eastAsia="宋体" w:hint="default"/>
                <w:sz w:val="18"/>
                <w:szCs w:val="18"/>
              </w:rPr>
              <w:t>2017</w:t>
            </w:r>
            <w:r>
              <w:rPr>
                <w:rFonts w:ascii="宋体" w:hAnsi="宋体" w:cs="宋体" w:eastAsia="宋体" w:hint="default"/>
                <w:spacing w:val="-45"/>
                <w:sz w:val="18"/>
                <w:szCs w:val="18"/>
              </w:rPr>
              <w:t> </w:t>
            </w:r>
            <w:r>
              <w:rPr>
                <w:rFonts w:ascii="宋体" w:hAnsi="宋体" w:cs="宋体" w:eastAsia="宋体" w:hint="default"/>
                <w:sz w:val="18"/>
                <w:szCs w:val="18"/>
              </w:rPr>
              <w:t>年第二季度以来主营业务收入持续大幅下降。 公司业务升级转型，已退出原有玩具生产制造业务，目前有</w:t>
            </w:r>
            <w:r>
              <w:rPr>
                <w:rFonts w:ascii="宋体" w:hAnsi="宋体" w:cs="宋体" w:eastAsia="宋体" w:hint="default"/>
                <w:spacing w:val="-59"/>
                <w:sz w:val="18"/>
                <w:szCs w:val="18"/>
              </w:rPr>
              <w:t> </w:t>
            </w:r>
            <w:r>
              <w:rPr>
                <w:rFonts w:ascii="宋体" w:hAnsi="宋体" w:cs="宋体" w:eastAsia="宋体" w:hint="default"/>
                <w:spacing w:val="-59"/>
                <w:sz w:val="18"/>
                <w:szCs w:val="18"/>
              </w:rPr>
            </w:r>
            <w:r>
              <w:rPr>
                <w:rFonts w:ascii="宋体" w:hAnsi="宋体" w:cs="宋体" w:eastAsia="宋体" w:hint="default"/>
                <w:sz w:val="18"/>
                <w:szCs w:val="18"/>
              </w:rPr>
              <w:t>房产出租业务及玩具渠道业务。公司正在筹划重大资产重组</w:t>
            </w:r>
            <w:r>
              <w:rPr>
                <w:rFonts w:ascii="宋体" w:hAnsi="宋体" w:cs="宋体" w:eastAsia="宋体" w:hint="default"/>
                <w:spacing w:val="-61"/>
                <w:sz w:val="18"/>
                <w:szCs w:val="18"/>
              </w:rPr>
              <w:t> </w:t>
            </w:r>
            <w:r>
              <w:rPr>
                <w:rFonts w:ascii="宋体" w:hAnsi="宋体" w:cs="宋体" w:eastAsia="宋体" w:hint="default"/>
                <w:spacing w:val="-61"/>
                <w:sz w:val="18"/>
                <w:szCs w:val="18"/>
              </w:rPr>
            </w:r>
            <w:r>
              <w:rPr>
                <w:rFonts w:ascii="宋体" w:hAnsi="宋体" w:cs="宋体" w:eastAsia="宋体" w:hint="default"/>
                <w:sz w:val="18"/>
                <w:szCs w:val="18"/>
              </w:rPr>
              <w:t>事宜，上述事项存在不确定性，对公司未来业务发展有重大</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影响。因此我们将持续经营确定为关键审计事项。</w:t>
            </w:r>
          </w:p>
        </w:tc>
        <w:tc>
          <w:tcPr>
            <w:tcW w:w="4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我们针对持续经营执行的审计程序主要有：</w:t>
            </w:r>
          </w:p>
          <w:p>
            <w:pPr>
              <w:pStyle w:val="TableParagraph"/>
              <w:spacing w:line="338" w:lineRule="auto" w:before="153"/>
              <w:ind w:left="103" w:right="102"/>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）访谈公司管理层，了解公司未来发展方向并收集跟进获</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取相关公告及依据。</w:t>
            </w:r>
          </w:p>
          <w:p>
            <w:pPr>
              <w:pStyle w:val="TableParagraph"/>
              <w:spacing w:line="338" w:lineRule="auto" w:before="79"/>
              <w:ind w:left="103" w:right="102"/>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）复核资产负债表日后签订的销售合同、采购合同、租赁</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合同、存货出入库单据、销售回款及采购付款相关单据；</w:t>
            </w:r>
          </w:p>
          <w:p>
            <w:pPr>
              <w:pStyle w:val="TableParagraph"/>
              <w:spacing w:line="338" w:lineRule="auto" w:before="82"/>
              <w:ind w:left="103" w:right="101"/>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）复核投资性房地产公允价值的评估报告中主要参数，如</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空置率、平均租金等参数的合理性；</w:t>
            </w:r>
          </w:p>
          <w:p>
            <w:pPr>
              <w:pStyle w:val="TableParagraph"/>
              <w:spacing w:line="240" w:lineRule="auto" w:before="79"/>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）复核已预披露的</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年一季报的主要财务数据。</w:t>
            </w:r>
          </w:p>
          <w:p>
            <w:pPr>
              <w:pStyle w:val="TableParagraph"/>
              <w:spacing w:line="240" w:lineRule="auto" w:before="13"/>
              <w:ind w:right="0"/>
              <w:jc w:val="left"/>
              <w:rPr>
                <w:rFonts w:ascii="宋体" w:hAnsi="宋体" w:cs="宋体" w:eastAsia="宋体" w:hint="default"/>
                <w:sz w:val="13"/>
                <w:szCs w:val="13"/>
              </w:rPr>
            </w:pPr>
          </w:p>
          <w:p>
            <w:pPr>
              <w:pStyle w:val="TableParagraph"/>
              <w:spacing w:line="300" w:lineRule="auto"/>
              <w:ind w:left="103" w:right="102"/>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）获取并复核管理层对群兴玩具未来两年的现金流预测及</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盈利预测。</w:t>
            </w:r>
          </w:p>
        </w:tc>
      </w:tr>
    </w:tbl>
    <w:p>
      <w:pPr>
        <w:spacing w:line="240" w:lineRule="auto" w:before="4"/>
        <w:rPr>
          <w:rFonts w:ascii="宋体" w:hAnsi="宋体" w:cs="宋体" w:eastAsia="宋体" w:hint="default"/>
          <w:sz w:val="22"/>
          <w:szCs w:val="22"/>
        </w:rPr>
      </w:pPr>
    </w:p>
    <w:p>
      <w:pPr>
        <w:pStyle w:val="Heading3"/>
        <w:spacing w:line="335" w:lineRule="exact"/>
        <w:ind w:left="635" w:right="0"/>
        <w:jc w:val="left"/>
        <w:rPr>
          <w:b w:val="0"/>
          <w:bCs w:val="0"/>
        </w:rPr>
      </w:pPr>
      <w:r>
        <w:rPr/>
        <w:t>四、其他信息</w:t>
      </w:r>
      <w:r>
        <w:rPr>
          <w:b w:val="0"/>
          <w:bCs w:val="0"/>
        </w:rPr>
      </w:r>
    </w:p>
    <w:p>
      <w:pPr>
        <w:spacing w:line="240" w:lineRule="auto" w:before="13"/>
        <w:rPr>
          <w:rFonts w:ascii="Microsoft JhengHei" w:hAnsi="Microsoft JhengHei" w:cs="Microsoft JhengHei" w:eastAsia="Microsoft JhengHei" w:hint="default"/>
          <w:b/>
          <w:bCs/>
          <w:sz w:val="29"/>
          <w:szCs w:val="29"/>
        </w:rPr>
      </w:pPr>
    </w:p>
    <w:p>
      <w:pPr>
        <w:pStyle w:val="Heading4"/>
        <w:spacing w:line="355" w:lineRule="auto" w:before="0"/>
        <w:ind w:left="212" w:right="0"/>
        <w:jc w:val="left"/>
      </w:pPr>
      <w:r>
        <w:rPr>
          <w:spacing w:val="-2"/>
        </w:rPr>
        <w:t>群兴玩具管理层（以下简称“管理层”）对其他信息负责。其他信息包括财务报告中涵盖的信息，但</w:t>
      </w:r>
      <w:r>
        <w:rPr>
          <w:w w:val="100"/>
        </w:rPr>
        <w:t> </w:t>
      </w:r>
      <w:r>
        <w:rPr/>
        <w:t>不包括财务报表和我们的审计报告。</w:t>
      </w:r>
    </w:p>
    <w:p>
      <w:pPr>
        <w:pStyle w:val="Heading4"/>
        <w:spacing w:line="355" w:lineRule="auto" w:before="34"/>
        <w:ind w:left="633" w:right="0" w:firstLine="0"/>
        <w:jc w:val="left"/>
      </w:pPr>
      <w:r>
        <w:rPr/>
        <w:t>我们对财务报表发表的审计意见不涵盖其他信息，我们也不对其他信息发表任何形式的鉴证结论。</w:t>
      </w:r>
      <w:r>
        <w:rPr>
          <w:w w:val="100"/>
        </w:rPr>
        <w:t> </w:t>
      </w:r>
      <w:r>
        <w:rPr>
          <w:spacing w:val="-2"/>
        </w:rPr>
        <w:t>结合我们对财务报表的审计，我们的责任是阅读其他信息，在此过程中，考虑其他信息是否与财务报</w:t>
      </w:r>
    </w:p>
    <w:p>
      <w:pPr>
        <w:pStyle w:val="Heading4"/>
        <w:spacing w:line="355" w:lineRule="auto"/>
        <w:ind w:left="633" w:right="0" w:hanging="421"/>
        <w:jc w:val="left"/>
      </w:pPr>
      <w:r>
        <w:rPr/>
        <w:t>表或我们在审计过程中了解到的情况存在重大不一致或者似乎存在重大错报。</w:t>
      </w:r>
      <w:r>
        <w:rPr>
          <w:w w:val="100"/>
        </w:rPr>
        <w:t> </w:t>
      </w:r>
      <w:r>
        <w:rPr>
          <w:spacing w:val="-2"/>
        </w:rPr>
        <w:t>基于我们已执行的工作，如果我们确定其他信息存在重大错报，我们应当报告该事实。在这方面，我</w:t>
      </w:r>
    </w:p>
    <w:p>
      <w:pPr>
        <w:spacing w:line="657" w:lineRule="auto" w:before="32"/>
        <w:ind w:left="635" w:right="4031" w:hanging="423"/>
        <w:jc w:val="left"/>
        <w:rPr>
          <w:rFonts w:ascii="Microsoft JhengHei" w:hAnsi="Microsoft JhengHei" w:cs="Microsoft JhengHei" w:eastAsia="Microsoft JhengHei" w:hint="default"/>
          <w:sz w:val="21"/>
          <w:szCs w:val="21"/>
        </w:rPr>
      </w:pPr>
      <w:r>
        <w:rPr>
          <w:rFonts w:ascii="宋体" w:hAnsi="宋体" w:cs="宋体" w:eastAsia="宋体" w:hint="default"/>
          <w:sz w:val="21"/>
          <w:szCs w:val="21"/>
        </w:rPr>
        <w:t>们无任何事项需要报告。</w:t>
      </w:r>
      <w:r>
        <w:rPr>
          <w:rFonts w:ascii="宋体" w:hAnsi="宋体" w:cs="宋体" w:eastAsia="宋体" w:hint="default"/>
          <w:w w:val="100"/>
          <w:sz w:val="21"/>
          <w:szCs w:val="21"/>
        </w:rPr>
        <w:t> </w:t>
      </w:r>
      <w:r>
        <w:rPr>
          <w:rFonts w:ascii="Microsoft JhengHei" w:hAnsi="Microsoft JhengHei" w:cs="Microsoft JhengHei" w:eastAsia="Microsoft JhengHei" w:hint="default"/>
          <w:b/>
          <w:bCs/>
          <w:spacing w:val="-1"/>
          <w:sz w:val="21"/>
          <w:szCs w:val="21"/>
        </w:rPr>
        <w:t>五、管理层和治理层对财务报表的责任</w:t>
      </w:r>
      <w:r>
        <w:rPr>
          <w:rFonts w:ascii="Microsoft JhengHei" w:hAnsi="Microsoft JhengHei" w:cs="Microsoft JhengHei" w:eastAsia="Microsoft JhengHei" w:hint="default"/>
          <w:spacing w:val="-1"/>
          <w:sz w:val="21"/>
          <w:szCs w:val="21"/>
        </w:rPr>
      </w:r>
    </w:p>
    <w:p>
      <w:pPr>
        <w:spacing w:after="0" w:line="657" w:lineRule="auto"/>
        <w:jc w:val="left"/>
        <w:rPr>
          <w:rFonts w:ascii="Microsoft JhengHei" w:hAnsi="Microsoft JhengHei" w:cs="Microsoft JhengHei" w:eastAsia="Microsoft JhengHei" w:hint="default"/>
          <w:sz w:val="21"/>
          <w:szCs w:val="21"/>
        </w:rPr>
        <w:sectPr>
          <w:pgSz w:w="11910" w:h="16840"/>
          <w:pgMar w:header="745" w:footer="979" w:top="1060" w:bottom="1160" w:left="920" w:right="900"/>
        </w:sectPr>
      </w:pPr>
    </w:p>
    <w:p>
      <w:pPr>
        <w:spacing w:line="240" w:lineRule="auto" w:before="7"/>
        <w:rPr>
          <w:rFonts w:ascii="Microsoft JhengHei" w:hAnsi="Microsoft JhengHei" w:cs="Microsoft JhengHei" w:eastAsia="Microsoft JhengHei" w:hint="default"/>
          <w:b/>
          <w:bCs/>
          <w:sz w:val="17"/>
          <w:szCs w:val="17"/>
        </w:rPr>
      </w:pPr>
    </w:p>
    <w:p>
      <w:pPr>
        <w:pStyle w:val="Heading4"/>
        <w:spacing w:line="355" w:lineRule="auto" w:before="36"/>
        <w:ind w:right="107"/>
        <w:jc w:val="left"/>
      </w:pPr>
      <w:r>
        <w:rPr>
          <w:spacing w:val="-2"/>
        </w:rPr>
        <w:t>管理层负责按照企业会计准则的规定编制财务报表，使其实现公允反映，并设计、执行和维护必要的</w:t>
      </w:r>
      <w:r>
        <w:rPr>
          <w:w w:val="100"/>
        </w:rPr>
        <w:t> </w:t>
      </w:r>
      <w:r>
        <w:rPr/>
        <w:t>内部控制，以使财务报表不存在由于舞弊或错误导致的重大错报。</w:t>
      </w:r>
    </w:p>
    <w:p>
      <w:pPr>
        <w:pStyle w:val="Heading4"/>
        <w:spacing w:line="357" w:lineRule="auto"/>
        <w:ind w:right="107"/>
        <w:jc w:val="left"/>
      </w:pPr>
      <w:r>
        <w:rPr>
          <w:spacing w:val="-2"/>
        </w:rPr>
        <w:t>在编制财务报表时，管理层负责评估群兴玩具的持续经营能力，披露与持续经营相关的事项，并运用</w:t>
      </w:r>
      <w:r>
        <w:rPr>
          <w:w w:val="100"/>
        </w:rPr>
        <w:t> </w:t>
      </w:r>
      <w:r>
        <w:rPr/>
        <w:t>持续经营假设，除非计划进行清算、终止运营或别无其他现实的选择。</w:t>
      </w:r>
    </w:p>
    <w:p>
      <w:pPr>
        <w:pStyle w:val="Heading4"/>
        <w:spacing w:line="240" w:lineRule="auto" w:before="30"/>
        <w:ind w:left="573" w:right="107" w:firstLine="0"/>
        <w:jc w:val="left"/>
      </w:pPr>
      <w:r>
        <w:rPr/>
        <w:t>治理层负责监督群兴玩具的财务报告过程。</w:t>
      </w:r>
    </w:p>
    <w:p>
      <w:pPr>
        <w:spacing w:line="790" w:lineRule="atLeast" w:before="50"/>
        <w:ind w:left="573" w:right="107" w:firstLine="2"/>
        <w:jc w:val="left"/>
        <w:rPr>
          <w:rFonts w:ascii="宋体" w:hAnsi="宋体" w:cs="宋体" w:eastAsia="宋体" w:hint="default"/>
          <w:sz w:val="21"/>
          <w:szCs w:val="21"/>
        </w:rPr>
      </w:pPr>
      <w:r>
        <w:rPr>
          <w:rFonts w:ascii="Microsoft JhengHei" w:hAnsi="Microsoft JhengHei" w:cs="Microsoft JhengHei" w:eastAsia="Microsoft JhengHei" w:hint="default"/>
          <w:b/>
          <w:bCs/>
          <w:sz w:val="21"/>
          <w:szCs w:val="21"/>
        </w:rPr>
        <w:t>六、注册会计师对财务报表审计的责任</w:t>
      </w:r>
      <w:r>
        <w:rPr>
          <w:rFonts w:ascii="Microsoft JhengHei" w:hAnsi="Microsoft JhengHei" w:cs="Microsoft JhengHei" w:eastAsia="Microsoft JhengHei" w:hint="default"/>
          <w:b/>
          <w:bCs/>
          <w:spacing w:val="-41"/>
          <w:sz w:val="21"/>
          <w:szCs w:val="21"/>
        </w:rPr>
        <w:t> </w:t>
      </w:r>
      <w:r>
        <w:rPr>
          <w:rFonts w:ascii="Microsoft JhengHei" w:hAnsi="Microsoft JhengHei" w:cs="Microsoft JhengHei" w:eastAsia="Microsoft JhengHei" w:hint="default"/>
          <w:b/>
          <w:bCs/>
          <w:spacing w:val="-41"/>
          <w:sz w:val="21"/>
          <w:szCs w:val="21"/>
        </w:rPr>
      </w:r>
      <w:r>
        <w:rPr>
          <w:rFonts w:ascii="宋体" w:hAnsi="宋体" w:cs="宋体" w:eastAsia="宋体" w:hint="default"/>
          <w:spacing w:val="-2"/>
          <w:sz w:val="21"/>
          <w:szCs w:val="21"/>
        </w:rPr>
        <w:t>我们的目标是对财务报表整体是否不存在由于舞弊或错误导致的重大错报获取合理保证，并出具包含</w:t>
      </w:r>
    </w:p>
    <w:p>
      <w:pPr>
        <w:pStyle w:val="Heading4"/>
        <w:spacing w:line="355" w:lineRule="auto" w:before="133"/>
        <w:ind w:right="206" w:firstLine="0"/>
        <w:jc w:val="both"/>
      </w:pPr>
      <w:r>
        <w:rPr>
          <w:spacing w:val="-2"/>
        </w:rPr>
        <w:t>审计意见的审计报告。合理保证是高水平的保证，但并不能保证按照审计准则执行的审计在某一重大错报</w:t>
      </w:r>
      <w:r>
        <w:rPr>
          <w:spacing w:val="-43"/>
        </w:rPr>
        <w:t> </w:t>
      </w:r>
      <w:r>
        <w:rPr>
          <w:spacing w:val="-43"/>
        </w:rPr>
      </w:r>
      <w:r>
        <w:rPr>
          <w:spacing w:val="-2"/>
        </w:rPr>
        <w:t>存在时总能发现。错报可能由于舞弊或错误导致，如果合理预期错报单独或汇总起来可能影响财务报表使</w:t>
      </w:r>
      <w:r>
        <w:rPr>
          <w:spacing w:val="-43"/>
        </w:rPr>
        <w:t> </w:t>
      </w:r>
      <w:r>
        <w:rPr>
          <w:spacing w:val="-43"/>
        </w:rPr>
      </w:r>
      <w:r>
        <w:rPr/>
        <w:t>用者依据财务报表作出的经济决策，则通常认为错报是重大的。</w:t>
      </w:r>
    </w:p>
    <w:p>
      <w:pPr>
        <w:pStyle w:val="Heading4"/>
        <w:spacing w:line="355" w:lineRule="auto" w:before="34"/>
        <w:ind w:right="107"/>
        <w:jc w:val="left"/>
      </w:pPr>
      <w:r>
        <w:rPr>
          <w:spacing w:val="-2"/>
        </w:rPr>
        <w:t>在按照审计准则执行审计工作的过程中，我们运用职业判断，并保持职业怀疑。同时，我们也执行以</w:t>
      </w:r>
      <w:r>
        <w:rPr>
          <w:w w:val="100"/>
        </w:rPr>
        <w:t> </w:t>
      </w:r>
      <w:r>
        <w:rPr/>
        <w:t>下工作：</w:t>
      </w:r>
    </w:p>
    <w:p>
      <w:pPr>
        <w:pStyle w:val="Heading4"/>
        <w:spacing w:line="357" w:lineRule="auto"/>
        <w:ind w:right="107"/>
        <w:jc w:val="left"/>
      </w:pPr>
      <w:r>
        <w:rPr/>
        <w:t>（</w:t>
      </w:r>
      <w:r>
        <w:rPr>
          <w:rFonts w:ascii="宋体" w:hAnsi="宋体" w:cs="宋体" w:eastAsia="宋体" w:hint="default"/>
        </w:rPr>
        <w:t>1</w:t>
      </w:r>
      <w:r>
        <w:rPr/>
        <w:t>）识别和评估由于舞弊或错误导致的财务报表重大错报风险，设计和实施审计程序以应对这些风</w:t>
      </w:r>
      <w:r>
        <w:rPr>
          <w:w w:val="100"/>
        </w:rPr>
        <w:t> </w:t>
      </w:r>
      <w:r>
        <w:rPr>
          <w:spacing w:val="-5"/>
        </w:rPr>
        <w:t>险，并获取充分、适当的审计证据，作为发表审计意见的基础。由于舞弊可能涉及串通、伪造、故意遗漏、</w:t>
      </w:r>
      <w:r>
        <w:rPr>
          <w:spacing w:val="-6"/>
        </w:rPr>
        <w:t> </w:t>
      </w:r>
      <w:r>
        <w:rPr>
          <w:spacing w:val="-6"/>
        </w:rPr>
      </w:r>
      <w:r>
        <w:rPr>
          <w:spacing w:val="-2"/>
        </w:rPr>
        <w:t>虚假陈述或凌驾于内部控制之上，未能发现由于舞弊导致的重大错报的风险高于未能发现由于错误导致的</w:t>
      </w:r>
      <w:r>
        <w:rPr>
          <w:spacing w:val="-43"/>
        </w:rPr>
        <w:t> </w:t>
      </w:r>
      <w:r>
        <w:rPr>
          <w:spacing w:val="-43"/>
        </w:rPr>
      </w:r>
      <w:r>
        <w:rPr/>
        <w:t>重大错报的风险。</w:t>
      </w:r>
    </w:p>
    <w:p>
      <w:pPr>
        <w:pStyle w:val="Heading4"/>
        <w:spacing w:line="355" w:lineRule="auto" w:before="30"/>
        <w:ind w:right="107"/>
        <w:jc w:val="left"/>
      </w:pPr>
      <w:r>
        <w:rPr>
          <w:spacing w:val="-2"/>
        </w:rPr>
        <w:t>（</w:t>
      </w:r>
      <w:r>
        <w:rPr>
          <w:rFonts w:ascii="宋体" w:hAnsi="宋体" w:cs="宋体" w:eastAsia="宋体" w:hint="default"/>
          <w:spacing w:val="-2"/>
        </w:rPr>
        <w:t>2</w:t>
      </w:r>
      <w:r>
        <w:rPr>
          <w:spacing w:val="-2"/>
        </w:rPr>
        <w:t>）了解与审计相关的内部控制，以设计恰当的审计程序，但目的并非对内部控制的有效性发表意</w:t>
      </w:r>
      <w:r>
        <w:rPr>
          <w:w w:val="100"/>
        </w:rPr>
        <w:t> </w:t>
      </w:r>
      <w:r>
        <w:rPr/>
        <w:t>见。</w:t>
      </w:r>
    </w:p>
    <w:p>
      <w:pPr>
        <w:pStyle w:val="Heading4"/>
        <w:spacing w:line="240" w:lineRule="auto"/>
        <w:ind w:left="573" w:right="107" w:firstLine="0"/>
        <w:jc w:val="left"/>
      </w:pPr>
      <w:r>
        <w:rPr/>
        <w:t>（</w:t>
      </w:r>
      <w:r>
        <w:rPr>
          <w:rFonts w:ascii="宋体" w:hAnsi="宋体" w:cs="宋体" w:eastAsia="宋体" w:hint="default"/>
        </w:rPr>
        <w:t>3</w:t>
      </w:r>
      <w:r>
        <w:rPr/>
        <w:t>）评价管理层选用会计政策的恰当性和作出会计估计及相关披露的合理性。</w:t>
      </w:r>
    </w:p>
    <w:p>
      <w:pPr>
        <w:pStyle w:val="Heading4"/>
        <w:spacing w:line="357" w:lineRule="auto" w:before="135"/>
        <w:ind w:right="107"/>
        <w:jc w:val="left"/>
      </w:pPr>
      <w:r>
        <w:rPr/>
        <w:t>（</w:t>
      </w:r>
      <w:r>
        <w:rPr>
          <w:rFonts w:ascii="宋体" w:hAnsi="宋体" w:cs="宋体" w:eastAsia="宋体" w:hint="default"/>
        </w:rPr>
        <w:t>4</w:t>
      </w:r>
      <w:r>
        <w:rPr/>
        <w:t>）对管理层使用持续经营假设的恰当性得出结论。同时，根据获取的审计证据，就可能导致对群</w:t>
      </w:r>
      <w:r>
        <w:rPr>
          <w:w w:val="100"/>
        </w:rPr>
        <w:t> </w:t>
      </w:r>
      <w:r>
        <w:rPr>
          <w:spacing w:val="-2"/>
        </w:rPr>
        <w:t>兴玩具持续经营能力产生重大疑虑的事项或情况是否存在重大不确定性得出结论。如果我们得出结论认为</w:t>
      </w:r>
      <w:r>
        <w:rPr>
          <w:spacing w:val="-43"/>
        </w:rPr>
        <w:t> </w:t>
      </w:r>
      <w:r>
        <w:rPr>
          <w:spacing w:val="-43"/>
        </w:rPr>
      </w:r>
      <w:r>
        <w:rPr>
          <w:spacing w:val="-2"/>
        </w:rPr>
        <w:t>存在重大不确定性，审计准则要求我们在审计报告中提请报表使用者注意财务报表中的相关披露；如果披</w:t>
      </w:r>
      <w:r>
        <w:rPr>
          <w:spacing w:val="-43"/>
        </w:rPr>
        <w:t> </w:t>
      </w:r>
      <w:r>
        <w:rPr>
          <w:spacing w:val="-43"/>
        </w:rPr>
      </w:r>
      <w:r>
        <w:rPr>
          <w:spacing w:val="-2"/>
        </w:rPr>
        <w:t>露不充分，我们应当发表非无保留意见。我们的结论基于截至审计报告日可获得的信息。然而，未来的事</w:t>
      </w:r>
      <w:r>
        <w:rPr>
          <w:spacing w:val="-47"/>
        </w:rPr>
        <w:t> </w:t>
      </w:r>
      <w:r>
        <w:rPr>
          <w:spacing w:val="-47"/>
        </w:rPr>
      </w:r>
      <w:r>
        <w:rPr/>
        <w:t>项或情况可能导致群兴玩具不能持续经营。</w:t>
      </w:r>
    </w:p>
    <w:p>
      <w:pPr>
        <w:pStyle w:val="Heading4"/>
        <w:spacing w:line="355" w:lineRule="auto"/>
        <w:ind w:right="107"/>
        <w:jc w:val="left"/>
      </w:pPr>
      <w:r>
        <w:rPr>
          <w:spacing w:val="-2"/>
        </w:rPr>
        <w:t>（</w:t>
      </w:r>
      <w:r>
        <w:rPr>
          <w:rFonts w:ascii="宋体" w:hAnsi="宋体" w:cs="宋体" w:eastAsia="宋体" w:hint="default"/>
          <w:spacing w:val="-2"/>
        </w:rPr>
        <w:t>5</w:t>
      </w:r>
      <w:r>
        <w:rPr>
          <w:spacing w:val="-2"/>
        </w:rPr>
        <w:t>）评价财务报表的总体列报、结构和内容（包括披露），并评价财务报表是否公允反映相关交易</w:t>
      </w:r>
      <w:r>
        <w:rPr>
          <w:w w:val="100"/>
        </w:rPr>
        <w:t> </w:t>
      </w:r>
      <w:r>
        <w:rPr/>
        <w:t>和事项。</w:t>
      </w:r>
    </w:p>
    <w:p>
      <w:pPr>
        <w:pStyle w:val="Heading4"/>
        <w:spacing w:line="355" w:lineRule="auto"/>
        <w:ind w:right="107"/>
        <w:jc w:val="left"/>
      </w:pPr>
      <w:r>
        <w:rPr>
          <w:spacing w:val="-2"/>
        </w:rPr>
        <w:t>（</w:t>
      </w:r>
      <w:r>
        <w:rPr>
          <w:rFonts w:ascii="宋体" w:hAnsi="宋体" w:cs="宋体" w:eastAsia="宋体" w:hint="default"/>
          <w:spacing w:val="-2"/>
        </w:rPr>
        <w:t>6</w:t>
      </w:r>
      <w:r>
        <w:rPr>
          <w:spacing w:val="-2"/>
        </w:rPr>
        <w:t>）就群兴玩具中实体或业务活动的财务信息获取充分、适当的审计证据，以对财务报表发表审计</w:t>
      </w:r>
      <w:r>
        <w:rPr>
          <w:w w:val="100"/>
        </w:rPr>
        <w:t> </w:t>
      </w:r>
      <w:r>
        <w:rPr/>
        <w:t>意见。我们负责指导、监督和执行集团审计，并对审计意见承担全部责任。</w:t>
      </w:r>
    </w:p>
    <w:p>
      <w:pPr>
        <w:pStyle w:val="Heading4"/>
        <w:spacing w:line="357" w:lineRule="auto"/>
        <w:ind w:right="107"/>
        <w:jc w:val="left"/>
      </w:pPr>
      <w:r>
        <w:rPr>
          <w:spacing w:val="-2"/>
        </w:rPr>
        <w:t>我们与治理层就计划的审计范围、时间安排和重大审计发现等事项进行沟通，包括沟通我们在审计中</w:t>
      </w:r>
      <w:r>
        <w:rPr>
          <w:w w:val="100"/>
        </w:rPr>
        <w:t> </w:t>
      </w:r>
      <w:r>
        <w:rPr/>
        <w:t>识别出的值得关注的内部控制缺陷。</w:t>
      </w:r>
    </w:p>
    <w:p>
      <w:pPr>
        <w:pStyle w:val="Heading4"/>
        <w:spacing w:line="355" w:lineRule="auto" w:before="30"/>
        <w:ind w:right="107"/>
        <w:jc w:val="left"/>
      </w:pPr>
      <w:r>
        <w:rPr>
          <w:spacing w:val="-2"/>
        </w:rPr>
        <w:t>我们还就已遵守与独立性相关的职业道德要求向治理层提供声明，并与治理层沟通可能被合理认为影</w:t>
      </w:r>
      <w:r>
        <w:rPr>
          <w:w w:val="100"/>
        </w:rPr>
        <w:t> </w:t>
      </w:r>
      <w:r>
        <w:rPr/>
        <w:t>响我们独立性的所有关系和其他事项，以及相关的防范措施。</w:t>
      </w:r>
    </w:p>
    <w:p>
      <w:pPr>
        <w:spacing w:after="0" w:line="355" w:lineRule="auto"/>
        <w:jc w:val="left"/>
        <w:sectPr>
          <w:pgSz w:w="11910" w:h="16840"/>
          <w:pgMar w:header="745" w:footer="979" w:top="1060" w:bottom="1160" w:left="980" w:right="920"/>
        </w:sectPr>
      </w:pPr>
    </w:p>
    <w:p>
      <w:pPr>
        <w:spacing w:line="240" w:lineRule="auto" w:before="2"/>
        <w:rPr>
          <w:rFonts w:ascii="宋体" w:hAnsi="宋体" w:cs="宋体" w:eastAsia="宋体" w:hint="default"/>
          <w:sz w:val="23"/>
          <w:szCs w:val="23"/>
        </w:rPr>
      </w:pPr>
    </w:p>
    <w:p>
      <w:pPr>
        <w:pStyle w:val="Heading4"/>
        <w:spacing w:line="357" w:lineRule="auto" w:before="36"/>
        <w:ind w:right="146"/>
        <w:jc w:val="both"/>
      </w:pPr>
      <w:r>
        <w:rPr>
          <w:spacing w:val="-2"/>
        </w:rPr>
        <w:t>从与治理层沟通过的事项中，我们确定哪些事项对本期财务报表审计最为重要，因而构成关键审计事</w:t>
      </w:r>
      <w:r>
        <w:rPr>
          <w:w w:val="100"/>
        </w:rPr>
        <w:t> </w:t>
      </w:r>
      <w:r>
        <w:rPr>
          <w:spacing w:val="-2"/>
        </w:rPr>
        <w:t>项。我们在审计报告中描述这些事项，除非法律法规禁止公开披露这些事项，或在极少数情形下，如果合</w:t>
      </w:r>
      <w:r>
        <w:rPr>
          <w:spacing w:val="-47"/>
        </w:rPr>
        <w:t> </w:t>
      </w:r>
      <w:r>
        <w:rPr>
          <w:spacing w:val="-47"/>
        </w:rPr>
      </w:r>
      <w:r>
        <w:rPr>
          <w:spacing w:val="-2"/>
        </w:rPr>
        <w:t>理预期在审计报告中沟通某事项造成的负面后果超过在公众利益方面产生的益处，我们确定不应在审计报</w:t>
      </w:r>
      <w:r>
        <w:rPr>
          <w:spacing w:val="-43"/>
        </w:rPr>
        <w:t> </w:t>
      </w:r>
      <w:r>
        <w:rPr>
          <w:spacing w:val="-43"/>
        </w:rPr>
      </w:r>
      <w:r>
        <w:rPr/>
        <w:t>告中沟通该事项。</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0"/>
          <w:szCs w:val="20"/>
        </w:rPr>
      </w:pPr>
    </w:p>
    <w:p>
      <w:pPr>
        <w:pStyle w:val="Heading3"/>
        <w:tabs>
          <w:tab w:pos="6262" w:val="left" w:leader="none"/>
        </w:tabs>
        <w:spacing w:line="240" w:lineRule="auto"/>
        <w:ind w:left="426" w:right="0"/>
        <w:jc w:val="left"/>
        <w:rPr>
          <w:b w:val="0"/>
          <w:bCs w:val="0"/>
        </w:rPr>
      </w:pPr>
      <w:r>
        <w:rPr/>
        <w:t>立信会计师事务所</w:t>
        <w:tab/>
        <w:t>中国注册会计师：钟宇（项目合伙人）</w:t>
      </w:r>
      <w:r>
        <w:rPr>
          <w:b w:val="0"/>
          <w:bCs w:val="0"/>
        </w:rPr>
      </w:r>
    </w:p>
    <w:p>
      <w:pPr>
        <w:pStyle w:val="Heading3"/>
        <w:tabs>
          <w:tab w:pos="6245" w:val="left" w:leader="none"/>
        </w:tabs>
        <w:spacing w:line="240" w:lineRule="auto" w:before="102"/>
        <w:ind w:left="426" w:right="0"/>
        <w:jc w:val="left"/>
        <w:rPr>
          <w:b w:val="0"/>
          <w:bCs w:val="0"/>
        </w:rPr>
      </w:pPr>
      <w:r>
        <w:rPr/>
        <w:t>（特殊普通合伙）</w:t>
        <w:tab/>
        <w:t>中国注册会计师：陈延柏</w:t>
      </w:r>
      <w:r>
        <w:rPr>
          <w:b w:val="0"/>
          <w:bCs w:val="0"/>
        </w:rPr>
      </w: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12"/>
        <w:rPr>
          <w:rFonts w:ascii="Microsoft JhengHei" w:hAnsi="Microsoft JhengHei" w:cs="Microsoft JhengHei" w:eastAsia="Microsoft JhengHei" w:hint="default"/>
          <w:b/>
          <w:bCs/>
          <w:sz w:val="19"/>
          <w:szCs w:val="19"/>
        </w:rPr>
      </w:pPr>
    </w:p>
    <w:p>
      <w:pPr>
        <w:pStyle w:val="Heading3"/>
        <w:tabs>
          <w:tab w:pos="6787" w:val="left" w:leader="none"/>
        </w:tabs>
        <w:spacing w:line="240" w:lineRule="auto"/>
        <w:ind w:left="426" w:right="0"/>
        <w:jc w:val="left"/>
        <w:rPr>
          <w:b w:val="0"/>
          <w:bCs w:val="0"/>
        </w:rPr>
      </w:pPr>
      <w:r>
        <w:rPr>
          <w:spacing w:val="-1"/>
        </w:rPr>
        <w:t>中国</w:t>
      </w:r>
      <w:r>
        <w:rPr>
          <w:rFonts w:ascii="Times New Roman" w:hAnsi="Times New Roman" w:cs="Times New Roman" w:eastAsia="Times New Roman" w:hint="default"/>
          <w:spacing w:val="-1"/>
        </w:rPr>
        <w:t>•</w:t>
      </w:r>
      <w:r>
        <w:rPr>
          <w:spacing w:val="-1"/>
        </w:rPr>
        <w:t>上海</w:t>
        <w:tab/>
      </w:r>
      <w:r>
        <w:rPr>
          <w:rFonts w:ascii="Trebuchet MS" w:hAnsi="Trebuchet MS" w:cs="Trebuchet MS" w:eastAsia="Trebuchet MS" w:hint="default"/>
        </w:rPr>
        <w:t>2018</w:t>
      </w:r>
      <w:r>
        <w:rPr/>
        <w:t>年</w:t>
      </w:r>
      <w:r>
        <w:rPr>
          <w:rFonts w:ascii="Trebuchet MS" w:hAnsi="Trebuchet MS" w:cs="Trebuchet MS" w:eastAsia="Trebuchet MS" w:hint="default"/>
        </w:rPr>
        <w:t>4</w:t>
      </w:r>
      <w:r>
        <w:rPr/>
        <w:t>月</w:t>
      </w:r>
      <w:r>
        <w:rPr>
          <w:rFonts w:ascii="Trebuchet MS" w:hAnsi="Trebuchet MS" w:cs="Trebuchet MS" w:eastAsia="Trebuchet MS" w:hint="default"/>
        </w:rPr>
        <w:t>19</w:t>
      </w:r>
      <w:r>
        <w:rPr/>
        <w:t>日</w:t>
      </w:r>
      <w:r>
        <w:rPr>
          <w:b w:val="0"/>
          <w:bCs w:val="0"/>
        </w:rPr>
      </w:r>
    </w:p>
    <w:p>
      <w:pPr>
        <w:spacing w:after="0" w:line="240" w:lineRule="auto"/>
        <w:jc w:val="left"/>
        <w:sectPr>
          <w:pgSz w:w="11910" w:h="16840"/>
          <w:pgMar w:header="745" w:footer="979" w:top="1060" w:bottom="1160" w:left="980" w:right="980"/>
        </w:sect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15"/>
          <w:szCs w:val="15"/>
        </w:rPr>
      </w:pPr>
    </w:p>
    <w:p>
      <w:pPr>
        <w:pStyle w:val="Heading2"/>
        <w:spacing w:line="367" w:lineRule="exact"/>
        <w:ind w:right="0"/>
        <w:jc w:val="left"/>
        <w:rPr>
          <w:b w:val="0"/>
          <w:bCs w:val="0"/>
        </w:rPr>
      </w:pPr>
      <w:r>
        <w:rPr/>
        <w:t>二、财务报表</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240" w:lineRule="auto"/>
        <w:ind w:right="0"/>
        <w:jc w:val="left"/>
      </w:pPr>
      <w:r>
        <w:rPr/>
        <w:t>财务附注中报表的单位为：人民币元</w:t>
      </w:r>
    </w:p>
    <w:p>
      <w:pPr>
        <w:spacing w:line="240" w:lineRule="auto" w:before="12"/>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1</w:t>
      </w:r>
      <w:r>
        <w:rPr/>
        <w:t>、合并资产负债表</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after="0" w:line="240" w:lineRule="auto"/>
        <w:rPr>
          <w:rFonts w:ascii="Microsoft JhengHei" w:hAnsi="Microsoft JhengHei" w:cs="Microsoft JhengHei" w:eastAsia="Microsoft JhengHei" w:hint="default"/>
          <w:sz w:val="16"/>
          <w:szCs w:val="16"/>
        </w:rPr>
        <w:sectPr>
          <w:pgSz w:w="11910" w:h="16840"/>
          <w:pgMar w:header="745" w:footer="979" w:top="1060" w:bottom="1160" w:left="980" w:right="980"/>
        </w:sectPr>
      </w:pPr>
    </w:p>
    <w:p>
      <w:pPr>
        <w:pStyle w:val="BodyText"/>
        <w:spacing w:line="240" w:lineRule="auto" w:before="44"/>
        <w:ind w:right="-20"/>
        <w:jc w:val="left"/>
      </w:pPr>
      <w:r>
        <w:rPr/>
        <w:t>编制单位：广东群兴玩具股份有限公司</w:t>
      </w:r>
    </w:p>
    <w:p>
      <w:pPr>
        <w:spacing w:line="240" w:lineRule="auto" w:before="0"/>
        <w:rPr>
          <w:rFonts w:ascii="宋体" w:hAnsi="宋体" w:cs="宋体" w:eastAsia="宋体" w:hint="default"/>
          <w:sz w:val="18"/>
          <w:szCs w:val="18"/>
        </w:rPr>
      </w:pPr>
      <w:r>
        <w:rPr/>
        <w:br w:type="column"/>
      </w:r>
      <w:r>
        <w:rPr>
          <w:rFonts w:ascii="宋体"/>
          <w:sz w:val="18"/>
        </w:rPr>
      </w:r>
    </w:p>
    <w:p>
      <w:pPr>
        <w:pStyle w:val="BodyText"/>
        <w:spacing w:line="240" w:lineRule="auto" w:before="161"/>
        <w:ind w:right="-14"/>
        <w:jc w:val="left"/>
      </w:pP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8"/>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rPr>
        <w:t>31 </w:t>
      </w:r>
      <w:r>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060" w:bottom="1160" w:left="980" w:right="980"/>
          <w:cols w:num="3" w:equalWidth="0">
            <w:col w:w="3213" w:space="863"/>
            <w:col w:w="1642" w:space="3202"/>
            <w:col w:w="1030"/>
          </w:cols>
        </w:sectPr>
      </w:pP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966"/>
        <w:gridCol w:w="3300"/>
        <w:gridCol w:w="3303"/>
      </w:tblGrid>
      <w:tr>
        <w:trPr>
          <w:trHeight w:val="40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131,453,466.03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151,371,753.65</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2" w:right="5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0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6,675,575.00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29,115,412.74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59,005,709.30</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w w:val="95"/>
                <w:sz w:val="18"/>
              </w:rPr>
              <w:t>11,154.87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536,411.76</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473,416.66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78,760,141.28</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49,889,275.12</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持有待售的资产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141,525,093.72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1,660,999.53</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309,254,119.02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341,224,290.64</w:t>
            </w:r>
          </w:p>
        </w:tc>
      </w:tr>
      <w:tr>
        <w:trPr>
          <w:trHeight w:val="40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发放贷款及垫款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967"/>
        <w:gridCol w:w="3300"/>
        <w:gridCol w:w="3303"/>
      </w:tblGrid>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160,804,326.27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149,520,743.79</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336,598,281.14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3,599,560.31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308,900,775.37</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23,932,647.20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10,170,041.00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67,832,907.81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113,874,819.60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199,000.03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339,470.59</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1,043,388.31</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592,966,722.76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583,849,238.66</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902,220,841.78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925,073,529.30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51"/>
              <w:jc w:val="righ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5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0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296,073.91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2,796,387.79</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867,627.95</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951"/>
              <w:jc w:val="righ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2,441,043.54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3,884,052.73</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2,220,201.83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3,405,995.44</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967"/>
        <w:gridCol w:w="3300"/>
        <w:gridCol w:w="3303"/>
      </w:tblGrid>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1,978,020.51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779,888.93</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持有待售的负债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6,935,339.79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11,733,952.84</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08"/>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1,764,448.86</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3,875,760.00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3,968,040.00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3,875,760.00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5,732,488.86</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10,811,099.79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17,466,441.70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588,720,000.00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588,720,000.00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08"/>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153,717,414.13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153,717,414.13</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5,319,169.80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103,735.94</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29,195,887.54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29,195,887.54</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6"/>
        <w:gridCol w:w="3300"/>
        <w:gridCol w:w="3303"/>
      </w:tblGrid>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114,457,270.52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135,870,049.99</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891,409,741.99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907,607,087.60</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891,409,741.99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907,607,087.60</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902,220,841.78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925,073,529.30</w:t>
            </w:r>
          </w:p>
        </w:tc>
      </w:tr>
    </w:tbl>
    <w:p>
      <w:pPr>
        <w:spacing w:line="240" w:lineRule="auto" w:before="11"/>
        <w:rPr>
          <w:rFonts w:ascii="Times New Roman" w:hAnsi="Times New Roman" w:cs="Times New Roman" w:eastAsia="Times New Roman" w:hint="default"/>
          <w:sz w:val="22"/>
          <w:szCs w:val="22"/>
        </w:rPr>
      </w:pPr>
    </w:p>
    <w:p>
      <w:pPr>
        <w:pStyle w:val="BodyText"/>
        <w:tabs>
          <w:tab w:pos="3667" w:val="left" w:leader="none"/>
          <w:tab w:pos="7899" w:val="left" w:leader="none"/>
        </w:tabs>
        <w:spacing w:line="240" w:lineRule="auto" w:before="44"/>
        <w:ind w:right="0"/>
        <w:jc w:val="left"/>
      </w:pPr>
      <w:r>
        <w:rPr/>
        <w:t>法定代表人：纪晓文</w:t>
        <w:tab/>
      </w:r>
      <w:r>
        <w:rPr>
          <w:spacing w:val="-1"/>
        </w:rPr>
        <w:t>主管会计工作负责人：朱小艳</w:t>
        <w:tab/>
      </w:r>
      <w:r>
        <w:rPr/>
        <w:t>会计机构负责人：陈轲</w:t>
      </w:r>
    </w:p>
    <w:p>
      <w:pPr>
        <w:spacing w:line="240" w:lineRule="auto" w:before="2"/>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2</w:t>
      </w:r>
      <w:r>
        <w:rPr/>
        <w:t>、母公司资产负债表</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left="0" w:right="151"/>
        <w:jc w:val="right"/>
      </w:pPr>
      <w:r>
        <w:rPr/>
        <w:t>单位：元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967"/>
        <w:gridCol w:w="3300"/>
        <w:gridCol w:w="3303"/>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129,800,669.25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140,743,731.37</w:t>
            </w: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5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0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6,675,575.00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29,115,412.74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59,005,709.30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w w:val="95"/>
                <w:sz w:val="18"/>
              </w:rPr>
              <w:t>11,154.87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536,411.76</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195,158,338.04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181,674,374.64</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49,889,275.12</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4" w:right="0"/>
              <w:jc w:val="left"/>
              <w:rPr>
                <w:rFonts w:ascii="宋体" w:hAnsi="宋体" w:cs="宋体" w:eastAsia="宋体" w:hint="default"/>
                <w:sz w:val="18"/>
                <w:szCs w:val="18"/>
              </w:rPr>
            </w:pPr>
            <w:r>
              <w:rPr>
                <w:rFonts w:ascii="宋体" w:hAnsi="宋体" w:cs="宋体" w:eastAsia="宋体" w:hint="default"/>
                <w:sz w:val="18"/>
                <w:szCs w:val="18"/>
              </w:rPr>
              <w:t>持有待售的资产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43,725,093.72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1,660,999.53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404,486,243.62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433,510,501.72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225,550,375.27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213,266,792.79</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248,189,013.66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3,300,333.13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248,077,580.19</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967"/>
        <w:gridCol w:w="3300"/>
        <w:gridCol w:w="3303"/>
      </w:tblGrid>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23,932,647.20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10,170,041.00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25,586,969.51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43,236,401.37</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199,000.03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339,470.59</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1,043,319.28</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526,758,338.80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516,133,605.22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931,244,582.42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949,644,106.94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5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0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296,073.91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2,796,387.79</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867,627.95</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278,234.22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3,551,960.42</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2,138,913.83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3,311,472.48</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4"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1,584,785.03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777,141.79</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持有待售的负债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4,298,006.99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11,304,590.43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967"/>
        <w:gridCol w:w="3300"/>
        <w:gridCol w:w="3303"/>
      </w:tblGrid>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08"/>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1,764,448.86</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1,764,448.86</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4,298,006.99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13,069,039.29</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588,720,000.00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588,720,000.00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08"/>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153,717,414.13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153,717,414.13</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4,648,990.71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29,195,887.54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29,195,887.54</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150,664,283.05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164,941,765.98</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926,946,575.43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936,575,067.65</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931,244,582.42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949,644,106.94</w:t>
            </w:r>
          </w:p>
        </w:tc>
      </w:tr>
    </w:tbl>
    <w:p>
      <w:pPr>
        <w:spacing w:line="240" w:lineRule="auto" w:before="10"/>
        <w:rPr>
          <w:rFonts w:ascii="Times New Roman" w:hAnsi="Times New Roman" w:cs="Times New Roman" w:eastAsia="Times New Roman" w:hint="default"/>
          <w:sz w:val="21"/>
          <w:szCs w:val="21"/>
        </w:rPr>
      </w:pPr>
    </w:p>
    <w:p>
      <w:pPr>
        <w:pStyle w:val="Heading3"/>
        <w:spacing w:line="335" w:lineRule="exact"/>
        <w:ind w:right="0"/>
        <w:jc w:val="left"/>
        <w:rPr>
          <w:b w:val="0"/>
          <w:bCs w:val="0"/>
        </w:rPr>
      </w:pPr>
      <w:r>
        <w:rPr>
          <w:rFonts w:ascii="Times New Roman" w:hAnsi="Times New Roman" w:cs="Times New Roman" w:eastAsia="Times New Roman" w:hint="default"/>
        </w:rPr>
        <w:t>3</w:t>
      </w:r>
      <w:r>
        <w:rPr/>
        <w:t>、合并利润表</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080"/>
        <w:gridCol w:w="3212"/>
        <w:gridCol w:w="3277"/>
      </w:tblGrid>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53,935,818.86</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250,703,064.46</w:t>
            </w:r>
          </w:p>
        </w:tc>
      </w:tr>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53,935,818.86</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250,703,064.46</w:t>
            </w: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4"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4"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4"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94,517,279.40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274,032,261.83</w:t>
            </w: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51,255,366.74</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193,572,485.47</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r>
        <w:rPr/>
        <w:pict>
          <v:shape style="position:absolute;margin-left:177.860001pt;margin-top:557.139954pt;width:193.15pt;height:19.6pt;mso-position-horizontal-relative:page;mso-position-vertical-relative:page;z-index:-701008" type="#_x0000_t202" filled="false" stroked="false">
            <v:textbox inset="0,0,0,0">
              <w:txbxContent>
                <w:p>
                  <w:pPr>
                    <w:pStyle w:val="BodyText"/>
                    <w:spacing w:line="240" w:lineRule="auto" w:before="49"/>
                    <w:ind w:left="0" w:right="0"/>
                    <w:jc w:val="left"/>
                  </w:pPr>
                  <w:r>
                    <w:rPr/>
                    <w:t>号填列）</w:t>
                  </w:r>
                </w:p>
              </w:txbxContent>
            </v:textbox>
            <w10:wrap type="none"/>
          </v:shape>
        </w:pict>
      </w:r>
      <w:r>
        <w:rPr/>
        <w:pict>
          <v:group style="position:absolute;margin-left:211.009995pt;margin-top:420.909973pt;width:160pt;height:19.6pt;mso-position-horizontal-relative:page;mso-position-vertical-relative:page;z-index:-700984" coordorigin="4220,8418" coordsize="3200,392">
            <v:group style="position:absolute;left:7398;top:8418;width:22;height:392" coordorigin="7398,8418" coordsize="22,392">
              <v:shape style="position:absolute;left:7398;top:8418;width:22;height:392" coordorigin="7398,8418" coordsize="22,392" path="m7398,8809l7420,8809,7420,8418,7398,8418,7398,8809xe" filled="true" fillcolor="#ffffff" stroked="false">
                <v:path arrowok="t"/>
                <v:fill type="solid"/>
              </v:shape>
            </v:group>
            <v:group style="position:absolute;left:4220;top:8418;width:22;height:392" coordorigin="4220,8418" coordsize="22,392">
              <v:shape style="position:absolute;left:4220;top:8418;width:22;height:392" coordorigin="4220,8418" coordsize="22,392" path="m4220,8809l4242,8809,4242,8418,4220,8418,4220,8809xe" filled="true" fillcolor="#ffffff" stroked="false">
                <v:path arrowok="t"/>
                <v:fill type="solid"/>
              </v:shape>
            </v:group>
            <v:group style="position:absolute;left:4242;top:8418;width:3157;height:392" coordorigin="4242,8418" coordsize="3157,392">
              <v:shape style="position:absolute;left:4242;top:8418;width:3157;height:392" coordorigin="4242,8418" coordsize="3157,392" path="m4242,8809l7398,8809,7398,8418,4242,8418,4242,8809xe" filled="true" fillcolor="#ffffff" stroked="false">
                <v:path arrowok="t"/>
                <v:fill type="solid"/>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079"/>
        <w:gridCol w:w="3212"/>
        <w:gridCol w:w="3277"/>
      </w:tblGrid>
      <w:tr>
        <w:trPr>
          <w:trHeight w:val="401"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64"/>
              <w:jc w:val="righ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3,902,334.67</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4,783,679.83</w:t>
            </w:r>
          </w:p>
        </w:tc>
      </w:tr>
      <w:tr>
        <w:trPr>
          <w:trHeight w:val="401"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913,252.79</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12,573,264.58</w:t>
            </w:r>
          </w:p>
        </w:tc>
      </w:tr>
      <w:tr>
        <w:trPr>
          <w:trHeight w:val="403"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25,279,647.95</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59,035,140.25</w:t>
            </w:r>
          </w:p>
        </w:tc>
      </w:tr>
      <w:tr>
        <w:trPr>
          <w:trHeight w:val="401"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-940,085.88</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-2,108,912.50</w:t>
            </w:r>
          </w:p>
        </w:tc>
      </w:tr>
      <w:tr>
        <w:trPr>
          <w:trHeight w:val="403"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14,106,763.13</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6,176,604.20</w:t>
            </w:r>
          </w:p>
        </w:tc>
      </w:tr>
      <w:tr>
        <w:trPr>
          <w:trHeight w:val="713"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2,290,276.14</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5"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0"/>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17,043,346.01</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23,468,803.26</w:t>
            </w:r>
          </w:p>
        </w:tc>
      </w:tr>
      <w:tr>
        <w:trPr>
          <w:trHeight w:val="713"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0" w:firstLine="720"/>
              <w:jc w:val="left"/>
              <w:rPr>
                <w:rFonts w:ascii="宋体" w:hAnsi="宋体" w:cs="宋体" w:eastAsia="宋体" w:hint="default"/>
                <w:sz w:val="18"/>
                <w:szCs w:val="18"/>
              </w:rPr>
            </w:pPr>
            <w:r>
              <w:rPr>
                <w:rFonts w:ascii="宋体" w:hAnsi="宋体" w:cs="宋体" w:eastAsia="宋体" w:hint="default"/>
                <w:spacing w:val="-3"/>
                <w:sz w:val="18"/>
                <w:szCs w:val="18"/>
              </w:rPr>
              <w:t>其中：对联营企业和合营企业</w:t>
            </w:r>
            <w:r>
              <w:rPr>
                <w:rFonts w:ascii="宋体" w:hAnsi="宋体" w:cs="宋体" w:eastAsia="宋体" w:hint="default"/>
                <w:sz w:val="18"/>
                <w:szCs w:val="18"/>
              </w:rPr>
              <w:t> 的投资收益</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11,283,582.48</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10,851,931.76</w:t>
            </w:r>
          </w:p>
        </w:tc>
      </w:tr>
      <w:tr>
        <w:trPr>
          <w:trHeight w:val="403"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23"/>
              <w:jc w:val="right"/>
              <w:rPr>
                <w:rFonts w:ascii="宋体" w:hAnsi="宋体" w:cs="宋体" w:eastAsia="宋体" w:hint="default"/>
                <w:sz w:val="18"/>
                <w:szCs w:val="18"/>
              </w:rPr>
            </w:pPr>
            <w:r>
              <w:rPr>
                <w:rFonts w:ascii="宋体" w:hAnsi="宋体" w:cs="宋体" w:eastAsia="宋体" w:hint="default"/>
                <w:spacing w:val="-1"/>
                <w:sz w:val="18"/>
                <w:szCs w:val="18"/>
              </w:rPr>
              <w:t>汇兑收益（损失以</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tabs>
                <w:tab w:pos="2863" w:val="left" w:leader="none"/>
              </w:tabs>
              <w:spacing w:line="240" w:lineRule="auto" w:before="51"/>
              <w:ind w:left="-135" w:right="21"/>
              <w:jc w:val="righ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pacing w:val="-1"/>
                <w:sz w:val="18"/>
                <w:szCs w:val="18"/>
              </w:rPr>
              <w:t>0.00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3"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资产处置收</w:t>
            </w:r>
            <w:r>
              <w:rPr>
                <w:rFonts w:ascii="宋体" w:hAnsi="宋体" w:cs="宋体" w:eastAsia="宋体" w:hint="default"/>
                <w:spacing w:val="-77"/>
                <w:sz w:val="18"/>
                <w:szCs w:val="18"/>
              </w:rPr>
              <w:t>益</w:t>
            </w:r>
            <w:r>
              <w:rPr>
                <w:rFonts w:ascii="宋体" w:hAnsi="宋体" w:cs="宋体" w:eastAsia="宋体" w:hint="default"/>
                <w:sz w:val="18"/>
                <w:szCs w:val="18"/>
              </w:rPr>
              <w:t>（损失</w:t>
            </w:r>
            <w:r>
              <w:rPr>
                <w:rFonts w:ascii="宋体" w:hAnsi="宋体" w:cs="宋体" w:eastAsia="宋体" w:hint="default"/>
                <w:spacing w:val="2"/>
                <w:sz w:val="18"/>
                <w:szCs w:val="18"/>
              </w:rPr>
              <w:t>以</w:t>
            </w:r>
            <w:r>
              <w:rPr>
                <w:rFonts w:ascii="Times New Roman" w:hAnsi="Times New Roman" w:cs="Times New Roman" w:eastAsia="Times New Roman" w:hint="default"/>
                <w:spacing w:val="-1"/>
                <w:w w:val="100"/>
                <w:sz w:val="18"/>
                <w:szCs w:val="18"/>
              </w:rPr>
              <w:t>“</w:t>
            </w:r>
            <w:r>
              <w:rPr>
                <w:rFonts w:ascii="Times New Roman" w:hAnsi="Times New Roman" w:cs="Times New Roman" w:eastAsia="Times New Roman" w:hint="default"/>
                <w:w w:val="99"/>
                <w:sz w:val="18"/>
                <w:szCs w:val="18"/>
              </w:rPr>
              <w:t>-</w:t>
            </w:r>
            <w:r>
              <w:rPr>
                <w:rFonts w:ascii="Times New Roman" w:hAnsi="Times New Roman" w:cs="Times New Roman" w:eastAsia="Times New Roman" w:hint="default"/>
                <w:spacing w:val="-1"/>
                <w:w w:val="100"/>
                <w:sz w:val="18"/>
                <w:szCs w:val="18"/>
              </w:rPr>
              <w:t>”</w:t>
            </w:r>
            <w:r>
              <w:rPr>
                <w:rFonts w:ascii="宋体" w:hAnsi="宋体" w:cs="宋体" w:eastAsia="宋体" w:hint="default"/>
                <w:sz w:val="18"/>
                <w:szCs w:val="18"/>
              </w:rPr>
              <w:t>号填</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-351,617.68</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12,735,873.79</w:t>
            </w:r>
          </w:p>
        </w:tc>
      </w:tr>
      <w:tr>
        <w:trPr>
          <w:trHeight w:val="403"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-21,599,456.07</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12,875,479.68</w:t>
            </w:r>
          </w:p>
        </w:tc>
      </w:tr>
      <w:tr>
        <w:trPr>
          <w:trHeight w:val="403"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3,227,676.62</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2,251,132.41</w:t>
            </w:r>
          </w:p>
        </w:tc>
      </w:tr>
      <w:tr>
        <w:trPr>
          <w:trHeight w:val="401"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2,000,200.00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1,000,000.00</w:t>
            </w:r>
          </w:p>
        </w:tc>
      </w:tr>
      <w:tr>
        <w:trPr>
          <w:trHeight w:val="403" w:hRule="exact"/>
        </w:trPr>
        <w:tc>
          <w:tcPr>
            <w:tcW w:w="3079"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pacing w:val="-8"/>
                <w:sz w:val="18"/>
                <w:szCs w:val="18"/>
              </w:rPr>
              <w:t>四、利润总额（亏损总额以</w:t>
            </w:r>
            <w:r>
              <w:rPr>
                <w:rFonts w:ascii="Times New Roman" w:hAnsi="Times New Roman" w:cs="Times New Roman" w:eastAsia="Times New Roman" w:hint="default"/>
                <w:spacing w:val="-8"/>
                <w:sz w:val="18"/>
                <w:szCs w:val="18"/>
              </w:rPr>
              <w:t>“</w:t>
            </w: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w:t>
            </w:r>
          </w:p>
        </w:tc>
        <w:tc>
          <w:tcPr>
            <w:tcW w:w="3212" w:type="dxa"/>
            <w:tcBorders>
              <w:top w:val="single" w:sz="4" w:space="0" w:color="000000"/>
              <w:left w:val="single" w:sz="13" w:space="0" w:color="FFFFFF"/>
              <w:bottom w:val="single" w:sz="4" w:space="0" w:color="000000"/>
              <w:right w:val="single" w:sz="12" w:space="0" w:color="FFFFFF"/>
            </w:tcBorders>
          </w:tcPr>
          <w:p>
            <w:pPr>
              <w:pStyle w:val="TableParagraph"/>
              <w:spacing w:line="240" w:lineRule="auto" w:before="93"/>
              <w:ind w:right="11"/>
              <w:jc w:val="right"/>
              <w:rPr>
                <w:rFonts w:ascii="Times New Roman" w:hAnsi="Times New Roman" w:cs="Times New Roman" w:eastAsia="Times New Roman" w:hint="default"/>
                <w:sz w:val="18"/>
                <w:szCs w:val="18"/>
              </w:rPr>
            </w:pPr>
            <w:r>
              <w:rPr>
                <w:rFonts w:ascii="Times New Roman"/>
                <w:spacing w:val="-1"/>
                <w:sz w:val="18"/>
              </w:rPr>
              <w:t>-20,371,979.45</w:t>
            </w:r>
          </w:p>
        </w:tc>
        <w:tc>
          <w:tcPr>
            <w:tcW w:w="3277" w:type="dxa"/>
            <w:tcBorders>
              <w:top w:val="single" w:sz="4" w:space="0" w:color="000000"/>
              <w:left w:val="single" w:sz="12" w:space="0" w:color="FFFFFF"/>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14,126,612.09</w:t>
            </w:r>
          </w:p>
        </w:tc>
      </w:tr>
      <w:tr>
        <w:trPr>
          <w:trHeight w:val="401"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1,040,800.02</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1,362,331.45</w:t>
            </w:r>
          </w:p>
        </w:tc>
      </w:tr>
      <w:tr>
        <w:trPr>
          <w:trHeight w:val="403"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-21,412,779.47</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12,764,280.64</w:t>
            </w:r>
          </w:p>
        </w:tc>
      </w:tr>
      <w:tr>
        <w:trPr>
          <w:trHeight w:val="713"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spacing w:val="-2"/>
                <w:sz w:val="18"/>
                <w:szCs w:val="18"/>
              </w:rPr>
              <w:t>（一）持续经营净利润（净亏损以</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-21,412,779.47</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12,764,280.64</w:t>
            </w:r>
          </w:p>
        </w:tc>
      </w:tr>
      <w:tr>
        <w:trPr>
          <w:trHeight w:val="715"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pacing w:val="-2"/>
                <w:sz w:val="18"/>
                <w:szCs w:val="18"/>
              </w:rPr>
              <w:t>（二）终止经营净利润（净亏损以</w:t>
            </w:r>
          </w:p>
          <w:p>
            <w:pPr>
              <w:pStyle w:val="TableParagraph"/>
              <w:spacing w:line="240" w:lineRule="auto" w:before="7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-21,412,779.47</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12,764,280.64</w:t>
            </w:r>
          </w:p>
        </w:tc>
      </w:tr>
      <w:tr>
        <w:trPr>
          <w:trHeight w:val="403"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5,215,433.86</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69,658.52</w:t>
            </w:r>
          </w:p>
        </w:tc>
      </w:tr>
      <w:tr>
        <w:trPr>
          <w:trHeight w:val="403"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203" w:right="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5,215,433.86</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69,658.52</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3080"/>
        <w:gridCol w:w="3212"/>
        <w:gridCol w:w="3277"/>
      </w:tblGrid>
      <w:tr>
        <w:trPr>
          <w:trHeight w:val="36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的税后净额</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20" w:firstLine="341"/>
              <w:jc w:val="left"/>
              <w:rPr>
                <w:rFonts w:ascii="宋体" w:hAnsi="宋体" w:cs="宋体" w:eastAsia="宋体" w:hint="default"/>
                <w:sz w:val="18"/>
                <w:szCs w:val="18"/>
              </w:rPr>
            </w:pPr>
            <w:r>
              <w:rPr>
                <w:rFonts w:ascii="宋体" w:hAnsi="宋体" w:cs="宋体" w:eastAsia="宋体" w:hint="default"/>
                <w:spacing w:val="-2"/>
                <w:sz w:val="18"/>
                <w:szCs w:val="18"/>
              </w:rPr>
              <w:t>（一）以后不能重分类进损益的其</w:t>
            </w:r>
            <w:r>
              <w:rPr>
                <w:rFonts w:ascii="宋体" w:hAnsi="宋体" w:cs="宋体" w:eastAsia="宋体" w:hint="default"/>
                <w:sz w:val="18"/>
                <w:szCs w:val="18"/>
              </w:rPr>
              <w:t> 他综合收益</w:t>
            </w:r>
          </w:p>
        </w:tc>
        <w:tc>
          <w:tcPr>
            <w:tcW w:w="321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5"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29"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重新计量设定受益计划净负债或 净资产的变动</w:t>
            </w:r>
          </w:p>
        </w:tc>
        <w:tc>
          <w:tcPr>
            <w:tcW w:w="321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1025"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4" w:right="29"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权益法下在被投资单位不能重分 类进损益的其他综合收益中享有的份 额</w:t>
            </w:r>
          </w:p>
        </w:tc>
        <w:tc>
          <w:tcPr>
            <w:tcW w:w="321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6"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4" w:right="20" w:firstLine="341"/>
              <w:jc w:val="left"/>
              <w:rPr>
                <w:rFonts w:ascii="宋体" w:hAnsi="宋体" w:cs="宋体" w:eastAsia="宋体" w:hint="default"/>
                <w:sz w:val="18"/>
                <w:szCs w:val="18"/>
              </w:rPr>
            </w:pPr>
            <w:r>
              <w:rPr>
                <w:rFonts w:ascii="宋体" w:hAnsi="宋体" w:cs="宋体" w:eastAsia="宋体" w:hint="default"/>
                <w:spacing w:val="-2"/>
                <w:sz w:val="18"/>
                <w:szCs w:val="18"/>
              </w:rPr>
              <w:t>（二）以后将重分类进损益的其他</w:t>
            </w:r>
            <w:r>
              <w:rPr>
                <w:rFonts w:ascii="宋体" w:hAnsi="宋体" w:cs="宋体" w:eastAsia="宋体" w:hint="default"/>
                <w:sz w:val="18"/>
                <w:szCs w:val="18"/>
              </w:rPr>
              <w:t> 综合收益</w:t>
            </w:r>
          </w:p>
        </w:tc>
        <w:tc>
          <w:tcPr>
            <w:tcW w:w="321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5,215,433.86</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69,658.52</w:t>
            </w:r>
          </w:p>
        </w:tc>
      </w:tr>
      <w:tr>
        <w:trPr>
          <w:trHeight w:val="1025"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4" w:right="29"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权益法下在被投资单位以后将重 分类进损益的其他综合收益中享有的 份额</w:t>
            </w:r>
          </w:p>
        </w:tc>
        <w:tc>
          <w:tcPr>
            <w:tcW w:w="321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5"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可供出售金融资产公允价值变动</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损益</w:t>
            </w:r>
          </w:p>
        </w:tc>
        <w:tc>
          <w:tcPr>
            <w:tcW w:w="321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29"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持有至到期投资重分类为可供出 售金融资产损益</w:t>
            </w:r>
          </w:p>
        </w:tc>
        <w:tc>
          <w:tcPr>
            <w:tcW w:w="321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现金流量套期损益的有效部分</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-16,696.71</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69,658.52</w:t>
            </w: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5,232,130.57</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64" w:firstLine="18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 税后净额</w:t>
            </w:r>
          </w:p>
        </w:tc>
        <w:tc>
          <w:tcPr>
            <w:tcW w:w="321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-16,197,345.61</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12,833,939.16</w:t>
            </w:r>
          </w:p>
        </w:tc>
      </w:tr>
      <w:tr>
        <w:trPr>
          <w:trHeight w:val="71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总额</w:t>
            </w:r>
          </w:p>
        </w:tc>
        <w:tc>
          <w:tcPr>
            <w:tcW w:w="321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-16,197,345.61</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12,833,939.16</w:t>
            </w: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2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7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-0.04</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0.02</w:t>
            </w:r>
          </w:p>
        </w:tc>
      </w:tr>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-0.04</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0.02</w:t>
            </w:r>
          </w:p>
        </w:tc>
      </w:tr>
    </w:tbl>
    <w:p>
      <w:pPr>
        <w:pStyle w:val="BodyText"/>
        <w:tabs>
          <w:tab w:pos="3667" w:val="left" w:leader="none"/>
          <w:tab w:pos="7899" w:val="left" w:leader="none"/>
        </w:tabs>
        <w:spacing w:line="590" w:lineRule="auto" w:before="49"/>
        <w:ind w:right="244"/>
        <w:jc w:val="left"/>
      </w:pPr>
      <w:r>
        <w:rPr/>
        <w:t>本期发生同一控制下企业合并的，被合并方在合并前实现的净利润为：</w:t>
      </w:r>
      <w:r>
        <w:rPr>
          <w:rFonts w:ascii="Times New Roman" w:hAnsi="Times New Roman" w:cs="Times New Roman" w:eastAsia="Times New Roman" w:hint="default"/>
        </w:rPr>
        <w:t>0.00 </w:t>
      </w:r>
      <w:r>
        <w:rPr/>
        <w:t>元，上期被合并方实现的净利润为：</w:t>
      </w:r>
      <w:r>
        <w:rPr>
          <w:rFonts w:ascii="Times New Roman" w:hAnsi="Times New Roman" w:cs="Times New Roman" w:eastAsia="Times New Roman" w:hint="default"/>
        </w:rPr>
        <w:t>0.00 </w:t>
      </w:r>
      <w:r>
        <w:rPr>
          <w:spacing w:val="-3"/>
        </w:rPr>
        <w:t>元。 </w:t>
      </w:r>
      <w:r>
        <w:rPr/>
        <w:t>法定代表人：纪晓文</w:t>
        <w:tab/>
      </w:r>
      <w:r>
        <w:rPr>
          <w:spacing w:val="-1"/>
        </w:rPr>
        <w:t>主管会计工作负责人：朱小艳</w:t>
        <w:tab/>
      </w:r>
      <w:r>
        <w:rPr/>
        <w:t>会计机构负责人：陈轲</w:t>
      </w:r>
    </w:p>
    <w:p>
      <w:pPr>
        <w:spacing w:after="0" w:line="590" w:lineRule="auto"/>
        <w:jc w:val="left"/>
        <w:sectPr>
          <w:pgSz w:w="11910" w:h="16840"/>
          <w:pgMar w:header="745" w:footer="979" w:top="1060" w:bottom="1160" w:left="980" w:right="980"/>
        </w:sectPr>
      </w:pPr>
    </w:p>
    <w:p>
      <w:pPr>
        <w:spacing w:line="240" w:lineRule="auto" w:before="10"/>
        <w:rPr>
          <w:rFonts w:ascii="宋体" w:hAnsi="宋体" w:cs="宋体" w:eastAsia="宋体" w:hint="default"/>
          <w:sz w:val="24"/>
          <w:szCs w:val="24"/>
        </w:rPr>
      </w:pPr>
    </w:p>
    <w:p>
      <w:pPr>
        <w:pStyle w:val="Heading3"/>
        <w:spacing w:line="335" w:lineRule="exact"/>
        <w:ind w:right="0"/>
        <w:jc w:val="left"/>
        <w:rPr>
          <w:b w:val="0"/>
          <w:bCs w:val="0"/>
        </w:rPr>
      </w:pPr>
      <w:r>
        <w:rPr>
          <w:rFonts w:ascii="Times New Roman" w:hAnsi="Times New Roman" w:cs="Times New Roman" w:eastAsia="Times New Roman" w:hint="default"/>
        </w:rPr>
        <w:t>4</w:t>
      </w:r>
      <w:r>
        <w:rPr/>
        <w:t>、母公司利润表</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967"/>
        <w:gridCol w:w="3300"/>
        <w:gridCol w:w="3303"/>
      </w:tblGrid>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53,935,818.86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250,703,064.46</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51,255,366.74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193,572,485.47</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3,201,365.89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4,783,679.83</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913,252.79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12,573,264.58</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14,887,196.11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49,413,518.14</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-937,735.29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-2,112,226.02</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14,104,659.02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5,137,982.96</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1,482,808.66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0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13,894,376.42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22,919,831.76</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51"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0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11,283,582.48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10,851,931.76</w:t>
            </w: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0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-353,327.08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12,741,354.99</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-14,464,428.40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22,995,546.25</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3,227,676.46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2,251,132.41</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1,000,000.00</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0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-13,236,751.94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24,246,678.66</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1,040,730.99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1,362,400.48</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-14,277,482.93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22,884,278.18</w:t>
            </w: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51" w:firstLine="360"/>
              <w:jc w:val="left"/>
              <w:rPr>
                <w:rFonts w:ascii="宋体" w:hAnsi="宋体" w:cs="宋体" w:eastAsia="宋体" w:hint="default"/>
                <w:sz w:val="18"/>
                <w:szCs w:val="18"/>
              </w:rPr>
            </w:pPr>
            <w:r>
              <w:rPr>
                <w:rFonts w:ascii="宋体" w:hAnsi="宋体" w:cs="宋体" w:eastAsia="宋体" w:hint="default"/>
                <w:sz w:val="18"/>
                <w:szCs w:val="18"/>
              </w:rPr>
              <w:t>（一）持续经营净利润（净亏损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-14,277,482.93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22,884,278.18</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51" w:firstLine="360"/>
              <w:jc w:val="left"/>
              <w:rPr>
                <w:rFonts w:ascii="宋体" w:hAnsi="宋体" w:cs="宋体" w:eastAsia="宋体" w:hint="default"/>
                <w:sz w:val="18"/>
                <w:szCs w:val="18"/>
              </w:rPr>
            </w:pPr>
            <w:r>
              <w:rPr>
                <w:rFonts w:ascii="宋体" w:hAnsi="宋体" w:cs="宋体" w:eastAsia="宋体" w:hint="default"/>
                <w:sz w:val="18"/>
                <w:szCs w:val="18"/>
              </w:rPr>
              <w:t>（二）终止经营净利润（净亏损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4,648,990.71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51" w:firstLine="360"/>
              <w:jc w:val="left"/>
              <w:rPr>
                <w:rFonts w:ascii="宋体" w:hAnsi="宋体" w:cs="宋体" w:eastAsia="宋体" w:hint="default"/>
                <w:sz w:val="18"/>
                <w:szCs w:val="18"/>
              </w:rPr>
            </w:pPr>
            <w:r>
              <w:rPr>
                <w:rFonts w:ascii="宋体" w:hAnsi="宋体" w:cs="宋体" w:eastAsia="宋体" w:hint="default"/>
                <w:sz w:val="18"/>
                <w:szCs w:val="18"/>
              </w:rPr>
              <w:t>（一）以后不能重分类进损益的 其他综合收益</w:t>
            </w:r>
          </w:p>
        </w:tc>
        <w:tc>
          <w:tcPr>
            <w:tcW w:w="330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49"/>
              <w:ind w:left="24" w:right="9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 净负债或净资产的变动</w:t>
            </w:r>
          </w:p>
        </w:tc>
        <w:tc>
          <w:tcPr>
            <w:tcW w:w="330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9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67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12" w:right="42"/>
              <w:jc w:val="left"/>
              <w:rPr>
                <w:rFonts w:ascii="宋体" w:hAnsi="宋体" w:cs="宋体" w:eastAsia="宋体" w:hint="default"/>
                <w:sz w:val="18"/>
                <w:szCs w:val="18"/>
              </w:rPr>
            </w:pPr>
            <w:r>
              <w:rPr>
                <w:rFonts w:ascii="宋体" w:hAnsi="宋体" w:cs="宋体" w:eastAsia="宋体" w:hint="default"/>
                <w:sz w:val="18"/>
                <w:szCs w:val="18"/>
              </w:rPr>
              <w:t>不能重分类进损益的其他综合收益中 享有的份额</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（二）以后将重分类进损益的其 他综合收益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4,648,990.71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1027"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12" w:right="42" w:firstLine="900"/>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 以后将重分类进损益的其他综合收益 中享有的份额</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 价值变动损益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 为可供出售金融资产损益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效部分</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3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4,648,990.71</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-9,628,492.22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22,884,278.18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0.04</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rFonts w:ascii="Times New Roman" w:hAnsi="Times New Roman" w:cs="Times New Roman" w:eastAsia="Times New Roman" w:hint="default"/>
        </w:rPr>
        <w:t>5</w:t>
      </w:r>
      <w:r>
        <w:rPr/>
        <w:t>、合并现金流量表</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967"/>
        <w:gridCol w:w="3300"/>
        <w:gridCol w:w="3303"/>
      </w:tblGrid>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81,908,481.59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323,414,460.45</w:t>
            </w:r>
          </w:p>
        </w:tc>
      </w:tr>
      <w:tr>
        <w:trPr>
          <w:trHeight w:val="71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51" w:firstLine="360"/>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 入当期损益的金融资产净增加额</w:t>
            </w:r>
          </w:p>
        </w:tc>
        <w:tc>
          <w:tcPr>
            <w:tcW w:w="3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967"/>
        <w:gridCol w:w="3300"/>
        <w:gridCol w:w="3303"/>
      </w:tblGrid>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286,989.22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1,867,974.47</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5,423,148.31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4,771,732.81</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87,618,619.12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330,054,167.73</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1,589,821.22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191,884,230.64</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w:t>
            </w:r>
          </w:p>
          <w:p>
            <w:pPr>
              <w:pStyle w:val="TableParagraph"/>
              <w:spacing w:line="240" w:lineRule="auto" w:before="74"/>
              <w:ind w:left="24"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4"/>
              <w:ind w:left="24"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12,118,038.34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31,776,263.97</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11,374,168.99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12,144,679.09</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15,593,231.83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41,016,681.32</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40,675,260.38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276,821,855.02</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46,943,358.74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53,232,312.71</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5,996,540,990.00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5,759,763.53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51"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90,753,653.02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20,742,500.00</w:t>
            </w: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51"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12,183,031.45</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6,093,054,406.55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32,925,531.45</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51"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13,854,886.20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38,327,576.50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6,146,044,470.00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51"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6,159,899,356.20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38,327,576.50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-66,844,949.65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-5,402,045.05</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967"/>
        <w:gridCol w:w="3300"/>
        <w:gridCol w:w="3303"/>
      </w:tblGrid>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51"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其中：子公司吸收少数股东投资 收到的现金</w:t>
            </w:r>
          </w:p>
        </w:tc>
        <w:tc>
          <w:tcPr>
            <w:tcW w:w="3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4"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30,000,000.00</w:t>
            </w: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51"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878,743.56</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51"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其中：子公司支付给少数股东的 股利、利润</w:t>
            </w:r>
          </w:p>
        </w:tc>
        <w:tc>
          <w:tcPr>
            <w:tcW w:w="3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30,878,743.56</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-30,878,743.56</w:t>
            </w:r>
          </w:p>
        </w:tc>
      </w:tr>
      <w:tr>
        <w:trPr>
          <w:trHeight w:val="71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51"/>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-16,696.71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95,603.31</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-19,918,287.62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17,047,127.41</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151,371,753.65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134,324,626.24</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131,453,466.03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151,371,753.65</w:t>
            </w:r>
          </w:p>
        </w:tc>
      </w:tr>
    </w:tbl>
    <w:p>
      <w:pPr>
        <w:spacing w:line="240" w:lineRule="auto" w:before="10"/>
        <w:rPr>
          <w:rFonts w:ascii="Times New Roman" w:hAnsi="Times New Roman" w:cs="Times New Roman" w:eastAsia="Times New Roman" w:hint="default"/>
          <w:sz w:val="21"/>
          <w:szCs w:val="21"/>
        </w:rPr>
      </w:pPr>
    </w:p>
    <w:p>
      <w:pPr>
        <w:pStyle w:val="Heading3"/>
        <w:spacing w:line="335" w:lineRule="exact"/>
        <w:ind w:right="0"/>
        <w:jc w:val="left"/>
        <w:rPr>
          <w:b w:val="0"/>
          <w:bCs w:val="0"/>
        </w:rPr>
      </w:pPr>
      <w:r>
        <w:rPr>
          <w:rFonts w:ascii="Times New Roman" w:hAnsi="Times New Roman" w:cs="Times New Roman" w:eastAsia="Times New Roman" w:hint="default"/>
        </w:rPr>
        <w:t>6</w:t>
      </w:r>
      <w:r>
        <w:rPr/>
        <w:t>、母公司现金流量表</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967"/>
        <w:gridCol w:w="3300"/>
        <w:gridCol w:w="3303"/>
      </w:tblGrid>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81,908,481.59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323,414,460.45</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286,989.22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1,867,974.47</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11,041,504.58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3,996,257.61</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93,236,975.39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329,278,692.53</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1,589,821.22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191,884,230.64</w:t>
            </w:r>
          </w:p>
        </w:tc>
      </w:tr>
      <w:tr>
        <w:trPr>
          <w:trHeight w:val="71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4"/>
              <w:ind w:left="24"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9,876,464.65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31,578,934.71</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10,672,914.61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11,429,323.59</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108,939,197.79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38,305,332.75</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967"/>
        <w:gridCol w:w="3300"/>
        <w:gridCol w:w="3303"/>
      </w:tblGrid>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131,078,398.27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273,197,821.69</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-37,841,422.88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56,080,870.84</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5,528,440,990.00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2,610,793.94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51"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90,753,653.02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20,742,500.00</w:t>
            </w: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4" w:right="51"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22,067,900.00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5,621,805,436.96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42,810,400.00</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51"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13,762,606.20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36,780,504.50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5,581,144,470.00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20,000,000.00</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51"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5,594,907,076.20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56,780,504.50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26,898,360.76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-13,970,104.50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30,000,000.00</w:t>
            </w: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51"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878,743.56</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30,878,743.56</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-30,878,743.56</w:t>
            </w: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51"/>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-10,943,062.12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11,232,022.78</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140,743,731.37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129,511,708.59</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129,800,669.25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140,743,731.37</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pStyle w:val="Heading3"/>
        <w:spacing w:line="352" w:lineRule="exact"/>
        <w:ind w:left="140" w:right="0"/>
        <w:jc w:val="left"/>
        <w:rPr>
          <w:b w:val="0"/>
          <w:bCs w:val="0"/>
        </w:rPr>
      </w:pPr>
      <w:r>
        <w:rPr/>
        <w:pict>
          <v:group style="position:absolute;margin-left:70.559998pt;margin-top:2.202064pt;width:700.95pt;height:.1pt;mso-position-horizontal-relative:page;mso-position-vertical-relative:paragraph;z-index:-700960" coordorigin="1411,44" coordsize="14019,2">
            <v:shape style="position:absolute;left:1411;top:44;width:14019;height:2" coordorigin="1411,44" coordsize="14019,0" path="m1411,44l15430,44e" filled="false" stroked="true" strokeweight=".72pt" strokecolor="#000000">
              <v:path arrowok="t"/>
            </v:shape>
            <w10:wrap type="none"/>
          </v:group>
        </w:pict>
      </w:r>
      <w:r>
        <w:rPr>
          <w:rFonts w:ascii="Times New Roman" w:hAnsi="Times New Roman" w:cs="Times New Roman" w:eastAsia="Times New Roman" w:hint="default"/>
        </w:rPr>
        <w:t>7</w:t>
      </w:r>
      <w:r>
        <w:rPr/>
        <w:t>、合并所有者权益变动表</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140" w:right="0"/>
        <w:jc w:val="left"/>
      </w:pPr>
      <w:r>
        <w:rPr/>
        <w:t>本期金额</w:t>
      </w:r>
    </w:p>
    <w:p>
      <w:pPr>
        <w:pStyle w:val="BodyText"/>
        <w:spacing w:line="240" w:lineRule="auto" w:before="117"/>
        <w:ind w:left="0" w:right="155"/>
        <w:jc w:val="right"/>
      </w:pPr>
      <w:r>
        <w:rPr/>
        <w:t>单位：元</w:t>
      </w:r>
    </w:p>
    <w:p>
      <w:pPr>
        <w:spacing w:line="240" w:lineRule="auto" w:before="3"/>
        <w:rPr>
          <w:rFonts w:ascii="宋体" w:hAnsi="宋体" w:cs="宋体" w:eastAsia="宋体" w:hint="default"/>
          <w:sz w:val="8"/>
          <w:szCs w:val="8"/>
        </w:rPr>
      </w:pPr>
    </w:p>
    <w:tbl>
      <w:tblPr>
        <w:tblW w:w="0" w:type="auto"/>
        <w:jc w:val="left"/>
        <w:tblInd w:w="106" w:type="dxa"/>
        <w:tblLayout w:type="fixed"/>
        <w:tblCellMar>
          <w:top w:w="0" w:type="dxa"/>
          <w:left w:w="0" w:type="dxa"/>
          <w:bottom w:w="0" w:type="dxa"/>
          <w:right w:w="0" w:type="dxa"/>
        </w:tblCellMar>
        <w:tblLook w:val="01E0"/>
      </w:tblPr>
      <w:tblGrid>
        <w:gridCol w:w="1568"/>
        <w:gridCol w:w="1363"/>
        <w:gridCol w:w="778"/>
        <w:gridCol w:w="778"/>
        <w:gridCol w:w="778"/>
        <w:gridCol w:w="1325"/>
        <w:gridCol w:w="622"/>
        <w:gridCol w:w="1097"/>
        <w:gridCol w:w="461"/>
        <w:gridCol w:w="1361"/>
        <w:gridCol w:w="749"/>
        <w:gridCol w:w="1200"/>
        <w:gridCol w:w="701"/>
        <w:gridCol w:w="1238"/>
      </w:tblGrid>
      <w:tr>
        <w:trPr>
          <w:trHeight w:val="402" w:hRule="exact"/>
        </w:trPr>
        <w:tc>
          <w:tcPr>
            <w:tcW w:w="15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451"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402" w:hRule="exact"/>
        </w:trPr>
        <w:tc>
          <w:tcPr>
            <w:tcW w:w="1568" w:type="dxa"/>
            <w:vMerge/>
            <w:tcBorders>
              <w:left w:val="single" w:sz="4" w:space="0" w:color="000000"/>
              <w:right w:val="single" w:sz="4" w:space="0" w:color="000000"/>
            </w:tcBorders>
            <w:shd w:val="clear" w:color="auto" w:fill="D2D2D2"/>
          </w:tcPr>
          <w:p>
            <w:pPr/>
          </w:p>
        </w:tc>
        <w:tc>
          <w:tcPr>
            <w:tcW w:w="10511"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70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22"/>
                <w:szCs w:val="22"/>
              </w:rPr>
            </w:pPr>
          </w:p>
          <w:p>
            <w:pPr>
              <w:pStyle w:val="TableParagraph"/>
              <w:spacing w:line="316" w:lineRule="auto"/>
              <w:ind w:left="74" w:right="75"/>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123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22"/>
                <w:szCs w:val="22"/>
              </w:rPr>
            </w:pPr>
          </w:p>
          <w:p>
            <w:pPr>
              <w:pStyle w:val="TableParagraph"/>
              <w:spacing w:line="316" w:lineRule="auto"/>
              <w:ind w:left="523" w:right="72" w:hanging="449"/>
              <w:jc w:val="left"/>
              <w:rPr>
                <w:rFonts w:ascii="宋体" w:hAnsi="宋体" w:cs="宋体" w:eastAsia="宋体" w:hint="default"/>
                <w:sz w:val="18"/>
                <w:szCs w:val="18"/>
              </w:rPr>
            </w:pPr>
            <w:r>
              <w:rPr>
                <w:rFonts w:ascii="宋体" w:hAnsi="宋体" w:cs="宋体" w:eastAsia="宋体" w:hint="default"/>
                <w:sz w:val="18"/>
                <w:szCs w:val="18"/>
              </w:rPr>
              <w:t>所有者权益合 计</w:t>
            </w:r>
          </w:p>
        </w:tc>
      </w:tr>
      <w:tr>
        <w:trPr>
          <w:trHeight w:val="403" w:hRule="exact"/>
        </w:trPr>
        <w:tc>
          <w:tcPr>
            <w:tcW w:w="1568" w:type="dxa"/>
            <w:vMerge/>
            <w:tcBorders>
              <w:left w:val="single" w:sz="4" w:space="0" w:color="000000"/>
              <w:right w:val="single" w:sz="4" w:space="0" w:color="000000"/>
            </w:tcBorders>
            <w:shd w:val="clear" w:color="auto" w:fill="D2D2D2"/>
          </w:tcPr>
          <w:p>
            <w:pPr/>
          </w:p>
        </w:tc>
        <w:tc>
          <w:tcPr>
            <w:tcW w:w="13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233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19"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32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95"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62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93"/>
              <w:ind w:left="124" w:right="35" w:hanging="89"/>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1097"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93"/>
              <w:ind w:left="451" w:right="95" w:hanging="360"/>
              <w:jc w:val="left"/>
              <w:rPr>
                <w:rFonts w:ascii="宋体" w:hAnsi="宋体" w:cs="宋体" w:eastAsia="宋体" w:hint="default"/>
                <w:sz w:val="18"/>
                <w:szCs w:val="18"/>
              </w:rPr>
            </w:pPr>
            <w:r>
              <w:rPr>
                <w:rFonts w:ascii="宋体" w:hAnsi="宋体" w:cs="宋体" w:eastAsia="宋体" w:hint="default"/>
                <w:sz w:val="18"/>
                <w:szCs w:val="18"/>
              </w:rPr>
              <w:t>其他综合收 益</w:t>
            </w:r>
          </w:p>
        </w:tc>
        <w:tc>
          <w:tcPr>
            <w:tcW w:w="461"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93"/>
              <w:ind w:left="43" w:right="47"/>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13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16"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749"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93"/>
              <w:ind w:left="100" w:right="96"/>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12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43"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701" w:type="dxa"/>
            <w:vMerge/>
            <w:tcBorders>
              <w:left w:val="single" w:sz="4" w:space="0" w:color="000000"/>
              <w:right w:val="single" w:sz="4" w:space="0" w:color="000000"/>
            </w:tcBorders>
            <w:shd w:val="clear" w:color="auto" w:fill="D2D2D2"/>
          </w:tcPr>
          <w:p>
            <w:pPr/>
          </w:p>
        </w:tc>
        <w:tc>
          <w:tcPr>
            <w:tcW w:w="1238" w:type="dxa"/>
            <w:vMerge/>
            <w:tcBorders>
              <w:left w:val="single" w:sz="4" w:space="0" w:color="000000"/>
              <w:right w:val="single" w:sz="4" w:space="0" w:color="000000"/>
            </w:tcBorders>
            <w:shd w:val="clear" w:color="auto" w:fill="D2D2D2"/>
          </w:tcPr>
          <w:p>
            <w:pPr/>
          </w:p>
        </w:tc>
      </w:tr>
      <w:tr>
        <w:trPr>
          <w:trHeight w:val="401" w:hRule="exact"/>
        </w:trPr>
        <w:tc>
          <w:tcPr>
            <w:tcW w:w="1568" w:type="dxa"/>
            <w:vMerge/>
            <w:tcBorders>
              <w:left w:val="single" w:sz="4" w:space="0" w:color="000000"/>
              <w:bottom w:val="single" w:sz="4" w:space="0" w:color="000000"/>
              <w:right w:val="single" w:sz="4" w:space="0" w:color="000000"/>
            </w:tcBorders>
            <w:shd w:val="clear" w:color="auto" w:fill="D2D2D2"/>
          </w:tcPr>
          <w:p>
            <w:pPr/>
          </w:p>
        </w:tc>
        <w:tc>
          <w:tcPr>
            <w:tcW w:w="1363" w:type="dxa"/>
            <w:vMerge/>
            <w:tcBorders>
              <w:left w:val="single" w:sz="4" w:space="0" w:color="000000"/>
              <w:bottom w:val="single" w:sz="4" w:space="0" w:color="000000"/>
              <w:right w:val="single" w:sz="4" w:space="0" w:color="000000"/>
            </w:tcBorders>
            <w:shd w:val="clear" w:color="auto" w:fill="D2D2D2"/>
          </w:tcPr>
          <w:p>
            <w:pP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2"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2"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25" w:type="dxa"/>
            <w:vMerge/>
            <w:tcBorders>
              <w:left w:val="single" w:sz="4" w:space="0" w:color="000000"/>
              <w:bottom w:val="single" w:sz="4" w:space="0" w:color="000000"/>
              <w:right w:val="single" w:sz="4" w:space="0" w:color="000000"/>
            </w:tcBorders>
            <w:shd w:val="clear" w:color="auto" w:fill="D2D2D2"/>
          </w:tcPr>
          <w:p>
            <w:pPr/>
          </w:p>
        </w:tc>
        <w:tc>
          <w:tcPr>
            <w:tcW w:w="622" w:type="dxa"/>
            <w:vMerge/>
            <w:tcBorders>
              <w:left w:val="single" w:sz="4" w:space="0" w:color="000000"/>
              <w:bottom w:val="single" w:sz="4" w:space="0" w:color="000000"/>
              <w:right w:val="single" w:sz="4" w:space="0" w:color="000000"/>
            </w:tcBorders>
            <w:shd w:val="clear" w:color="auto" w:fill="D2D2D2"/>
          </w:tcPr>
          <w:p>
            <w:pPr/>
          </w:p>
        </w:tc>
        <w:tc>
          <w:tcPr>
            <w:tcW w:w="1097" w:type="dxa"/>
            <w:vMerge/>
            <w:tcBorders>
              <w:left w:val="single" w:sz="4" w:space="0" w:color="000000"/>
              <w:bottom w:val="single" w:sz="4" w:space="0" w:color="000000"/>
              <w:right w:val="single" w:sz="4" w:space="0" w:color="000000"/>
            </w:tcBorders>
            <w:shd w:val="clear" w:color="auto" w:fill="D2D2D2"/>
          </w:tcPr>
          <w:p>
            <w:pPr/>
          </w:p>
        </w:tc>
        <w:tc>
          <w:tcPr>
            <w:tcW w:w="461" w:type="dxa"/>
            <w:vMerge/>
            <w:tcBorders>
              <w:left w:val="single" w:sz="4" w:space="0" w:color="000000"/>
              <w:bottom w:val="single" w:sz="4" w:space="0" w:color="000000"/>
              <w:right w:val="single" w:sz="4" w:space="0" w:color="000000"/>
            </w:tcBorders>
            <w:shd w:val="clear" w:color="auto" w:fill="D2D2D2"/>
          </w:tcPr>
          <w:p>
            <w:pPr/>
          </w:p>
        </w:tc>
        <w:tc>
          <w:tcPr>
            <w:tcW w:w="1361" w:type="dxa"/>
            <w:vMerge/>
            <w:tcBorders>
              <w:left w:val="single" w:sz="4" w:space="0" w:color="000000"/>
              <w:bottom w:val="single" w:sz="4" w:space="0" w:color="000000"/>
              <w:right w:val="single" w:sz="4" w:space="0" w:color="000000"/>
            </w:tcBorders>
            <w:shd w:val="clear" w:color="auto" w:fill="D2D2D2"/>
          </w:tcPr>
          <w:p>
            <w:pPr/>
          </w:p>
        </w:tc>
        <w:tc>
          <w:tcPr>
            <w:tcW w:w="749" w:type="dxa"/>
            <w:vMerge/>
            <w:tcBorders>
              <w:left w:val="single" w:sz="4" w:space="0" w:color="000000"/>
              <w:bottom w:val="single" w:sz="4" w:space="0" w:color="000000"/>
              <w:right w:val="single" w:sz="4" w:space="0" w:color="000000"/>
            </w:tcBorders>
            <w:shd w:val="clear" w:color="auto" w:fill="D2D2D2"/>
          </w:tcPr>
          <w:p>
            <w:pPr/>
          </w:p>
        </w:tc>
        <w:tc>
          <w:tcPr>
            <w:tcW w:w="1200" w:type="dxa"/>
            <w:vMerge/>
            <w:tcBorders>
              <w:left w:val="single" w:sz="4" w:space="0" w:color="000000"/>
              <w:bottom w:val="single" w:sz="4" w:space="0" w:color="000000"/>
              <w:right w:val="single" w:sz="4" w:space="0" w:color="000000"/>
            </w:tcBorders>
            <w:shd w:val="clear" w:color="auto" w:fill="D2D2D2"/>
          </w:tcPr>
          <w:p>
            <w:pPr/>
          </w:p>
        </w:tc>
        <w:tc>
          <w:tcPr>
            <w:tcW w:w="701" w:type="dxa"/>
            <w:vMerge/>
            <w:tcBorders>
              <w:left w:val="single" w:sz="4" w:space="0" w:color="000000"/>
              <w:bottom w:val="single" w:sz="4" w:space="0" w:color="000000"/>
              <w:right w:val="single" w:sz="4" w:space="0" w:color="000000"/>
            </w:tcBorders>
            <w:shd w:val="clear" w:color="auto" w:fill="D2D2D2"/>
          </w:tcPr>
          <w:p>
            <w:pPr/>
          </w:p>
        </w:tc>
        <w:tc>
          <w:tcPr>
            <w:tcW w:w="1238"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588,720,000.00</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153,717,414.13</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103,735.94</w:t>
            </w:r>
          </w:p>
        </w:tc>
        <w:tc>
          <w:tcPr>
            <w:tcW w:w="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29,195,887.54</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135,870,049.99</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907,607,087.60</w:t>
            </w:r>
          </w:p>
        </w:tc>
      </w:tr>
      <w:tr>
        <w:trPr>
          <w:trHeight w:val="401" w:hRule="exact"/>
        </w:trPr>
        <w:tc>
          <w:tcPr>
            <w:tcW w:w="1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1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3" w:hRule="exact"/>
        </w:trPr>
        <w:tc>
          <w:tcPr>
            <w:tcW w:w="1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93"/>
              <w:jc w:val="left"/>
              <w:rPr>
                <w:rFonts w:ascii="宋体" w:hAnsi="宋体" w:cs="宋体" w:eastAsia="宋体" w:hint="default"/>
                <w:sz w:val="18"/>
                <w:szCs w:val="18"/>
              </w:rPr>
            </w:pPr>
            <w:r>
              <w:rPr>
                <w:rFonts w:ascii="宋体" w:hAnsi="宋体" w:cs="宋体" w:eastAsia="宋体" w:hint="default"/>
                <w:sz w:val="18"/>
                <w:szCs w:val="18"/>
              </w:rPr>
              <w:t>同一控制下企业合 并</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4" w:hRule="exact"/>
        </w:trPr>
        <w:tc>
          <w:tcPr>
            <w:tcW w:w="1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1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588,720,000.00</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153,717,414.13</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103,735.94</w:t>
            </w:r>
          </w:p>
        </w:tc>
        <w:tc>
          <w:tcPr>
            <w:tcW w:w="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29,195,887.54</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135,870,049.99</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907,607,087.60</w:t>
            </w:r>
          </w:p>
        </w:tc>
      </w:tr>
      <w:tr>
        <w:trPr>
          <w:trHeight w:val="1027" w:hRule="exact"/>
        </w:trPr>
        <w:tc>
          <w:tcPr>
            <w:tcW w:w="1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23" w:right="93"/>
              <w:jc w:val="both"/>
              <w:rPr>
                <w:rFonts w:ascii="宋体" w:hAnsi="宋体" w:cs="宋体" w:eastAsia="宋体" w:hint="default"/>
                <w:sz w:val="18"/>
                <w:szCs w:val="18"/>
              </w:rPr>
            </w:pPr>
            <w:r>
              <w:rPr>
                <w:rFonts w:ascii="宋体" w:hAnsi="宋体" w:cs="宋体" w:eastAsia="宋体" w:hint="default"/>
                <w:sz w:val="18"/>
                <w:szCs w:val="18"/>
              </w:rPr>
              <w:t>三、本期增减变动 金额（减少以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5,215,433.86</w:t>
            </w:r>
          </w:p>
        </w:tc>
        <w:tc>
          <w:tcPr>
            <w:tcW w:w="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-21,412,779.47</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-16,197,345.61</w:t>
            </w:r>
          </w:p>
        </w:tc>
      </w:tr>
      <w:tr>
        <w:trPr>
          <w:trHeight w:val="713" w:hRule="exact"/>
        </w:trPr>
        <w:tc>
          <w:tcPr>
            <w:tcW w:w="1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93"/>
              <w:jc w:val="left"/>
              <w:rPr>
                <w:rFonts w:ascii="宋体" w:hAnsi="宋体" w:cs="宋体" w:eastAsia="宋体" w:hint="default"/>
                <w:sz w:val="18"/>
                <w:szCs w:val="18"/>
              </w:rPr>
            </w:pPr>
            <w:r>
              <w:rPr>
                <w:rFonts w:ascii="宋体" w:hAnsi="宋体" w:cs="宋体" w:eastAsia="宋体" w:hint="default"/>
                <w:sz w:val="18"/>
                <w:szCs w:val="18"/>
              </w:rPr>
              <w:t>（一）综合收益总 额</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5,215,433.86</w:t>
            </w:r>
          </w:p>
        </w:tc>
        <w:tc>
          <w:tcPr>
            <w:tcW w:w="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-21,412,779.47</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-16,197,345.61</w:t>
            </w:r>
          </w:p>
        </w:tc>
      </w:tr>
      <w:tr>
        <w:trPr>
          <w:trHeight w:val="715" w:hRule="exact"/>
        </w:trPr>
        <w:tc>
          <w:tcPr>
            <w:tcW w:w="1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3" w:right="93"/>
              <w:jc w:val="left"/>
              <w:rPr>
                <w:rFonts w:ascii="宋体" w:hAnsi="宋体" w:cs="宋体" w:eastAsia="宋体" w:hint="default"/>
                <w:sz w:val="18"/>
                <w:szCs w:val="18"/>
              </w:rPr>
            </w:pPr>
            <w:r>
              <w:rPr>
                <w:rFonts w:ascii="宋体" w:hAnsi="宋体" w:cs="宋体" w:eastAsia="宋体" w:hint="default"/>
                <w:sz w:val="18"/>
                <w:szCs w:val="18"/>
              </w:rPr>
              <w:t>（二）所有者投入 和减少资本</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3" w:hRule="exact"/>
        </w:trPr>
        <w:tc>
          <w:tcPr>
            <w:tcW w:w="1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3" w:right="2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．股东投入的普通</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股</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5" w:hRule="exact"/>
        </w:trPr>
        <w:tc>
          <w:tcPr>
            <w:tcW w:w="1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3" w:right="2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．其他权益工具持</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有者投入资本</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bl>
    <w:p>
      <w:pPr>
        <w:spacing w:after="0" w:line="240" w:lineRule="auto"/>
        <w:jc w:val="right"/>
        <w:rPr>
          <w:rFonts w:ascii="Times New Roman" w:hAnsi="Times New Roman" w:cs="Times New Roman" w:eastAsia="Times New Roman" w:hint="default"/>
          <w:sz w:val="18"/>
          <w:szCs w:val="18"/>
        </w:rPr>
        <w:sectPr>
          <w:headerReference w:type="default" r:id="rId15"/>
          <w:footerReference w:type="default" r:id="rId16"/>
          <w:pgSz w:w="16840" w:h="11910" w:orient="landscape"/>
          <w:pgMar w:header="867" w:footer="979" w:top="1060" w:bottom="1160" w:left="1300" w:right="1280"/>
          <w:pgNumType w:start="73"/>
        </w:sectPr>
      </w:pPr>
    </w:p>
    <w:p>
      <w:pPr>
        <w:spacing w:line="240" w:lineRule="auto" w:before="11"/>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1568"/>
        <w:gridCol w:w="1363"/>
        <w:gridCol w:w="778"/>
        <w:gridCol w:w="778"/>
        <w:gridCol w:w="778"/>
        <w:gridCol w:w="1325"/>
        <w:gridCol w:w="622"/>
        <w:gridCol w:w="1097"/>
        <w:gridCol w:w="461"/>
        <w:gridCol w:w="1361"/>
        <w:gridCol w:w="749"/>
        <w:gridCol w:w="1200"/>
        <w:gridCol w:w="701"/>
        <w:gridCol w:w="1238"/>
      </w:tblGrid>
      <w:tr>
        <w:trPr>
          <w:trHeight w:val="730" w:hRule="exact"/>
        </w:trPr>
        <w:tc>
          <w:tcPr>
            <w:tcW w:w="1568"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3" w:right="2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．股份支付计入所</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有者权益的金额</w:t>
            </w:r>
          </w:p>
        </w:tc>
        <w:tc>
          <w:tcPr>
            <w:tcW w:w="1363"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78"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78"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78"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25"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22"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097"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461"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1"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49"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200"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01"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238"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1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1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1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6" w:hRule="exact"/>
        </w:trPr>
        <w:tc>
          <w:tcPr>
            <w:tcW w:w="1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3" w:right="2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．提取一般风险准</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备</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3" w:hRule="exact"/>
        </w:trPr>
        <w:tc>
          <w:tcPr>
            <w:tcW w:w="1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3" w:right="19"/>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．对所有者（或股</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东）的分配</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1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3" w:hRule="exact"/>
        </w:trPr>
        <w:tc>
          <w:tcPr>
            <w:tcW w:w="1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93"/>
              <w:jc w:val="left"/>
              <w:rPr>
                <w:rFonts w:ascii="宋体" w:hAnsi="宋体" w:cs="宋体" w:eastAsia="宋体" w:hint="default"/>
                <w:sz w:val="18"/>
                <w:szCs w:val="18"/>
              </w:rPr>
            </w:pPr>
            <w:r>
              <w:rPr>
                <w:rFonts w:ascii="宋体" w:hAnsi="宋体" w:cs="宋体" w:eastAsia="宋体" w:hint="default"/>
                <w:sz w:val="18"/>
                <w:szCs w:val="18"/>
              </w:rPr>
              <w:t>（四）所有者权益 内部结转</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6" w:hRule="exact"/>
        </w:trPr>
        <w:tc>
          <w:tcPr>
            <w:tcW w:w="1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3" w:right="2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．资本公积转增资</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本（或股本）</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3" w:hRule="exact"/>
        </w:trPr>
        <w:tc>
          <w:tcPr>
            <w:tcW w:w="1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3" w:right="2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．盈余公积转增资</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本（或股本）</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5" w:hRule="exact"/>
        </w:trPr>
        <w:tc>
          <w:tcPr>
            <w:tcW w:w="1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3" w:right="2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．盈余公积弥补亏</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损</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1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4" w:hRule="exact"/>
        </w:trPr>
        <w:tc>
          <w:tcPr>
            <w:tcW w:w="1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1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1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1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1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588,720,000.00</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153,717,414.13</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5,319,169.80</w:t>
            </w:r>
          </w:p>
        </w:tc>
        <w:tc>
          <w:tcPr>
            <w:tcW w:w="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29,195,887.54</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114,457,270.52</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891,409,741.99</w:t>
            </w:r>
          </w:p>
        </w:tc>
      </w:tr>
    </w:tbl>
    <w:p>
      <w:pPr>
        <w:pStyle w:val="BodyText"/>
        <w:spacing w:line="240" w:lineRule="auto" w:before="49"/>
        <w:ind w:left="140" w:right="0"/>
        <w:jc w:val="left"/>
      </w:pPr>
      <w:r>
        <w:rPr/>
        <w:t>上期金额</w:t>
      </w:r>
    </w:p>
    <w:p>
      <w:pPr>
        <w:spacing w:after="0" w:line="240" w:lineRule="auto"/>
        <w:jc w:val="left"/>
        <w:sectPr>
          <w:pgSz w:w="16840" w:h="11910" w:orient="landscape"/>
          <w:pgMar w:header="867" w:footer="979" w:top="1060" w:bottom="1160" w:left="1300" w:right="1280"/>
        </w:sectPr>
      </w:pPr>
    </w:p>
    <w:p>
      <w:pPr>
        <w:spacing w:line="240" w:lineRule="auto" w:before="11"/>
        <w:rPr>
          <w:rFonts w:ascii="宋体" w:hAnsi="宋体" w:cs="宋体" w:eastAsia="宋体" w:hint="default"/>
          <w:sz w:val="2"/>
          <w:szCs w:val="2"/>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701.65pt;height:.75pt;mso-position-horizontal-relative:char;mso-position-vertical-relative:line" coordorigin="0,0" coordsize="14033,15">
            <v:group style="position:absolute;left:7;top:7;width:14019;height:2" coordorigin="7,7" coordsize="14019,2">
              <v:shape style="position:absolute;left:7;top:7;width:14019;height:2" coordorigin="7,7" coordsize="14019,0" path="m7,7l14026,7e" filled="false" stroked="true" strokeweight=".72pt" strokecolor="#000000">
                <v:path arrowok="t"/>
              </v:shape>
            </v:group>
          </v:group>
        </w:pict>
      </w:r>
      <w:r>
        <w:rPr>
          <w:rFonts w:ascii="宋体" w:hAnsi="宋体" w:cs="宋体" w:eastAsia="宋体" w:hint="default"/>
          <w:sz w:val="2"/>
          <w:szCs w:val="2"/>
        </w:rPr>
      </w:r>
    </w:p>
    <w:p>
      <w:pPr>
        <w:pStyle w:val="BodyText"/>
        <w:spacing w:line="240" w:lineRule="auto" w:before="17"/>
        <w:ind w:left="0" w:right="155"/>
        <w:jc w:val="right"/>
      </w:pPr>
      <w:r>
        <w:rPr/>
        <w:t>单位：元</w:t>
      </w:r>
    </w:p>
    <w:p>
      <w:pPr>
        <w:spacing w:line="240" w:lineRule="auto" w:before="4"/>
        <w:rPr>
          <w:rFonts w:ascii="宋体" w:hAnsi="宋体" w:cs="宋体" w:eastAsia="宋体" w:hint="default"/>
          <w:sz w:val="8"/>
          <w:szCs w:val="8"/>
        </w:rPr>
      </w:pPr>
    </w:p>
    <w:tbl>
      <w:tblPr>
        <w:tblW w:w="0" w:type="auto"/>
        <w:jc w:val="left"/>
        <w:tblInd w:w="106" w:type="dxa"/>
        <w:tblLayout w:type="fixed"/>
        <w:tblCellMar>
          <w:top w:w="0" w:type="dxa"/>
          <w:left w:w="0" w:type="dxa"/>
          <w:bottom w:w="0" w:type="dxa"/>
          <w:right w:w="0" w:type="dxa"/>
        </w:tblCellMar>
        <w:tblLook w:val="01E0"/>
      </w:tblPr>
      <w:tblGrid>
        <w:gridCol w:w="1678"/>
        <w:gridCol w:w="1250"/>
        <w:gridCol w:w="781"/>
        <w:gridCol w:w="775"/>
        <w:gridCol w:w="778"/>
        <w:gridCol w:w="1188"/>
        <w:gridCol w:w="759"/>
        <w:gridCol w:w="974"/>
        <w:gridCol w:w="576"/>
        <w:gridCol w:w="1232"/>
        <w:gridCol w:w="679"/>
        <w:gridCol w:w="1250"/>
        <w:gridCol w:w="698"/>
        <w:gridCol w:w="1400"/>
      </w:tblGrid>
      <w:tr>
        <w:trPr>
          <w:trHeight w:val="403" w:hRule="exact"/>
        </w:trPr>
        <w:tc>
          <w:tcPr>
            <w:tcW w:w="167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2340"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1" w:hRule="exact"/>
        </w:trPr>
        <w:tc>
          <w:tcPr>
            <w:tcW w:w="1678" w:type="dxa"/>
            <w:vMerge/>
            <w:tcBorders>
              <w:left w:val="single" w:sz="4" w:space="0" w:color="000000"/>
              <w:right w:val="single" w:sz="4" w:space="0" w:color="000000"/>
            </w:tcBorders>
            <w:shd w:val="clear" w:color="auto" w:fill="D2D2D2"/>
          </w:tcPr>
          <w:p>
            <w:pPr/>
          </w:p>
        </w:tc>
        <w:tc>
          <w:tcPr>
            <w:tcW w:w="10242"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22"/>
                <w:szCs w:val="22"/>
              </w:rPr>
            </w:pPr>
          </w:p>
          <w:p>
            <w:pPr>
              <w:pStyle w:val="TableParagraph"/>
              <w:spacing w:line="316" w:lineRule="auto"/>
              <w:ind w:left="72" w:right="74"/>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14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64"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403" w:hRule="exact"/>
        </w:trPr>
        <w:tc>
          <w:tcPr>
            <w:tcW w:w="1678" w:type="dxa"/>
            <w:vMerge/>
            <w:tcBorders>
              <w:left w:val="single" w:sz="4" w:space="0" w:color="000000"/>
              <w:right w:val="single" w:sz="4" w:space="0" w:color="000000"/>
            </w:tcBorders>
            <w:shd w:val="clear" w:color="auto" w:fill="D2D2D2"/>
          </w:tcPr>
          <w:p>
            <w:pPr/>
          </w:p>
        </w:tc>
        <w:tc>
          <w:tcPr>
            <w:tcW w:w="125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233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2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1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59"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283" w:right="21" w:hanging="262"/>
              <w:jc w:val="left"/>
              <w:rPr>
                <w:rFonts w:ascii="宋体" w:hAnsi="宋体" w:cs="宋体" w:eastAsia="宋体" w:hint="default"/>
                <w:sz w:val="18"/>
                <w:szCs w:val="18"/>
              </w:rPr>
            </w:pPr>
            <w:r>
              <w:rPr>
                <w:rFonts w:ascii="宋体" w:hAnsi="宋体" w:cs="宋体" w:eastAsia="宋体" w:hint="default"/>
                <w:spacing w:val="-5"/>
                <w:sz w:val="18"/>
                <w:szCs w:val="18"/>
              </w:rPr>
              <w:t>减：库存</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股</w:t>
            </w:r>
          </w:p>
        </w:tc>
        <w:tc>
          <w:tcPr>
            <w:tcW w:w="97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391" w:right="31" w:hanging="360"/>
              <w:jc w:val="left"/>
              <w:rPr>
                <w:rFonts w:ascii="宋体" w:hAnsi="宋体" w:cs="宋体" w:eastAsia="宋体" w:hint="default"/>
                <w:sz w:val="18"/>
                <w:szCs w:val="18"/>
              </w:rPr>
            </w:pPr>
            <w:r>
              <w:rPr>
                <w:rFonts w:ascii="宋体" w:hAnsi="宋体" w:cs="宋体" w:eastAsia="宋体" w:hint="default"/>
                <w:sz w:val="18"/>
                <w:szCs w:val="18"/>
              </w:rPr>
              <w:t>其他综合收 益</w:t>
            </w:r>
          </w:p>
        </w:tc>
        <w:tc>
          <w:tcPr>
            <w:tcW w:w="57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103" w:right="101"/>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123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9"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62" w:right="65"/>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125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70"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698" w:type="dxa"/>
            <w:vMerge/>
            <w:tcBorders>
              <w:left w:val="single" w:sz="4" w:space="0" w:color="000000"/>
              <w:right w:val="single" w:sz="4" w:space="0" w:color="000000"/>
            </w:tcBorders>
            <w:shd w:val="clear" w:color="auto" w:fill="D2D2D2"/>
          </w:tcPr>
          <w:p>
            <w:pPr/>
          </w:p>
        </w:tc>
        <w:tc>
          <w:tcPr>
            <w:tcW w:w="1400" w:type="dxa"/>
            <w:vMerge/>
            <w:tcBorders>
              <w:left w:val="single" w:sz="4" w:space="0" w:color="000000"/>
              <w:right w:val="single" w:sz="4" w:space="0" w:color="000000"/>
            </w:tcBorders>
            <w:shd w:val="clear" w:color="auto" w:fill="D2D2D2"/>
          </w:tcPr>
          <w:p>
            <w:pPr/>
          </w:p>
        </w:tc>
      </w:tr>
      <w:tr>
        <w:trPr>
          <w:trHeight w:val="401" w:hRule="exact"/>
        </w:trPr>
        <w:tc>
          <w:tcPr>
            <w:tcW w:w="1678" w:type="dxa"/>
            <w:vMerge/>
            <w:tcBorders>
              <w:left w:val="single" w:sz="4" w:space="0" w:color="000000"/>
              <w:bottom w:val="single" w:sz="4" w:space="0" w:color="000000"/>
              <w:right w:val="single" w:sz="4" w:space="0" w:color="000000"/>
            </w:tcBorders>
            <w:shd w:val="clear" w:color="auto" w:fill="D2D2D2"/>
          </w:tcPr>
          <w:p>
            <w:pPr/>
          </w:p>
        </w:tc>
        <w:tc>
          <w:tcPr>
            <w:tcW w:w="1250" w:type="dxa"/>
            <w:vMerge/>
            <w:tcBorders>
              <w:left w:val="single" w:sz="4" w:space="0" w:color="000000"/>
              <w:bottom w:val="single" w:sz="4" w:space="0" w:color="000000"/>
              <w:right w:val="single" w:sz="4" w:space="0" w:color="000000"/>
            </w:tcBorders>
            <w:shd w:val="clear" w:color="auto" w:fill="D2D2D2"/>
          </w:tcPr>
          <w:p>
            <w:pPr/>
          </w:p>
        </w:tc>
        <w:tc>
          <w:tcPr>
            <w:tcW w:w="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5"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0"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188" w:type="dxa"/>
            <w:vMerge/>
            <w:tcBorders>
              <w:left w:val="single" w:sz="4" w:space="0" w:color="000000"/>
              <w:bottom w:val="single" w:sz="4" w:space="0" w:color="000000"/>
              <w:right w:val="single" w:sz="4" w:space="0" w:color="000000"/>
            </w:tcBorders>
            <w:shd w:val="clear" w:color="auto" w:fill="D2D2D2"/>
          </w:tcPr>
          <w:p>
            <w:pPr/>
          </w:p>
        </w:tc>
        <w:tc>
          <w:tcPr>
            <w:tcW w:w="759" w:type="dxa"/>
            <w:vMerge/>
            <w:tcBorders>
              <w:left w:val="single" w:sz="4" w:space="0" w:color="000000"/>
              <w:bottom w:val="single" w:sz="4" w:space="0" w:color="000000"/>
              <w:right w:val="single" w:sz="4" w:space="0" w:color="000000"/>
            </w:tcBorders>
            <w:shd w:val="clear" w:color="auto" w:fill="D2D2D2"/>
          </w:tcPr>
          <w:p>
            <w:pPr/>
          </w:p>
        </w:tc>
        <w:tc>
          <w:tcPr>
            <w:tcW w:w="974" w:type="dxa"/>
            <w:vMerge/>
            <w:tcBorders>
              <w:left w:val="single" w:sz="4" w:space="0" w:color="000000"/>
              <w:bottom w:val="single" w:sz="4" w:space="0" w:color="000000"/>
              <w:right w:val="single" w:sz="4" w:space="0" w:color="000000"/>
            </w:tcBorders>
            <w:shd w:val="clear" w:color="auto" w:fill="D2D2D2"/>
          </w:tcPr>
          <w:p>
            <w:pPr/>
          </w:p>
        </w:tc>
        <w:tc>
          <w:tcPr>
            <w:tcW w:w="576" w:type="dxa"/>
            <w:vMerge/>
            <w:tcBorders>
              <w:left w:val="single" w:sz="4" w:space="0" w:color="000000"/>
              <w:bottom w:val="single" w:sz="4" w:space="0" w:color="000000"/>
              <w:right w:val="single" w:sz="4" w:space="0" w:color="000000"/>
            </w:tcBorders>
            <w:shd w:val="clear" w:color="auto" w:fill="D2D2D2"/>
          </w:tcPr>
          <w:p>
            <w:pPr/>
          </w:p>
        </w:tc>
        <w:tc>
          <w:tcPr>
            <w:tcW w:w="1232" w:type="dxa"/>
            <w:vMerge/>
            <w:tcBorders>
              <w:left w:val="single" w:sz="4" w:space="0" w:color="000000"/>
              <w:bottom w:val="single" w:sz="4" w:space="0" w:color="000000"/>
              <w:right w:val="single" w:sz="4" w:space="0" w:color="000000"/>
            </w:tcBorders>
            <w:shd w:val="clear" w:color="auto" w:fill="D2D2D2"/>
          </w:tcPr>
          <w:p>
            <w:pPr/>
          </w:p>
        </w:tc>
        <w:tc>
          <w:tcPr>
            <w:tcW w:w="679" w:type="dxa"/>
            <w:vMerge/>
            <w:tcBorders>
              <w:left w:val="single" w:sz="4" w:space="0" w:color="000000"/>
              <w:bottom w:val="single" w:sz="4" w:space="0" w:color="000000"/>
              <w:right w:val="single" w:sz="4" w:space="0" w:color="000000"/>
            </w:tcBorders>
            <w:shd w:val="clear" w:color="auto" w:fill="D2D2D2"/>
          </w:tcPr>
          <w:p>
            <w:pPr/>
          </w:p>
        </w:tc>
        <w:tc>
          <w:tcPr>
            <w:tcW w:w="1250" w:type="dxa"/>
            <w:vMerge/>
            <w:tcBorders>
              <w:left w:val="single" w:sz="4" w:space="0" w:color="000000"/>
              <w:bottom w:val="single" w:sz="4" w:space="0" w:color="000000"/>
              <w:right w:val="single" w:sz="4" w:space="0" w:color="000000"/>
            </w:tcBorders>
            <w:shd w:val="clear" w:color="auto" w:fill="D2D2D2"/>
          </w:tcPr>
          <w:p>
            <w:pPr/>
          </w:p>
        </w:tc>
        <w:tc>
          <w:tcPr>
            <w:tcW w:w="698" w:type="dxa"/>
            <w:vMerge/>
            <w:tcBorders>
              <w:left w:val="single" w:sz="4" w:space="0" w:color="000000"/>
              <w:bottom w:val="single" w:sz="4" w:space="0" w:color="000000"/>
              <w:right w:val="single" w:sz="4" w:space="0" w:color="000000"/>
            </w:tcBorders>
            <w:shd w:val="clear" w:color="auto" w:fill="D2D2D2"/>
          </w:tcPr>
          <w:p>
            <w:pPr/>
          </w:p>
        </w:tc>
        <w:tc>
          <w:tcPr>
            <w:tcW w:w="1400"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588,720,000.00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153,717,414.13</w:t>
            </w:r>
          </w:p>
        </w:tc>
        <w:tc>
          <w:tcPr>
            <w:tcW w:w="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34,077.42</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26,907,459.72</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125,394,197.17</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894,773,148.44</w:t>
            </w:r>
          </w:p>
        </w:tc>
      </w:tr>
      <w:tr>
        <w:trPr>
          <w:trHeight w:val="401" w:hRule="exact"/>
        </w:trPr>
        <w:tc>
          <w:tcPr>
            <w:tcW w:w="1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1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1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同一控制下企业合并</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1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0"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25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
        </w:tc>
        <w:tc>
          <w:tcPr>
            <w:tcW w:w="759"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232"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
        </w:tc>
        <w:tc>
          <w:tcPr>
            <w:tcW w:w="698" w:type="dxa"/>
            <w:tcBorders>
              <w:top w:val="single" w:sz="4" w:space="0" w:color="000000"/>
              <w:left w:val="single" w:sz="4" w:space="0" w:color="000000"/>
              <w:bottom w:val="single" w:sz="4" w:space="0" w:color="000000"/>
              <w:right w:val="single" w:sz="4" w:space="0" w:color="000000"/>
            </w:tcBorders>
          </w:tcPr>
          <w:p>
            <w:pPr/>
          </w:p>
        </w:tc>
        <w:tc>
          <w:tcPr>
            <w:tcW w:w="140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588,720,000.00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153,717,414.13</w:t>
            </w:r>
          </w:p>
        </w:tc>
        <w:tc>
          <w:tcPr>
            <w:tcW w:w="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34,077.42</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26,907,459.72</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125,394,197.17</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894,773,148.44</w:t>
            </w:r>
          </w:p>
        </w:tc>
      </w:tr>
      <w:tr>
        <w:trPr>
          <w:trHeight w:val="1028" w:hRule="exact"/>
        </w:trPr>
        <w:tc>
          <w:tcPr>
            <w:tcW w:w="1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3" w:right="22"/>
              <w:jc w:val="both"/>
              <w:rPr>
                <w:rFonts w:ascii="宋体" w:hAnsi="宋体" w:cs="宋体" w:eastAsia="宋体" w:hint="default"/>
                <w:sz w:val="18"/>
                <w:szCs w:val="18"/>
              </w:rPr>
            </w:pPr>
            <w:r>
              <w:rPr>
                <w:rFonts w:ascii="宋体" w:hAnsi="宋体" w:cs="宋体" w:eastAsia="宋体" w:hint="default"/>
                <w:sz w:val="18"/>
                <w:szCs w:val="18"/>
              </w:rPr>
              <w:t>三、本期增减变动金 额（减少以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69,658.52</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2,288,427.82</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10,475,852.82</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12,833,939.16</w:t>
            </w:r>
          </w:p>
        </w:tc>
      </w:tr>
      <w:tr>
        <w:trPr>
          <w:trHeight w:val="401" w:hRule="exact"/>
        </w:trPr>
        <w:tc>
          <w:tcPr>
            <w:tcW w:w="1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69,658.52</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12,764,280.64</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12,833,939.16</w:t>
            </w:r>
          </w:p>
        </w:tc>
      </w:tr>
      <w:tr>
        <w:trPr>
          <w:trHeight w:val="715" w:hRule="exact"/>
        </w:trPr>
        <w:tc>
          <w:tcPr>
            <w:tcW w:w="1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22"/>
              <w:jc w:val="left"/>
              <w:rPr>
                <w:rFonts w:ascii="宋体" w:hAnsi="宋体" w:cs="宋体" w:eastAsia="宋体" w:hint="default"/>
                <w:sz w:val="18"/>
                <w:szCs w:val="18"/>
              </w:rPr>
            </w:pPr>
            <w:r>
              <w:rPr>
                <w:rFonts w:ascii="宋体" w:hAnsi="宋体" w:cs="宋体" w:eastAsia="宋体" w:hint="default"/>
                <w:sz w:val="18"/>
                <w:szCs w:val="18"/>
              </w:rPr>
              <w:t>（二）所有者投入和 减少资本</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1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1</w:t>
            </w:r>
            <w:r>
              <w:rPr>
                <w:rFonts w:ascii="宋体" w:hAnsi="宋体" w:cs="宋体" w:eastAsia="宋体" w:hint="default"/>
                <w:spacing w:val="-89"/>
                <w:sz w:val="18"/>
                <w:szCs w:val="18"/>
              </w:rPr>
              <w:t>．</w:t>
            </w:r>
            <w:r>
              <w:rPr>
                <w:rFonts w:ascii="宋体" w:hAnsi="宋体" w:cs="宋体" w:eastAsia="宋体" w:hint="default"/>
                <w:sz w:val="18"/>
                <w:szCs w:val="18"/>
              </w:rPr>
              <w:t>股东投入的普通股</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6" w:hRule="exact"/>
        </w:trPr>
        <w:tc>
          <w:tcPr>
            <w:tcW w:w="1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3" w:right="19"/>
              <w:jc w:val="left"/>
              <w:rPr>
                <w:rFonts w:ascii="宋体" w:hAnsi="宋体" w:cs="宋体" w:eastAsia="宋体" w:hint="default"/>
                <w:sz w:val="18"/>
                <w:szCs w:val="18"/>
              </w:rPr>
            </w:pPr>
            <w:r>
              <w:rPr>
                <w:rFonts w:ascii="Times New Roman" w:hAnsi="Times New Roman" w:cs="Times New Roman" w:eastAsia="Times New Roman" w:hint="default"/>
                <w:spacing w:val="-9"/>
                <w:sz w:val="18"/>
                <w:szCs w:val="18"/>
              </w:rPr>
              <w:t>2</w:t>
            </w:r>
            <w:r>
              <w:rPr>
                <w:rFonts w:ascii="宋体" w:hAnsi="宋体" w:cs="宋体" w:eastAsia="宋体" w:hint="default"/>
                <w:spacing w:val="-9"/>
                <w:sz w:val="18"/>
                <w:szCs w:val="18"/>
              </w:rPr>
              <w:t>．其他权益工具持有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者投入资本</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3" w:hRule="exact"/>
        </w:trPr>
        <w:tc>
          <w:tcPr>
            <w:tcW w:w="1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49"/>
              <w:ind w:left="23" w:right="19"/>
              <w:jc w:val="left"/>
              <w:rPr>
                <w:rFonts w:ascii="宋体" w:hAnsi="宋体" w:cs="宋体" w:eastAsia="宋体" w:hint="default"/>
                <w:sz w:val="18"/>
                <w:szCs w:val="18"/>
              </w:rPr>
            </w:pPr>
            <w:r>
              <w:rPr>
                <w:rFonts w:ascii="Times New Roman" w:hAnsi="Times New Roman" w:cs="Times New Roman" w:eastAsia="Times New Roman" w:hint="default"/>
                <w:spacing w:val="-9"/>
                <w:sz w:val="18"/>
                <w:szCs w:val="18"/>
              </w:rPr>
              <w:t>3</w:t>
            </w:r>
            <w:r>
              <w:rPr>
                <w:rFonts w:ascii="宋体" w:hAnsi="宋体" w:cs="宋体" w:eastAsia="宋体" w:hint="default"/>
                <w:spacing w:val="-9"/>
                <w:sz w:val="18"/>
                <w:szCs w:val="18"/>
              </w:rPr>
              <w:t>．股份支付计入所有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者权益的金额</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1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1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2,288,427.82</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-2,288,427.82</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1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2,288,427.82</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-2,288,427.82</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bl>
    <w:p>
      <w:pPr>
        <w:spacing w:after="0" w:line="240" w:lineRule="auto"/>
        <w:jc w:val="right"/>
        <w:rPr>
          <w:rFonts w:ascii="Times New Roman" w:hAnsi="Times New Roman" w:cs="Times New Roman" w:eastAsia="Times New Roman" w:hint="default"/>
          <w:sz w:val="18"/>
          <w:szCs w:val="18"/>
        </w:rPr>
        <w:sectPr>
          <w:pgSz w:w="16840" w:h="11910" w:orient="landscape"/>
          <w:pgMar w:header="867" w:footer="979" w:top="1060" w:bottom="1160" w:left="1300" w:right="1280"/>
        </w:sectPr>
      </w:pPr>
    </w:p>
    <w:p>
      <w:pPr>
        <w:spacing w:line="240" w:lineRule="auto" w:before="2"/>
        <w:rPr>
          <w:rFonts w:ascii="Times New Roman" w:hAnsi="Times New Roman" w:cs="Times New Roman" w:eastAsia="Times New Roman" w:hint="default"/>
          <w:sz w:val="3"/>
          <w:szCs w:val="3"/>
        </w:rPr>
      </w:pPr>
      <w:r>
        <w:rPr/>
        <w:pict>
          <v:shape style="position:absolute;margin-left:112.686005pt;margin-top:77.300011pt;width:104.1pt;height:35.2pt;mso-position-horizontal-relative:page;mso-position-vertical-relative:page;z-index:-700912" type="#_x0000_t202" filled="false" stroked="false">
            <v:textbox inset="0,0,0,0">
              <w:txbxContent>
                <w:p>
                  <w:pPr>
                    <w:pStyle w:val="BodyText"/>
                    <w:spacing w:line="240" w:lineRule="auto" w:before="49"/>
                    <w:ind w:left="0" w:right="0"/>
                    <w:jc w:val="left"/>
                  </w:pPr>
                  <w:r>
                    <w:rPr/>
                    <w:t>（或股东）</w:t>
                  </w:r>
                </w:p>
              </w:txbxContent>
            </v:textbox>
            <w10:wrap type="none"/>
          </v:shape>
        </w:pict>
      </w:r>
      <w:r>
        <w:rPr/>
        <w:pict>
          <v:group style="position:absolute;margin-left:154.699997pt;margin-top:77.300011pt;width:62.05pt;height:35.2pt;mso-position-horizontal-relative:page;mso-position-vertical-relative:page;z-index:-700888" coordorigin="3094,1546" coordsize="1241,704">
            <v:group style="position:absolute;left:3094;top:1546;width:1241;height:704" coordorigin="3094,1546" coordsize="1241,704">
              <v:shape style="position:absolute;left:3094;top:1546;width:1241;height:704" coordorigin="3094,1546" coordsize="1241,704" path="m3094,2249l4335,2249,4335,1546,3094,1546,3094,2249xe" filled="true" fillcolor="#ffffff" stroked="false">
                <v:path arrowok="t"/>
                <v:fill type="solid"/>
              </v:shape>
            </v:group>
            <v:group style="position:absolute;left:3118;top:1702;width:1196;height:392" coordorigin="3118,1702" coordsize="1196,392">
              <v:shape style="position:absolute;left:3118;top:1702;width:1196;height:392" coordorigin="3118,1702" coordsize="1196,392" path="m3118,2093l4313,2093,4313,1702,3118,1702,3118,2093xe" filled="true" fillcolor="#ffffff" stroked="false">
                <v:path arrowok="t"/>
                <v:fill type="solid"/>
              </v:shape>
            </v:group>
            <w10:wrap type="none"/>
          </v:group>
        </w:pict>
      </w:r>
    </w:p>
    <w:tbl>
      <w:tblPr>
        <w:tblW w:w="0" w:type="auto"/>
        <w:jc w:val="left"/>
        <w:tblInd w:w="106" w:type="dxa"/>
        <w:tblLayout w:type="fixed"/>
        <w:tblCellMar>
          <w:top w:w="0" w:type="dxa"/>
          <w:left w:w="0" w:type="dxa"/>
          <w:bottom w:w="0" w:type="dxa"/>
          <w:right w:w="0" w:type="dxa"/>
        </w:tblCellMar>
        <w:tblLook w:val="01E0"/>
      </w:tblPr>
      <w:tblGrid>
        <w:gridCol w:w="1678"/>
        <w:gridCol w:w="1250"/>
        <w:gridCol w:w="781"/>
        <w:gridCol w:w="775"/>
        <w:gridCol w:w="778"/>
        <w:gridCol w:w="1188"/>
        <w:gridCol w:w="759"/>
        <w:gridCol w:w="974"/>
        <w:gridCol w:w="576"/>
        <w:gridCol w:w="1232"/>
        <w:gridCol w:w="679"/>
        <w:gridCol w:w="1250"/>
        <w:gridCol w:w="698"/>
        <w:gridCol w:w="1400"/>
      </w:tblGrid>
      <w:tr>
        <w:trPr>
          <w:trHeight w:val="418" w:hRule="exact"/>
        </w:trPr>
        <w:tc>
          <w:tcPr>
            <w:tcW w:w="1678"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89"/>
                <w:sz w:val="18"/>
                <w:szCs w:val="18"/>
              </w:rPr>
              <w:t>．</w:t>
            </w:r>
            <w:r>
              <w:rPr>
                <w:rFonts w:ascii="宋体" w:hAnsi="宋体" w:cs="宋体" w:eastAsia="宋体" w:hint="default"/>
                <w:sz w:val="18"/>
                <w:szCs w:val="18"/>
              </w:rPr>
              <w:t>提取一般风险准备</w:t>
            </w:r>
          </w:p>
        </w:tc>
        <w:tc>
          <w:tcPr>
            <w:tcW w:w="1250"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81"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75"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78"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88"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59"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974"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576"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232"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79"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250"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98"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400"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3" w:hRule="exact"/>
        </w:trPr>
        <w:tc>
          <w:tcPr>
            <w:tcW w:w="1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3" w:right="739"/>
              <w:jc w:val="left"/>
              <w:rPr>
                <w:rFonts w:ascii="宋体" w:hAnsi="宋体" w:cs="宋体" w:eastAsia="宋体" w:hint="default"/>
                <w:sz w:val="18"/>
                <w:szCs w:val="18"/>
              </w:rPr>
            </w:pPr>
            <w:r>
              <w:rPr>
                <w:rFonts w:ascii="Times New Roman" w:hAnsi="Times New Roman" w:cs="Times New Roman" w:eastAsia="Times New Roman" w:hint="default"/>
                <w:spacing w:val="-15"/>
                <w:sz w:val="18"/>
                <w:szCs w:val="18"/>
              </w:rPr>
              <w:t>3</w:t>
            </w:r>
            <w:r>
              <w:rPr>
                <w:rFonts w:ascii="宋体" w:hAnsi="宋体" w:cs="宋体" w:eastAsia="宋体" w:hint="default"/>
                <w:spacing w:val="-15"/>
                <w:sz w:val="18"/>
                <w:szCs w:val="18"/>
              </w:rPr>
              <w:t>．对所有者</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的分配</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1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3" w:hRule="exact"/>
        </w:trPr>
        <w:tc>
          <w:tcPr>
            <w:tcW w:w="1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22"/>
              <w:jc w:val="left"/>
              <w:rPr>
                <w:rFonts w:ascii="宋体" w:hAnsi="宋体" w:cs="宋体" w:eastAsia="宋体" w:hint="default"/>
                <w:sz w:val="18"/>
                <w:szCs w:val="18"/>
              </w:rPr>
            </w:pPr>
            <w:r>
              <w:rPr>
                <w:rFonts w:ascii="宋体" w:hAnsi="宋体" w:cs="宋体" w:eastAsia="宋体" w:hint="default"/>
                <w:sz w:val="18"/>
                <w:szCs w:val="18"/>
              </w:rPr>
              <w:t>（四）所有者权益内 部结转</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6" w:hRule="exact"/>
        </w:trPr>
        <w:tc>
          <w:tcPr>
            <w:tcW w:w="1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1</w:t>
            </w:r>
            <w:r>
              <w:rPr>
                <w:rFonts w:ascii="宋体" w:hAnsi="宋体" w:cs="宋体" w:eastAsia="宋体" w:hint="default"/>
                <w:spacing w:val="-89"/>
                <w:sz w:val="18"/>
                <w:szCs w:val="18"/>
              </w:rPr>
              <w:t>．</w:t>
            </w:r>
            <w:r>
              <w:rPr>
                <w:rFonts w:ascii="宋体" w:hAnsi="宋体" w:cs="宋体" w:eastAsia="宋体" w:hint="default"/>
                <w:sz w:val="18"/>
                <w:szCs w:val="18"/>
              </w:rPr>
              <w:t>资本公积转增资本</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3" w:hRule="exact"/>
        </w:trPr>
        <w:tc>
          <w:tcPr>
            <w:tcW w:w="1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89"/>
                <w:sz w:val="18"/>
                <w:szCs w:val="18"/>
              </w:rPr>
              <w:t>．</w:t>
            </w:r>
            <w:r>
              <w:rPr>
                <w:rFonts w:ascii="宋体" w:hAnsi="宋体" w:cs="宋体" w:eastAsia="宋体" w:hint="default"/>
                <w:sz w:val="18"/>
                <w:szCs w:val="18"/>
              </w:rPr>
              <w:t>盈余公积转增资本</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1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89"/>
                <w:sz w:val="18"/>
                <w:szCs w:val="18"/>
              </w:rPr>
              <w:t>．</w:t>
            </w:r>
            <w:r>
              <w:rPr>
                <w:rFonts w:ascii="宋体" w:hAnsi="宋体" w:cs="宋体" w:eastAsia="宋体" w:hint="default"/>
                <w:sz w:val="18"/>
                <w:szCs w:val="18"/>
              </w:rPr>
              <w:t>盈余公积弥补亏损</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1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1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1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1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1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1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588,720,000.00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153,717,414.13</w:t>
            </w:r>
          </w:p>
        </w:tc>
        <w:tc>
          <w:tcPr>
            <w:tcW w:w="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103,735.94</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29,195,887.54</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135,870,049.99</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907,607,087.60</w:t>
            </w:r>
          </w:p>
        </w:tc>
      </w:tr>
    </w:tbl>
    <w:p>
      <w:pPr>
        <w:spacing w:after="0" w:line="240" w:lineRule="auto"/>
        <w:jc w:val="right"/>
        <w:rPr>
          <w:rFonts w:ascii="Times New Roman" w:hAnsi="Times New Roman" w:cs="Times New Roman" w:eastAsia="Times New Roman" w:hint="default"/>
          <w:sz w:val="18"/>
          <w:szCs w:val="18"/>
        </w:rPr>
        <w:sectPr>
          <w:headerReference w:type="default" r:id="rId17"/>
          <w:pgSz w:w="16840" w:h="11910" w:orient="landscape"/>
          <w:pgMar w:header="867" w:footer="979" w:top="1060" w:bottom="1160" w:left="1300" w:right="1280"/>
        </w:sectPr>
      </w:pPr>
    </w:p>
    <w:p>
      <w:pPr>
        <w:pStyle w:val="Heading3"/>
        <w:spacing w:line="352" w:lineRule="exact"/>
        <w:ind w:left="140" w:right="0"/>
        <w:jc w:val="left"/>
        <w:rPr>
          <w:b w:val="0"/>
          <w:bCs w:val="0"/>
        </w:rPr>
      </w:pPr>
      <w:r>
        <w:rPr/>
        <w:pict>
          <v:group style="position:absolute;margin-left:70.559998pt;margin-top:2.202064pt;width:700.95pt;height:.1pt;mso-position-horizontal-relative:page;mso-position-vertical-relative:paragraph;z-index:-700864" coordorigin="1411,44" coordsize="14019,2">
            <v:shape style="position:absolute;left:1411;top:44;width:14019;height:2" coordorigin="1411,44" coordsize="14019,0" path="m1411,44l15430,44e" filled="false" stroked="true" strokeweight=".72pt" strokecolor="#000000">
              <v:path arrowok="t"/>
            </v:shape>
            <w10:wrap type="none"/>
          </v:group>
        </w:pict>
      </w:r>
      <w:r>
        <w:rPr>
          <w:rFonts w:ascii="Times New Roman" w:hAnsi="Times New Roman" w:cs="Times New Roman" w:eastAsia="Times New Roman" w:hint="default"/>
        </w:rPr>
        <w:t>8</w:t>
      </w:r>
      <w:r>
        <w:rPr/>
        <w:t>、母公司所有者权益变动表</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140" w:right="0"/>
        <w:jc w:val="left"/>
      </w:pPr>
      <w:r>
        <w:rPr/>
        <w:t>本期金额</w:t>
      </w:r>
    </w:p>
    <w:p>
      <w:pPr>
        <w:pStyle w:val="BodyText"/>
        <w:spacing w:line="240" w:lineRule="auto" w:before="117"/>
        <w:ind w:left="0" w:right="155"/>
        <w:jc w:val="right"/>
      </w:pPr>
      <w:r>
        <w:rPr/>
        <w:t>单位：元</w:t>
      </w:r>
    </w:p>
    <w:p>
      <w:pPr>
        <w:spacing w:line="240" w:lineRule="auto" w:before="3"/>
        <w:rPr>
          <w:rFonts w:ascii="宋体" w:hAnsi="宋体" w:cs="宋体" w:eastAsia="宋体" w:hint="default"/>
          <w:sz w:val="8"/>
          <w:szCs w:val="8"/>
        </w:rPr>
      </w:pPr>
    </w:p>
    <w:tbl>
      <w:tblPr>
        <w:tblW w:w="0" w:type="auto"/>
        <w:jc w:val="left"/>
        <w:tblInd w:w="106" w:type="dxa"/>
        <w:tblLayout w:type="fixed"/>
        <w:tblCellMar>
          <w:top w:w="0" w:type="dxa"/>
          <w:left w:w="0" w:type="dxa"/>
          <w:bottom w:w="0" w:type="dxa"/>
          <w:right w:w="0" w:type="dxa"/>
        </w:tblCellMar>
        <w:tblLook w:val="01E0"/>
      </w:tblPr>
      <w:tblGrid>
        <w:gridCol w:w="1668"/>
        <w:gridCol w:w="1270"/>
        <w:gridCol w:w="831"/>
        <w:gridCol w:w="840"/>
        <w:gridCol w:w="739"/>
        <w:gridCol w:w="1352"/>
        <w:gridCol w:w="998"/>
        <w:gridCol w:w="1152"/>
        <w:gridCol w:w="1090"/>
        <w:gridCol w:w="1118"/>
        <w:gridCol w:w="1481"/>
        <w:gridCol w:w="1479"/>
      </w:tblGrid>
      <w:tr>
        <w:trPr>
          <w:trHeight w:val="402" w:hRule="exact"/>
        </w:trPr>
        <w:tc>
          <w:tcPr>
            <w:tcW w:w="16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2350"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402" w:hRule="exact"/>
        </w:trPr>
        <w:tc>
          <w:tcPr>
            <w:tcW w:w="1668" w:type="dxa"/>
            <w:vMerge/>
            <w:tcBorders>
              <w:left w:val="single" w:sz="4" w:space="0" w:color="000000"/>
              <w:right w:val="single" w:sz="4" w:space="0" w:color="000000"/>
            </w:tcBorders>
            <w:shd w:val="clear" w:color="auto" w:fill="D2D2D2"/>
          </w:tcPr>
          <w:p>
            <w:pPr/>
          </w:p>
        </w:tc>
        <w:tc>
          <w:tcPr>
            <w:tcW w:w="12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241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6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35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09"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9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3"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115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10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77"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11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9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48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85"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47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403" w:hRule="exact"/>
        </w:trPr>
        <w:tc>
          <w:tcPr>
            <w:tcW w:w="1668" w:type="dxa"/>
            <w:vMerge/>
            <w:tcBorders>
              <w:left w:val="single" w:sz="4" w:space="0" w:color="000000"/>
              <w:bottom w:val="single" w:sz="4" w:space="0" w:color="000000"/>
              <w:right w:val="single" w:sz="4" w:space="0" w:color="000000"/>
            </w:tcBorders>
            <w:shd w:val="clear" w:color="auto" w:fill="D2D2D2"/>
          </w:tcPr>
          <w:p>
            <w:pPr/>
          </w:p>
        </w:tc>
        <w:tc>
          <w:tcPr>
            <w:tcW w:w="1270" w:type="dxa"/>
            <w:vMerge/>
            <w:tcBorders>
              <w:left w:val="single" w:sz="4" w:space="0" w:color="000000"/>
              <w:bottom w:val="single" w:sz="4" w:space="0" w:color="000000"/>
              <w:right w:val="single" w:sz="4" w:space="0" w:color="000000"/>
            </w:tcBorders>
            <w:shd w:val="clear" w:color="auto" w:fill="D2D2D2"/>
          </w:tcPr>
          <w:p>
            <w:pPr/>
          </w:p>
        </w:tc>
        <w:tc>
          <w:tcPr>
            <w:tcW w:w="8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39"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8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4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8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52" w:type="dxa"/>
            <w:vMerge/>
            <w:tcBorders>
              <w:left w:val="single" w:sz="4" w:space="0" w:color="000000"/>
              <w:bottom w:val="single" w:sz="4" w:space="0" w:color="000000"/>
              <w:right w:val="single" w:sz="4" w:space="0" w:color="000000"/>
            </w:tcBorders>
            <w:shd w:val="clear" w:color="auto" w:fill="D2D2D2"/>
          </w:tcPr>
          <w:p>
            <w:pPr/>
          </w:p>
        </w:tc>
        <w:tc>
          <w:tcPr>
            <w:tcW w:w="998" w:type="dxa"/>
            <w:vMerge/>
            <w:tcBorders>
              <w:left w:val="single" w:sz="4" w:space="0" w:color="000000"/>
              <w:bottom w:val="single" w:sz="4" w:space="0" w:color="000000"/>
              <w:right w:val="single" w:sz="4" w:space="0" w:color="000000"/>
            </w:tcBorders>
            <w:shd w:val="clear" w:color="auto" w:fill="D2D2D2"/>
          </w:tcPr>
          <w:p>
            <w:pPr/>
          </w:p>
        </w:tc>
        <w:tc>
          <w:tcPr>
            <w:tcW w:w="1152" w:type="dxa"/>
            <w:vMerge/>
            <w:tcBorders>
              <w:left w:val="single" w:sz="4" w:space="0" w:color="000000"/>
              <w:bottom w:val="single" w:sz="4" w:space="0" w:color="000000"/>
              <w:right w:val="single" w:sz="4" w:space="0" w:color="000000"/>
            </w:tcBorders>
            <w:shd w:val="clear" w:color="auto" w:fill="D2D2D2"/>
          </w:tcPr>
          <w:p>
            <w:pPr/>
          </w:p>
        </w:tc>
        <w:tc>
          <w:tcPr>
            <w:tcW w:w="1090" w:type="dxa"/>
            <w:vMerge/>
            <w:tcBorders>
              <w:left w:val="single" w:sz="4" w:space="0" w:color="000000"/>
              <w:bottom w:val="single" w:sz="4" w:space="0" w:color="000000"/>
              <w:right w:val="single" w:sz="4" w:space="0" w:color="000000"/>
            </w:tcBorders>
            <w:shd w:val="clear" w:color="auto" w:fill="D2D2D2"/>
          </w:tcPr>
          <w:p>
            <w:pPr/>
          </w:p>
        </w:tc>
        <w:tc>
          <w:tcPr>
            <w:tcW w:w="1118" w:type="dxa"/>
            <w:vMerge/>
            <w:tcBorders>
              <w:left w:val="single" w:sz="4" w:space="0" w:color="000000"/>
              <w:bottom w:val="single" w:sz="4" w:space="0" w:color="000000"/>
              <w:right w:val="single" w:sz="4" w:space="0" w:color="000000"/>
            </w:tcBorders>
            <w:shd w:val="clear" w:color="auto" w:fill="D2D2D2"/>
          </w:tcPr>
          <w:p>
            <w:pPr/>
          </w:p>
        </w:tc>
        <w:tc>
          <w:tcPr>
            <w:tcW w:w="1481" w:type="dxa"/>
            <w:vMerge/>
            <w:tcBorders>
              <w:left w:val="single" w:sz="4" w:space="0" w:color="000000"/>
              <w:bottom w:val="single" w:sz="4" w:space="0" w:color="000000"/>
              <w:right w:val="single" w:sz="4" w:space="0" w:color="000000"/>
            </w:tcBorders>
            <w:shd w:val="clear" w:color="auto" w:fill="D2D2D2"/>
          </w:tcPr>
          <w:p>
            <w:pPr/>
          </w:p>
        </w:tc>
        <w:tc>
          <w:tcPr>
            <w:tcW w:w="1479"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6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588,720,000.00</w:t>
            </w:r>
          </w:p>
        </w:tc>
        <w:tc>
          <w:tcPr>
            <w:tcW w:w="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153,717,414.13</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29,195,887.54</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164,941,765.98</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936,575,067.65</w:t>
            </w:r>
          </w:p>
        </w:tc>
      </w:tr>
      <w:tr>
        <w:trPr>
          <w:trHeight w:val="403" w:hRule="exact"/>
        </w:trPr>
        <w:tc>
          <w:tcPr>
            <w:tcW w:w="16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4"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16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16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7"/>
              <w:jc w:val="center"/>
              <w:rPr>
                <w:rFonts w:ascii="宋体" w:hAnsi="宋体" w:cs="宋体" w:eastAsia="宋体" w:hint="default"/>
                <w:sz w:val="18"/>
                <w:szCs w:val="18"/>
              </w:rPr>
            </w:pPr>
            <w:r>
              <w:rPr>
                <w:rFonts w:ascii="宋体" w:hAnsi="宋体" w:cs="宋体" w:eastAsia="宋体" w:hint="default"/>
                <w:sz w:val="18"/>
                <w:szCs w:val="18"/>
              </w:rPr>
              <w:t>其他</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16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588,720,000.00</w:t>
            </w:r>
          </w:p>
        </w:tc>
        <w:tc>
          <w:tcPr>
            <w:tcW w:w="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153,717,414.13</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29,195,887.54</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164,941,765.98</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936,575,067.65</w:t>
            </w:r>
          </w:p>
        </w:tc>
      </w:tr>
      <w:tr>
        <w:trPr>
          <w:trHeight w:val="1028" w:hRule="exact"/>
        </w:trPr>
        <w:tc>
          <w:tcPr>
            <w:tcW w:w="16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23" w:right="22"/>
              <w:jc w:val="both"/>
              <w:rPr>
                <w:rFonts w:ascii="宋体" w:hAnsi="宋体" w:cs="宋体" w:eastAsia="宋体" w:hint="default"/>
                <w:sz w:val="18"/>
                <w:szCs w:val="18"/>
              </w:rPr>
            </w:pPr>
            <w:r>
              <w:rPr>
                <w:rFonts w:ascii="宋体" w:hAnsi="宋体" w:cs="宋体" w:eastAsia="宋体" w:hint="default"/>
                <w:spacing w:val="-2"/>
                <w:sz w:val="18"/>
                <w:szCs w:val="18"/>
              </w:rPr>
              <w:t>三、本期增减变动金</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额（减少以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4,648,990.71</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-14,277,482.93</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-9,628,492.22</w:t>
            </w:r>
          </w:p>
        </w:tc>
      </w:tr>
      <w:tr>
        <w:trPr>
          <w:trHeight w:val="401" w:hRule="exact"/>
        </w:trPr>
        <w:tc>
          <w:tcPr>
            <w:tcW w:w="16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4,648,990.71</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-14,277,482.93</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-9,628,492.22</w:t>
            </w:r>
          </w:p>
        </w:tc>
      </w:tr>
      <w:tr>
        <w:trPr>
          <w:trHeight w:val="715" w:hRule="exact"/>
        </w:trPr>
        <w:tc>
          <w:tcPr>
            <w:tcW w:w="16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3" w:right="22"/>
              <w:jc w:val="left"/>
              <w:rPr>
                <w:rFonts w:ascii="宋体" w:hAnsi="宋体" w:cs="宋体" w:eastAsia="宋体" w:hint="default"/>
                <w:sz w:val="18"/>
                <w:szCs w:val="18"/>
              </w:rPr>
            </w:pPr>
            <w:r>
              <w:rPr>
                <w:rFonts w:ascii="宋体" w:hAnsi="宋体" w:cs="宋体" w:eastAsia="宋体" w:hint="default"/>
                <w:spacing w:val="-2"/>
                <w:sz w:val="18"/>
                <w:szCs w:val="18"/>
              </w:rPr>
              <w:t>（二）所有者投入和</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减少资本</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3" w:hRule="exact"/>
        </w:trPr>
        <w:tc>
          <w:tcPr>
            <w:tcW w:w="16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3" w:right="10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．股东投入的普通 股</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5" w:hRule="exact"/>
        </w:trPr>
        <w:tc>
          <w:tcPr>
            <w:tcW w:w="16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3" w:right="10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．其他权益工具持 有者投入资本</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3" w:hRule="exact"/>
        </w:trPr>
        <w:tc>
          <w:tcPr>
            <w:tcW w:w="16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3" w:right="10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．股份支付计入所 有者权益的金额</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16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bl>
    <w:p>
      <w:pPr>
        <w:spacing w:after="0" w:line="240" w:lineRule="auto"/>
        <w:jc w:val="right"/>
        <w:rPr>
          <w:rFonts w:ascii="Times New Roman" w:hAnsi="Times New Roman" w:cs="Times New Roman" w:eastAsia="Times New Roman" w:hint="default"/>
          <w:sz w:val="18"/>
          <w:szCs w:val="18"/>
        </w:rPr>
        <w:sectPr>
          <w:pgSz w:w="16840" w:h="11910" w:orient="landscape"/>
          <w:pgMar w:header="867" w:footer="979" w:top="1060" w:bottom="1160" w:left="1300" w:right="1280"/>
        </w:sectPr>
      </w:pPr>
    </w:p>
    <w:p>
      <w:pPr>
        <w:spacing w:line="240" w:lineRule="auto" w:before="2"/>
        <w:rPr>
          <w:rFonts w:ascii="Times New Roman" w:hAnsi="Times New Roman" w:cs="Times New Roman" w:eastAsia="Times New Roman" w:hint="default"/>
          <w:sz w:val="3"/>
          <w:szCs w:val="3"/>
        </w:rPr>
      </w:pPr>
    </w:p>
    <w:tbl>
      <w:tblPr>
        <w:tblW w:w="0" w:type="auto"/>
        <w:jc w:val="left"/>
        <w:tblInd w:w="106" w:type="dxa"/>
        <w:tblLayout w:type="fixed"/>
        <w:tblCellMar>
          <w:top w:w="0" w:type="dxa"/>
          <w:left w:w="0" w:type="dxa"/>
          <w:bottom w:w="0" w:type="dxa"/>
          <w:right w:w="0" w:type="dxa"/>
        </w:tblCellMar>
        <w:tblLook w:val="01E0"/>
      </w:tblPr>
      <w:tblGrid>
        <w:gridCol w:w="1668"/>
        <w:gridCol w:w="1270"/>
        <w:gridCol w:w="831"/>
        <w:gridCol w:w="840"/>
        <w:gridCol w:w="739"/>
        <w:gridCol w:w="1352"/>
        <w:gridCol w:w="998"/>
        <w:gridCol w:w="1152"/>
        <w:gridCol w:w="1090"/>
        <w:gridCol w:w="1118"/>
        <w:gridCol w:w="1481"/>
        <w:gridCol w:w="1479"/>
      </w:tblGrid>
      <w:tr>
        <w:trPr>
          <w:trHeight w:val="418" w:hRule="exact"/>
        </w:trPr>
        <w:tc>
          <w:tcPr>
            <w:tcW w:w="1668"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270"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831"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840"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39"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52"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998"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52"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090"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18"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481"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479"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16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5" w:hRule="exact"/>
        </w:trPr>
        <w:tc>
          <w:tcPr>
            <w:tcW w:w="16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3" w:right="10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．对所有者（或股 东）的分配</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16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6" w:hRule="exact"/>
        </w:trPr>
        <w:tc>
          <w:tcPr>
            <w:tcW w:w="16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3" w:right="22"/>
              <w:jc w:val="left"/>
              <w:rPr>
                <w:rFonts w:ascii="宋体" w:hAnsi="宋体" w:cs="宋体" w:eastAsia="宋体" w:hint="default"/>
                <w:sz w:val="18"/>
                <w:szCs w:val="18"/>
              </w:rPr>
            </w:pPr>
            <w:r>
              <w:rPr>
                <w:rFonts w:ascii="宋体" w:hAnsi="宋体" w:cs="宋体" w:eastAsia="宋体" w:hint="default"/>
                <w:spacing w:val="-2"/>
                <w:sz w:val="18"/>
                <w:szCs w:val="18"/>
              </w:rPr>
              <w:t>（四）所有者权益内</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部结转</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3" w:hRule="exact"/>
        </w:trPr>
        <w:tc>
          <w:tcPr>
            <w:tcW w:w="16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3" w:right="10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 本（或股本）</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5" w:hRule="exact"/>
        </w:trPr>
        <w:tc>
          <w:tcPr>
            <w:tcW w:w="16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3" w:right="10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 本（或股本）</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3" w:hRule="exact"/>
        </w:trPr>
        <w:tc>
          <w:tcPr>
            <w:tcW w:w="16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3" w:right="10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 损</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4" w:hRule="exact"/>
        </w:trPr>
        <w:tc>
          <w:tcPr>
            <w:tcW w:w="16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16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16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16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16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16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588,720,000.00</w:t>
            </w:r>
          </w:p>
        </w:tc>
        <w:tc>
          <w:tcPr>
            <w:tcW w:w="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153,717,414.13</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4,648,990.71</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29,195,887.54</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150,664,283.05</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926,946,575.43</w:t>
            </w:r>
          </w:p>
        </w:tc>
      </w:tr>
    </w:tbl>
    <w:p>
      <w:pPr>
        <w:spacing w:after="0" w:line="240" w:lineRule="auto"/>
        <w:jc w:val="right"/>
        <w:rPr>
          <w:rFonts w:ascii="Times New Roman" w:hAnsi="Times New Roman" w:cs="Times New Roman" w:eastAsia="Times New Roman" w:hint="default"/>
          <w:sz w:val="18"/>
          <w:szCs w:val="18"/>
        </w:rPr>
        <w:sectPr>
          <w:pgSz w:w="16840" w:h="11910" w:orient="landscape"/>
          <w:pgMar w:header="867" w:footer="979" w:top="1060" w:bottom="1160" w:left="1300" w:right="1280"/>
        </w:sectPr>
      </w:pPr>
    </w:p>
    <w:p>
      <w:pPr>
        <w:spacing w:line="240" w:lineRule="auto" w:before="2"/>
        <w:rPr>
          <w:rFonts w:ascii="Times New Roman" w:hAnsi="Times New Roman" w:cs="Times New Roman" w:eastAsia="Times New Roman" w:hint="default"/>
          <w:sz w:val="3"/>
          <w:szCs w:val="3"/>
        </w:rPr>
      </w:pPr>
    </w:p>
    <w:p>
      <w:pPr>
        <w:spacing w:line="20" w:lineRule="exact"/>
        <w:ind w:left="104"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701.65pt;height:.75pt;mso-position-horizontal-relative:char;mso-position-vertical-relative:line" coordorigin="0,0" coordsize="14033,15">
            <v:group style="position:absolute;left:7;top:7;width:14019;height:2" coordorigin="7,7" coordsize="14019,2">
              <v:shape style="position:absolute;left:7;top:7;width:14019;height:2" coordorigin="7,7" coordsize="14019,0" path="m7,7l14026,7e" filled="false" stroked="true" strokeweight=".72pt" strokecolor="#000000">
                <v:path arrowok="t"/>
              </v:shape>
            </v:group>
          </v:group>
        </w:pict>
      </w:r>
      <w:r>
        <w:rPr>
          <w:rFonts w:ascii="Times New Roman" w:hAnsi="Times New Roman" w:cs="Times New Roman" w:eastAsia="Times New Roman" w:hint="default"/>
          <w:sz w:val="2"/>
          <w:szCs w:val="2"/>
        </w:rPr>
      </w:r>
    </w:p>
    <w:p>
      <w:pPr>
        <w:pStyle w:val="BodyText"/>
        <w:spacing w:line="240" w:lineRule="auto" w:before="17"/>
        <w:ind w:left="140" w:right="0"/>
        <w:jc w:val="left"/>
      </w:pPr>
      <w:r>
        <w:rPr/>
        <w:t>上期金额</w:t>
      </w:r>
    </w:p>
    <w:p>
      <w:pPr>
        <w:pStyle w:val="BodyText"/>
        <w:spacing w:line="240" w:lineRule="auto" w:before="117"/>
        <w:ind w:left="0" w:right="155"/>
        <w:jc w:val="right"/>
      </w:pPr>
      <w:r>
        <w:rPr/>
        <w:t>单位：元</w:t>
      </w:r>
    </w:p>
    <w:p>
      <w:pPr>
        <w:spacing w:line="240" w:lineRule="auto" w:before="4"/>
        <w:rPr>
          <w:rFonts w:ascii="宋体" w:hAnsi="宋体" w:cs="宋体" w:eastAsia="宋体" w:hint="default"/>
          <w:sz w:val="8"/>
          <w:szCs w:val="8"/>
        </w:rPr>
      </w:pPr>
    </w:p>
    <w:tbl>
      <w:tblPr>
        <w:tblW w:w="0" w:type="auto"/>
        <w:jc w:val="left"/>
        <w:tblInd w:w="106" w:type="dxa"/>
        <w:tblLayout w:type="fixed"/>
        <w:tblCellMar>
          <w:top w:w="0" w:type="dxa"/>
          <w:left w:w="0" w:type="dxa"/>
          <w:bottom w:w="0" w:type="dxa"/>
          <w:right w:w="0" w:type="dxa"/>
        </w:tblCellMar>
        <w:tblLook w:val="01E0"/>
      </w:tblPr>
      <w:tblGrid>
        <w:gridCol w:w="1618"/>
        <w:gridCol w:w="1279"/>
        <w:gridCol w:w="821"/>
        <w:gridCol w:w="821"/>
        <w:gridCol w:w="689"/>
        <w:gridCol w:w="1330"/>
        <w:gridCol w:w="890"/>
        <w:gridCol w:w="1190"/>
        <w:gridCol w:w="1172"/>
        <w:gridCol w:w="1488"/>
        <w:gridCol w:w="1291"/>
        <w:gridCol w:w="1428"/>
      </w:tblGrid>
      <w:tr>
        <w:trPr>
          <w:trHeight w:val="401" w:hRule="exact"/>
        </w:trPr>
        <w:tc>
          <w:tcPr>
            <w:tcW w:w="161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400"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3" w:hRule="exact"/>
        </w:trPr>
        <w:tc>
          <w:tcPr>
            <w:tcW w:w="1618" w:type="dxa"/>
            <w:vMerge/>
            <w:tcBorders>
              <w:left w:val="single" w:sz="4" w:space="0" w:color="000000"/>
              <w:right w:val="single" w:sz="4" w:space="0" w:color="000000"/>
            </w:tcBorders>
            <w:shd w:val="clear" w:color="auto" w:fill="D2D2D2"/>
          </w:tcPr>
          <w:p>
            <w:pPr/>
          </w:p>
        </w:tc>
        <w:tc>
          <w:tcPr>
            <w:tcW w:w="127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233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9"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33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99"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8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14"/>
                <w:sz w:val="18"/>
                <w:szCs w:val="18"/>
              </w:rPr>
              <w:t>减：库存股</w:t>
            </w:r>
          </w:p>
        </w:tc>
        <w:tc>
          <w:tcPr>
            <w:tcW w:w="11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50"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11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20"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4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76"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2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89"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4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79"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401" w:hRule="exact"/>
        </w:trPr>
        <w:tc>
          <w:tcPr>
            <w:tcW w:w="1618" w:type="dxa"/>
            <w:vMerge/>
            <w:tcBorders>
              <w:left w:val="single" w:sz="4" w:space="0" w:color="000000"/>
              <w:bottom w:val="single" w:sz="4" w:space="0" w:color="000000"/>
              <w:right w:val="single" w:sz="4" w:space="0" w:color="000000"/>
            </w:tcBorders>
            <w:shd w:val="clear" w:color="auto" w:fill="D2D2D2"/>
          </w:tcPr>
          <w:p>
            <w:pPr/>
          </w:p>
        </w:tc>
        <w:tc>
          <w:tcPr>
            <w:tcW w:w="1279" w:type="dxa"/>
            <w:vMerge/>
            <w:tcBorders>
              <w:left w:val="single" w:sz="4" w:space="0" w:color="000000"/>
              <w:bottom w:val="single" w:sz="4" w:space="0" w:color="000000"/>
              <w:right w:val="single" w:sz="4" w:space="0" w:color="000000"/>
            </w:tcBorders>
            <w:shd w:val="clear" w:color="auto" w:fill="D2D2D2"/>
          </w:tcPr>
          <w:p>
            <w:pPr/>
          </w:p>
        </w:tc>
        <w:tc>
          <w:tcPr>
            <w:tcW w:w="8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4"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8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4"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30" w:type="dxa"/>
            <w:vMerge/>
            <w:tcBorders>
              <w:left w:val="single" w:sz="4" w:space="0" w:color="000000"/>
              <w:bottom w:val="single" w:sz="4" w:space="0" w:color="000000"/>
              <w:right w:val="single" w:sz="4" w:space="0" w:color="000000"/>
            </w:tcBorders>
            <w:shd w:val="clear" w:color="auto" w:fill="D2D2D2"/>
          </w:tcPr>
          <w:p>
            <w:pPr/>
          </w:p>
        </w:tc>
        <w:tc>
          <w:tcPr>
            <w:tcW w:w="890" w:type="dxa"/>
            <w:vMerge/>
            <w:tcBorders>
              <w:left w:val="single" w:sz="4" w:space="0" w:color="000000"/>
              <w:bottom w:val="single" w:sz="4" w:space="0" w:color="000000"/>
              <w:right w:val="single" w:sz="4" w:space="0" w:color="000000"/>
            </w:tcBorders>
            <w:shd w:val="clear" w:color="auto" w:fill="D2D2D2"/>
          </w:tcPr>
          <w:p>
            <w:pPr/>
          </w:p>
        </w:tc>
        <w:tc>
          <w:tcPr>
            <w:tcW w:w="1190" w:type="dxa"/>
            <w:vMerge/>
            <w:tcBorders>
              <w:left w:val="single" w:sz="4" w:space="0" w:color="000000"/>
              <w:bottom w:val="single" w:sz="4" w:space="0" w:color="000000"/>
              <w:right w:val="single" w:sz="4" w:space="0" w:color="000000"/>
            </w:tcBorders>
            <w:shd w:val="clear" w:color="auto" w:fill="D2D2D2"/>
          </w:tcPr>
          <w:p>
            <w:pPr/>
          </w:p>
        </w:tc>
        <w:tc>
          <w:tcPr>
            <w:tcW w:w="1172" w:type="dxa"/>
            <w:vMerge/>
            <w:tcBorders>
              <w:left w:val="single" w:sz="4" w:space="0" w:color="000000"/>
              <w:bottom w:val="single" w:sz="4" w:space="0" w:color="000000"/>
              <w:right w:val="single" w:sz="4" w:space="0" w:color="000000"/>
            </w:tcBorders>
            <w:shd w:val="clear" w:color="auto" w:fill="D2D2D2"/>
          </w:tcPr>
          <w:p>
            <w:pPr/>
          </w:p>
        </w:tc>
        <w:tc>
          <w:tcPr>
            <w:tcW w:w="1488" w:type="dxa"/>
            <w:vMerge/>
            <w:tcBorders>
              <w:left w:val="single" w:sz="4" w:space="0" w:color="000000"/>
              <w:bottom w:val="single" w:sz="4" w:space="0" w:color="000000"/>
              <w:right w:val="single" w:sz="4" w:space="0" w:color="000000"/>
            </w:tcBorders>
            <w:shd w:val="clear" w:color="auto" w:fill="D2D2D2"/>
          </w:tcPr>
          <w:p>
            <w:pPr/>
          </w:p>
        </w:tc>
        <w:tc>
          <w:tcPr>
            <w:tcW w:w="1291" w:type="dxa"/>
            <w:vMerge/>
            <w:tcBorders>
              <w:left w:val="single" w:sz="4" w:space="0" w:color="000000"/>
              <w:bottom w:val="single" w:sz="4" w:space="0" w:color="000000"/>
              <w:right w:val="single" w:sz="4" w:space="0" w:color="000000"/>
            </w:tcBorders>
            <w:shd w:val="clear" w:color="auto" w:fill="D2D2D2"/>
          </w:tcPr>
          <w:p>
            <w:pPr/>
          </w:p>
        </w:tc>
        <w:tc>
          <w:tcPr>
            <w:tcW w:w="1428"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6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588,720,000.00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153,717,414.13</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26,907,459.72</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144,345,915.62</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913,690,789.47</w:t>
            </w:r>
          </w:p>
        </w:tc>
      </w:tr>
      <w:tr>
        <w:trPr>
          <w:trHeight w:val="401" w:hRule="exact"/>
        </w:trPr>
        <w:tc>
          <w:tcPr>
            <w:tcW w:w="16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宋体" w:hAnsi="宋体" w:cs="宋体" w:eastAsia="宋体" w:hint="default"/>
                <w:spacing w:val="-8"/>
                <w:sz w:val="18"/>
                <w:szCs w:val="18"/>
              </w:rPr>
              <w:t>加：会计政策变更</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16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16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16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588,720,000.00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153,717,414.13</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26,907,459.72</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144,345,915.62</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913,690,789.47</w:t>
            </w:r>
          </w:p>
        </w:tc>
      </w:tr>
      <w:tr>
        <w:trPr>
          <w:trHeight w:val="1025" w:hRule="exact"/>
        </w:trPr>
        <w:tc>
          <w:tcPr>
            <w:tcW w:w="16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3" w:right="23"/>
              <w:jc w:val="both"/>
              <w:rPr>
                <w:rFonts w:ascii="宋体" w:hAnsi="宋体" w:cs="宋体" w:eastAsia="宋体" w:hint="default"/>
                <w:sz w:val="18"/>
                <w:szCs w:val="18"/>
              </w:rPr>
            </w:pPr>
            <w:r>
              <w:rPr>
                <w:rFonts w:ascii="宋体" w:hAnsi="宋体" w:cs="宋体" w:eastAsia="宋体" w:hint="default"/>
                <w:spacing w:val="-7"/>
                <w:sz w:val="18"/>
                <w:szCs w:val="18"/>
              </w:rPr>
              <w:t>三、本期增减变动金</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5"/>
                <w:sz w:val="18"/>
                <w:szCs w:val="18"/>
              </w:rPr>
              <w:t>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号填</w:t>
            </w:r>
            <w:r>
              <w:rPr>
                <w:rFonts w:ascii="宋体" w:hAnsi="宋体" w:cs="宋体" w:eastAsia="宋体" w:hint="default"/>
                <w:spacing w:val="-81"/>
                <w:sz w:val="18"/>
                <w:szCs w:val="18"/>
              </w:rPr>
              <w:t> </w:t>
            </w:r>
            <w:r>
              <w:rPr>
                <w:rFonts w:ascii="宋体" w:hAnsi="宋体" w:cs="宋体" w:eastAsia="宋体" w:hint="default"/>
                <w:sz w:val="18"/>
                <w:szCs w:val="18"/>
              </w:rPr>
              <w:t>列）</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2,288,427.82</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20,595,850.36</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22,884,278.18</w:t>
            </w:r>
          </w:p>
        </w:tc>
      </w:tr>
      <w:tr>
        <w:trPr>
          <w:trHeight w:val="403" w:hRule="exact"/>
        </w:trPr>
        <w:tc>
          <w:tcPr>
            <w:tcW w:w="16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pacing w:val="-7"/>
                <w:sz w:val="18"/>
                <w:szCs w:val="18"/>
              </w:rPr>
              <w:t>（一）综合收益总额</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22,884,278.18</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22,884,278.18</w:t>
            </w:r>
          </w:p>
        </w:tc>
      </w:tr>
      <w:tr>
        <w:trPr>
          <w:trHeight w:val="713" w:hRule="exact"/>
        </w:trPr>
        <w:tc>
          <w:tcPr>
            <w:tcW w:w="16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22"/>
              <w:jc w:val="left"/>
              <w:rPr>
                <w:rFonts w:ascii="宋体" w:hAnsi="宋体" w:cs="宋体" w:eastAsia="宋体" w:hint="default"/>
                <w:sz w:val="18"/>
                <w:szCs w:val="18"/>
              </w:rPr>
            </w:pPr>
            <w:r>
              <w:rPr>
                <w:rFonts w:ascii="宋体" w:hAnsi="宋体" w:cs="宋体" w:eastAsia="宋体" w:hint="default"/>
                <w:spacing w:val="-7"/>
                <w:sz w:val="18"/>
                <w:szCs w:val="18"/>
              </w:rPr>
              <w:t>（二）所有者投入和</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减少资本</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5" w:hRule="exact"/>
        </w:trPr>
        <w:tc>
          <w:tcPr>
            <w:tcW w:w="16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3"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．股东投入的普通 股</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3" w:hRule="exact"/>
        </w:trPr>
        <w:tc>
          <w:tcPr>
            <w:tcW w:w="16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3"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．其他权益工具持 有者投入资本</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5" w:hRule="exact"/>
        </w:trPr>
        <w:tc>
          <w:tcPr>
            <w:tcW w:w="16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3"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．股份支付计入所 有者权益的金额</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16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16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2,288,427.82</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-2,288,427.82</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16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2,288,427.82</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-2,288,427.82</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bl>
    <w:p>
      <w:pPr>
        <w:spacing w:after="0" w:line="240" w:lineRule="auto"/>
        <w:jc w:val="right"/>
        <w:rPr>
          <w:rFonts w:ascii="Times New Roman" w:hAnsi="Times New Roman" w:cs="Times New Roman" w:eastAsia="Times New Roman" w:hint="default"/>
          <w:sz w:val="18"/>
          <w:szCs w:val="18"/>
        </w:rPr>
        <w:sectPr>
          <w:pgSz w:w="16840" w:h="11910" w:orient="landscape"/>
          <w:pgMar w:header="867" w:footer="979" w:top="1060" w:bottom="1160" w:left="1300" w:right="1280"/>
        </w:sectPr>
      </w:pPr>
    </w:p>
    <w:p>
      <w:pPr>
        <w:spacing w:line="240" w:lineRule="auto" w:before="2"/>
        <w:rPr>
          <w:rFonts w:ascii="Times New Roman" w:hAnsi="Times New Roman" w:cs="Times New Roman" w:eastAsia="Times New Roman" w:hint="default"/>
          <w:sz w:val="3"/>
          <w:szCs w:val="3"/>
        </w:rPr>
      </w:pPr>
    </w:p>
    <w:tbl>
      <w:tblPr>
        <w:tblW w:w="0" w:type="auto"/>
        <w:jc w:val="left"/>
        <w:tblInd w:w="106" w:type="dxa"/>
        <w:tblLayout w:type="fixed"/>
        <w:tblCellMar>
          <w:top w:w="0" w:type="dxa"/>
          <w:left w:w="0" w:type="dxa"/>
          <w:bottom w:w="0" w:type="dxa"/>
          <w:right w:w="0" w:type="dxa"/>
        </w:tblCellMar>
        <w:tblLook w:val="01E0"/>
      </w:tblPr>
      <w:tblGrid>
        <w:gridCol w:w="1618"/>
        <w:gridCol w:w="1279"/>
        <w:gridCol w:w="821"/>
        <w:gridCol w:w="821"/>
        <w:gridCol w:w="689"/>
        <w:gridCol w:w="1330"/>
        <w:gridCol w:w="890"/>
        <w:gridCol w:w="1190"/>
        <w:gridCol w:w="1172"/>
        <w:gridCol w:w="1488"/>
        <w:gridCol w:w="1291"/>
        <w:gridCol w:w="1428"/>
      </w:tblGrid>
      <w:tr>
        <w:trPr>
          <w:trHeight w:val="730" w:hRule="exact"/>
        </w:trPr>
        <w:tc>
          <w:tcPr>
            <w:tcW w:w="1618"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3"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．对所有者（或股 东）的分配</w:t>
            </w:r>
          </w:p>
        </w:tc>
        <w:tc>
          <w:tcPr>
            <w:tcW w:w="1279"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821"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821"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89"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30"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890"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90"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72"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488"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291"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428"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16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5" w:hRule="exact"/>
        </w:trPr>
        <w:tc>
          <w:tcPr>
            <w:tcW w:w="16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3" w:right="22"/>
              <w:jc w:val="left"/>
              <w:rPr>
                <w:rFonts w:ascii="宋体" w:hAnsi="宋体" w:cs="宋体" w:eastAsia="宋体" w:hint="default"/>
                <w:sz w:val="18"/>
                <w:szCs w:val="18"/>
              </w:rPr>
            </w:pPr>
            <w:r>
              <w:rPr>
                <w:rFonts w:ascii="宋体" w:hAnsi="宋体" w:cs="宋体" w:eastAsia="宋体" w:hint="default"/>
                <w:spacing w:val="-7"/>
                <w:sz w:val="18"/>
                <w:szCs w:val="18"/>
              </w:rPr>
              <w:t>（四）所有者权益内</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部结转</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3" w:hRule="exact"/>
        </w:trPr>
        <w:tc>
          <w:tcPr>
            <w:tcW w:w="16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3"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 本（或股本）</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5" w:hRule="exact"/>
        </w:trPr>
        <w:tc>
          <w:tcPr>
            <w:tcW w:w="16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3"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 本（或股本）</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3" w:hRule="exact"/>
        </w:trPr>
        <w:tc>
          <w:tcPr>
            <w:tcW w:w="16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3"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 损</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16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16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4" w:hRule="exact"/>
        </w:trPr>
        <w:tc>
          <w:tcPr>
            <w:tcW w:w="16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16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16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16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588,720,000.00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153,717,414.13</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29,195,887.54</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164,941,765.98</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936,575,067.65</w:t>
            </w:r>
          </w:p>
        </w:tc>
      </w:tr>
    </w:tbl>
    <w:p>
      <w:pPr>
        <w:spacing w:after="0" w:line="240" w:lineRule="auto"/>
        <w:jc w:val="right"/>
        <w:rPr>
          <w:rFonts w:ascii="Times New Roman" w:hAnsi="Times New Roman" w:cs="Times New Roman" w:eastAsia="Times New Roman" w:hint="default"/>
          <w:sz w:val="18"/>
          <w:szCs w:val="18"/>
        </w:rPr>
        <w:sectPr>
          <w:pgSz w:w="16840" w:h="11910" w:orient="landscape"/>
          <w:pgMar w:header="867" w:footer="979" w:top="1060" w:bottom="1160" w:left="1300" w:right="1280"/>
        </w:sectPr>
      </w:pPr>
    </w:p>
    <w:p>
      <w:pPr>
        <w:spacing w:line="240" w:lineRule="auto" w:before="5"/>
        <w:rPr>
          <w:rFonts w:ascii="Times New Roman" w:hAnsi="Times New Roman" w:cs="Times New Roman" w:eastAsia="Times New Roman" w:hint="default"/>
          <w:sz w:val="22"/>
          <w:szCs w:val="22"/>
        </w:rPr>
      </w:pPr>
    </w:p>
    <w:p>
      <w:pPr>
        <w:pStyle w:val="Heading2"/>
        <w:spacing w:line="367" w:lineRule="exact"/>
        <w:ind w:right="0"/>
        <w:jc w:val="both"/>
        <w:rPr>
          <w:b w:val="0"/>
          <w:bCs w:val="0"/>
        </w:rPr>
      </w:pPr>
      <w:r>
        <w:rPr/>
        <w:t>三、公司基本情况</w:t>
      </w:r>
      <w:r>
        <w:rPr>
          <w:b w:val="0"/>
          <w:bCs w:val="0"/>
        </w:rPr>
      </w:r>
    </w:p>
    <w:p>
      <w:pPr>
        <w:spacing w:line="240" w:lineRule="auto" w:before="10"/>
        <w:rPr>
          <w:rFonts w:ascii="Microsoft JhengHei" w:hAnsi="Microsoft JhengHei" w:cs="Microsoft JhengHei" w:eastAsia="Microsoft JhengHei" w:hint="default"/>
          <w:b/>
          <w:bCs/>
          <w:sz w:val="19"/>
          <w:szCs w:val="19"/>
        </w:rPr>
      </w:pPr>
    </w:p>
    <w:p>
      <w:pPr>
        <w:pStyle w:val="BodyText"/>
        <w:tabs>
          <w:tab w:pos="1413" w:val="left" w:leader="none"/>
        </w:tabs>
        <w:spacing w:line="403" w:lineRule="auto"/>
        <w:ind w:left="513" w:right="190"/>
        <w:jc w:val="left"/>
        <w:rPr>
          <w:rFonts w:ascii="宋体" w:hAnsi="宋体" w:cs="宋体" w:eastAsia="宋体" w:hint="default"/>
        </w:rPr>
      </w:pPr>
      <w:r>
        <w:rPr>
          <w:rFonts w:ascii="Microsoft JhengHei" w:hAnsi="Microsoft JhengHei" w:cs="Microsoft JhengHei" w:eastAsia="Microsoft JhengHei" w:hint="default"/>
          <w:b/>
          <w:bCs/>
        </w:rPr>
        <w:t>（一）</w:t>
        <w:tab/>
        <w:t>公司概况 </w:t>
      </w:r>
      <w:r>
        <w:rPr/>
        <w:t>广东群兴玩具股份有限公司（以下简称“本公司”或“公司”），前身为“澄海市运达计量器具厂”，成立于</w:t>
      </w:r>
      <w:r>
        <w:rPr>
          <w:rFonts w:ascii="宋体" w:hAnsi="宋体" w:cs="宋体" w:eastAsia="宋体" w:hint="default"/>
        </w:rPr>
        <w:t>1996</w:t>
      </w:r>
      <w:r>
        <w:rPr/>
        <w:t>年</w:t>
      </w:r>
      <w:r>
        <w:rPr>
          <w:rFonts w:ascii="宋体" w:hAnsi="宋体" w:cs="宋体" w:eastAsia="宋体" w:hint="default"/>
        </w:rPr>
        <w:t>9</w:t>
      </w:r>
    </w:p>
    <w:p>
      <w:pPr>
        <w:pStyle w:val="BodyText"/>
        <w:spacing w:line="477" w:lineRule="auto" w:before="110"/>
        <w:ind w:right="191"/>
        <w:jc w:val="both"/>
      </w:pPr>
      <w:r>
        <w:rPr/>
        <w:t>月</w:t>
      </w:r>
      <w:r>
        <w:rPr>
          <w:rFonts w:ascii="宋体" w:hAnsi="宋体" w:cs="宋体" w:eastAsia="宋体" w:hint="default"/>
        </w:rPr>
        <w:t>2</w:t>
      </w:r>
      <w:r>
        <w:rPr/>
        <w:t>日，系由澄海市澄华街道城西工贸管理站（以下简称“工贸管理站”）出资组建，成立时注册资本为人民币</w:t>
      </w:r>
      <w:r>
        <w:rPr>
          <w:rFonts w:ascii="宋体" w:hAnsi="宋体" w:cs="宋体" w:eastAsia="宋体" w:hint="default"/>
        </w:rPr>
        <w:t>58</w:t>
      </w:r>
      <w:r>
        <w:rPr/>
        <w:t>万元，其</w:t>
      </w:r>
      <w:r>
        <w:rPr>
          <w:spacing w:val="-84"/>
        </w:rPr>
        <w:t> </w:t>
      </w:r>
      <w:r>
        <w:rPr>
          <w:spacing w:val="-2"/>
        </w:rPr>
        <w:t>中以实物作价出资</w:t>
      </w:r>
      <w:r>
        <w:rPr>
          <w:rFonts w:ascii="宋体" w:hAnsi="宋体" w:cs="宋体" w:eastAsia="宋体" w:hint="default"/>
          <w:spacing w:val="-2"/>
        </w:rPr>
        <w:t>57</w:t>
      </w:r>
      <w:r>
        <w:rPr>
          <w:spacing w:val="-2"/>
        </w:rPr>
        <w:t>万元，货币资金出资</w:t>
      </w:r>
      <w:r>
        <w:rPr>
          <w:rFonts w:ascii="宋体" w:hAnsi="宋体" w:cs="宋体" w:eastAsia="宋体" w:hint="default"/>
          <w:spacing w:val="-2"/>
        </w:rPr>
        <w:t>1</w:t>
      </w:r>
      <w:r>
        <w:rPr>
          <w:spacing w:val="-2"/>
        </w:rPr>
        <w:t>万元。上述注册资本业经澄海市审计师事务所澄审事验字</w:t>
      </w:r>
      <w:r>
        <w:rPr>
          <w:rFonts w:ascii="宋体" w:hAnsi="宋体" w:cs="宋体" w:eastAsia="宋体" w:hint="default"/>
          <w:spacing w:val="-2"/>
        </w:rPr>
        <w:t>[1996]164</w:t>
      </w:r>
      <w:r>
        <w:rPr>
          <w:spacing w:val="-2"/>
        </w:rPr>
        <w:t>号验资报告验</w:t>
      </w:r>
      <w:r>
        <w:rPr>
          <w:spacing w:val="-57"/>
        </w:rPr>
        <w:t> </w:t>
      </w:r>
      <w:r>
        <w:rPr>
          <w:spacing w:val="-57"/>
        </w:rPr>
      </w:r>
      <w:r>
        <w:rPr/>
        <w:t>证确认。</w:t>
      </w:r>
    </w:p>
    <w:p>
      <w:pPr>
        <w:pStyle w:val="BodyText"/>
        <w:spacing w:line="240" w:lineRule="auto" w:before="54"/>
        <w:ind w:left="513" w:right="94"/>
        <w:jc w:val="left"/>
      </w:pPr>
      <w:r>
        <w:rPr>
          <w:rFonts w:ascii="宋体" w:hAnsi="宋体" w:cs="宋体" w:eastAsia="宋体" w:hint="default"/>
        </w:rPr>
        <w:t>1999</w:t>
      </w:r>
      <w:r>
        <w:rPr/>
        <w:t>年</w:t>
      </w:r>
      <w:r>
        <w:rPr>
          <w:rFonts w:ascii="宋体" w:hAnsi="宋体" w:cs="宋体" w:eastAsia="宋体" w:hint="default"/>
        </w:rPr>
        <w:t>7</w:t>
      </w:r>
      <w:r>
        <w:rPr/>
        <w:t>月</w:t>
      </w:r>
      <w:r>
        <w:rPr>
          <w:rFonts w:ascii="宋体" w:hAnsi="宋体" w:cs="宋体" w:eastAsia="宋体" w:hint="default"/>
        </w:rPr>
        <w:t>8</w:t>
      </w:r>
      <w:r>
        <w:rPr/>
        <w:t>日，经澄海市工商行政管理局核准，本公司名称变更为“澄海市群兴电子塑胶玩具厂”。</w:t>
      </w:r>
    </w:p>
    <w:p>
      <w:pPr>
        <w:spacing w:line="240" w:lineRule="auto" w:before="11"/>
        <w:rPr>
          <w:rFonts w:ascii="宋体" w:hAnsi="宋体" w:cs="宋体" w:eastAsia="宋体" w:hint="default"/>
          <w:sz w:val="17"/>
          <w:szCs w:val="17"/>
        </w:rPr>
      </w:pPr>
    </w:p>
    <w:p>
      <w:pPr>
        <w:pStyle w:val="BodyText"/>
        <w:spacing w:line="477" w:lineRule="auto"/>
        <w:ind w:right="189" w:firstLine="360"/>
        <w:jc w:val="both"/>
      </w:pPr>
      <w:r>
        <w:rPr>
          <w:rFonts w:ascii="宋体" w:hAnsi="宋体" w:cs="宋体" w:eastAsia="宋体" w:hint="default"/>
          <w:spacing w:val="-2"/>
        </w:rPr>
        <w:t>2002</w:t>
      </w:r>
      <w:r>
        <w:rPr>
          <w:spacing w:val="-2"/>
        </w:rPr>
        <w:t>年</w:t>
      </w:r>
      <w:r>
        <w:rPr>
          <w:rFonts w:ascii="宋体" w:hAnsi="宋体" w:cs="宋体" w:eastAsia="宋体" w:hint="default"/>
          <w:spacing w:val="-2"/>
        </w:rPr>
        <w:t>4</w:t>
      </w:r>
      <w:r>
        <w:rPr>
          <w:spacing w:val="-2"/>
        </w:rPr>
        <w:t>月</w:t>
      </w:r>
      <w:r>
        <w:rPr>
          <w:rFonts w:ascii="宋体" w:hAnsi="宋体" w:cs="宋体" w:eastAsia="宋体" w:hint="default"/>
          <w:spacing w:val="-2"/>
        </w:rPr>
        <w:t>16</w:t>
      </w:r>
      <w:r>
        <w:rPr>
          <w:spacing w:val="-2"/>
        </w:rPr>
        <w:t>日，根据澄海市澄华街道办事处澄华企改</w:t>
      </w:r>
      <w:r>
        <w:rPr>
          <w:rFonts w:ascii="宋体" w:hAnsi="宋体" w:cs="宋体" w:eastAsia="宋体" w:hint="default"/>
          <w:spacing w:val="-2"/>
        </w:rPr>
        <w:t>[2002]001</w:t>
      </w:r>
      <w:r>
        <w:rPr>
          <w:spacing w:val="-2"/>
        </w:rPr>
        <w:t>号批复，本公司实行脱钩改制。经企业行政管理部门澄</w:t>
      </w:r>
      <w:r>
        <w:rPr/>
        <w:t> </w:t>
      </w:r>
      <w:r>
        <w:rPr>
          <w:spacing w:val="-2"/>
        </w:rPr>
        <w:t>海市澄华街道经济技术发展办公室、澄海市澄华街道城西工贸管理站、澄海市澄华街道财政所及澄海市澄华街道办事处共同</w:t>
      </w:r>
      <w:r>
        <w:rPr>
          <w:spacing w:val="-64"/>
        </w:rPr>
        <w:t> </w:t>
      </w:r>
      <w:r>
        <w:rPr>
          <w:spacing w:val="-64"/>
        </w:rPr>
      </w:r>
      <w:r>
        <w:rPr/>
        <w:t>界定及确认：公司净资产</w:t>
      </w:r>
      <w:r>
        <w:rPr>
          <w:rFonts w:ascii="宋体" w:hAnsi="宋体" w:cs="宋体" w:eastAsia="宋体" w:hint="default"/>
        </w:rPr>
        <w:t>389</w:t>
      </w:r>
      <w:r>
        <w:rPr/>
        <w:t>万元归属于投资者林伟章、黄仕群所有，并同意企业改制设立为有限责任公司。</w:t>
      </w:r>
    </w:p>
    <w:p>
      <w:pPr>
        <w:pStyle w:val="BodyText"/>
        <w:spacing w:line="240" w:lineRule="auto" w:before="54"/>
        <w:ind w:left="513" w:right="0"/>
        <w:jc w:val="left"/>
      </w:pPr>
      <w:r>
        <w:rPr>
          <w:rFonts w:ascii="宋体" w:hAnsi="宋体" w:cs="宋体" w:eastAsia="宋体" w:hint="default"/>
        </w:rPr>
        <w:t>2002</w:t>
      </w:r>
      <w:r>
        <w:rPr/>
        <w:t>年</w:t>
      </w:r>
      <w:r>
        <w:rPr>
          <w:rFonts w:ascii="宋体" w:hAnsi="宋体" w:cs="宋体" w:eastAsia="宋体" w:hint="default"/>
        </w:rPr>
        <w:t>5</w:t>
      </w:r>
      <w:r>
        <w:rPr/>
        <w:t>月</w:t>
      </w:r>
      <w:r>
        <w:rPr>
          <w:rFonts w:ascii="宋体" w:hAnsi="宋体" w:cs="宋体" w:eastAsia="宋体" w:hint="default"/>
        </w:rPr>
        <w:t>15</w:t>
      </w:r>
      <w:r>
        <w:rPr/>
        <w:t>日，根据公司股东会决议，本公司申请改制为有限公司，注册资本为人民币</w:t>
      </w:r>
      <w:r>
        <w:rPr>
          <w:rFonts w:ascii="宋体" w:hAnsi="宋体" w:cs="宋体" w:eastAsia="宋体" w:hint="default"/>
        </w:rPr>
        <w:t>387</w:t>
      </w:r>
      <w:r>
        <w:rPr/>
        <w:t>万，其中净资产出资人民币</w:t>
      </w:r>
    </w:p>
    <w:p>
      <w:pPr>
        <w:spacing w:line="240" w:lineRule="auto" w:before="10"/>
        <w:rPr>
          <w:rFonts w:ascii="宋体" w:hAnsi="宋体" w:cs="宋体" w:eastAsia="宋体" w:hint="default"/>
          <w:sz w:val="17"/>
          <w:szCs w:val="17"/>
        </w:rPr>
      </w:pPr>
    </w:p>
    <w:p>
      <w:pPr>
        <w:pStyle w:val="BodyText"/>
        <w:spacing w:line="477" w:lineRule="auto"/>
        <w:ind w:right="191"/>
        <w:jc w:val="both"/>
      </w:pPr>
      <w:r>
        <w:rPr>
          <w:rFonts w:ascii="宋体" w:hAnsi="宋体" w:cs="宋体" w:eastAsia="宋体" w:hint="default"/>
        </w:rPr>
        <w:t>200</w:t>
      </w:r>
      <w:r>
        <w:rPr/>
        <w:t>万元（上述界定的剩余资产由投资者收回），货币资金出资</w:t>
      </w:r>
      <w:r>
        <w:rPr>
          <w:rFonts w:ascii="宋体" w:hAnsi="宋体" w:cs="宋体" w:eastAsia="宋体" w:hint="default"/>
        </w:rPr>
        <w:t>187</w:t>
      </w:r>
      <w:r>
        <w:rPr/>
        <w:t>万元。改制完成后，本公司注册资本为人民币</w:t>
      </w:r>
      <w:r>
        <w:rPr>
          <w:rFonts w:ascii="宋体" w:hAnsi="宋体" w:cs="宋体" w:eastAsia="宋体" w:hint="default"/>
        </w:rPr>
        <w:t>387</w:t>
      </w:r>
      <w:r>
        <w:rPr/>
        <w:t>万元，</w:t>
      </w:r>
      <w:r>
        <w:rPr>
          <w:spacing w:val="-85"/>
        </w:rPr>
        <w:t> </w:t>
      </w:r>
      <w:r>
        <w:rPr>
          <w:spacing w:val="-6"/>
        </w:rPr>
        <w:t>其中林伟章出资人民币</w:t>
      </w:r>
      <w:r>
        <w:rPr>
          <w:rFonts w:ascii="宋体" w:hAnsi="宋体" w:cs="宋体" w:eastAsia="宋体" w:hint="default"/>
          <w:spacing w:val="-6"/>
        </w:rPr>
        <w:t>193.50</w:t>
      </w:r>
      <w:r>
        <w:rPr>
          <w:spacing w:val="-6"/>
        </w:rPr>
        <w:t>万元，以净资产出资</w:t>
      </w:r>
      <w:r>
        <w:rPr>
          <w:rFonts w:ascii="宋体" w:hAnsi="宋体" w:cs="宋体" w:eastAsia="宋体" w:hint="default"/>
          <w:spacing w:val="-6"/>
        </w:rPr>
        <w:t>100</w:t>
      </w:r>
      <w:r>
        <w:rPr>
          <w:spacing w:val="-6"/>
        </w:rPr>
        <w:t>万元，以货币出资</w:t>
      </w:r>
      <w:r>
        <w:rPr>
          <w:rFonts w:ascii="宋体" w:hAnsi="宋体" w:cs="宋体" w:eastAsia="宋体" w:hint="default"/>
          <w:spacing w:val="-6"/>
        </w:rPr>
        <w:t>93.5</w:t>
      </w:r>
      <w:r>
        <w:rPr>
          <w:spacing w:val="-6"/>
        </w:rPr>
        <w:t>万元，占注册资本的</w:t>
      </w:r>
      <w:r>
        <w:rPr>
          <w:rFonts w:ascii="宋体" w:hAnsi="宋体" w:cs="宋体" w:eastAsia="宋体" w:hint="default"/>
          <w:spacing w:val="-6"/>
        </w:rPr>
        <w:t>50%</w:t>
      </w:r>
      <w:r>
        <w:rPr>
          <w:spacing w:val="-6"/>
        </w:rPr>
        <w:t>；黄仕群出资人民币</w:t>
      </w:r>
      <w:r>
        <w:rPr>
          <w:rFonts w:ascii="宋体" w:hAnsi="宋体" w:cs="宋体" w:eastAsia="宋体" w:hint="default"/>
          <w:spacing w:val="-6"/>
        </w:rPr>
        <w:t>193.5</w:t>
      </w:r>
      <w:r>
        <w:rPr>
          <w:rFonts w:ascii="宋体" w:hAnsi="宋体" w:cs="宋体" w:eastAsia="宋体" w:hint="default"/>
          <w:spacing w:val="-57"/>
        </w:rPr>
        <w:t> </w:t>
      </w:r>
      <w:r>
        <w:rPr>
          <w:rFonts w:ascii="宋体" w:hAnsi="宋体" w:cs="宋体" w:eastAsia="宋体" w:hint="default"/>
          <w:spacing w:val="-57"/>
        </w:rPr>
      </w:r>
      <w:r>
        <w:rPr>
          <w:spacing w:val="-2"/>
        </w:rPr>
        <w:t>万元，以净资产出资</w:t>
      </w:r>
      <w:r>
        <w:rPr>
          <w:rFonts w:ascii="宋体" w:hAnsi="宋体" w:cs="宋体" w:eastAsia="宋体" w:hint="default"/>
          <w:spacing w:val="-2"/>
        </w:rPr>
        <w:t>100</w:t>
      </w:r>
      <w:r>
        <w:rPr>
          <w:spacing w:val="-2"/>
        </w:rPr>
        <w:t>万元，以货币出资</w:t>
      </w:r>
      <w:r>
        <w:rPr>
          <w:rFonts w:ascii="宋体" w:hAnsi="宋体" w:cs="宋体" w:eastAsia="宋体" w:hint="default"/>
          <w:spacing w:val="-2"/>
        </w:rPr>
        <w:t>93.5</w:t>
      </w:r>
      <w:r>
        <w:rPr>
          <w:spacing w:val="-2"/>
        </w:rPr>
        <w:t>万元，占注册资本的</w:t>
      </w:r>
      <w:r>
        <w:rPr>
          <w:rFonts w:ascii="宋体" w:hAnsi="宋体" w:cs="宋体" w:eastAsia="宋体" w:hint="default"/>
          <w:spacing w:val="-2"/>
        </w:rPr>
        <w:t>50%</w:t>
      </w:r>
      <w:r>
        <w:rPr>
          <w:spacing w:val="-2"/>
        </w:rPr>
        <w:t>。上述注册资本业经澄海市丰业会计师事务所有限公</w:t>
      </w:r>
      <w:r>
        <w:rPr>
          <w:spacing w:val="-58"/>
        </w:rPr>
        <w:t> </w:t>
      </w:r>
      <w:r>
        <w:rPr>
          <w:spacing w:val="-58"/>
        </w:rPr>
      </w:r>
      <w:r>
        <w:rPr/>
        <w:t>司澄丰会内验（</w:t>
      </w:r>
      <w:r>
        <w:rPr>
          <w:rFonts w:ascii="宋体" w:hAnsi="宋体" w:cs="宋体" w:eastAsia="宋体" w:hint="default"/>
        </w:rPr>
        <w:t>2002</w:t>
      </w:r>
      <w:r>
        <w:rPr/>
        <w:t>）第</w:t>
      </w:r>
      <w:r>
        <w:rPr>
          <w:rFonts w:ascii="宋体" w:hAnsi="宋体" w:cs="宋体" w:eastAsia="宋体" w:hint="default"/>
        </w:rPr>
        <w:t>124</w:t>
      </w:r>
      <w:r>
        <w:rPr/>
        <w:t>号验资报告验证确认。</w:t>
      </w:r>
    </w:p>
    <w:p>
      <w:pPr>
        <w:pStyle w:val="BodyText"/>
        <w:spacing w:line="475" w:lineRule="auto" w:before="54"/>
        <w:ind w:right="191" w:firstLine="360"/>
        <w:jc w:val="both"/>
      </w:pPr>
      <w:r>
        <w:rPr>
          <w:rFonts w:ascii="宋体" w:hAnsi="宋体" w:cs="宋体" w:eastAsia="宋体" w:hint="default"/>
          <w:spacing w:val="-2"/>
        </w:rPr>
        <w:t>2002</w:t>
      </w:r>
      <w:r>
        <w:rPr>
          <w:spacing w:val="-2"/>
        </w:rPr>
        <w:t>年</w:t>
      </w:r>
      <w:r>
        <w:rPr>
          <w:rFonts w:ascii="宋体" w:hAnsi="宋体" w:cs="宋体" w:eastAsia="宋体" w:hint="default"/>
          <w:spacing w:val="-2"/>
        </w:rPr>
        <w:t>5</w:t>
      </w:r>
      <w:r>
        <w:rPr>
          <w:spacing w:val="-2"/>
        </w:rPr>
        <w:t>月</w:t>
      </w:r>
      <w:r>
        <w:rPr>
          <w:rFonts w:ascii="宋体" w:hAnsi="宋体" w:cs="宋体" w:eastAsia="宋体" w:hint="default"/>
          <w:spacing w:val="-2"/>
        </w:rPr>
        <w:t>14</w:t>
      </w:r>
      <w:r>
        <w:rPr>
          <w:spacing w:val="-2"/>
        </w:rPr>
        <w:t>日，经澄海市工商行政管理局〔（澄司）名称预核字</w:t>
      </w:r>
      <w:r>
        <w:rPr>
          <w:rFonts w:ascii="宋体" w:hAnsi="宋体" w:cs="宋体" w:eastAsia="宋体" w:hint="default"/>
          <w:spacing w:val="-2"/>
        </w:rPr>
        <w:t>[2002]</w:t>
      </w:r>
      <w:r>
        <w:rPr>
          <w:spacing w:val="-2"/>
        </w:rPr>
        <w:t>第</w:t>
      </w:r>
      <w:r>
        <w:rPr>
          <w:rFonts w:ascii="宋体" w:hAnsi="宋体" w:cs="宋体" w:eastAsia="宋体" w:hint="default"/>
          <w:spacing w:val="-2"/>
        </w:rPr>
        <w:t>095</w:t>
      </w:r>
      <w:r>
        <w:rPr>
          <w:spacing w:val="-2"/>
        </w:rPr>
        <w:t>号〕核准，本公司名称变更为“澄海市群</w:t>
      </w:r>
      <w:r>
        <w:rPr/>
        <w:t> 兴玩具有限公司”。</w:t>
      </w:r>
    </w:p>
    <w:p>
      <w:pPr>
        <w:pStyle w:val="BodyText"/>
        <w:spacing w:line="477" w:lineRule="auto" w:before="56"/>
        <w:ind w:right="186" w:firstLine="360"/>
        <w:jc w:val="both"/>
      </w:pPr>
      <w:r>
        <w:rPr>
          <w:rFonts w:ascii="宋体" w:hAnsi="宋体" w:cs="宋体" w:eastAsia="宋体" w:hint="default"/>
          <w:spacing w:val="-2"/>
        </w:rPr>
        <w:t>2004</w:t>
      </w:r>
      <w:r>
        <w:rPr>
          <w:spacing w:val="-2"/>
        </w:rPr>
        <w:t>年</w:t>
      </w:r>
      <w:r>
        <w:rPr>
          <w:rFonts w:ascii="宋体" w:hAnsi="宋体" w:cs="宋体" w:eastAsia="宋体" w:hint="default"/>
          <w:spacing w:val="-2"/>
        </w:rPr>
        <w:t>2</w:t>
      </w:r>
      <w:r>
        <w:rPr>
          <w:spacing w:val="-2"/>
        </w:rPr>
        <w:t>月</w:t>
      </w:r>
      <w:r>
        <w:rPr>
          <w:rFonts w:ascii="宋体" w:hAnsi="宋体" w:cs="宋体" w:eastAsia="宋体" w:hint="default"/>
          <w:spacing w:val="-2"/>
        </w:rPr>
        <w:t>9</w:t>
      </w:r>
      <w:r>
        <w:rPr>
          <w:spacing w:val="-2"/>
        </w:rPr>
        <w:t>日，根据公司股东会决议，本公司增加注册资本</w:t>
      </w:r>
      <w:r>
        <w:rPr>
          <w:rFonts w:ascii="宋体" w:hAnsi="宋体" w:cs="宋体" w:eastAsia="宋体" w:hint="default"/>
          <w:spacing w:val="-2"/>
        </w:rPr>
        <w:t>700</w:t>
      </w:r>
      <w:r>
        <w:rPr>
          <w:spacing w:val="-2"/>
        </w:rPr>
        <w:t>万元，其中林伟章以货币资金增资</w:t>
      </w:r>
      <w:r>
        <w:rPr>
          <w:rFonts w:ascii="宋体" w:hAnsi="宋体" w:cs="宋体" w:eastAsia="宋体" w:hint="default"/>
          <w:spacing w:val="-2"/>
        </w:rPr>
        <w:t>350</w:t>
      </w:r>
      <w:r>
        <w:rPr>
          <w:spacing w:val="-2"/>
        </w:rPr>
        <w:t>万元，黄仕群以货</w:t>
      </w:r>
      <w:r>
        <w:rPr/>
        <w:t> 币资金增资</w:t>
      </w:r>
      <w:r>
        <w:rPr>
          <w:rFonts w:ascii="宋体" w:hAnsi="宋体" w:cs="宋体" w:eastAsia="宋体" w:hint="default"/>
        </w:rPr>
        <w:t>350</w:t>
      </w:r>
      <w:r>
        <w:rPr/>
        <w:t>万元。增资完成后，本公司注册资本为人民币</w:t>
      </w:r>
      <w:r>
        <w:rPr>
          <w:rFonts w:ascii="宋体" w:hAnsi="宋体" w:cs="宋体" w:eastAsia="宋体" w:hint="default"/>
        </w:rPr>
        <w:t>1,087</w:t>
      </w:r>
      <w:r>
        <w:rPr/>
        <w:t>万元，其中林伟章出资人民币</w:t>
      </w:r>
      <w:r>
        <w:rPr>
          <w:rFonts w:ascii="宋体" w:hAnsi="宋体" w:cs="宋体" w:eastAsia="宋体" w:hint="default"/>
        </w:rPr>
        <w:t>543.5</w:t>
      </w:r>
      <w:r>
        <w:rPr/>
        <w:t>万元，占注册资本的</w:t>
      </w:r>
      <w:r>
        <w:rPr>
          <w:spacing w:val="-85"/>
        </w:rPr>
        <w:t> </w:t>
      </w:r>
      <w:r>
        <w:rPr>
          <w:rFonts w:ascii="宋体" w:hAnsi="宋体" w:cs="宋体" w:eastAsia="宋体" w:hint="default"/>
        </w:rPr>
        <w:t>50%</w:t>
      </w:r>
      <w:r>
        <w:rPr/>
        <w:t>；黄仕群出资人民币</w:t>
      </w:r>
      <w:r>
        <w:rPr>
          <w:rFonts w:ascii="宋体" w:hAnsi="宋体" w:cs="宋体" w:eastAsia="宋体" w:hint="default"/>
        </w:rPr>
        <w:t>543.5</w:t>
      </w:r>
      <w:r>
        <w:rPr/>
        <w:t>万元，占注册资本的</w:t>
      </w:r>
      <w:r>
        <w:rPr>
          <w:rFonts w:ascii="宋体" w:hAnsi="宋体" w:cs="宋体" w:eastAsia="宋体" w:hint="default"/>
        </w:rPr>
        <w:t>50%</w:t>
      </w:r>
      <w:r>
        <w:rPr/>
        <w:t>。上述增资业经汕头市丰业会计师事务所汕丰会内验（</w:t>
      </w:r>
      <w:r>
        <w:rPr>
          <w:rFonts w:ascii="宋体" w:hAnsi="宋体" w:cs="宋体" w:eastAsia="宋体" w:hint="default"/>
        </w:rPr>
        <w:t>2004</w:t>
      </w:r>
      <w:r>
        <w:rPr/>
        <w:t>）第</w:t>
      </w:r>
      <w:r>
        <w:rPr>
          <w:rFonts w:ascii="宋体" w:hAnsi="宋体" w:cs="宋体" w:eastAsia="宋体" w:hint="default"/>
        </w:rPr>
        <w:t>016</w:t>
      </w:r>
      <w:r>
        <w:rPr>
          <w:rFonts w:ascii="宋体" w:hAnsi="宋体" w:cs="宋体" w:eastAsia="宋体" w:hint="default"/>
          <w:spacing w:val="-7"/>
        </w:rPr>
        <w:t> </w:t>
      </w:r>
      <w:r>
        <w:rPr>
          <w:rFonts w:ascii="宋体" w:hAnsi="宋体" w:cs="宋体" w:eastAsia="宋体" w:hint="default"/>
          <w:spacing w:val="-7"/>
        </w:rPr>
      </w:r>
      <w:r>
        <w:rPr/>
        <w:t>号验资报告验证确认。</w:t>
      </w:r>
    </w:p>
    <w:p>
      <w:pPr>
        <w:pStyle w:val="BodyText"/>
        <w:spacing w:line="477" w:lineRule="auto" w:before="54"/>
        <w:ind w:right="191" w:firstLine="360"/>
        <w:jc w:val="both"/>
      </w:pPr>
      <w:r>
        <w:rPr>
          <w:rFonts w:ascii="宋体" w:hAnsi="宋体" w:cs="宋体" w:eastAsia="宋体" w:hint="default"/>
          <w:spacing w:val="-2"/>
        </w:rPr>
        <w:t>2004</w:t>
      </w:r>
      <w:r>
        <w:rPr>
          <w:spacing w:val="-2"/>
        </w:rPr>
        <w:t>年</w:t>
      </w:r>
      <w:r>
        <w:rPr>
          <w:rFonts w:ascii="宋体" w:hAnsi="宋体" w:cs="宋体" w:eastAsia="宋体" w:hint="default"/>
          <w:spacing w:val="-2"/>
        </w:rPr>
        <w:t>3</w:t>
      </w:r>
      <w:r>
        <w:rPr>
          <w:spacing w:val="-2"/>
        </w:rPr>
        <w:t>月</w:t>
      </w:r>
      <w:r>
        <w:rPr>
          <w:rFonts w:ascii="宋体" w:hAnsi="宋体" w:cs="宋体" w:eastAsia="宋体" w:hint="default"/>
          <w:spacing w:val="-2"/>
        </w:rPr>
        <w:t>8</w:t>
      </w:r>
      <w:r>
        <w:rPr>
          <w:spacing w:val="-2"/>
        </w:rPr>
        <w:t>日，经广东省工商行政管理局（粤名预私冠字</w:t>
      </w:r>
      <w:r>
        <w:rPr>
          <w:rFonts w:ascii="宋体" w:hAnsi="宋体" w:cs="宋体" w:eastAsia="宋体" w:hint="default"/>
          <w:spacing w:val="-2"/>
        </w:rPr>
        <w:t>[2004]</w:t>
      </w:r>
      <w:r>
        <w:rPr>
          <w:spacing w:val="-2"/>
        </w:rPr>
        <w:t>第</w:t>
      </w:r>
      <w:r>
        <w:rPr>
          <w:rFonts w:ascii="宋体" w:hAnsi="宋体" w:cs="宋体" w:eastAsia="宋体" w:hint="default"/>
          <w:spacing w:val="-2"/>
        </w:rPr>
        <w:t>55</w:t>
      </w:r>
      <w:r>
        <w:rPr>
          <w:spacing w:val="-2"/>
        </w:rPr>
        <w:t>号）核准，本公司名称变更为“广东群兴玩具实业</w:t>
      </w:r>
      <w:r>
        <w:rPr/>
        <w:t> 有限公司”。</w:t>
      </w:r>
    </w:p>
    <w:p>
      <w:pPr>
        <w:pStyle w:val="BodyText"/>
        <w:spacing w:line="477" w:lineRule="auto" w:before="54"/>
        <w:ind w:right="94" w:firstLine="360"/>
        <w:jc w:val="left"/>
      </w:pPr>
      <w:r>
        <w:rPr>
          <w:rFonts w:ascii="宋体" w:hAnsi="宋体" w:cs="宋体" w:eastAsia="宋体" w:hint="default"/>
        </w:rPr>
        <w:t>2008</w:t>
      </w:r>
      <w:r>
        <w:rPr/>
        <w:t>年</w:t>
      </w:r>
      <w:r>
        <w:rPr>
          <w:rFonts w:ascii="宋体" w:hAnsi="宋体" w:cs="宋体" w:eastAsia="宋体" w:hint="default"/>
        </w:rPr>
        <w:t>11</w:t>
      </w:r>
      <w:r>
        <w:rPr/>
        <w:t>月</w:t>
      </w:r>
      <w:r>
        <w:rPr>
          <w:rFonts w:ascii="宋体" w:hAnsi="宋体" w:cs="宋体" w:eastAsia="宋体" w:hint="default"/>
        </w:rPr>
        <w:t>28</w:t>
      </w:r>
      <w:r>
        <w:rPr/>
        <w:t>日，根据公司股东会决议，本公司增加注册资本</w:t>
      </w:r>
      <w:r>
        <w:rPr>
          <w:rFonts w:ascii="宋体" w:hAnsi="宋体" w:cs="宋体" w:eastAsia="宋体" w:hint="default"/>
        </w:rPr>
        <w:t>4,000</w:t>
      </w:r>
      <w:r>
        <w:rPr/>
        <w:t>万元，其中林伟章以货币资金增资</w:t>
      </w:r>
      <w:r>
        <w:rPr>
          <w:rFonts w:ascii="宋体" w:hAnsi="宋体" w:cs="宋体" w:eastAsia="宋体" w:hint="default"/>
        </w:rPr>
        <w:t>1,491.30</w:t>
      </w:r>
      <w:r>
        <w:rPr/>
        <w:t>万元， </w:t>
      </w:r>
      <w:r>
        <w:rPr>
          <w:spacing w:val="-3"/>
        </w:rPr>
        <w:t>黄仕群以货币资金增资</w:t>
      </w:r>
      <w:r>
        <w:rPr>
          <w:rFonts w:ascii="宋体" w:hAnsi="宋体" w:cs="宋体" w:eastAsia="宋体" w:hint="default"/>
          <w:spacing w:val="-3"/>
        </w:rPr>
        <w:t>982.60</w:t>
      </w:r>
      <w:r>
        <w:rPr>
          <w:spacing w:val="-3"/>
        </w:rPr>
        <w:t>万元，林少洁以货币资金增资</w:t>
      </w:r>
      <w:r>
        <w:rPr>
          <w:rFonts w:ascii="宋体" w:hAnsi="宋体" w:cs="宋体" w:eastAsia="宋体" w:hint="default"/>
          <w:spacing w:val="-3"/>
        </w:rPr>
        <w:t>1,017.40</w:t>
      </w:r>
      <w:r>
        <w:rPr>
          <w:spacing w:val="-3"/>
        </w:rPr>
        <w:t>万元，林伟亮以货币资金增资</w:t>
      </w:r>
      <w:r>
        <w:rPr>
          <w:rFonts w:ascii="宋体" w:hAnsi="宋体" w:cs="宋体" w:eastAsia="宋体" w:hint="default"/>
          <w:spacing w:val="-3"/>
        </w:rPr>
        <w:t>508.70</w:t>
      </w:r>
      <w:r>
        <w:rPr>
          <w:spacing w:val="-3"/>
        </w:rPr>
        <w:t>万元。增资完成后，</w:t>
      </w:r>
      <w:r>
        <w:rPr>
          <w:spacing w:val="-74"/>
        </w:rPr>
        <w:t> </w:t>
      </w:r>
      <w:r>
        <w:rPr>
          <w:spacing w:val="-74"/>
        </w:rPr>
      </w:r>
      <w:r>
        <w:rPr>
          <w:spacing w:val="-2"/>
        </w:rPr>
        <w:t>本公司注册资本为人民币</w:t>
      </w:r>
      <w:r>
        <w:rPr>
          <w:rFonts w:ascii="宋体" w:hAnsi="宋体" w:cs="宋体" w:eastAsia="宋体" w:hint="default"/>
          <w:spacing w:val="-2"/>
        </w:rPr>
        <w:t>5,087</w:t>
      </w:r>
      <w:r>
        <w:rPr>
          <w:spacing w:val="-2"/>
        </w:rPr>
        <w:t>万元，其中林伟章出资人民币</w:t>
      </w:r>
      <w:r>
        <w:rPr>
          <w:rFonts w:ascii="宋体" w:hAnsi="宋体" w:cs="宋体" w:eastAsia="宋体" w:hint="default"/>
          <w:spacing w:val="-2"/>
        </w:rPr>
        <w:t>2,034.80</w:t>
      </w:r>
      <w:r>
        <w:rPr>
          <w:spacing w:val="-2"/>
        </w:rPr>
        <w:t>万元，占注册资本的</w:t>
      </w:r>
      <w:r>
        <w:rPr>
          <w:rFonts w:ascii="宋体" w:hAnsi="宋体" w:cs="宋体" w:eastAsia="宋体" w:hint="default"/>
          <w:spacing w:val="-2"/>
        </w:rPr>
        <w:t>40%</w:t>
      </w:r>
      <w:r>
        <w:rPr>
          <w:spacing w:val="-2"/>
        </w:rPr>
        <w:t>；黄仕群出资人民币</w:t>
      </w:r>
      <w:r>
        <w:rPr>
          <w:rFonts w:ascii="宋体" w:hAnsi="宋体" w:cs="宋体" w:eastAsia="宋体" w:hint="default"/>
          <w:spacing w:val="-2"/>
        </w:rPr>
        <w:t>1,526.10</w:t>
      </w:r>
      <w:r>
        <w:rPr>
          <w:rFonts w:ascii="宋体" w:hAnsi="宋体" w:cs="宋体" w:eastAsia="宋体" w:hint="default"/>
          <w:spacing w:val="-50"/>
        </w:rPr>
        <w:t> </w:t>
      </w:r>
      <w:r>
        <w:rPr>
          <w:rFonts w:ascii="宋体" w:hAnsi="宋体" w:cs="宋体" w:eastAsia="宋体" w:hint="default"/>
          <w:spacing w:val="-50"/>
        </w:rPr>
      </w:r>
      <w:r>
        <w:rPr>
          <w:spacing w:val="-2"/>
        </w:rPr>
        <w:t>万元，占注册资本的</w:t>
      </w:r>
      <w:r>
        <w:rPr>
          <w:rFonts w:ascii="宋体" w:hAnsi="宋体" w:cs="宋体" w:eastAsia="宋体" w:hint="default"/>
          <w:spacing w:val="-2"/>
        </w:rPr>
        <w:t>30%</w:t>
      </w:r>
      <w:r>
        <w:rPr>
          <w:spacing w:val="-2"/>
        </w:rPr>
        <w:t>；林少洁出资人民币</w:t>
      </w:r>
      <w:r>
        <w:rPr>
          <w:rFonts w:ascii="宋体" w:hAnsi="宋体" w:cs="宋体" w:eastAsia="宋体" w:hint="default"/>
          <w:spacing w:val="-2"/>
        </w:rPr>
        <w:t>1,017.40</w:t>
      </w:r>
      <w:r>
        <w:rPr>
          <w:spacing w:val="-2"/>
        </w:rPr>
        <w:t>万元，占注册资本的</w:t>
      </w:r>
      <w:r>
        <w:rPr>
          <w:rFonts w:ascii="宋体" w:hAnsi="宋体" w:cs="宋体" w:eastAsia="宋体" w:hint="default"/>
          <w:spacing w:val="-2"/>
        </w:rPr>
        <w:t>20%</w:t>
      </w:r>
      <w:r>
        <w:rPr>
          <w:spacing w:val="-2"/>
        </w:rPr>
        <w:t>；林伟亮出资人民币</w:t>
      </w:r>
      <w:r>
        <w:rPr>
          <w:rFonts w:ascii="宋体" w:hAnsi="宋体" w:cs="宋体" w:eastAsia="宋体" w:hint="default"/>
          <w:spacing w:val="-2"/>
        </w:rPr>
        <w:t>508.70</w:t>
      </w:r>
      <w:r>
        <w:rPr>
          <w:spacing w:val="-2"/>
        </w:rPr>
        <w:t>万元，占注册资本</w:t>
      </w:r>
      <w:r>
        <w:rPr>
          <w:spacing w:val="-54"/>
        </w:rPr>
        <w:t> </w:t>
      </w:r>
      <w:r>
        <w:rPr>
          <w:spacing w:val="-54"/>
        </w:rPr>
      </w:r>
      <w:r>
        <w:rPr/>
        <w:t>的</w:t>
      </w:r>
      <w:r>
        <w:rPr>
          <w:rFonts w:ascii="宋体" w:hAnsi="宋体" w:cs="宋体" w:eastAsia="宋体" w:hint="default"/>
        </w:rPr>
        <w:t>10%</w:t>
      </w:r>
      <w:r>
        <w:rPr/>
        <w:t>。上述增资业经汕头市丰业会计师事务所汕丰会内验（</w:t>
      </w:r>
      <w:r>
        <w:rPr>
          <w:rFonts w:ascii="宋体" w:hAnsi="宋体" w:cs="宋体" w:eastAsia="宋体" w:hint="default"/>
        </w:rPr>
        <w:t>2008</w:t>
      </w:r>
      <w:r>
        <w:rPr/>
        <w:t>）第</w:t>
      </w:r>
      <w:r>
        <w:rPr>
          <w:rFonts w:ascii="宋体" w:hAnsi="宋体" w:cs="宋体" w:eastAsia="宋体" w:hint="default"/>
        </w:rPr>
        <w:t>1085</w:t>
      </w:r>
      <w:r>
        <w:rPr/>
        <w:t>号验资报告验证确认。</w:t>
      </w:r>
    </w:p>
    <w:p>
      <w:pPr>
        <w:pStyle w:val="BodyText"/>
        <w:spacing w:line="240" w:lineRule="auto" w:before="54"/>
        <w:ind w:left="513" w:right="0"/>
        <w:jc w:val="left"/>
      </w:pPr>
      <w:r>
        <w:rPr>
          <w:rFonts w:ascii="宋体" w:hAnsi="宋体" w:cs="宋体" w:eastAsia="宋体" w:hint="default"/>
        </w:rPr>
        <w:t>2009</w:t>
      </w:r>
      <w:r>
        <w:rPr/>
        <w:t>年</w:t>
      </w:r>
      <w:r>
        <w:rPr>
          <w:rFonts w:ascii="宋体" w:hAnsi="宋体" w:cs="宋体" w:eastAsia="宋体" w:hint="default"/>
        </w:rPr>
        <w:t>8</w:t>
      </w:r>
      <w:r>
        <w:rPr/>
        <w:t>月</w:t>
      </w:r>
      <w:r>
        <w:rPr>
          <w:rFonts w:ascii="宋体" w:hAnsi="宋体" w:cs="宋体" w:eastAsia="宋体" w:hint="default"/>
        </w:rPr>
        <w:t>4</w:t>
      </w:r>
      <w:r>
        <w:rPr/>
        <w:t>日，林伟章、黄仕群、林少洁、林伟亮与广东群兴投资有限公司（以下简称“群兴投资”）签订股权转让协</w:t>
      </w:r>
    </w:p>
    <w:p>
      <w:pPr>
        <w:spacing w:after="0" w:line="240" w:lineRule="auto"/>
        <w:jc w:val="left"/>
        <w:sectPr>
          <w:headerReference w:type="default" r:id="rId18"/>
          <w:footerReference w:type="default" r:id="rId19"/>
          <w:pgSz w:w="11910" w:h="16840"/>
          <w:pgMar w:header="877" w:footer="979" w:top="1100" w:bottom="1160" w:left="980" w:right="940"/>
          <w:pgNumType w:start="81"/>
        </w:sectPr>
      </w:pPr>
    </w:p>
    <w:p>
      <w:pPr>
        <w:spacing w:line="240" w:lineRule="auto" w:before="12"/>
        <w:rPr>
          <w:rFonts w:ascii="宋体" w:hAnsi="宋体" w:cs="宋体" w:eastAsia="宋体" w:hint="default"/>
          <w:sz w:val="27"/>
          <w:szCs w:val="27"/>
        </w:rPr>
      </w:pPr>
    </w:p>
    <w:p>
      <w:pPr>
        <w:pStyle w:val="BodyText"/>
        <w:spacing w:line="477" w:lineRule="auto" w:before="44"/>
        <w:ind w:right="107"/>
        <w:jc w:val="both"/>
      </w:pPr>
      <w:r>
        <w:rPr/>
        <w:t>议，林伟章将持有的本公司</w:t>
      </w:r>
      <w:r>
        <w:rPr>
          <w:rFonts w:ascii="宋体" w:hAnsi="宋体" w:cs="宋体" w:eastAsia="宋体" w:hint="default"/>
        </w:rPr>
        <w:t>40%</w:t>
      </w:r>
      <w:r>
        <w:rPr/>
        <w:t>的股份以人民币</w:t>
      </w:r>
      <w:r>
        <w:rPr>
          <w:rFonts w:ascii="宋体" w:hAnsi="宋体" w:cs="宋体" w:eastAsia="宋体" w:hint="default"/>
        </w:rPr>
        <w:t>2,034.8</w:t>
      </w:r>
      <w:r>
        <w:rPr/>
        <w:t>万元的价格转让给群兴投资，黄仕群将持有的本公司</w:t>
      </w:r>
      <w:r>
        <w:rPr>
          <w:rFonts w:ascii="宋体" w:hAnsi="宋体" w:cs="宋体" w:eastAsia="宋体" w:hint="default"/>
        </w:rPr>
        <w:t>30%</w:t>
      </w:r>
      <w:r>
        <w:rPr/>
        <w:t>的股份以人</w:t>
      </w:r>
      <w:r>
        <w:rPr>
          <w:spacing w:val="-86"/>
        </w:rPr>
        <w:t> </w:t>
      </w:r>
      <w:r>
        <w:rPr/>
        <w:t>民币</w:t>
      </w:r>
      <w:r>
        <w:rPr>
          <w:rFonts w:ascii="宋体" w:hAnsi="宋体" w:cs="宋体" w:eastAsia="宋体" w:hint="default"/>
        </w:rPr>
        <w:t>1,526.1</w:t>
      </w:r>
      <w:r>
        <w:rPr/>
        <w:t>万元的价格转让给群兴投资，林少洁将持有的本公司</w:t>
      </w:r>
      <w:r>
        <w:rPr>
          <w:rFonts w:ascii="宋体" w:hAnsi="宋体" w:cs="宋体" w:eastAsia="宋体" w:hint="default"/>
        </w:rPr>
        <w:t>20%</w:t>
      </w:r>
      <w:r>
        <w:rPr/>
        <w:t>的股份以人民币</w:t>
      </w:r>
      <w:r>
        <w:rPr>
          <w:rFonts w:ascii="宋体" w:hAnsi="宋体" w:cs="宋体" w:eastAsia="宋体" w:hint="default"/>
        </w:rPr>
        <w:t>1,017.4</w:t>
      </w:r>
      <w:r>
        <w:rPr/>
        <w:t>万元的价格转让给群兴投资， 林伟亮将持有的本公司</w:t>
      </w:r>
      <w:r>
        <w:rPr>
          <w:rFonts w:ascii="宋体" w:hAnsi="宋体" w:cs="宋体" w:eastAsia="宋体" w:hint="default"/>
        </w:rPr>
        <w:t>10%</w:t>
      </w:r>
      <w:r>
        <w:rPr/>
        <w:t>的股份以人民币</w:t>
      </w:r>
      <w:r>
        <w:rPr>
          <w:rFonts w:ascii="宋体" w:hAnsi="宋体" w:cs="宋体" w:eastAsia="宋体" w:hint="default"/>
        </w:rPr>
        <w:t>508.7</w:t>
      </w:r>
      <w:r>
        <w:rPr/>
        <w:t>万元的价格转让给群兴投资。转让完成后，群兴投资持有本公司</w:t>
      </w:r>
      <w:r>
        <w:rPr>
          <w:rFonts w:ascii="宋体" w:hAnsi="宋体" w:cs="宋体" w:eastAsia="宋体" w:hint="default"/>
        </w:rPr>
        <w:t>100%</w:t>
      </w:r>
      <w:r>
        <w:rPr/>
        <w:t>股权。</w:t>
      </w:r>
    </w:p>
    <w:p>
      <w:pPr>
        <w:pStyle w:val="BodyText"/>
        <w:spacing w:line="477" w:lineRule="auto" w:before="54"/>
        <w:ind w:right="188" w:firstLine="360"/>
        <w:jc w:val="both"/>
      </w:pPr>
      <w:r>
        <w:rPr>
          <w:rFonts w:ascii="宋体" w:hAnsi="宋体" w:cs="宋体" w:eastAsia="宋体" w:hint="default"/>
        </w:rPr>
        <w:t>2009</w:t>
      </w:r>
      <w:r>
        <w:rPr/>
        <w:t>年</w:t>
      </w:r>
      <w:r>
        <w:rPr>
          <w:rFonts w:ascii="宋体" w:hAnsi="宋体" w:cs="宋体" w:eastAsia="宋体" w:hint="default"/>
        </w:rPr>
        <w:t>11</w:t>
      </w:r>
      <w:r>
        <w:rPr/>
        <w:t>月</w:t>
      </w:r>
      <w:r>
        <w:rPr>
          <w:rFonts w:ascii="宋体" w:hAnsi="宋体" w:cs="宋体" w:eastAsia="宋体" w:hint="default"/>
        </w:rPr>
        <w:t>13</w:t>
      </w:r>
      <w:r>
        <w:rPr/>
        <w:t>日，根据公司股东会决议，本公司增加注册资本</w:t>
      </w:r>
      <w:r>
        <w:rPr>
          <w:rFonts w:ascii="宋体" w:hAnsi="宋体" w:cs="宋体" w:eastAsia="宋体" w:hint="default"/>
        </w:rPr>
        <w:t>1,271.75</w:t>
      </w:r>
      <w:r>
        <w:rPr/>
        <w:t>万元，其中梁健锋以货币资金对本公司增资</w:t>
      </w:r>
      <w:r>
        <w:rPr>
          <w:rFonts w:ascii="宋体" w:hAnsi="宋体" w:cs="宋体" w:eastAsia="宋体" w:hint="default"/>
        </w:rPr>
        <w:t>585</w:t>
      </w:r>
      <w:r>
        <w:rPr>
          <w:rFonts w:ascii="宋体" w:hAnsi="宋体" w:cs="宋体" w:eastAsia="宋体" w:hint="default"/>
          <w:spacing w:val="1"/>
        </w:rPr>
        <w:t> </w:t>
      </w:r>
      <w:r>
        <w:rPr/>
        <w:t>万元，其中认缴注册资本</w:t>
      </w:r>
      <w:r>
        <w:rPr>
          <w:rFonts w:ascii="宋体" w:hAnsi="宋体" w:cs="宋体" w:eastAsia="宋体" w:hint="default"/>
        </w:rPr>
        <w:t>286.14</w:t>
      </w:r>
      <w:r>
        <w:rPr/>
        <w:t>万元；陈明光以货币资金对本公司增资</w:t>
      </w:r>
      <w:r>
        <w:rPr>
          <w:rFonts w:ascii="宋体" w:hAnsi="宋体" w:cs="宋体" w:eastAsia="宋体" w:hint="default"/>
        </w:rPr>
        <w:t>585</w:t>
      </w:r>
      <w:r>
        <w:rPr/>
        <w:t>万元，其中认缴注册资本</w:t>
      </w:r>
      <w:r>
        <w:rPr>
          <w:rFonts w:ascii="宋体" w:hAnsi="宋体" w:cs="宋体" w:eastAsia="宋体" w:hint="default"/>
        </w:rPr>
        <w:t>286.14</w:t>
      </w:r>
      <w:r>
        <w:rPr/>
        <w:t>万元；李新岗以</w:t>
      </w:r>
      <w:r>
        <w:rPr>
          <w:spacing w:val="-87"/>
        </w:rPr>
        <w:t> </w:t>
      </w:r>
      <w:r>
        <w:rPr>
          <w:spacing w:val="-2"/>
        </w:rPr>
        <w:t>货币资金对本公司增资</w:t>
      </w:r>
      <w:r>
        <w:rPr>
          <w:rFonts w:ascii="宋体" w:hAnsi="宋体" w:cs="宋体" w:eastAsia="宋体" w:hint="default"/>
          <w:spacing w:val="-2"/>
        </w:rPr>
        <w:t>390</w:t>
      </w:r>
      <w:r>
        <w:rPr>
          <w:spacing w:val="-2"/>
        </w:rPr>
        <w:t>万元，其中认缴注册资本</w:t>
      </w:r>
      <w:r>
        <w:rPr>
          <w:rFonts w:ascii="宋体" w:hAnsi="宋体" w:cs="宋体" w:eastAsia="宋体" w:hint="default"/>
          <w:spacing w:val="-2"/>
        </w:rPr>
        <w:t>190.77</w:t>
      </w:r>
      <w:r>
        <w:rPr>
          <w:spacing w:val="-2"/>
        </w:rPr>
        <w:t>万元；林少明以货币资金对本公司增资</w:t>
      </w:r>
      <w:r>
        <w:rPr>
          <w:rFonts w:ascii="宋体" w:hAnsi="宋体" w:cs="宋体" w:eastAsia="宋体" w:hint="default"/>
          <w:spacing w:val="-2"/>
        </w:rPr>
        <w:t>520</w:t>
      </w:r>
      <w:r>
        <w:rPr>
          <w:spacing w:val="-2"/>
        </w:rPr>
        <w:t>万元，其中认缴注册资</w:t>
      </w:r>
      <w:r>
        <w:rPr>
          <w:spacing w:val="-56"/>
        </w:rPr>
        <w:t> </w:t>
      </w:r>
      <w:r>
        <w:rPr>
          <w:spacing w:val="-56"/>
        </w:rPr>
      </w:r>
      <w:r>
        <w:rPr/>
        <w:t>本</w:t>
      </w:r>
      <w:r>
        <w:rPr>
          <w:rFonts w:ascii="宋体" w:hAnsi="宋体" w:cs="宋体" w:eastAsia="宋体" w:hint="default"/>
        </w:rPr>
        <w:t>254.35</w:t>
      </w:r>
      <w:r>
        <w:rPr/>
        <w:t>万元；林桂升以货币资金对本公司增资</w:t>
      </w:r>
      <w:r>
        <w:rPr>
          <w:rFonts w:ascii="宋体" w:hAnsi="宋体" w:cs="宋体" w:eastAsia="宋体" w:hint="default"/>
        </w:rPr>
        <w:t>520</w:t>
      </w:r>
      <w:r>
        <w:rPr/>
        <w:t>万元，其中认缴注册资本</w:t>
      </w:r>
      <w:r>
        <w:rPr>
          <w:rFonts w:ascii="宋体" w:hAnsi="宋体" w:cs="宋体" w:eastAsia="宋体" w:hint="default"/>
        </w:rPr>
        <w:t>254.35</w:t>
      </w:r>
      <w:r>
        <w:rPr/>
        <w:t>万元；此次增资款与认缴注册资本的差 额</w:t>
      </w:r>
      <w:r>
        <w:rPr>
          <w:rFonts w:ascii="宋体" w:hAnsi="宋体" w:cs="宋体" w:eastAsia="宋体" w:hint="default"/>
        </w:rPr>
        <w:t>1,328.25</w:t>
      </w:r>
      <w:r>
        <w:rPr/>
        <w:t>万元转作资本公积。增资完成后，本公司注册资本为人民币</w:t>
      </w:r>
      <w:r>
        <w:rPr>
          <w:rFonts w:ascii="宋体" w:hAnsi="宋体" w:cs="宋体" w:eastAsia="宋体" w:hint="default"/>
        </w:rPr>
        <w:t>6,358.75</w:t>
      </w:r>
      <w:r>
        <w:rPr/>
        <w:t>万元，群兴投资出资人民币</w:t>
      </w:r>
      <w:r>
        <w:rPr>
          <w:rFonts w:ascii="宋体" w:hAnsi="宋体" w:cs="宋体" w:eastAsia="宋体" w:hint="default"/>
        </w:rPr>
        <w:t>5,087</w:t>
      </w:r>
      <w:r>
        <w:rPr/>
        <w:t>万元，占 注册资本的</w:t>
      </w:r>
      <w:r>
        <w:rPr>
          <w:rFonts w:ascii="宋体" w:hAnsi="宋体" w:cs="宋体" w:eastAsia="宋体" w:hint="default"/>
        </w:rPr>
        <w:t>80%</w:t>
      </w:r>
      <w:r>
        <w:rPr/>
        <w:t>；梁健锋出资人民币</w:t>
      </w:r>
      <w:r>
        <w:rPr>
          <w:rFonts w:ascii="宋体" w:hAnsi="宋体" w:cs="宋体" w:eastAsia="宋体" w:hint="default"/>
        </w:rPr>
        <w:t>286.15</w:t>
      </w:r>
      <w:r>
        <w:rPr/>
        <w:t>万元，占注册资本的</w:t>
      </w:r>
      <w:r>
        <w:rPr>
          <w:rFonts w:ascii="宋体" w:hAnsi="宋体" w:cs="宋体" w:eastAsia="宋体" w:hint="default"/>
        </w:rPr>
        <w:t>4.5%</w:t>
      </w:r>
      <w:r>
        <w:rPr/>
        <w:t>；陈明光出资人民币</w:t>
      </w:r>
      <w:r>
        <w:rPr>
          <w:rFonts w:ascii="宋体" w:hAnsi="宋体" w:cs="宋体" w:eastAsia="宋体" w:hint="default"/>
        </w:rPr>
        <w:t>286.15</w:t>
      </w:r>
      <w:r>
        <w:rPr/>
        <w:t>万元，占注册资本的</w:t>
      </w:r>
      <w:r>
        <w:rPr>
          <w:rFonts w:ascii="宋体" w:hAnsi="宋体" w:cs="宋体" w:eastAsia="宋体" w:hint="default"/>
        </w:rPr>
        <w:t>4.5%</w:t>
      </w:r>
      <w:r>
        <w:rPr/>
        <w:t>；</w:t>
      </w:r>
      <w:r>
        <w:rPr>
          <w:spacing w:val="-87"/>
        </w:rPr>
        <w:t> </w:t>
      </w:r>
      <w:r>
        <w:rPr>
          <w:spacing w:val="-5"/>
        </w:rPr>
        <w:t>李新岗出资人民币</w:t>
      </w:r>
      <w:r>
        <w:rPr>
          <w:rFonts w:ascii="宋体" w:hAnsi="宋体" w:cs="宋体" w:eastAsia="宋体" w:hint="default"/>
          <w:spacing w:val="-5"/>
        </w:rPr>
        <w:t>190.75</w:t>
      </w:r>
      <w:r>
        <w:rPr>
          <w:spacing w:val="-5"/>
        </w:rPr>
        <w:t>万元，占注册资本的</w:t>
      </w:r>
      <w:r>
        <w:rPr>
          <w:rFonts w:ascii="宋体" w:hAnsi="宋体" w:cs="宋体" w:eastAsia="宋体" w:hint="default"/>
          <w:spacing w:val="-5"/>
        </w:rPr>
        <w:t>3%</w:t>
      </w:r>
      <w:r>
        <w:rPr>
          <w:spacing w:val="-5"/>
        </w:rPr>
        <w:t>；林少明出资人民币</w:t>
      </w:r>
      <w:r>
        <w:rPr>
          <w:rFonts w:ascii="宋体" w:hAnsi="宋体" w:cs="宋体" w:eastAsia="宋体" w:hint="default"/>
          <w:spacing w:val="-5"/>
        </w:rPr>
        <w:t>254.35</w:t>
      </w:r>
      <w:r>
        <w:rPr>
          <w:spacing w:val="-5"/>
        </w:rPr>
        <w:t>万元，占注册资本的</w:t>
      </w:r>
      <w:r>
        <w:rPr>
          <w:rFonts w:ascii="宋体" w:hAnsi="宋体" w:cs="宋体" w:eastAsia="宋体" w:hint="default"/>
          <w:spacing w:val="-5"/>
        </w:rPr>
        <w:t>4%</w:t>
      </w:r>
      <w:r>
        <w:rPr>
          <w:spacing w:val="-5"/>
        </w:rPr>
        <w:t>；林桂升出资人民币</w:t>
      </w:r>
      <w:r>
        <w:rPr>
          <w:rFonts w:ascii="宋体" w:hAnsi="宋体" w:cs="宋体" w:eastAsia="宋体" w:hint="default"/>
          <w:spacing w:val="-5"/>
        </w:rPr>
        <w:t>254.35</w:t>
      </w:r>
      <w:r>
        <w:rPr>
          <w:rFonts w:ascii="宋体" w:hAnsi="宋体" w:cs="宋体" w:eastAsia="宋体" w:hint="default"/>
          <w:spacing w:val="-28"/>
        </w:rPr>
        <w:t> </w:t>
      </w:r>
      <w:r>
        <w:rPr>
          <w:rFonts w:ascii="宋体" w:hAnsi="宋体" w:cs="宋体" w:eastAsia="宋体" w:hint="default"/>
          <w:spacing w:val="-28"/>
        </w:rPr>
      </w:r>
      <w:r>
        <w:rPr/>
        <w:t>万元，占注册资本的</w:t>
      </w:r>
      <w:r>
        <w:rPr>
          <w:rFonts w:ascii="宋体" w:hAnsi="宋体" w:cs="宋体" w:eastAsia="宋体" w:hint="default"/>
        </w:rPr>
        <w:t>4%</w:t>
      </w:r>
      <w:r>
        <w:rPr/>
        <w:t>。上述增资业经广东大华德律会计师事务所华德验字</w:t>
      </w:r>
      <w:r>
        <w:rPr>
          <w:rFonts w:ascii="宋体" w:hAnsi="宋体" w:cs="宋体" w:eastAsia="宋体" w:hint="default"/>
        </w:rPr>
        <w:t>[2009]113</w:t>
      </w:r>
      <w:r>
        <w:rPr/>
        <w:t>号验资报告验证确认。</w:t>
      </w:r>
    </w:p>
    <w:p>
      <w:pPr>
        <w:pStyle w:val="BodyText"/>
        <w:spacing w:line="477" w:lineRule="auto" w:before="54"/>
        <w:ind w:right="191" w:firstLine="360"/>
        <w:jc w:val="both"/>
      </w:pPr>
      <w:r>
        <w:rPr>
          <w:rFonts w:ascii="宋体" w:hAnsi="宋体" w:cs="宋体" w:eastAsia="宋体" w:hint="default"/>
        </w:rPr>
        <w:t>2010</w:t>
      </w:r>
      <w:r>
        <w:rPr/>
        <w:t>年</w:t>
      </w:r>
      <w:r>
        <w:rPr>
          <w:rFonts w:ascii="宋体" w:hAnsi="宋体" w:cs="宋体" w:eastAsia="宋体" w:hint="default"/>
        </w:rPr>
        <w:t>1</w:t>
      </w:r>
      <w:r>
        <w:rPr/>
        <w:t>月</w:t>
      </w:r>
      <w:r>
        <w:rPr>
          <w:rFonts w:ascii="宋体" w:hAnsi="宋体" w:cs="宋体" w:eastAsia="宋体" w:hint="default"/>
        </w:rPr>
        <w:t>18</w:t>
      </w:r>
      <w:r>
        <w:rPr/>
        <w:t>日，经原广东群兴玩具实业有限公司各股东发起人协议本公司改制变更为股份有限公司，通过对原广东群 兴玩具实业有限公司经审计确认的截止</w:t>
      </w:r>
      <w:r>
        <w:rPr>
          <w:rFonts w:ascii="宋体" w:hAnsi="宋体" w:cs="宋体" w:eastAsia="宋体" w:hint="default"/>
        </w:rPr>
        <w:t>2009</w:t>
      </w:r>
      <w:r>
        <w:rPr/>
        <w:t>年</w:t>
      </w:r>
      <w:r>
        <w:rPr>
          <w:rFonts w:ascii="宋体" w:hAnsi="宋体" w:cs="宋体" w:eastAsia="宋体" w:hint="default"/>
        </w:rPr>
        <w:t>11</w:t>
      </w:r>
      <w:r>
        <w:rPr/>
        <w:t>月</w:t>
      </w:r>
      <w:r>
        <w:rPr>
          <w:rFonts w:ascii="宋体" w:hAnsi="宋体" w:cs="宋体" w:eastAsia="宋体" w:hint="default"/>
        </w:rPr>
        <w:t>30</w:t>
      </w:r>
      <w:r>
        <w:rPr/>
        <w:t>日的净资产总额</w:t>
      </w:r>
      <w:r>
        <w:rPr>
          <w:rFonts w:ascii="宋体" w:hAnsi="宋体" w:cs="宋体" w:eastAsia="宋体" w:hint="default"/>
        </w:rPr>
        <w:t>128,939,663.01</w:t>
      </w:r>
      <w:r>
        <w:rPr/>
        <w:t>元按</w:t>
      </w:r>
      <w:r>
        <w:rPr>
          <w:rFonts w:ascii="宋体" w:hAnsi="宋体" w:cs="宋体" w:eastAsia="宋体" w:hint="default"/>
        </w:rPr>
        <w:t>1</w:t>
      </w:r>
      <w:r>
        <w:rPr/>
        <w:t>：</w:t>
      </w:r>
      <w:r>
        <w:rPr>
          <w:rFonts w:ascii="宋体" w:hAnsi="宋体" w:cs="宋体" w:eastAsia="宋体" w:hint="default"/>
        </w:rPr>
        <w:t>0.7756</w:t>
      </w:r>
      <w:r>
        <w:rPr/>
        <w:t>折为</w:t>
      </w:r>
      <w:r>
        <w:rPr>
          <w:rFonts w:ascii="宋体" w:hAnsi="宋体" w:cs="宋体" w:eastAsia="宋体" w:hint="default"/>
        </w:rPr>
        <w:t>100,000,000.00</w:t>
      </w:r>
      <w:r>
        <w:rPr/>
        <w:t>股 普通股，每股面值</w:t>
      </w:r>
      <w:r>
        <w:rPr>
          <w:rFonts w:ascii="宋体" w:hAnsi="宋体" w:cs="宋体" w:eastAsia="宋体" w:hint="default"/>
        </w:rPr>
        <w:t>1</w:t>
      </w:r>
      <w:r>
        <w:rPr/>
        <w:t>元，整体改制变更为股份有限公司。各股东所占股份比例保持不变。改制完成后，本公司注册为资本为</w:t>
      </w:r>
      <w:r>
        <w:rPr>
          <w:spacing w:val="-84"/>
        </w:rPr>
        <w:t> </w:t>
      </w:r>
      <w:r>
        <w:rPr>
          <w:spacing w:val="-84"/>
        </w:rPr>
      </w:r>
      <w:r>
        <w:rPr/>
        <w:t>人民币</w:t>
      </w:r>
      <w:r>
        <w:rPr>
          <w:rFonts w:ascii="宋体" w:hAnsi="宋体" w:cs="宋体" w:eastAsia="宋体" w:hint="default"/>
        </w:rPr>
        <w:t>100,000,000.00</w:t>
      </w:r>
      <w:r>
        <w:rPr/>
        <w:t>元。</w:t>
      </w:r>
    </w:p>
    <w:p>
      <w:pPr>
        <w:pStyle w:val="BodyText"/>
        <w:spacing w:line="477" w:lineRule="auto" w:before="54"/>
        <w:ind w:right="194" w:firstLine="360"/>
        <w:jc w:val="both"/>
      </w:pPr>
      <w:r>
        <w:rPr>
          <w:rFonts w:ascii="宋体" w:hAnsi="宋体" w:cs="宋体" w:eastAsia="宋体" w:hint="default"/>
          <w:spacing w:val="-2"/>
        </w:rPr>
        <w:t>2010</w:t>
      </w:r>
      <w:r>
        <w:rPr>
          <w:spacing w:val="-2"/>
        </w:rPr>
        <w:t>年</w:t>
      </w:r>
      <w:r>
        <w:rPr>
          <w:rFonts w:ascii="宋体" w:hAnsi="宋体" w:cs="宋体" w:eastAsia="宋体" w:hint="default"/>
          <w:spacing w:val="-2"/>
        </w:rPr>
        <w:t>2</w:t>
      </w:r>
      <w:r>
        <w:rPr>
          <w:spacing w:val="-2"/>
        </w:rPr>
        <w:t>月</w:t>
      </w:r>
      <w:r>
        <w:rPr>
          <w:rFonts w:ascii="宋体" w:hAnsi="宋体" w:cs="宋体" w:eastAsia="宋体" w:hint="default"/>
          <w:spacing w:val="-2"/>
        </w:rPr>
        <w:t>3</w:t>
      </w:r>
      <w:r>
        <w:rPr>
          <w:spacing w:val="-2"/>
        </w:rPr>
        <w:t>日，本公司完成工商变更登记手续，领取汕头市工商行政管理局核发的《企业法人营业执照》，名称变更为</w:t>
      </w:r>
      <w:r>
        <w:rPr/>
        <w:t> “广东群兴玩具股份有限公司”。</w:t>
      </w:r>
    </w:p>
    <w:p>
      <w:pPr>
        <w:pStyle w:val="BodyText"/>
        <w:spacing w:line="240" w:lineRule="auto" w:before="54"/>
        <w:ind w:left="513" w:right="94"/>
        <w:jc w:val="left"/>
      </w:pPr>
      <w:r>
        <w:rPr>
          <w:rFonts w:ascii="宋体" w:hAnsi="宋体" w:cs="宋体" w:eastAsia="宋体" w:hint="default"/>
        </w:rPr>
        <w:t>2011</w:t>
      </w:r>
      <w:r>
        <w:rPr/>
        <w:t>年</w:t>
      </w:r>
      <w:r>
        <w:rPr>
          <w:rFonts w:ascii="宋体" w:hAnsi="宋体" w:cs="宋体" w:eastAsia="宋体" w:hint="default"/>
        </w:rPr>
        <w:t>4</w:t>
      </w:r>
      <w:r>
        <w:rPr/>
        <w:t>月</w:t>
      </w:r>
      <w:r>
        <w:rPr>
          <w:rFonts w:ascii="宋体" w:hAnsi="宋体" w:cs="宋体" w:eastAsia="宋体" w:hint="default"/>
        </w:rPr>
        <w:t>22</w:t>
      </w:r>
      <w:r>
        <w:rPr/>
        <w:t>日，根据公司</w:t>
      </w:r>
      <w:r>
        <w:rPr>
          <w:rFonts w:ascii="宋体" w:hAnsi="宋体" w:cs="宋体" w:eastAsia="宋体" w:hint="default"/>
        </w:rPr>
        <w:t>2009</w:t>
      </w:r>
      <w:r>
        <w:rPr/>
        <w:t>年年度股东大会决议和修改后章程，并经中国证券监督管理委员会证监发行字［</w:t>
      </w:r>
      <w:r>
        <w:rPr>
          <w:rFonts w:ascii="宋体" w:hAnsi="宋体" w:cs="宋体" w:eastAsia="宋体" w:hint="default"/>
        </w:rPr>
        <w:t>2011</w:t>
      </w:r>
      <w:r>
        <w:rPr/>
        <w:t>］</w:t>
      </w:r>
    </w:p>
    <w:p>
      <w:pPr>
        <w:spacing w:line="240" w:lineRule="auto" w:before="10"/>
        <w:rPr>
          <w:rFonts w:ascii="宋体" w:hAnsi="宋体" w:cs="宋体" w:eastAsia="宋体" w:hint="default"/>
          <w:sz w:val="17"/>
          <w:szCs w:val="17"/>
        </w:rPr>
      </w:pPr>
    </w:p>
    <w:p>
      <w:pPr>
        <w:pStyle w:val="BodyText"/>
        <w:spacing w:line="477" w:lineRule="auto"/>
        <w:ind w:right="94"/>
        <w:jc w:val="left"/>
      </w:pPr>
      <w:r>
        <w:rPr>
          <w:rFonts w:ascii="宋体" w:hAnsi="宋体" w:cs="宋体" w:eastAsia="宋体" w:hint="default"/>
          <w:spacing w:val="-2"/>
        </w:rPr>
        <w:t>486</w:t>
      </w:r>
      <w:r>
        <w:rPr>
          <w:spacing w:val="-2"/>
        </w:rPr>
        <w:t>号文《关于核准广东群兴玩具股份有限公司首次公开发行股票的通知》的核准，本公司向社会公开发行人民币普通股（</w:t>
      </w:r>
      <w:r>
        <w:rPr>
          <w:rFonts w:ascii="宋体" w:hAnsi="宋体" w:cs="宋体" w:eastAsia="宋体" w:hint="default"/>
          <w:spacing w:val="-2"/>
        </w:rPr>
        <w:t>A</w:t>
      </w:r>
      <w:r>
        <w:rPr>
          <w:rFonts w:ascii="宋体" w:hAnsi="宋体" w:cs="宋体" w:eastAsia="宋体" w:hint="default"/>
          <w:spacing w:val="-63"/>
        </w:rPr>
        <w:t> </w:t>
      </w:r>
      <w:r>
        <w:rPr>
          <w:spacing w:val="-3"/>
        </w:rPr>
        <w:t>股）</w:t>
      </w:r>
      <w:r>
        <w:rPr>
          <w:rFonts w:ascii="宋体" w:hAnsi="宋体" w:cs="宋体" w:eastAsia="宋体" w:hint="default"/>
          <w:spacing w:val="-3"/>
        </w:rPr>
        <w:t>3,380</w:t>
      </w:r>
      <w:r>
        <w:rPr>
          <w:spacing w:val="-3"/>
        </w:rPr>
        <w:t>万股，每股面值人民币</w:t>
      </w:r>
      <w:r>
        <w:rPr>
          <w:rFonts w:ascii="宋体" w:hAnsi="宋体" w:cs="宋体" w:eastAsia="宋体" w:hint="default"/>
          <w:spacing w:val="-3"/>
        </w:rPr>
        <w:t>1.00</w:t>
      </w:r>
      <w:r>
        <w:rPr>
          <w:spacing w:val="-3"/>
        </w:rPr>
        <w:t>元，合计人民币</w:t>
      </w:r>
      <w:r>
        <w:rPr>
          <w:rFonts w:ascii="宋体" w:hAnsi="宋体" w:cs="宋体" w:eastAsia="宋体" w:hint="default"/>
          <w:spacing w:val="-3"/>
        </w:rPr>
        <w:t>3,380</w:t>
      </w:r>
      <w:r>
        <w:rPr>
          <w:spacing w:val="-3"/>
        </w:rPr>
        <w:t>万元。发行完成后，本公司注册资本为人民币</w:t>
      </w:r>
      <w:r>
        <w:rPr>
          <w:rFonts w:ascii="宋体" w:hAnsi="宋体" w:cs="宋体" w:eastAsia="宋体" w:hint="default"/>
          <w:spacing w:val="-3"/>
        </w:rPr>
        <w:t>13,380</w:t>
      </w:r>
      <w:r>
        <w:rPr>
          <w:spacing w:val="-3"/>
        </w:rPr>
        <w:t>万元。其中：</w:t>
      </w:r>
      <w:r>
        <w:rPr>
          <w:spacing w:val="-76"/>
        </w:rPr>
        <w:t> </w:t>
      </w:r>
      <w:r>
        <w:rPr>
          <w:spacing w:val="-76"/>
        </w:rPr>
      </w:r>
      <w:r>
        <w:rPr/>
        <w:t>有限售条件的流通股份占</w:t>
      </w:r>
      <w:r>
        <w:rPr>
          <w:rFonts w:ascii="宋体" w:hAnsi="宋体" w:cs="宋体" w:eastAsia="宋体" w:hint="default"/>
        </w:rPr>
        <w:t>74.74%</w:t>
      </w:r>
      <w:r>
        <w:rPr/>
        <w:t>，无限售条件的流通股份占</w:t>
      </w:r>
      <w:r>
        <w:rPr>
          <w:rFonts w:ascii="宋体" w:hAnsi="宋体" w:cs="宋体" w:eastAsia="宋体" w:hint="default"/>
        </w:rPr>
        <w:t>25.26%</w:t>
      </w:r>
      <w:r>
        <w:rPr/>
        <w:t>。</w:t>
      </w:r>
    </w:p>
    <w:p>
      <w:pPr>
        <w:pStyle w:val="BodyText"/>
        <w:spacing w:line="477" w:lineRule="auto" w:before="54"/>
        <w:ind w:right="191" w:firstLine="360"/>
        <w:jc w:val="both"/>
      </w:pPr>
      <w:r>
        <w:rPr>
          <w:rFonts w:ascii="宋体" w:hAnsi="宋体" w:cs="宋体" w:eastAsia="宋体" w:hint="default"/>
        </w:rPr>
        <w:t>2013</w:t>
      </w:r>
      <w:r>
        <w:rPr/>
        <w:t>年</w:t>
      </w:r>
      <w:r>
        <w:rPr>
          <w:rFonts w:ascii="宋体" w:hAnsi="宋体" w:cs="宋体" w:eastAsia="宋体" w:hint="default"/>
        </w:rPr>
        <w:t>4</w:t>
      </w:r>
      <w:r>
        <w:rPr/>
        <w:t>月</w:t>
      </w:r>
      <w:r>
        <w:rPr>
          <w:rFonts w:ascii="宋体" w:hAnsi="宋体" w:cs="宋体" w:eastAsia="宋体" w:hint="default"/>
        </w:rPr>
        <w:t>23</w:t>
      </w:r>
      <w:r>
        <w:rPr/>
        <w:t>日，根据公司</w:t>
      </w:r>
      <w:r>
        <w:rPr>
          <w:rFonts w:ascii="宋体" w:hAnsi="宋体" w:cs="宋体" w:eastAsia="宋体" w:hint="default"/>
        </w:rPr>
        <w:t>2012</w:t>
      </w:r>
      <w:r>
        <w:rPr/>
        <w:t>年年度股东大会决议，本公司以</w:t>
      </w:r>
      <w:r>
        <w:rPr>
          <w:rFonts w:ascii="宋体" w:hAnsi="宋体" w:cs="宋体" w:eastAsia="宋体" w:hint="default"/>
        </w:rPr>
        <w:t>2012</w:t>
      </w:r>
      <w:r>
        <w:rPr/>
        <w:t>年</w:t>
      </w:r>
      <w:r>
        <w:rPr>
          <w:rFonts w:ascii="宋体" w:hAnsi="宋体" w:cs="宋体" w:eastAsia="宋体" w:hint="default"/>
        </w:rPr>
        <w:t>12</w:t>
      </w:r>
      <w:r>
        <w:rPr/>
        <w:t>月</w:t>
      </w:r>
      <w:r>
        <w:rPr>
          <w:rFonts w:ascii="宋体" w:hAnsi="宋体" w:cs="宋体" w:eastAsia="宋体" w:hint="default"/>
        </w:rPr>
        <w:t>31</w:t>
      </w:r>
      <w:r>
        <w:rPr/>
        <w:t>日股本</w:t>
      </w:r>
      <w:r>
        <w:rPr>
          <w:rFonts w:ascii="宋体" w:hAnsi="宋体" w:cs="宋体" w:eastAsia="宋体" w:hint="default"/>
        </w:rPr>
        <w:t>13,380</w:t>
      </w:r>
      <w:r>
        <w:rPr/>
        <w:t>万股为基数，以资本公积向 全体股东每</w:t>
      </w:r>
      <w:r>
        <w:rPr>
          <w:rFonts w:ascii="宋体" w:hAnsi="宋体" w:cs="宋体" w:eastAsia="宋体" w:hint="default"/>
        </w:rPr>
        <w:t>10</w:t>
      </w:r>
      <w:r>
        <w:rPr/>
        <w:t>股转增</w:t>
      </w:r>
      <w:r>
        <w:rPr>
          <w:rFonts w:ascii="宋体" w:hAnsi="宋体" w:cs="宋体" w:eastAsia="宋体" w:hint="default"/>
        </w:rPr>
        <w:t>10</w:t>
      </w:r>
      <w:r>
        <w:rPr/>
        <w:t>股，共转增</w:t>
      </w:r>
      <w:r>
        <w:rPr>
          <w:rFonts w:ascii="宋体" w:hAnsi="宋体" w:cs="宋体" w:eastAsia="宋体" w:hint="default"/>
        </w:rPr>
        <w:t>13,380</w:t>
      </w:r>
      <w:r>
        <w:rPr>
          <w:rFonts w:ascii="宋体" w:hAnsi="宋体" w:cs="宋体" w:eastAsia="宋体" w:hint="default"/>
          <w:spacing w:val="8"/>
        </w:rPr>
        <w:t> </w:t>
      </w:r>
      <w:r>
        <w:rPr/>
        <w:t>万股。转增完成后，本公司注册资本为人民币</w:t>
      </w:r>
      <w:r>
        <w:rPr>
          <w:rFonts w:ascii="宋体" w:hAnsi="宋体" w:cs="宋体" w:eastAsia="宋体" w:hint="default"/>
        </w:rPr>
        <w:t>26,760</w:t>
      </w:r>
      <w:r>
        <w:rPr/>
        <w:t>万元。其中：有限售条件的 流通股份占</w:t>
      </w:r>
      <w:r>
        <w:rPr>
          <w:rFonts w:ascii="宋体" w:hAnsi="宋体" w:cs="宋体" w:eastAsia="宋体" w:hint="default"/>
        </w:rPr>
        <w:t>74.74%</w:t>
      </w:r>
      <w:r>
        <w:rPr/>
        <w:t>，无限售条件的流通股份占</w:t>
      </w:r>
      <w:r>
        <w:rPr>
          <w:rFonts w:ascii="宋体" w:hAnsi="宋体" w:cs="宋体" w:eastAsia="宋体" w:hint="default"/>
        </w:rPr>
        <w:t>25.26%</w:t>
      </w:r>
      <w:r>
        <w:rPr/>
        <w:t>。</w:t>
      </w:r>
    </w:p>
    <w:p>
      <w:pPr>
        <w:pStyle w:val="BodyText"/>
        <w:spacing w:line="477" w:lineRule="auto" w:before="54"/>
        <w:ind w:right="188" w:firstLine="360"/>
        <w:jc w:val="both"/>
      </w:pPr>
      <w:r>
        <w:rPr>
          <w:rFonts w:ascii="宋体" w:hAnsi="宋体" w:cs="宋体" w:eastAsia="宋体" w:hint="default"/>
          <w:spacing w:val="-2"/>
        </w:rPr>
        <w:t>2015</w:t>
      </w:r>
      <w:r>
        <w:rPr>
          <w:spacing w:val="-2"/>
        </w:rPr>
        <w:t>年</w:t>
      </w:r>
      <w:r>
        <w:rPr>
          <w:rFonts w:ascii="宋体" w:hAnsi="宋体" w:cs="宋体" w:eastAsia="宋体" w:hint="default"/>
          <w:spacing w:val="-2"/>
        </w:rPr>
        <w:t>3</w:t>
      </w:r>
      <w:r>
        <w:rPr>
          <w:spacing w:val="-2"/>
        </w:rPr>
        <w:t>月</w:t>
      </w:r>
      <w:r>
        <w:rPr>
          <w:rFonts w:ascii="宋体" w:hAnsi="宋体" w:cs="宋体" w:eastAsia="宋体" w:hint="default"/>
          <w:spacing w:val="-2"/>
        </w:rPr>
        <w:t>6</w:t>
      </w:r>
      <w:r>
        <w:rPr>
          <w:spacing w:val="-2"/>
        </w:rPr>
        <w:t>日，根据公司</w:t>
      </w:r>
      <w:r>
        <w:rPr>
          <w:rFonts w:ascii="宋体" w:hAnsi="宋体" w:cs="宋体" w:eastAsia="宋体" w:hint="default"/>
          <w:spacing w:val="-2"/>
        </w:rPr>
        <w:t>2014</w:t>
      </w:r>
      <w:r>
        <w:rPr>
          <w:spacing w:val="-2"/>
        </w:rPr>
        <w:t>年年度股东大会决议，本公司以</w:t>
      </w:r>
      <w:r>
        <w:rPr>
          <w:rFonts w:ascii="宋体" w:hAnsi="宋体" w:cs="宋体" w:eastAsia="宋体" w:hint="default"/>
          <w:spacing w:val="-2"/>
        </w:rPr>
        <w:t>2014</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日股本</w:t>
      </w:r>
      <w:r>
        <w:rPr>
          <w:rFonts w:ascii="宋体" w:hAnsi="宋体" w:cs="宋体" w:eastAsia="宋体" w:hint="default"/>
          <w:spacing w:val="-2"/>
        </w:rPr>
        <w:t>26,760</w:t>
      </w:r>
      <w:r>
        <w:rPr>
          <w:spacing w:val="-2"/>
        </w:rPr>
        <w:t>万股为基数，以资本公积向全</w:t>
      </w:r>
      <w:r>
        <w:rPr/>
        <w:t> </w:t>
      </w:r>
      <w:r>
        <w:rPr>
          <w:spacing w:val="-2"/>
        </w:rPr>
        <w:t>体股东每</w:t>
      </w:r>
      <w:r>
        <w:rPr>
          <w:rFonts w:ascii="宋体" w:hAnsi="宋体" w:cs="宋体" w:eastAsia="宋体" w:hint="default"/>
          <w:spacing w:val="-2"/>
        </w:rPr>
        <w:t>10</w:t>
      </w:r>
      <w:r>
        <w:rPr>
          <w:spacing w:val="-2"/>
        </w:rPr>
        <w:t>股转增</w:t>
      </w:r>
      <w:r>
        <w:rPr>
          <w:rFonts w:ascii="宋体" w:hAnsi="宋体" w:cs="宋体" w:eastAsia="宋体" w:hint="default"/>
          <w:spacing w:val="-2"/>
        </w:rPr>
        <w:t>12</w:t>
      </w:r>
      <w:r>
        <w:rPr>
          <w:spacing w:val="-2"/>
        </w:rPr>
        <w:t>股，共转增</w:t>
      </w:r>
      <w:r>
        <w:rPr>
          <w:rFonts w:ascii="宋体" w:hAnsi="宋体" w:cs="宋体" w:eastAsia="宋体" w:hint="default"/>
          <w:spacing w:val="-2"/>
        </w:rPr>
        <w:t>32,112</w:t>
      </w:r>
      <w:r>
        <w:rPr>
          <w:spacing w:val="-2"/>
        </w:rPr>
        <w:t>万股。转增完成后，本公司注册资本为人民币</w:t>
      </w:r>
      <w:r>
        <w:rPr>
          <w:rFonts w:ascii="宋体" w:hAnsi="宋体" w:cs="宋体" w:eastAsia="宋体" w:hint="default"/>
          <w:spacing w:val="-2"/>
        </w:rPr>
        <w:t>58,872</w:t>
      </w:r>
      <w:r>
        <w:rPr>
          <w:spacing w:val="-2"/>
        </w:rPr>
        <w:t>万元。其中：有限售条件的流通</w:t>
      </w:r>
      <w:r>
        <w:rPr>
          <w:spacing w:val="-56"/>
        </w:rPr>
        <w:t> </w:t>
      </w:r>
      <w:r>
        <w:rPr>
          <w:spacing w:val="-56"/>
        </w:rPr>
      </w:r>
      <w:r>
        <w:rPr>
          <w:spacing w:val="-3"/>
        </w:rPr>
        <w:t>股份占</w:t>
      </w:r>
      <w:r>
        <w:rPr>
          <w:rFonts w:ascii="宋体" w:hAnsi="宋体" w:cs="宋体" w:eastAsia="宋体" w:hint="default"/>
          <w:spacing w:val="-3"/>
        </w:rPr>
        <w:t>1.49%</w:t>
      </w:r>
      <w:r>
        <w:rPr>
          <w:spacing w:val="-3"/>
        </w:rPr>
        <w:t>，无限售条件的流通股份占</w:t>
      </w:r>
      <w:r>
        <w:rPr>
          <w:rFonts w:ascii="宋体" w:hAnsi="宋体" w:cs="宋体" w:eastAsia="宋体" w:hint="default"/>
          <w:spacing w:val="-3"/>
        </w:rPr>
        <w:t>98.51%</w:t>
      </w:r>
      <w:r>
        <w:rPr>
          <w:spacing w:val="-3"/>
        </w:rPr>
        <w:t>。上述增资业经立信会计师事务所（特殊普通合伙）出具的信会师报字</w:t>
      </w:r>
      <w:r>
        <w:rPr>
          <w:rFonts w:ascii="宋体" w:hAnsi="宋体" w:cs="宋体" w:eastAsia="宋体" w:hint="default"/>
          <w:spacing w:val="-3"/>
        </w:rPr>
        <w:t>[2015]</w:t>
      </w:r>
      <w:r>
        <w:rPr>
          <w:rFonts w:ascii="宋体" w:hAnsi="宋体" w:cs="宋体" w:eastAsia="宋体" w:hint="default"/>
          <w:spacing w:val="-79"/>
        </w:rPr>
        <w:t> </w:t>
      </w:r>
      <w:r>
        <w:rPr>
          <w:rFonts w:ascii="宋体" w:hAnsi="宋体" w:cs="宋体" w:eastAsia="宋体" w:hint="default"/>
          <w:spacing w:val="-79"/>
        </w:rPr>
      </w:r>
      <w:r>
        <w:rPr/>
        <w:t>第</w:t>
      </w:r>
      <w:r>
        <w:rPr>
          <w:rFonts w:ascii="宋体" w:hAnsi="宋体" w:cs="宋体" w:eastAsia="宋体" w:hint="default"/>
        </w:rPr>
        <w:t>310592</w:t>
      </w:r>
      <w:r>
        <w:rPr/>
        <w:t>号验资报告验证确认。</w:t>
      </w: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21"/>
          <w:szCs w:val="21"/>
        </w:rPr>
      </w:pPr>
    </w:p>
    <w:p>
      <w:pPr>
        <w:pStyle w:val="BodyText"/>
        <w:spacing w:line="240" w:lineRule="auto"/>
        <w:ind w:left="513" w:right="94"/>
        <w:jc w:val="left"/>
      </w:pPr>
      <w:r>
        <w:rPr>
          <w:spacing w:val="-4"/>
        </w:rPr>
        <w:t>本公司主要的经营范围：生产、加工、销售：玩具，塑料制品，五金制品；动漫软件设计、开发、制作；童车、手推车、</w:t>
      </w:r>
    </w:p>
    <w:p>
      <w:pPr>
        <w:spacing w:after="0" w:line="240" w:lineRule="auto"/>
        <w:jc w:val="left"/>
        <w:sectPr>
          <w:pgSz w:w="11910" w:h="16840"/>
          <w:pgMar w:header="877" w:footer="979" w:top="1100" w:bottom="1160" w:left="980" w:right="940"/>
        </w:sectPr>
      </w:pPr>
    </w:p>
    <w:p>
      <w:pPr>
        <w:spacing w:line="240" w:lineRule="auto" w:before="12"/>
        <w:rPr>
          <w:rFonts w:ascii="宋体" w:hAnsi="宋体" w:cs="宋体" w:eastAsia="宋体" w:hint="default"/>
          <w:sz w:val="27"/>
          <w:szCs w:val="27"/>
        </w:rPr>
      </w:pPr>
    </w:p>
    <w:p>
      <w:pPr>
        <w:pStyle w:val="BodyText"/>
        <w:spacing w:line="477" w:lineRule="auto" w:before="44"/>
        <w:ind w:right="94"/>
        <w:jc w:val="left"/>
      </w:pPr>
      <w:r>
        <w:rPr>
          <w:spacing w:val="-2"/>
        </w:rPr>
        <w:t>婴儿床、学步车、三轮车、婴儿车、行李车、自行车、电动车、摇篮车、摇椅、儿童摇床；废旧塑料回收、加工；对高新科</w:t>
      </w:r>
      <w:r>
        <w:rPr>
          <w:spacing w:val="-73"/>
        </w:rPr>
        <w:t> </w:t>
      </w:r>
      <w:r>
        <w:rPr>
          <w:spacing w:val="-73"/>
        </w:rPr>
      </w:r>
      <w:r>
        <w:rPr>
          <w:spacing w:val="-4"/>
        </w:rPr>
        <w:t>技项目、文化产业项目、教育产业项目、体育产业项目、文化休闲娱乐服务业、软件业、金融业、租赁和商务服务业的投资；</w:t>
      </w:r>
      <w:r>
        <w:rPr>
          <w:spacing w:val="-41"/>
        </w:rPr>
        <w:t> </w:t>
      </w:r>
      <w:r>
        <w:rPr>
          <w:spacing w:val="-41"/>
        </w:rPr>
      </w:r>
      <w:r>
        <w:rPr>
          <w:spacing w:val="-2"/>
        </w:rPr>
        <w:t>工业产品设计，多媒体和动漫技术的研发，电子信息技术的应用和开发，房屋租赁，机械设备租赁，仪器仪表租赁；货物进</w:t>
      </w:r>
      <w:r>
        <w:rPr>
          <w:spacing w:val="-68"/>
        </w:rPr>
        <w:t> </w:t>
      </w:r>
      <w:r>
        <w:rPr>
          <w:spacing w:val="-68"/>
        </w:rPr>
      </w:r>
      <w:r>
        <w:rPr>
          <w:spacing w:val="-2"/>
        </w:rPr>
        <w:t>出口、技术进出口（依法须经批准的项目，经相关部门批准后方可开展经营活动）。法定代表人：纪晓文。注册地址：汕头</w:t>
      </w:r>
      <w:r>
        <w:rPr>
          <w:spacing w:val="-65"/>
        </w:rPr>
        <w:t> </w:t>
      </w:r>
      <w:r>
        <w:rPr>
          <w:spacing w:val="-65"/>
        </w:rPr>
      </w:r>
      <w:r>
        <w:rPr/>
        <w:t>市澄海区岭海工业区清平路北侧群兴工业园</w:t>
      </w:r>
      <w:r>
        <w:rPr>
          <w:rFonts w:ascii="宋体" w:hAnsi="宋体" w:cs="宋体" w:eastAsia="宋体" w:hint="default"/>
        </w:rPr>
        <w:t>2</w:t>
      </w:r>
      <w:r>
        <w:rPr/>
        <w:t>幢</w:t>
      </w:r>
      <w:r>
        <w:rPr>
          <w:rFonts w:ascii="宋体" w:hAnsi="宋体" w:cs="宋体" w:eastAsia="宋体" w:hint="default"/>
        </w:rPr>
        <w:t>1</w:t>
      </w:r>
      <w:r>
        <w:rPr/>
        <w:t>楼之二。</w:t>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7"/>
          <w:szCs w:val="17"/>
        </w:rPr>
      </w:pPr>
    </w:p>
    <w:p>
      <w:pPr>
        <w:tabs>
          <w:tab w:pos="1413" w:val="left" w:leader="none"/>
        </w:tabs>
        <w:spacing w:line="403" w:lineRule="auto" w:before="0"/>
        <w:ind w:left="513" w:right="4431" w:firstLine="0"/>
        <w:jc w:val="left"/>
        <w:rPr>
          <w:rFonts w:ascii="宋体" w:hAnsi="宋体" w:cs="宋体" w:eastAsia="宋体" w:hint="default"/>
          <w:sz w:val="18"/>
          <w:szCs w:val="18"/>
        </w:rPr>
      </w:pPr>
      <w:r>
        <w:rPr>
          <w:rFonts w:ascii="Microsoft JhengHei" w:hAnsi="Microsoft JhengHei" w:cs="Microsoft JhengHei" w:eastAsia="Microsoft JhengHei" w:hint="default"/>
          <w:b/>
          <w:bCs/>
          <w:sz w:val="18"/>
          <w:szCs w:val="18"/>
        </w:rPr>
        <w:t>（二）</w:t>
        <w:tab/>
        <w:t>合并财务报表范围</w:t>
      </w:r>
      <w:r>
        <w:rPr>
          <w:rFonts w:ascii="Microsoft JhengHei" w:hAnsi="Microsoft JhengHei" w:cs="Microsoft JhengHei" w:eastAsia="Microsoft JhengHei" w:hint="default"/>
          <w:b/>
          <w:bCs/>
          <w:spacing w:val="-41"/>
          <w:sz w:val="18"/>
          <w:szCs w:val="18"/>
        </w:rPr>
        <w:t> </w:t>
      </w:r>
      <w:r>
        <w:rPr>
          <w:rFonts w:ascii="Microsoft JhengHei" w:hAnsi="Microsoft JhengHei" w:cs="Microsoft JhengHei" w:eastAsia="Microsoft JhengHei" w:hint="default"/>
          <w:b/>
          <w:bCs/>
          <w:spacing w:val="-41"/>
          <w:sz w:val="18"/>
          <w:szCs w:val="18"/>
        </w:rPr>
      </w:r>
      <w:r>
        <w:rPr>
          <w:rFonts w:ascii="宋体" w:hAnsi="宋体" w:cs="宋体" w:eastAsia="宋体" w:hint="default"/>
          <w:sz w:val="18"/>
          <w:szCs w:val="18"/>
        </w:rPr>
        <w:t>截止</w:t>
      </w:r>
      <w:r>
        <w:rPr>
          <w:rFonts w:ascii="宋体" w:hAnsi="宋体" w:cs="宋体" w:eastAsia="宋体" w:hint="default"/>
          <w:sz w:val="18"/>
          <w:szCs w:val="18"/>
        </w:rPr>
        <w:t>2017</w:t>
      </w:r>
      <w:r>
        <w:rPr>
          <w:rFonts w:ascii="宋体" w:hAnsi="宋体" w:cs="宋体" w:eastAsia="宋体" w:hint="default"/>
          <w:sz w:val="18"/>
          <w:szCs w:val="18"/>
        </w:rPr>
        <w:t>年</w:t>
      </w:r>
      <w:r>
        <w:rPr>
          <w:rFonts w:ascii="宋体" w:hAnsi="宋体" w:cs="宋体" w:eastAsia="宋体" w:hint="default"/>
          <w:sz w:val="18"/>
          <w:szCs w:val="18"/>
        </w:rPr>
        <w:t>12</w:t>
      </w:r>
      <w:r>
        <w:rPr>
          <w:rFonts w:ascii="宋体" w:hAnsi="宋体" w:cs="宋体" w:eastAsia="宋体" w:hint="default"/>
          <w:sz w:val="18"/>
          <w:szCs w:val="18"/>
        </w:rPr>
        <w:t>月</w:t>
      </w:r>
      <w:r>
        <w:rPr>
          <w:rFonts w:ascii="宋体" w:hAnsi="宋体" w:cs="宋体" w:eastAsia="宋体" w:hint="default"/>
          <w:sz w:val="18"/>
          <w:szCs w:val="18"/>
        </w:rPr>
        <w:t>31</w:t>
      </w:r>
      <w:r>
        <w:rPr>
          <w:rFonts w:ascii="宋体" w:hAnsi="宋体" w:cs="宋体" w:eastAsia="宋体" w:hint="default"/>
          <w:sz w:val="18"/>
          <w:szCs w:val="18"/>
        </w:rPr>
        <w:t>日，本公司合并财务报表范围内子公司如下：</w:t>
      </w:r>
    </w:p>
    <w:tbl>
      <w:tblPr>
        <w:tblW w:w="0" w:type="auto"/>
        <w:jc w:val="left"/>
        <w:tblInd w:w="770" w:type="dxa"/>
        <w:tblLayout w:type="fixed"/>
        <w:tblCellMar>
          <w:top w:w="0" w:type="dxa"/>
          <w:left w:w="0" w:type="dxa"/>
          <w:bottom w:w="0" w:type="dxa"/>
          <w:right w:w="0" w:type="dxa"/>
        </w:tblCellMar>
        <w:tblLook w:val="01E0"/>
      </w:tblPr>
      <w:tblGrid>
        <w:gridCol w:w="7770"/>
      </w:tblGrid>
      <w:tr>
        <w:trPr>
          <w:trHeight w:val="355" w:hRule="exact"/>
        </w:trPr>
        <w:tc>
          <w:tcPr>
            <w:tcW w:w="7770" w:type="dxa"/>
            <w:tcBorders>
              <w:top w:val="single" w:sz="6" w:space="0" w:color="000000"/>
              <w:left w:val="nil" w:sz="6" w:space="0" w:color="auto"/>
              <w:bottom w:val="single" w:sz="12" w:space="0" w:color="000000"/>
              <w:right w:val="nil" w:sz="6" w:space="0" w:color="auto"/>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子公司名称</w:t>
            </w:r>
          </w:p>
        </w:tc>
      </w:tr>
      <w:tr>
        <w:trPr>
          <w:trHeight w:val="350" w:hRule="exact"/>
        </w:trPr>
        <w:tc>
          <w:tcPr>
            <w:tcW w:w="7770" w:type="dxa"/>
            <w:tcBorders>
              <w:top w:val="single" w:sz="12" w:space="0" w:color="000000"/>
              <w:left w:val="nil" w:sz="6" w:space="0" w:color="auto"/>
              <w:bottom w:val="single" w:sz="12" w:space="0" w:color="000000"/>
              <w:right w:val="nil" w:sz="6" w:space="0" w:color="auto"/>
            </w:tcBorders>
          </w:tcPr>
          <w:p>
            <w:pPr>
              <w:pStyle w:val="TableParagraph"/>
              <w:spacing w:line="240" w:lineRule="auto" w:before="8"/>
              <w:ind w:left="9" w:right="0"/>
              <w:jc w:val="left"/>
              <w:rPr>
                <w:rFonts w:ascii="宋体" w:hAnsi="宋体" w:cs="宋体" w:eastAsia="宋体" w:hint="default"/>
                <w:sz w:val="18"/>
                <w:szCs w:val="18"/>
              </w:rPr>
            </w:pPr>
            <w:r>
              <w:rPr>
                <w:rFonts w:ascii="宋体" w:hAnsi="宋体" w:cs="宋体" w:eastAsia="宋体" w:hint="default"/>
                <w:sz w:val="18"/>
                <w:szCs w:val="18"/>
              </w:rPr>
              <w:t>群兴（香港）有限公司</w:t>
            </w:r>
          </w:p>
        </w:tc>
      </w:tr>
      <w:tr>
        <w:trPr>
          <w:trHeight w:val="353" w:hRule="exact"/>
        </w:trPr>
        <w:tc>
          <w:tcPr>
            <w:tcW w:w="7770"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9" w:right="0"/>
              <w:jc w:val="left"/>
              <w:rPr>
                <w:rFonts w:ascii="宋体" w:hAnsi="宋体" w:cs="宋体" w:eastAsia="宋体" w:hint="default"/>
                <w:sz w:val="18"/>
                <w:szCs w:val="18"/>
              </w:rPr>
            </w:pPr>
            <w:r>
              <w:rPr>
                <w:rFonts w:ascii="宋体" w:hAnsi="宋体" w:cs="宋体" w:eastAsia="宋体" w:hint="default"/>
                <w:sz w:val="18"/>
                <w:szCs w:val="18"/>
              </w:rPr>
              <w:t>汕头市童乐乐玩具有限公司</w:t>
            </w:r>
          </w:p>
        </w:tc>
      </w:tr>
      <w:tr>
        <w:trPr>
          <w:trHeight w:val="353" w:hRule="exact"/>
        </w:trPr>
        <w:tc>
          <w:tcPr>
            <w:tcW w:w="7770" w:type="dxa"/>
            <w:tcBorders>
              <w:top w:val="single" w:sz="12" w:space="0" w:color="000000"/>
              <w:left w:val="nil" w:sz="6" w:space="0" w:color="auto"/>
              <w:bottom w:val="single" w:sz="12" w:space="0" w:color="000000"/>
              <w:right w:val="nil" w:sz="6" w:space="0" w:color="auto"/>
            </w:tcBorders>
          </w:tcPr>
          <w:p>
            <w:pPr>
              <w:pStyle w:val="TableParagraph"/>
              <w:spacing w:line="240" w:lineRule="auto" w:before="8"/>
              <w:ind w:left="9" w:right="0"/>
              <w:jc w:val="left"/>
              <w:rPr>
                <w:rFonts w:ascii="宋体" w:hAnsi="宋体" w:cs="宋体" w:eastAsia="宋体" w:hint="default"/>
                <w:sz w:val="18"/>
                <w:szCs w:val="18"/>
              </w:rPr>
            </w:pPr>
            <w:r>
              <w:rPr>
                <w:rFonts w:ascii="宋体" w:hAnsi="宋体" w:cs="宋体" w:eastAsia="宋体" w:hint="default"/>
                <w:sz w:val="18"/>
                <w:szCs w:val="18"/>
              </w:rPr>
              <w:t>西藏群兴文化发展有限责任公司</w:t>
            </w:r>
          </w:p>
        </w:tc>
      </w:tr>
      <w:tr>
        <w:trPr>
          <w:trHeight w:val="350" w:hRule="exact"/>
        </w:trPr>
        <w:tc>
          <w:tcPr>
            <w:tcW w:w="7770" w:type="dxa"/>
            <w:tcBorders>
              <w:top w:val="single" w:sz="12" w:space="0" w:color="000000"/>
              <w:left w:val="nil" w:sz="6" w:space="0" w:color="auto"/>
              <w:bottom w:val="single" w:sz="12" w:space="0" w:color="000000"/>
              <w:right w:val="nil" w:sz="6" w:space="0" w:color="auto"/>
            </w:tcBorders>
          </w:tcPr>
          <w:p>
            <w:pPr>
              <w:pStyle w:val="TableParagraph"/>
              <w:spacing w:line="240" w:lineRule="auto" w:before="8"/>
              <w:ind w:left="9" w:right="0"/>
              <w:jc w:val="left"/>
              <w:rPr>
                <w:rFonts w:ascii="宋体" w:hAnsi="宋体" w:cs="宋体" w:eastAsia="宋体" w:hint="default"/>
                <w:sz w:val="18"/>
                <w:szCs w:val="18"/>
              </w:rPr>
            </w:pPr>
            <w:r>
              <w:rPr>
                <w:rFonts w:ascii="宋体" w:hAnsi="宋体" w:cs="宋体" w:eastAsia="宋体" w:hint="default"/>
                <w:sz w:val="18"/>
                <w:szCs w:val="18"/>
              </w:rPr>
              <w:t>歌乐宝（汕头）网络科技有限公司</w:t>
            </w:r>
          </w:p>
        </w:tc>
      </w:tr>
      <w:tr>
        <w:trPr>
          <w:trHeight w:val="353" w:hRule="exact"/>
        </w:trPr>
        <w:tc>
          <w:tcPr>
            <w:tcW w:w="7770"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9" w:right="0"/>
              <w:jc w:val="left"/>
              <w:rPr>
                <w:rFonts w:ascii="宋体" w:hAnsi="宋体" w:cs="宋体" w:eastAsia="宋体" w:hint="default"/>
                <w:sz w:val="18"/>
                <w:szCs w:val="18"/>
              </w:rPr>
            </w:pPr>
            <w:r>
              <w:rPr>
                <w:rFonts w:ascii="宋体" w:hAnsi="宋体" w:cs="宋体" w:eastAsia="宋体" w:hint="default"/>
                <w:sz w:val="18"/>
                <w:szCs w:val="18"/>
              </w:rPr>
              <w:t>西藏蓝道智能交通科技有限责任公司</w:t>
            </w:r>
          </w:p>
        </w:tc>
      </w:tr>
    </w:tbl>
    <w:p>
      <w:pPr>
        <w:spacing w:line="240" w:lineRule="auto" w:before="12"/>
        <w:rPr>
          <w:rFonts w:ascii="宋体" w:hAnsi="宋体" w:cs="宋体" w:eastAsia="宋体" w:hint="default"/>
          <w:sz w:val="28"/>
          <w:szCs w:val="28"/>
        </w:rPr>
      </w:pPr>
    </w:p>
    <w:p>
      <w:pPr>
        <w:pStyle w:val="BodyText"/>
        <w:spacing w:line="240" w:lineRule="auto" w:before="44"/>
        <w:ind w:left="513" w:right="94"/>
        <w:jc w:val="left"/>
      </w:pPr>
      <w:r>
        <w:rPr/>
        <w:t>本期合并财务报表范围及其变化情况详见本附注“八、合并范围的变更” 和</w:t>
      </w:r>
      <w:r>
        <w:rPr>
          <w:spacing w:val="-1"/>
        </w:rPr>
        <w:t> </w:t>
      </w:r>
      <w:r>
        <w:rPr/>
        <w:t>“九、在其他主体中的权益”。</w:t>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2"/>
          <w:szCs w:val="12"/>
        </w:rPr>
      </w:pPr>
    </w:p>
    <w:p>
      <w:pPr>
        <w:pStyle w:val="Heading5"/>
        <w:spacing w:line="240" w:lineRule="auto"/>
        <w:ind w:right="94"/>
        <w:jc w:val="left"/>
        <w:rPr>
          <w:b w:val="0"/>
          <w:bCs w:val="0"/>
        </w:rPr>
      </w:pPr>
      <w:r>
        <w:rPr/>
        <w:t>四、财务报表的编制基础</w:t>
      </w:r>
      <w:r>
        <w:rPr>
          <w:b w:val="0"/>
          <w:bCs w:val="0"/>
        </w:rPr>
      </w:r>
    </w:p>
    <w:p>
      <w:pPr>
        <w:spacing w:line="240" w:lineRule="auto" w:before="5"/>
        <w:rPr>
          <w:rFonts w:ascii="Microsoft JhengHei" w:hAnsi="Microsoft JhengHei" w:cs="Microsoft JhengHei" w:eastAsia="Microsoft JhengHei" w:hint="default"/>
          <w:b/>
          <w:bCs/>
          <w:sz w:val="17"/>
          <w:szCs w:val="17"/>
        </w:rPr>
      </w:pPr>
    </w:p>
    <w:p>
      <w:pPr>
        <w:pStyle w:val="Heading5"/>
        <w:spacing w:line="240" w:lineRule="auto"/>
        <w:ind w:right="94"/>
        <w:jc w:val="left"/>
        <w:rPr>
          <w:b w:val="0"/>
          <w:bCs w:val="0"/>
        </w:rPr>
      </w:pPr>
      <w:r>
        <w:rPr>
          <w:rFonts w:ascii="Times New Roman" w:hAnsi="Times New Roman" w:cs="Times New Roman" w:eastAsia="Times New Roman" w:hint="default"/>
        </w:rPr>
        <w:t>1</w:t>
      </w:r>
      <w:r>
        <w:rPr/>
        <w:t>、编制基础</w:t>
      </w:r>
      <w:r>
        <w:rPr>
          <w:b w:val="0"/>
          <w:bCs w:val="0"/>
        </w:rPr>
      </w:r>
    </w:p>
    <w:p>
      <w:pPr>
        <w:spacing w:line="240" w:lineRule="auto" w:before="15"/>
        <w:rPr>
          <w:rFonts w:ascii="Microsoft JhengHei" w:hAnsi="Microsoft JhengHei" w:cs="Microsoft JhengHei" w:eastAsia="Microsoft JhengHei" w:hint="default"/>
          <w:b/>
          <w:bCs/>
          <w:sz w:val="24"/>
          <w:szCs w:val="24"/>
        </w:rPr>
      </w:pPr>
    </w:p>
    <w:p>
      <w:pPr>
        <w:pStyle w:val="BodyText"/>
        <w:spacing w:line="477" w:lineRule="auto"/>
        <w:ind w:right="191" w:firstLine="360"/>
        <w:jc w:val="both"/>
      </w:pPr>
      <w:r>
        <w:rPr>
          <w:spacing w:val="-2"/>
        </w:rPr>
        <w:t>公司以持续经营为基础，根据实际发生的交易和事项，按照财政部颁布的《企业会计准则——基本准则》和各项具体会</w:t>
      </w:r>
      <w:r>
        <w:rPr/>
        <w:t> </w:t>
      </w:r>
      <w:r>
        <w:rPr>
          <w:spacing w:val="-2"/>
        </w:rPr>
        <w:t>计准则、企业会计准则应用指南、企业会计准则解释及其他相关规定（以下合称“企业会计准则”），以及中国证券监督管</w:t>
      </w:r>
      <w:r>
        <w:rPr>
          <w:spacing w:val="-70"/>
        </w:rPr>
        <w:t> </w:t>
      </w:r>
      <w:r>
        <w:rPr>
          <w:spacing w:val="-70"/>
        </w:rPr>
      </w:r>
      <w:r>
        <w:rPr/>
        <w:t>理委员会《公开发行证券的公司信息披露编报规则第</w:t>
      </w:r>
      <w:r>
        <w:rPr>
          <w:rFonts w:ascii="宋体" w:hAnsi="宋体" w:cs="宋体" w:eastAsia="宋体" w:hint="default"/>
        </w:rPr>
        <w:t>15</w:t>
      </w:r>
      <w:r>
        <w:rPr>
          <w:rFonts w:ascii="宋体" w:hAnsi="宋体" w:cs="宋体" w:eastAsia="宋体" w:hint="default"/>
          <w:spacing w:val="1"/>
        </w:rPr>
        <w:t> </w:t>
      </w:r>
      <w:r>
        <w:rPr/>
        <w:t>号——财务报告的一般规定》的披露规定编制财务报表。</w:t>
      </w:r>
    </w:p>
    <w:p>
      <w:pPr>
        <w:spacing w:line="240" w:lineRule="auto" w:before="11"/>
        <w:rPr>
          <w:rFonts w:ascii="宋体" w:hAnsi="宋体" w:cs="宋体" w:eastAsia="宋体" w:hint="default"/>
          <w:sz w:val="16"/>
          <w:szCs w:val="16"/>
        </w:rPr>
      </w:pPr>
    </w:p>
    <w:p>
      <w:pPr>
        <w:pStyle w:val="Heading5"/>
        <w:spacing w:line="240" w:lineRule="auto"/>
        <w:ind w:right="94"/>
        <w:jc w:val="left"/>
        <w:rPr>
          <w:b w:val="0"/>
          <w:bCs w:val="0"/>
        </w:rPr>
      </w:pPr>
      <w:r>
        <w:rPr>
          <w:rFonts w:ascii="Times New Roman" w:hAnsi="Times New Roman" w:cs="Times New Roman" w:eastAsia="Times New Roman" w:hint="default"/>
        </w:rPr>
        <w:t>2</w:t>
      </w:r>
      <w:r>
        <w:rPr/>
        <w:t>、持续经营</w:t>
      </w:r>
      <w:r>
        <w:rPr>
          <w:b w:val="0"/>
          <w:bCs w:val="0"/>
        </w:rPr>
      </w:r>
    </w:p>
    <w:p>
      <w:pPr>
        <w:spacing w:line="240" w:lineRule="auto" w:before="0"/>
        <w:rPr>
          <w:rFonts w:ascii="Microsoft JhengHei" w:hAnsi="Microsoft JhengHei" w:cs="Microsoft JhengHei" w:eastAsia="Microsoft JhengHei" w:hint="default"/>
          <w:b/>
          <w:bCs/>
          <w:sz w:val="25"/>
          <w:szCs w:val="25"/>
        </w:rPr>
      </w:pPr>
    </w:p>
    <w:p>
      <w:pPr>
        <w:pStyle w:val="BodyText"/>
        <w:spacing w:line="240" w:lineRule="auto"/>
        <w:ind w:left="513" w:right="94"/>
        <w:jc w:val="left"/>
      </w:pPr>
      <w:r>
        <w:rPr/>
        <w:t>公司自报告年末起</w:t>
      </w:r>
      <w:r>
        <w:rPr>
          <w:rFonts w:ascii="宋体" w:hAnsi="宋体" w:cs="宋体" w:eastAsia="宋体" w:hint="default"/>
        </w:rPr>
        <w:t>12</w:t>
      </w:r>
      <w:r>
        <w:rPr/>
        <w:t>个月具有持续经营能力。</w:t>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2"/>
          <w:szCs w:val="12"/>
        </w:rPr>
      </w:pPr>
    </w:p>
    <w:p>
      <w:pPr>
        <w:pStyle w:val="Heading5"/>
        <w:spacing w:line="240" w:lineRule="auto"/>
        <w:ind w:right="94"/>
        <w:jc w:val="left"/>
        <w:rPr>
          <w:b w:val="0"/>
          <w:bCs w:val="0"/>
        </w:rPr>
      </w:pPr>
      <w:r>
        <w:rPr/>
        <w:t>五、重要会计政策及会计估计</w:t>
      </w:r>
      <w:r>
        <w:rPr>
          <w:b w:val="0"/>
          <w:bCs w:val="0"/>
        </w:rPr>
      </w:r>
    </w:p>
    <w:p>
      <w:pPr>
        <w:spacing w:line="240" w:lineRule="auto" w:before="8"/>
        <w:rPr>
          <w:rFonts w:ascii="Microsoft JhengHei" w:hAnsi="Microsoft JhengHei" w:cs="Microsoft JhengHei" w:eastAsia="Microsoft JhengHei" w:hint="default"/>
          <w:b/>
          <w:bCs/>
          <w:sz w:val="20"/>
          <w:szCs w:val="20"/>
        </w:rPr>
      </w:pPr>
    </w:p>
    <w:p>
      <w:pPr>
        <w:pStyle w:val="BodyText"/>
        <w:spacing w:line="357" w:lineRule="auto"/>
        <w:ind w:right="6754"/>
        <w:jc w:val="left"/>
      </w:pPr>
      <w:r>
        <w:rPr/>
        <w:t>公司是否需要遵守特殊行业的披露要求 否</w:t>
      </w:r>
    </w:p>
    <w:p>
      <w:pPr>
        <w:pStyle w:val="BodyText"/>
        <w:spacing w:line="439" w:lineRule="auto" w:before="29"/>
        <w:ind w:left="604" w:right="2522" w:hanging="452"/>
        <w:jc w:val="left"/>
      </w:pPr>
      <w:r>
        <w:rPr/>
        <w:t>具体会计政策和会计估计提示： 以下披露内容已涵盖了本公司根据实际生产经营特点制定的具体会计政策和会计估计。</w:t>
      </w:r>
    </w:p>
    <w:p>
      <w:pPr>
        <w:spacing w:after="0" w:line="439" w:lineRule="auto"/>
        <w:jc w:val="left"/>
        <w:sectPr>
          <w:pgSz w:w="11910" w:h="16840"/>
          <w:pgMar w:header="877" w:footer="979" w:top="1100" w:bottom="1160" w:left="980" w:right="940"/>
        </w:sectPr>
      </w:pPr>
    </w:p>
    <w:p>
      <w:pPr>
        <w:spacing w:line="240" w:lineRule="auto" w:before="0"/>
        <w:rPr>
          <w:rFonts w:ascii="宋体" w:hAnsi="宋体" w:cs="宋体" w:eastAsia="宋体" w:hint="default"/>
          <w:sz w:val="22"/>
          <w:szCs w:val="22"/>
        </w:rPr>
      </w:pPr>
    </w:p>
    <w:p>
      <w:pPr>
        <w:pStyle w:val="Heading5"/>
        <w:spacing w:line="300" w:lineRule="exact"/>
        <w:ind w:right="94"/>
        <w:jc w:val="left"/>
        <w:rPr>
          <w:b w:val="0"/>
          <w:bCs w:val="0"/>
        </w:rPr>
      </w:pPr>
      <w:r>
        <w:rPr>
          <w:rFonts w:ascii="Times New Roman" w:hAnsi="Times New Roman" w:cs="Times New Roman" w:eastAsia="Times New Roman" w:hint="default"/>
        </w:rPr>
        <w:t>1</w:t>
      </w:r>
      <w:r>
        <w:rPr/>
        <w:t>、遵循企业会计准则的声明</w:t>
      </w:r>
      <w:r>
        <w:rPr>
          <w:b w:val="0"/>
          <w:bCs w:val="0"/>
        </w:rPr>
      </w:r>
    </w:p>
    <w:p>
      <w:pPr>
        <w:spacing w:line="240" w:lineRule="auto" w:before="0"/>
        <w:rPr>
          <w:rFonts w:ascii="Microsoft JhengHei" w:hAnsi="Microsoft JhengHei" w:cs="Microsoft JhengHei" w:eastAsia="Microsoft JhengHei" w:hint="default"/>
          <w:b/>
          <w:bCs/>
          <w:sz w:val="25"/>
          <w:szCs w:val="25"/>
        </w:rPr>
      </w:pPr>
    </w:p>
    <w:p>
      <w:pPr>
        <w:pStyle w:val="BodyText"/>
        <w:spacing w:line="477" w:lineRule="auto"/>
        <w:ind w:right="94" w:firstLine="360"/>
        <w:jc w:val="left"/>
      </w:pPr>
      <w:r>
        <w:rPr>
          <w:spacing w:val="-2"/>
        </w:rPr>
        <w:t>公司所编制的财务报表符合企业会计准则的要求，真实、完整地反映了报告期公司的财务状况、经营成果、现金流量等</w:t>
      </w:r>
      <w:r>
        <w:rPr/>
        <w:t> 有关信息。</w:t>
      </w:r>
    </w:p>
    <w:p>
      <w:pPr>
        <w:spacing w:line="240" w:lineRule="auto" w:before="11"/>
        <w:rPr>
          <w:rFonts w:ascii="宋体" w:hAnsi="宋体" w:cs="宋体" w:eastAsia="宋体" w:hint="default"/>
          <w:sz w:val="16"/>
          <w:szCs w:val="16"/>
        </w:rPr>
      </w:pPr>
    </w:p>
    <w:p>
      <w:pPr>
        <w:pStyle w:val="Heading5"/>
        <w:spacing w:line="240" w:lineRule="auto"/>
        <w:ind w:right="94"/>
        <w:jc w:val="left"/>
        <w:rPr>
          <w:b w:val="0"/>
          <w:bCs w:val="0"/>
        </w:rPr>
      </w:pPr>
      <w:r>
        <w:rPr>
          <w:rFonts w:ascii="Times New Roman" w:hAnsi="Times New Roman" w:cs="Times New Roman" w:eastAsia="Times New Roman" w:hint="default"/>
        </w:rPr>
        <w:t>2</w:t>
      </w:r>
      <w:r>
        <w:rPr/>
        <w:t>、会计期间</w:t>
      </w:r>
      <w:r>
        <w:rPr>
          <w:b w:val="0"/>
          <w:bCs w:val="0"/>
        </w:rPr>
      </w:r>
    </w:p>
    <w:p>
      <w:pPr>
        <w:spacing w:line="240" w:lineRule="auto" w:before="15"/>
        <w:rPr>
          <w:rFonts w:ascii="Microsoft JhengHei" w:hAnsi="Microsoft JhengHei" w:cs="Microsoft JhengHei" w:eastAsia="Microsoft JhengHei" w:hint="default"/>
          <w:b/>
          <w:bCs/>
          <w:sz w:val="24"/>
          <w:szCs w:val="24"/>
        </w:rPr>
      </w:pPr>
    </w:p>
    <w:p>
      <w:pPr>
        <w:pStyle w:val="BodyText"/>
        <w:spacing w:line="240" w:lineRule="auto"/>
        <w:ind w:left="513" w:right="94"/>
        <w:jc w:val="left"/>
      </w:pPr>
      <w:r>
        <w:rPr/>
        <w:t>自公历</w:t>
      </w:r>
      <w:r>
        <w:rPr>
          <w:rFonts w:ascii="宋体" w:hAnsi="宋体" w:cs="宋体" w:eastAsia="宋体" w:hint="default"/>
        </w:rPr>
        <w:t>1</w:t>
      </w:r>
      <w:r>
        <w:rPr/>
        <w:t>月</w:t>
      </w:r>
      <w:r>
        <w:rPr>
          <w:rFonts w:ascii="宋体" w:hAnsi="宋体" w:cs="宋体" w:eastAsia="宋体" w:hint="default"/>
        </w:rPr>
        <w:t>1</w:t>
      </w:r>
      <w:r>
        <w:rPr/>
        <w:t>日至</w:t>
      </w:r>
      <w:r>
        <w:rPr>
          <w:rFonts w:ascii="宋体" w:hAnsi="宋体" w:cs="宋体" w:eastAsia="宋体" w:hint="default"/>
        </w:rPr>
        <w:t>12</w:t>
      </w:r>
      <w:r>
        <w:rPr/>
        <w:t>月</w:t>
      </w:r>
      <w:r>
        <w:rPr>
          <w:rFonts w:ascii="宋体" w:hAnsi="宋体" w:cs="宋体" w:eastAsia="宋体" w:hint="default"/>
        </w:rPr>
        <w:t>31</w:t>
      </w:r>
      <w:r>
        <w:rPr/>
        <w:t>日止为一个会计年度。</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18"/>
          <w:szCs w:val="18"/>
        </w:rPr>
      </w:pPr>
    </w:p>
    <w:p>
      <w:pPr>
        <w:pStyle w:val="Heading5"/>
        <w:spacing w:line="240" w:lineRule="auto"/>
        <w:ind w:right="94"/>
        <w:jc w:val="left"/>
        <w:rPr>
          <w:b w:val="0"/>
          <w:bCs w:val="0"/>
        </w:rPr>
      </w:pPr>
      <w:r>
        <w:rPr>
          <w:rFonts w:ascii="Times New Roman" w:hAnsi="Times New Roman" w:cs="Times New Roman" w:eastAsia="Times New Roman" w:hint="default"/>
        </w:rPr>
        <w:t>3</w:t>
      </w:r>
      <w:r>
        <w:rPr/>
        <w:t>、营业周期</w:t>
      </w:r>
      <w:r>
        <w:rPr>
          <w:b w:val="0"/>
          <w:bCs w:val="0"/>
        </w:rPr>
      </w:r>
    </w:p>
    <w:p>
      <w:pPr>
        <w:spacing w:line="240" w:lineRule="auto" w:before="0"/>
        <w:rPr>
          <w:rFonts w:ascii="Microsoft JhengHei" w:hAnsi="Microsoft JhengHei" w:cs="Microsoft JhengHei" w:eastAsia="Microsoft JhengHei" w:hint="default"/>
          <w:b/>
          <w:bCs/>
          <w:sz w:val="25"/>
          <w:szCs w:val="25"/>
        </w:rPr>
      </w:pPr>
    </w:p>
    <w:p>
      <w:pPr>
        <w:pStyle w:val="BodyText"/>
        <w:spacing w:line="240" w:lineRule="auto"/>
        <w:ind w:left="513" w:right="94"/>
        <w:jc w:val="left"/>
      </w:pPr>
      <w:r>
        <w:rPr/>
        <w:t>本公司营业周期为</w:t>
      </w:r>
      <w:r>
        <w:rPr>
          <w:rFonts w:ascii="Times New Roman" w:hAnsi="Times New Roman" w:cs="Times New Roman" w:eastAsia="Times New Roman" w:hint="default"/>
        </w:rPr>
        <w:t>12</w:t>
      </w:r>
      <w:r>
        <w:rPr/>
        <w:t>个月。</w:t>
      </w:r>
    </w:p>
    <w:p>
      <w:pPr>
        <w:spacing w:line="240" w:lineRule="auto" w:before="0"/>
        <w:rPr>
          <w:rFonts w:ascii="宋体" w:hAnsi="宋体" w:cs="宋体" w:eastAsia="宋体" w:hint="default"/>
          <w:sz w:val="18"/>
          <w:szCs w:val="18"/>
        </w:rPr>
      </w:pPr>
    </w:p>
    <w:p>
      <w:pPr>
        <w:pStyle w:val="Heading5"/>
        <w:spacing w:line="240" w:lineRule="auto" w:before="149"/>
        <w:ind w:right="94"/>
        <w:jc w:val="left"/>
        <w:rPr>
          <w:b w:val="0"/>
          <w:bCs w:val="0"/>
        </w:rPr>
      </w:pPr>
      <w:r>
        <w:rPr>
          <w:rFonts w:ascii="Times New Roman" w:hAnsi="Times New Roman" w:cs="Times New Roman" w:eastAsia="Times New Roman" w:hint="default"/>
        </w:rPr>
        <w:t>4</w:t>
      </w:r>
      <w:r>
        <w:rPr/>
        <w:t>、记账本位币</w:t>
      </w:r>
      <w:r>
        <w:rPr>
          <w:b w:val="0"/>
          <w:bCs w:val="0"/>
        </w:rPr>
      </w:r>
    </w:p>
    <w:p>
      <w:pPr>
        <w:spacing w:line="240" w:lineRule="auto" w:before="15"/>
        <w:rPr>
          <w:rFonts w:ascii="Microsoft JhengHei" w:hAnsi="Microsoft JhengHei" w:cs="Microsoft JhengHei" w:eastAsia="Microsoft JhengHei" w:hint="default"/>
          <w:b/>
          <w:bCs/>
          <w:sz w:val="24"/>
          <w:szCs w:val="24"/>
        </w:rPr>
      </w:pPr>
    </w:p>
    <w:p>
      <w:pPr>
        <w:pStyle w:val="BodyText"/>
        <w:spacing w:line="240" w:lineRule="auto"/>
        <w:ind w:left="513" w:right="94"/>
        <w:jc w:val="left"/>
      </w:pPr>
      <w:r>
        <w:rPr/>
        <w:t>本公司采用人民币为记账本位币。</w:t>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2"/>
          <w:szCs w:val="12"/>
        </w:rPr>
      </w:pPr>
    </w:p>
    <w:p>
      <w:pPr>
        <w:spacing w:line="573" w:lineRule="auto" w:before="0"/>
        <w:ind w:left="513" w:right="94" w:hanging="361"/>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5</w:t>
      </w:r>
      <w:r>
        <w:rPr>
          <w:rFonts w:ascii="Microsoft JhengHei" w:hAnsi="Microsoft JhengHei" w:cs="Microsoft JhengHei" w:eastAsia="Microsoft JhengHei" w:hint="default"/>
          <w:b/>
          <w:bCs/>
          <w:sz w:val="18"/>
          <w:szCs w:val="18"/>
        </w:rPr>
        <w:t>、同一控制下和非同一控制下企业合并的会计处理方法</w:t>
      </w:r>
      <w:r>
        <w:rPr>
          <w:rFonts w:ascii="Microsoft JhengHei" w:hAnsi="Microsoft JhengHei" w:cs="Microsoft JhengHei" w:eastAsia="Microsoft JhengHei" w:hint="default"/>
          <w:b/>
          <w:bCs/>
          <w:spacing w:val="-33"/>
          <w:sz w:val="18"/>
          <w:szCs w:val="18"/>
        </w:rPr>
        <w:t> </w:t>
      </w:r>
      <w:r>
        <w:rPr>
          <w:rFonts w:ascii="Microsoft JhengHei" w:hAnsi="Microsoft JhengHei" w:cs="Microsoft JhengHei" w:eastAsia="Microsoft JhengHei" w:hint="default"/>
          <w:b/>
          <w:bCs/>
          <w:spacing w:val="-33"/>
          <w:sz w:val="18"/>
          <w:szCs w:val="18"/>
        </w:rPr>
      </w:r>
      <w:r>
        <w:rPr>
          <w:rFonts w:ascii="宋体" w:hAnsi="宋体" w:cs="宋体" w:eastAsia="宋体" w:hint="default"/>
          <w:spacing w:val="-2"/>
          <w:sz w:val="18"/>
          <w:szCs w:val="18"/>
        </w:rPr>
        <w:t>同一控制下企业合并：本公司在企业合并中取得的资产和负债，按照合并日在被合并方资产、负债（包括最终控制方收</w:t>
      </w:r>
    </w:p>
    <w:p>
      <w:pPr>
        <w:pStyle w:val="BodyText"/>
        <w:spacing w:line="218" w:lineRule="exact"/>
        <w:ind w:right="0"/>
        <w:jc w:val="left"/>
      </w:pPr>
      <w:r>
        <w:rPr/>
        <w:t>购被合并方而形成的商誉）在最终控制方合并财务报表中的账面价值计量。在合并中取得的净资产账面价值与支付的合并对</w:t>
      </w:r>
    </w:p>
    <w:p>
      <w:pPr>
        <w:spacing w:line="240" w:lineRule="auto" w:before="10"/>
        <w:rPr>
          <w:rFonts w:ascii="宋体" w:hAnsi="宋体" w:cs="宋体" w:eastAsia="宋体" w:hint="default"/>
          <w:sz w:val="17"/>
          <w:szCs w:val="17"/>
        </w:rPr>
      </w:pPr>
    </w:p>
    <w:p>
      <w:pPr>
        <w:pStyle w:val="BodyText"/>
        <w:spacing w:line="477" w:lineRule="auto"/>
        <w:ind w:right="94"/>
        <w:jc w:val="left"/>
      </w:pPr>
      <w:r>
        <w:rPr>
          <w:spacing w:val="-2"/>
        </w:rPr>
        <w:t>价账面价值（或发行股份面值总额）的差额，调整资本公积中的股本溢价，资本公积中的股本溢价不足冲减的，调整留存收</w:t>
      </w:r>
      <w:r>
        <w:rPr>
          <w:spacing w:val="-67"/>
        </w:rPr>
        <w:t> </w:t>
      </w:r>
      <w:r>
        <w:rPr>
          <w:spacing w:val="-67"/>
        </w:rPr>
      </w:r>
      <w:r>
        <w:rPr/>
        <w:t>益。</w:t>
      </w:r>
    </w:p>
    <w:p>
      <w:pPr>
        <w:pStyle w:val="BodyText"/>
        <w:spacing w:line="477" w:lineRule="auto" w:before="54"/>
        <w:ind w:right="94" w:firstLine="360"/>
        <w:jc w:val="left"/>
      </w:pPr>
      <w:r>
        <w:rPr>
          <w:spacing w:val="-2"/>
        </w:rPr>
        <w:t>非同一控制下企业合并：本公司在购买日对作为企业合并对价付出的资产、发生或承担的负债按照公允价值计量，公允</w:t>
      </w:r>
      <w:r>
        <w:rPr/>
        <w:t> </w:t>
      </w:r>
      <w:r>
        <w:rPr>
          <w:spacing w:val="-4"/>
        </w:rPr>
        <w:t>价值与其账面价值的差额，计入当期损益。本公司对合并成本大于合并中取得的被购买方可辨认净资产公允价值份额的差额，</w:t>
      </w:r>
      <w:r>
        <w:rPr>
          <w:spacing w:val="-44"/>
        </w:rPr>
        <w:t> </w:t>
      </w:r>
      <w:r>
        <w:rPr>
          <w:spacing w:val="-44"/>
        </w:rPr>
      </w:r>
      <w:r>
        <w:rPr/>
        <w:t>确认为商誉；合并成本小于合并中取得的被购买方可辨认净资产公允价值份额的差额，经复核后，计入当期损益。</w:t>
      </w:r>
    </w:p>
    <w:p>
      <w:pPr>
        <w:pStyle w:val="BodyText"/>
        <w:spacing w:line="477" w:lineRule="auto" w:before="54"/>
        <w:ind w:right="94" w:firstLine="360"/>
        <w:jc w:val="left"/>
      </w:pPr>
      <w:r>
        <w:rPr>
          <w:spacing w:val="-2"/>
        </w:rPr>
        <w:t>为企业合并发生的审计、法律服务、评估咨询等中介费用以及其他直接相关费用，于发生时计入当期损益；为企业合并</w:t>
      </w:r>
      <w:r>
        <w:rPr/>
        <w:t> 而发行权益性证券的交易费用，冲减权益。</w:t>
      </w:r>
    </w:p>
    <w:p>
      <w:pPr>
        <w:spacing w:line="240" w:lineRule="auto" w:before="11"/>
        <w:rPr>
          <w:rFonts w:ascii="宋体" w:hAnsi="宋体" w:cs="宋体" w:eastAsia="宋体" w:hint="default"/>
          <w:sz w:val="16"/>
          <w:szCs w:val="16"/>
        </w:rPr>
      </w:pPr>
    </w:p>
    <w:p>
      <w:pPr>
        <w:pStyle w:val="Heading5"/>
        <w:spacing w:line="240" w:lineRule="auto"/>
        <w:ind w:right="94"/>
        <w:jc w:val="left"/>
        <w:rPr>
          <w:b w:val="0"/>
          <w:bCs w:val="0"/>
        </w:rPr>
      </w:pPr>
      <w:r>
        <w:rPr>
          <w:rFonts w:ascii="Times New Roman" w:hAnsi="Times New Roman" w:cs="Times New Roman" w:eastAsia="Times New Roman" w:hint="default"/>
        </w:rPr>
        <w:t>6</w:t>
      </w:r>
      <w:r>
        <w:rPr/>
        <w:t>、合并财务报表的编制方法</w:t>
      </w:r>
      <w:r>
        <w:rPr>
          <w:b w:val="0"/>
          <w:bCs w:val="0"/>
        </w:rPr>
      </w:r>
    </w:p>
    <w:p>
      <w:pPr>
        <w:spacing w:line="240" w:lineRule="auto" w:before="15"/>
        <w:rPr>
          <w:rFonts w:ascii="Microsoft JhengHei" w:hAnsi="Microsoft JhengHei" w:cs="Microsoft JhengHei" w:eastAsia="Microsoft JhengHei" w:hint="default"/>
          <w:b/>
          <w:bCs/>
          <w:sz w:val="24"/>
          <w:szCs w:val="24"/>
        </w:rPr>
      </w:pPr>
    </w:p>
    <w:p>
      <w:pPr>
        <w:pStyle w:val="BodyText"/>
        <w:spacing w:line="477" w:lineRule="auto"/>
        <w:ind w:left="513" w:right="94"/>
        <w:jc w:val="left"/>
      </w:pPr>
      <w:r>
        <w:rPr/>
        <w:t>（一）合并范围 </w:t>
      </w:r>
      <w:r>
        <w:rPr>
          <w:spacing w:val="-2"/>
        </w:rPr>
        <w:t>本公司合并财务报表的合并范围以控制为基础确定，所有子公司（包括本公司所控制的被投资方可分割的部分）均纳入</w:t>
      </w:r>
    </w:p>
    <w:p>
      <w:pPr>
        <w:pStyle w:val="BodyText"/>
        <w:spacing w:line="240" w:lineRule="auto" w:before="54"/>
        <w:ind w:right="94"/>
        <w:jc w:val="left"/>
      </w:pPr>
      <w:r>
        <w:rPr/>
        <w:t>合并财务报表。</w:t>
      </w:r>
    </w:p>
    <w:p>
      <w:pPr>
        <w:spacing w:after="0" w:line="240" w:lineRule="auto"/>
        <w:jc w:val="left"/>
        <w:sectPr>
          <w:pgSz w:w="11910" w:h="16840"/>
          <w:pgMar w:header="877" w:footer="979" w:top="1100" w:bottom="1160" w:left="980" w:right="940"/>
        </w:sectPr>
      </w:pPr>
    </w:p>
    <w:p>
      <w:pPr>
        <w:spacing w:line="240" w:lineRule="auto" w:before="12"/>
        <w:rPr>
          <w:rFonts w:ascii="宋体" w:hAnsi="宋体" w:cs="宋体" w:eastAsia="宋体" w:hint="default"/>
          <w:sz w:val="27"/>
          <w:szCs w:val="27"/>
        </w:rPr>
      </w:pPr>
    </w:p>
    <w:p>
      <w:pPr>
        <w:pStyle w:val="BodyText"/>
        <w:spacing w:line="477" w:lineRule="auto" w:before="44"/>
        <w:ind w:left="513" w:right="94"/>
        <w:jc w:val="left"/>
      </w:pPr>
      <w:r>
        <w:rPr/>
        <w:t>（二）合并程序 </w:t>
      </w:r>
      <w:r>
        <w:rPr>
          <w:spacing w:val="-2"/>
        </w:rPr>
        <w:t>本公司以自身和各子公司的财务报表为基础，根据其他有关资料，编制合并财务报表。本公司编制合并财务报表，将整</w:t>
      </w:r>
    </w:p>
    <w:p>
      <w:pPr>
        <w:pStyle w:val="BodyText"/>
        <w:spacing w:line="477" w:lineRule="auto" w:before="54"/>
        <w:ind w:right="94"/>
        <w:jc w:val="left"/>
      </w:pPr>
      <w:r>
        <w:rPr>
          <w:spacing w:val="-2"/>
        </w:rPr>
        <w:t>个企业集团视为一个会计主体，依据相关企业会计准则的确认、计量和列报要求，按照统一的会计政策，反映本企业集团整</w:t>
      </w:r>
      <w:r>
        <w:rPr>
          <w:spacing w:val="-64"/>
        </w:rPr>
        <w:t> </w:t>
      </w:r>
      <w:r>
        <w:rPr>
          <w:spacing w:val="-64"/>
        </w:rPr>
      </w:r>
      <w:r>
        <w:rPr/>
        <w:t>体财务状况、经营成果和现金流量。</w:t>
      </w:r>
    </w:p>
    <w:p>
      <w:pPr>
        <w:pStyle w:val="BodyText"/>
        <w:spacing w:line="477" w:lineRule="auto" w:before="54"/>
        <w:ind w:right="94" w:firstLine="360"/>
        <w:jc w:val="left"/>
      </w:pPr>
      <w:r>
        <w:rPr>
          <w:spacing w:val="-2"/>
        </w:rPr>
        <w:t>所有纳入合并财务报表合并范围的子公司所采用的会计政策、会计期间与本公司一致，如子公司采用的会计政策、会计</w:t>
      </w:r>
      <w:r>
        <w:rPr/>
        <w:t> </w:t>
      </w:r>
      <w:r>
        <w:rPr>
          <w:spacing w:val="-2"/>
        </w:rPr>
        <w:t>期间与本公司不一致的，在编制合并财务报表时，按本公司的会计政策、会计期间进行必要的调整。对于非同一控制下企业</w:t>
      </w:r>
      <w:r>
        <w:rPr>
          <w:spacing w:val="-65"/>
        </w:rPr>
        <w:t> </w:t>
      </w:r>
      <w:r>
        <w:rPr>
          <w:spacing w:val="-65"/>
        </w:rPr>
      </w:r>
      <w:r>
        <w:rPr>
          <w:spacing w:val="-4"/>
        </w:rPr>
        <w:t>合并取得的子公司，以购买日可辨认净资产公允价值为基础对其财务报表进行调整。对于同一控制下企业合并取得的子公司，</w:t>
      </w:r>
      <w:r>
        <w:rPr>
          <w:spacing w:val="-44"/>
        </w:rPr>
        <w:t> </w:t>
      </w:r>
      <w:r>
        <w:rPr>
          <w:spacing w:val="-44"/>
        </w:rPr>
      </w:r>
      <w:r>
        <w:rPr>
          <w:spacing w:val="-2"/>
        </w:rPr>
        <w:t>以其资产、负债（包括最终控制方收购该子公司而形成的商誉）在最终控制方财务报表中的账面价值为基础对其财务报表进</w:t>
      </w:r>
      <w:r>
        <w:rPr>
          <w:spacing w:val="-66"/>
        </w:rPr>
        <w:t> </w:t>
      </w:r>
      <w:r>
        <w:rPr>
          <w:spacing w:val="-66"/>
        </w:rPr>
      </w:r>
      <w:r>
        <w:rPr/>
        <w:t>行调整。</w:t>
      </w:r>
    </w:p>
    <w:p>
      <w:pPr>
        <w:pStyle w:val="BodyText"/>
        <w:spacing w:line="477" w:lineRule="auto" w:before="54"/>
        <w:ind w:right="191" w:firstLine="360"/>
        <w:jc w:val="both"/>
      </w:pPr>
      <w:r>
        <w:rPr>
          <w:spacing w:val="-2"/>
        </w:rPr>
        <w:t>子公司所有者权益、当期净损益和当期综合收益中属于少数股东的份额分别在合并资产负债表中所有者权益项目下、合</w:t>
      </w:r>
      <w:r>
        <w:rPr/>
        <w:t> </w:t>
      </w:r>
      <w:r>
        <w:rPr>
          <w:spacing w:val="-2"/>
        </w:rPr>
        <w:t>并利润表中净利润项目下和综合收益总额项目下单独列示。子公司少数股东分担的当期亏损超过了少数股东在该子公司期初</w:t>
      </w:r>
      <w:r>
        <w:rPr>
          <w:spacing w:val="-63"/>
        </w:rPr>
        <w:t> </w:t>
      </w:r>
      <w:r>
        <w:rPr>
          <w:spacing w:val="-63"/>
        </w:rPr>
      </w:r>
      <w:r>
        <w:rPr/>
        <w:t>所有者权益中所享有份额而形成的余额，冲减少数股东权益。</w:t>
      </w:r>
    </w:p>
    <w:p>
      <w:pPr>
        <w:pStyle w:val="BodyText"/>
        <w:spacing w:line="477" w:lineRule="auto" w:before="54"/>
        <w:ind w:left="513" w:right="94"/>
        <w:jc w:val="left"/>
      </w:pPr>
      <w:r>
        <w:rPr/>
        <w:t>（</w:t>
      </w:r>
      <w:r>
        <w:rPr>
          <w:rFonts w:ascii="宋体" w:hAnsi="宋体" w:cs="宋体" w:eastAsia="宋体" w:hint="default"/>
        </w:rPr>
        <w:t>1</w:t>
      </w:r>
      <w:r>
        <w:rPr/>
        <w:t>）增加子公司或业务 </w:t>
      </w:r>
      <w:r>
        <w:rPr>
          <w:spacing w:val="-2"/>
        </w:rPr>
        <w:t>在报告期内，若因同一控制下企业合并增加子公司或业务的，则调整合并资产负债表的期初数；将子公司或业务合并当</w:t>
      </w:r>
    </w:p>
    <w:p>
      <w:pPr>
        <w:pStyle w:val="BodyText"/>
        <w:spacing w:line="477" w:lineRule="auto" w:before="54"/>
        <w:ind w:right="94"/>
        <w:jc w:val="left"/>
      </w:pPr>
      <w:r>
        <w:rPr>
          <w:spacing w:val="-2"/>
        </w:rPr>
        <w:t>期期初至报告年末的收入、费用、利润纳入合并利润表；将子公司或业务合并当期期初至报告年末的现金流量纳入合并现金</w:t>
      </w:r>
      <w:r>
        <w:rPr>
          <w:spacing w:val="-66"/>
        </w:rPr>
        <w:t> </w:t>
      </w:r>
      <w:r>
        <w:rPr>
          <w:spacing w:val="-66"/>
        </w:rPr>
      </w:r>
      <w:r>
        <w:rPr/>
        <w:t>流量表，同时对比较报表的相关项目进行调整，视同合并后的报告主体自最终控制方开始控制时点起一直存在。</w:t>
      </w:r>
    </w:p>
    <w:p>
      <w:pPr>
        <w:pStyle w:val="BodyText"/>
        <w:spacing w:line="477" w:lineRule="auto" w:before="54"/>
        <w:ind w:right="192" w:firstLine="360"/>
        <w:jc w:val="both"/>
      </w:pPr>
      <w:r>
        <w:rPr>
          <w:spacing w:val="-2"/>
        </w:rPr>
        <w:t>因追加投资等原因能够对同一控制下的被投资方实施控制的，视同参与合并的各方在最终控制方开始控制时即以目前的</w:t>
      </w:r>
      <w:r>
        <w:rPr/>
        <w:t> </w:t>
      </w:r>
      <w:r>
        <w:rPr>
          <w:spacing w:val="-2"/>
        </w:rPr>
        <w:t>状态存在进行调整。在取得被合并方控制权之前持有的股权投资，在取得原股权之日与合并方和被合并方同处于同一控制之</w:t>
      </w:r>
      <w:r>
        <w:rPr>
          <w:spacing w:val="-64"/>
        </w:rPr>
        <w:t> </w:t>
      </w:r>
      <w:r>
        <w:rPr>
          <w:spacing w:val="-64"/>
        </w:rPr>
      </w:r>
      <w:r>
        <w:rPr>
          <w:spacing w:val="-2"/>
        </w:rPr>
        <w:t>日孰晚日起至合并日之间已确认有关损益、其他综合收益以及其他净资产变动，分别冲减比较报表期间的期初留存收益或当</w:t>
      </w:r>
      <w:r>
        <w:rPr>
          <w:spacing w:val="-64"/>
        </w:rPr>
        <w:t> </w:t>
      </w:r>
      <w:r>
        <w:rPr>
          <w:spacing w:val="-64"/>
        </w:rPr>
      </w:r>
      <w:r>
        <w:rPr/>
        <w:t>期损益。</w:t>
      </w:r>
    </w:p>
    <w:p>
      <w:pPr>
        <w:pStyle w:val="BodyText"/>
        <w:spacing w:line="477" w:lineRule="auto" w:before="55"/>
        <w:ind w:right="190" w:firstLine="360"/>
        <w:jc w:val="both"/>
      </w:pPr>
      <w:r>
        <w:rPr>
          <w:spacing w:val="-2"/>
        </w:rPr>
        <w:t>在报告期内，若因非同一控制下企业合并增加子公司或业务的，则不调整合并资产负债表期初数；将该子公司或业务自</w:t>
      </w:r>
      <w:r>
        <w:rPr/>
        <w:t> </w:t>
      </w:r>
      <w:r>
        <w:rPr>
          <w:spacing w:val="-2"/>
        </w:rPr>
        <w:t>购买日至报告期末的收入、费用、利润纳入合并利润表；该子公司或业务自购买日至报告期末的现金流量纳入合并现金流量</w:t>
      </w:r>
      <w:r>
        <w:rPr>
          <w:spacing w:val="-66"/>
        </w:rPr>
        <w:t> </w:t>
      </w:r>
      <w:r>
        <w:rPr>
          <w:spacing w:val="-66"/>
        </w:rPr>
      </w:r>
      <w:r>
        <w:rPr/>
        <w:t>表。</w:t>
      </w:r>
    </w:p>
    <w:p>
      <w:pPr>
        <w:pStyle w:val="BodyText"/>
        <w:spacing w:line="477" w:lineRule="auto" w:before="54"/>
        <w:ind w:right="192" w:firstLine="360"/>
        <w:jc w:val="both"/>
      </w:pPr>
      <w:r>
        <w:rPr>
          <w:spacing w:val="-2"/>
        </w:rPr>
        <w:t>因追加投资等原因能够对非同一控制下的被投资方实施控制的，对于购买日之前持有的被购买方的股权，本公司按照该</w:t>
      </w:r>
      <w:r>
        <w:rPr/>
        <w:t> </w:t>
      </w:r>
      <w:r>
        <w:rPr>
          <w:spacing w:val="-2"/>
        </w:rPr>
        <w:t>股权在购买日的公允价值进行重新计量，公允价值与其账面价值的差额计入当期投资收益。购买日之前持有的被购买方的股</w:t>
      </w:r>
      <w:r>
        <w:rPr>
          <w:spacing w:val="-64"/>
        </w:rPr>
        <w:t> </w:t>
      </w:r>
      <w:r>
        <w:rPr>
          <w:spacing w:val="-64"/>
        </w:rPr>
      </w:r>
      <w:r>
        <w:rPr>
          <w:spacing w:val="-2"/>
        </w:rPr>
        <w:t>权涉及权益法核算下的其他综合收益以及除净损益、其他综合收益和利润分配之外的其他所有者权益变动的，与其相关的其</w:t>
      </w:r>
      <w:r>
        <w:rPr>
          <w:spacing w:val="-64"/>
        </w:rPr>
        <w:t> </w:t>
      </w:r>
      <w:r>
        <w:rPr>
          <w:spacing w:val="-64"/>
        </w:rPr>
      </w:r>
      <w:r>
        <w:rPr>
          <w:spacing w:val="-2"/>
        </w:rPr>
        <w:t>他综合收益、其他所有者权益变动转为购买日所属当期投资收益，由于被投资方重新计量设定受益计划净负债或净资产变动</w:t>
      </w:r>
      <w:r>
        <w:rPr>
          <w:spacing w:val="-64"/>
        </w:rPr>
        <w:t> </w:t>
      </w:r>
      <w:r>
        <w:rPr>
          <w:spacing w:val="-64"/>
        </w:rPr>
      </w:r>
      <w:r>
        <w:rPr/>
        <w:t>而产生的其他综合收益除外。</w:t>
      </w:r>
    </w:p>
    <w:p>
      <w:pPr>
        <w:pStyle w:val="BodyText"/>
        <w:spacing w:line="240" w:lineRule="auto" w:before="54"/>
        <w:ind w:left="513" w:right="94"/>
        <w:jc w:val="left"/>
      </w:pPr>
      <w:r>
        <w:rPr/>
        <w:t>（</w:t>
      </w:r>
      <w:r>
        <w:rPr>
          <w:rFonts w:ascii="宋体" w:hAnsi="宋体" w:cs="宋体" w:eastAsia="宋体" w:hint="default"/>
        </w:rPr>
        <w:t>2</w:t>
      </w:r>
      <w:r>
        <w:rPr/>
        <w:t>）处置子公司或业务</w:t>
      </w:r>
    </w:p>
    <w:p>
      <w:pPr>
        <w:spacing w:line="240" w:lineRule="auto" w:before="10"/>
        <w:rPr>
          <w:rFonts w:ascii="宋体" w:hAnsi="宋体" w:cs="宋体" w:eastAsia="宋体" w:hint="default"/>
          <w:sz w:val="17"/>
          <w:szCs w:val="17"/>
        </w:rPr>
      </w:pPr>
    </w:p>
    <w:p>
      <w:pPr>
        <w:pStyle w:val="BodyText"/>
        <w:spacing w:line="240" w:lineRule="auto"/>
        <w:ind w:left="513" w:right="94"/>
        <w:jc w:val="left"/>
      </w:pPr>
      <w:r>
        <w:rPr/>
        <w:t>①一般处理方法</w:t>
      </w:r>
    </w:p>
    <w:p>
      <w:pPr>
        <w:spacing w:after="0" w:line="240" w:lineRule="auto"/>
        <w:jc w:val="left"/>
        <w:sectPr>
          <w:pgSz w:w="11910" w:h="16840"/>
          <w:pgMar w:header="877" w:footer="979" w:top="1100" w:bottom="1160" w:left="980" w:right="940"/>
        </w:sectPr>
      </w:pPr>
    </w:p>
    <w:p>
      <w:pPr>
        <w:spacing w:line="240" w:lineRule="auto" w:before="12"/>
        <w:rPr>
          <w:rFonts w:ascii="宋体" w:hAnsi="宋体" w:cs="宋体" w:eastAsia="宋体" w:hint="default"/>
          <w:sz w:val="27"/>
          <w:szCs w:val="27"/>
        </w:rPr>
      </w:pPr>
    </w:p>
    <w:p>
      <w:pPr>
        <w:pStyle w:val="BodyText"/>
        <w:spacing w:line="477" w:lineRule="auto" w:before="44"/>
        <w:ind w:right="94" w:firstLine="360"/>
        <w:jc w:val="left"/>
      </w:pPr>
      <w:r>
        <w:rPr>
          <w:spacing w:val="-2"/>
        </w:rPr>
        <w:t>在报告期内，本公司处置子公司或业务，则该子公司或业务期初至处置日的收入、费用、利润纳入合并利润表；该子公</w:t>
      </w:r>
      <w:r>
        <w:rPr/>
        <w:t> 司或业务期初至处置日的现金流量纳入合并现金流量表。</w:t>
      </w:r>
    </w:p>
    <w:p>
      <w:pPr>
        <w:pStyle w:val="BodyText"/>
        <w:spacing w:line="477" w:lineRule="auto" w:before="54"/>
        <w:ind w:right="94" w:firstLine="360"/>
        <w:jc w:val="left"/>
      </w:pPr>
      <w:r>
        <w:rPr>
          <w:spacing w:val="-2"/>
        </w:rPr>
        <w:t>因处置部分股权投资或其他原因丧失了对被投资方控制权时，对于处置后的剩余股权投资，本公司按照其在丧失控制权</w:t>
      </w:r>
      <w:r>
        <w:rPr/>
        <w:t> </w:t>
      </w:r>
      <w:r>
        <w:rPr>
          <w:spacing w:val="-2"/>
        </w:rPr>
        <w:t>日的公允价值进行重新计量。处置股权取得的对价与剩余股权公允价值之和，减去按原持股比例计算应享有原有子公司自购</w:t>
      </w:r>
      <w:r>
        <w:rPr>
          <w:spacing w:val="-64"/>
        </w:rPr>
        <w:t> </w:t>
      </w:r>
      <w:r>
        <w:rPr>
          <w:spacing w:val="-64"/>
        </w:rPr>
      </w:r>
      <w:r>
        <w:rPr>
          <w:spacing w:val="-2"/>
        </w:rPr>
        <w:t>买日或合并日开始持续计算的净资产的份额与商誉之和的差额，计入丧失控制权当期的投资收益。与原有子公司股权投资相</w:t>
      </w:r>
      <w:r>
        <w:rPr>
          <w:spacing w:val="-64"/>
        </w:rPr>
        <w:t> </w:t>
      </w:r>
      <w:r>
        <w:rPr>
          <w:spacing w:val="-64"/>
        </w:rPr>
      </w:r>
      <w:r>
        <w:rPr/>
        <w:t>关的其他综合收益或除净损益、其他综合收益及利润分配之外的其他所有者权益变动，在丧失控制权时转为当期投资收益，</w:t>
      </w:r>
      <w:r>
        <w:rPr/>
        <w:t> 由于被投资方重新计量设定受益计划净负债或净资产变动而产生的其他综合收益除外。</w:t>
      </w:r>
    </w:p>
    <w:p>
      <w:pPr>
        <w:pStyle w:val="BodyText"/>
        <w:spacing w:line="240" w:lineRule="auto" w:before="55"/>
        <w:ind w:left="513" w:right="94"/>
        <w:jc w:val="left"/>
      </w:pPr>
      <w:r>
        <w:rPr/>
        <w:t>因其他投资方对子公司增资而导致本公司持股比例下降从而丧失控制权的，按照上述原则进行会计处理。</w:t>
      </w:r>
    </w:p>
    <w:p>
      <w:pPr>
        <w:spacing w:line="240" w:lineRule="auto" w:before="10"/>
        <w:rPr>
          <w:rFonts w:ascii="宋体" w:hAnsi="宋体" w:cs="宋体" w:eastAsia="宋体" w:hint="default"/>
          <w:sz w:val="17"/>
          <w:szCs w:val="17"/>
        </w:rPr>
      </w:pPr>
    </w:p>
    <w:p>
      <w:pPr>
        <w:pStyle w:val="BodyText"/>
        <w:spacing w:line="477" w:lineRule="auto"/>
        <w:ind w:left="513" w:right="94"/>
        <w:jc w:val="left"/>
      </w:pPr>
      <w:r>
        <w:rPr/>
        <w:t>②分步处置子公司 </w:t>
      </w:r>
      <w:r>
        <w:rPr>
          <w:spacing w:val="-2"/>
        </w:rPr>
        <w:t>通过多次交易分步处置对子公司股权投资直至丧失控制权的，处置对子公司股权投资的各项交易的条款、条件以及经济</w:t>
      </w:r>
    </w:p>
    <w:p>
      <w:pPr>
        <w:pStyle w:val="BodyText"/>
        <w:spacing w:line="477" w:lineRule="auto" w:before="54"/>
        <w:ind w:left="513" w:right="2614" w:hanging="361"/>
        <w:jc w:val="left"/>
      </w:pPr>
      <w:r>
        <w:rPr/>
        <w:t>影响符合以下一种或多种情况，通常表明应将多次交易事项作为一揽子交易进行会计处理： ⅰ．这些交易是同时或者在考虑了彼此影响的情况下订立的； ⅱ．这些交易整体才能达成一项完整的商业结果； ⅲ．一项交易的发生取决于其他至少一项交易的发生； ⅳ．一项交易单独看是不经济的，但是和其他交易一并考虑时是经济的。</w:t>
      </w:r>
    </w:p>
    <w:p>
      <w:pPr>
        <w:pStyle w:val="BodyText"/>
        <w:spacing w:line="477" w:lineRule="auto" w:before="54"/>
        <w:ind w:right="190" w:firstLine="360"/>
        <w:jc w:val="both"/>
      </w:pPr>
      <w:r>
        <w:rPr>
          <w:spacing w:val="-2"/>
        </w:rPr>
        <w:t>处置对子公司股权投资直至丧失控制权的各项交易属于一揽子交易的，本公司将各项交易作为一项处置子公司并丧失控</w:t>
      </w:r>
      <w:r>
        <w:rPr/>
        <w:t> </w:t>
      </w:r>
      <w:r>
        <w:rPr>
          <w:spacing w:val="-2"/>
        </w:rPr>
        <w:t>制权的交易进行会计处理；但是，在丧失控制权之前每一次处置价款与处置投资对应的享有该子公司净资产份额的差额，在</w:t>
      </w:r>
      <w:r>
        <w:rPr>
          <w:spacing w:val="-63"/>
        </w:rPr>
        <w:t> </w:t>
      </w:r>
      <w:r>
        <w:rPr>
          <w:spacing w:val="-63"/>
        </w:rPr>
      </w:r>
      <w:r>
        <w:rPr/>
        <w:t>合并财务报表中确认为其他综合收益，在丧失控制权时一并转入丧失控制权当期的损益。</w:t>
      </w:r>
    </w:p>
    <w:p>
      <w:pPr>
        <w:pStyle w:val="BodyText"/>
        <w:spacing w:line="477" w:lineRule="auto" w:before="54"/>
        <w:ind w:right="94" w:firstLine="360"/>
        <w:jc w:val="left"/>
      </w:pPr>
      <w:r>
        <w:rPr>
          <w:spacing w:val="-2"/>
        </w:rPr>
        <w:t>处置对子公司股权投资直至丧失控制权的各项交易不属于一揽子交易的，在丧失控制权之前，按不丧失控制权的情况下</w:t>
      </w:r>
      <w:r>
        <w:rPr/>
        <w:t> 部分处置对子公司的股权投资的相关政策进行会计处理；在丧失控制权时，按处置子公司一般处理方法进行会计处理。</w:t>
      </w:r>
    </w:p>
    <w:p>
      <w:pPr>
        <w:pStyle w:val="BodyText"/>
        <w:spacing w:line="477" w:lineRule="auto" w:before="55"/>
        <w:ind w:left="513" w:right="94"/>
        <w:jc w:val="left"/>
      </w:pPr>
      <w:r>
        <w:rPr/>
        <w:t>（</w:t>
      </w:r>
      <w:r>
        <w:rPr>
          <w:rFonts w:ascii="宋体" w:hAnsi="宋体" w:cs="宋体" w:eastAsia="宋体" w:hint="default"/>
        </w:rPr>
        <w:t>3</w:t>
      </w:r>
      <w:r>
        <w:rPr/>
        <w:t>）购买子公司少数股权 </w:t>
      </w:r>
      <w:r>
        <w:rPr>
          <w:spacing w:val="-2"/>
        </w:rPr>
        <w:t>本公司因购买少数股权新取得的长期股权投资与按照新增持股比例计算应享有子公司自购买日（或合并日）开始持续计</w:t>
      </w:r>
    </w:p>
    <w:p>
      <w:pPr>
        <w:pStyle w:val="BodyText"/>
        <w:spacing w:line="477" w:lineRule="auto" w:before="54"/>
        <w:ind w:right="94"/>
        <w:jc w:val="left"/>
      </w:pPr>
      <w:r>
        <w:rPr>
          <w:spacing w:val="-2"/>
        </w:rPr>
        <w:t>算的净资产份额之间的差额，调整合并资产负债表中的资本公积中的股本溢价，资本公积中的股本溢价不足冲减的，调整留</w:t>
      </w:r>
      <w:r>
        <w:rPr>
          <w:spacing w:val="-63"/>
        </w:rPr>
        <w:t> </w:t>
      </w:r>
      <w:r>
        <w:rPr>
          <w:spacing w:val="-63"/>
        </w:rPr>
      </w:r>
      <w:r>
        <w:rPr/>
        <w:t>存收益。</w:t>
      </w:r>
    </w:p>
    <w:p>
      <w:pPr>
        <w:pStyle w:val="BodyText"/>
        <w:spacing w:line="477" w:lineRule="auto" w:before="54"/>
        <w:ind w:left="513" w:right="94"/>
        <w:jc w:val="left"/>
      </w:pPr>
      <w:r>
        <w:rPr/>
        <w:t>（</w:t>
      </w:r>
      <w:r>
        <w:rPr>
          <w:rFonts w:ascii="宋体" w:hAnsi="宋体" w:cs="宋体" w:eastAsia="宋体" w:hint="default"/>
        </w:rPr>
        <w:t>4</w:t>
      </w:r>
      <w:r>
        <w:rPr/>
        <w:t>）不丧失控制权的情况下部分处置对子公司的股权投资 在不丧失控制权的情况下因部分处置对子公司的长期股权投资而取得的处置价款与处置长期股权投资相对应享有子公</w:t>
      </w:r>
    </w:p>
    <w:p>
      <w:pPr>
        <w:pStyle w:val="BodyText"/>
        <w:spacing w:line="477" w:lineRule="auto" w:before="54"/>
        <w:ind w:right="94"/>
        <w:jc w:val="left"/>
      </w:pPr>
      <w:r>
        <w:rPr>
          <w:spacing w:val="-2"/>
        </w:rPr>
        <w:t>司自购买日或合并日开始持续计算的净资产份额之间的差额，调整合并资产负债表中的资本公积中的股本溢价，资本公积中</w:t>
      </w:r>
      <w:r>
        <w:rPr>
          <w:spacing w:val="-64"/>
        </w:rPr>
        <w:t> </w:t>
      </w:r>
      <w:r>
        <w:rPr>
          <w:spacing w:val="-64"/>
        </w:rPr>
      </w:r>
      <w:r>
        <w:rPr/>
        <w:t>的股本溢价不足冲减的，调整留存收益。</w:t>
      </w:r>
    </w:p>
    <w:p>
      <w:pPr>
        <w:spacing w:after="0" w:line="477" w:lineRule="auto"/>
        <w:jc w:val="left"/>
        <w:sectPr>
          <w:pgSz w:w="11910" w:h="16840"/>
          <w:pgMar w:header="877" w:footer="979" w:top="1100" w:bottom="1160" w:left="980" w:right="940"/>
        </w:sectPr>
      </w:pPr>
    </w:p>
    <w:p>
      <w:pPr>
        <w:spacing w:line="240" w:lineRule="auto" w:before="0"/>
        <w:rPr>
          <w:rFonts w:ascii="宋体" w:hAnsi="宋体" w:cs="宋体" w:eastAsia="宋体" w:hint="default"/>
          <w:sz w:val="22"/>
          <w:szCs w:val="22"/>
        </w:rPr>
      </w:pPr>
    </w:p>
    <w:p>
      <w:pPr>
        <w:pStyle w:val="Heading5"/>
        <w:spacing w:line="300" w:lineRule="exact"/>
        <w:ind w:right="0"/>
        <w:jc w:val="left"/>
        <w:rPr>
          <w:b w:val="0"/>
          <w:bCs w:val="0"/>
        </w:rPr>
      </w:pPr>
      <w:r>
        <w:rPr>
          <w:rFonts w:ascii="Times New Roman" w:hAnsi="Times New Roman" w:cs="Times New Roman" w:eastAsia="Times New Roman" w:hint="default"/>
        </w:rPr>
        <w:t>7</w:t>
      </w:r>
      <w:r>
        <w:rPr/>
        <w:t>、合营安排分类及共同经营会计处理方法</w:t>
      </w:r>
      <w:r>
        <w:rPr>
          <w:b w:val="0"/>
          <w:bCs w:val="0"/>
        </w:rPr>
      </w:r>
    </w:p>
    <w:p>
      <w:pPr>
        <w:spacing w:line="240" w:lineRule="auto" w:before="0"/>
        <w:rPr>
          <w:rFonts w:ascii="Microsoft JhengHei" w:hAnsi="Microsoft JhengHei" w:cs="Microsoft JhengHei" w:eastAsia="Microsoft JhengHei" w:hint="default"/>
          <w:b/>
          <w:bCs/>
          <w:sz w:val="25"/>
          <w:szCs w:val="25"/>
        </w:rPr>
      </w:pPr>
    </w:p>
    <w:p>
      <w:pPr>
        <w:pStyle w:val="BodyText"/>
        <w:spacing w:line="477" w:lineRule="auto"/>
        <w:ind w:left="513" w:right="1493"/>
        <w:jc w:val="left"/>
      </w:pPr>
      <w:r>
        <w:rPr/>
        <w:t>合营安排分为共同经营和合营企业。 当本公司是合营安排的合营方，享有该安排相关资产且承担该安排相关负债时，为共同经营。 本公司确认与共同经营中利益份额相关的下列项目，并按照相关企业会计准则的规定进行会计处理：</w:t>
      </w:r>
    </w:p>
    <w:p>
      <w:pPr>
        <w:pStyle w:val="BodyText"/>
        <w:spacing w:line="240" w:lineRule="auto" w:before="54"/>
        <w:ind w:left="513" w:right="0"/>
        <w:jc w:val="left"/>
      </w:pPr>
      <w:r>
        <w:rPr/>
        <w:t>（</w:t>
      </w:r>
      <w:r>
        <w:rPr>
          <w:rFonts w:ascii="宋体" w:hAnsi="宋体" w:cs="宋体" w:eastAsia="宋体" w:hint="default"/>
        </w:rPr>
        <w:t>1</w:t>
      </w:r>
      <w:r>
        <w:rPr/>
        <w:t>）确认本公司单独所持有的资产，以及按本公司份额确认共同持有的资产；</w:t>
      </w:r>
    </w:p>
    <w:p>
      <w:pPr>
        <w:spacing w:line="240" w:lineRule="auto" w:before="10"/>
        <w:rPr>
          <w:rFonts w:ascii="宋体" w:hAnsi="宋体" w:cs="宋体" w:eastAsia="宋体" w:hint="default"/>
          <w:sz w:val="17"/>
          <w:szCs w:val="17"/>
        </w:rPr>
      </w:pPr>
    </w:p>
    <w:p>
      <w:pPr>
        <w:pStyle w:val="BodyText"/>
        <w:spacing w:line="240" w:lineRule="auto"/>
        <w:ind w:left="513" w:right="0"/>
        <w:jc w:val="left"/>
      </w:pPr>
      <w:r>
        <w:rPr/>
        <w:t>（</w:t>
      </w:r>
      <w:r>
        <w:rPr>
          <w:rFonts w:ascii="宋体" w:hAnsi="宋体" w:cs="宋体" w:eastAsia="宋体" w:hint="default"/>
        </w:rPr>
        <w:t>2</w:t>
      </w:r>
      <w:r>
        <w:rPr/>
        <w:t>）确认本公司单独所承担的负债，以及按本公司份额确认共同承担的负债；</w:t>
      </w:r>
    </w:p>
    <w:p>
      <w:pPr>
        <w:spacing w:line="240" w:lineRule="auto" w:before="10"/>
        <w:rPr>
          <w:rFonts w:ascii="宋体" w:hAnsi="宋体" w:cs="宋体" w:eastAsia="宋体" w:hint="default"/>
          <w:sz w:val="17"/>
          <w:szCs w:val="17"/>
        </w:rPr>
      </w:pPr>
    </w:p>
    <w:p>
      <w:pPr>
        <w:pStyle w:val="BodyText"/>
        <w:spacing w:line="240" w:lineRule="auto"/>
        <w:ind w:left="513" w:right="0"/>
        <w:jc w:val="left"/>
      </w:pPr>
      <w:r>
        <w:rPr/>
        <w:t>（</w:t>
      </w:r>
      <w:r>
        <w:rPr>
          <w:rFonts w:ascii="宋体" w:hAnsi="宋体" w:cs="宋体" w:eastAsia="宋体" w:hint="default"/>
        </w:rPr>
        <w:t>3</w:t>
      </w:r>
      <w:r>
        <w:rPr/>
        <w:t>）确认出售本公司享有的共同经营产出份额所产生的收入；</w:t>
      </w:r>
    </w:p>
    <w:p>
      <w:pPr>
        <w:spacing w:line="240" w:lineRule="auto" w:before="11"/>
        <w:rPr>
          <w:rFonts w:ascii="宋体" w:hAnsi="宋体" w:cs="宋体" w:eastAsia="宋体" w:hint="default"/>
          <w:sz w:val="17"/>
          <w:szCs w:val="17"/>
        </w:rPr>
      </w:pPr>
    </w:p>
    <w:p>
      <w:pPr>
        <w:pStyle w:val="BodyText"/>
        <w:spacing w:line="240" w:lineRule="auto"/>
        <w:ind w:left="513" w:right="0"/>
        <w:jc w:val="left"/>
      </w:pPr>
      <w:r>
        <w:rPr/>
        <w:t>（</w:t>
      </w:r>
      <w:r>
        <w:rPr>
          <w:rFonts w:ascii="宋体" w:hAnsi="宋体" w:cs="宋体" w:eastAsia="宋体" w:hint="default"/>
        </w:rPr>
        <w:t>4</w:t>
      </w:r>
      <w:r>
        <w:rPr/>
        <w:t>）按本公司份额确认共同经营因出售产出所产生的收入；</w:t>
      </w:r>
    </w:p>
    <w:p>
      <w:pPr>
        <w:spacing w:line="240" w:lineRule="auto" w:before="10"/>
        <w:rPr>
          <w:rFonts w:ascii="宋体" w:hAnsi="宋体" w:cs="宋体" w:eastAsia="宋体" w:hint="default"/>
          <w:sz w:val="17"/>
          <w:szCs w:val="17"/>
        </w:rPr>
      </w:pPr>
    </w:p>
    <w:p>
      <w:pPr>
        <w:pStyle w:val="BodyText"/>
        <w:spacing w:line="477" w:lineRule="auto"/>
        <w:ind w:left="513" w:right="3383"/>
        <w:jc w:val="left"/>
      </w:pPr>
      <w:r>
        <w:rPr/>
        <w:t>（</w:t>
      </w:r>
      <w:r>
        <w:rPr>
          <w:rFonts w:ascii="宋体" w:hAnsi="宋体" w:cs="宋体" w:eastAsia="宋体" w:hint="default"/>
        </w:rPr>
        <w:t>5</w:t>
      </w:r>
      <w:r>
        <w:rPr/>
        <w:t>）确认单独所发生的费用，以及按本公司份额确认共同经营发生的费用。 本公司对合营企业投资的会计政策见本附注“长期股权投资”。</w:t>
      </w:r>
    </w:p>
    <w:p>
      <w:pPr>
        <w:spacing w:line="240" w:lineRule="auto" w:before="11"/>
        <w:rPr>
          <w:rFonts w:ascii="宋体" w:hAnsi="宋体" w:cs="宋体" w:eastAsia="宋体" w:hint="default"/>
          <w:sz w:val="16"/>
          <w:szCs w:val="16"/>
        </w:rPr>
      </w:pPr>
    </w:p>
    <w:p>
      <w:pPr>
        <w:spacing w:line="571" w:lineRule="auto" w:before="0"/>
        <w:ind w:left="513" w:right="0" w:hanging="361"/>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8</w:t>
      </w:r>
      <w:r>
        <w:rPr>
          <w:rFonts w:ascii="Microsoft JhengHei" w:hAnsi="Microsoft JhengHei" w:cs="Microsoft JhengHei" w:eastAsia="Microsoft JhengHei" w:hint="default"/>
          <w:b/>
          <w:bCs/>
          <w:sz w:val="18"/>
          <w:szCs w:val="18"/>
        </w:rPr>
        <w:t>、现金及现金等价物的确定标准</w:t>
      </w:r>
      <w:r>
        <w:rPr>
          <w:rFonts w:ascii="Microsoft JhengHei" w:hAnsi="Microsoft JhengHei" w:cs="Microsoft JhengHei" w:eastAsia="Microsoft JhengHei" w:hint="default"/>
          <w:b/>
          <w:bCs/>
          <w:spacing w:val="-39"/>
          <w:sz w:val="18"/>
          <w:szCs w:val="18"/>
        </w:rPr>
        <w:t> </w:t>
      </w:r>
      <w:r>
        <w:rPr>
          <w:rFonts w:ascii="Microsoft JhengHei" w:hAnsi="Microsoft JhengHei" w:cs="Microsoft JhengHei" w:eastAsia="Microsoft JhengHei" w:hint="default"/>
          <w:b/>
          <w:bCs/>
          <w:spacing w:val="-39"/>
          <w:sz w:val="18"/>
          <w:szCs w:val="18"/>
        </w:rPr>
      </w:r>
      <w:r>
        <w:rPr>
          <w:rFonts w:ascii="宋体" w:hAnsi="宋体" w:cs="宋体" w:eastAsia="宋体" w:hint="default"/>
          <w:spacing w:val="-2"/>
          <w:sz w:val="18"/>
          <w:szCs w:val="18"/>
        </w:rPr>
        <w:t>在编制现金流量表时，将本公司库存现金以及可以随时用于支付的存款确认为现金。将同时具备期限短（从购买日起三</w:t>
      </w:r>
    </w:p>
    <w:p>
      <w:pPr>
        <w:pStyle w:val="BodyText"/>
        <w:spacing w:line="220" w:lineRule="exact"/>
        <w:ind w:right="0"/>
        <w:jc w:val="left"/>
      </w:pPr>
      <w:r>
        <w:rPr/>
        <w:t>个月内到期）、流动性强、易于转换为已知现金、价值变动风险很小四个条件的投资，确定为现金等价物。</w:t>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2"/>
          <w:szCs w:val="12"/>
        </w:rPr>
      </w:pPr>
    </w:p>
    <w:p>
      <w:pPr>
        <w:pStyle w:val="Heading5"/>
        <w:spacing w:line="240" w:lineRule="auto"/>
        <w:ind w:right="0"/>
        <w:jc w:val="left"/>
        <w:rPr>
          <w:b w:val="0"/>
          <w:bCs w:val="0"/>
        </w:rPr>
      </w:pPr>
      <w:r>
        <w:rPr>
          <w:rFonts w:ascii="Times New Roman" w:hAnsi="Times New Roman" w:cs="Times New Roman" w:eastAsia="Times New Roman" w:hint="default"/>
        </w:rPr>
        <w:t>9</w:t>
      </w:r>
      <w:r>
        <w:rPr/>
        <w:t>、外币业务和外币报表折算</w:t>
      </w:r>
      <w:r>
        <w:rPr>
          <w:b w:val="0"/>
          <w:bCs w:val="0"/>
        </w:rPr>
      </w:r>
    </w:p>
    <w:p>
      <w:pPr>
        <w:spacing w:line="240" w:lineRule="auto" w:before="0"/>
        <w:rPr>
          <w:rFonts w:ascii="Microsoft JhengHei" w:hAnsi="Microsoft JhengHei" w:cs="Microsoft JhengHei" w:eastAsia="Microsoft JhengHei" w:hint="default"/>
          <w:b/>
          <w:bCs/>
          <w:sz w:val="25"/>
          <w:szCs w:val="25"/>
        </w:rPr>
      </w:pPr>
    </w:p>
    <w:p>
      <w:pPr>
        <w:pStyle w:val="BodyText"/>
        <w:spacing w:line="477" w:lineRule="auto"/>
        <w:ind w:left="513" w:right="2933"/>
        <w:jc w:val="left"/>
      </w:pPr>
      <w:r>
        <w:rPr/>
        <w:t>（一）外币业务 外币业务采用交易发生日的平均汇率作为折算汇率将外币金额折合成人民币记账。</w:t>
      </w:r>
    </w:p>
    <w:p>
      <w:pPr>
        <w:pStyle w:val="BodyText"/>
        <w:spacing w:line="477" w:lineRule="auto" w:before="54"/>
        <w:ind w:right="0" w:firstLine="360"/>
        <w:jc w:val="left"/>
      </w:pPr>
      <w:r>
        <w:rPr>
          <w:spacing w:val="-2"/>
        </w:rPr>
        <w:t>资产负债表日外币货币性项目余额按资产负债表日即期汇率折算，由此产生的汇兑差额，除属于与购建符合资本化条件</w:t>
      </w:r>
      <w:r>
        <w:rPr/>
        <w:t> 的资产相关的外币专门借款产生的汇兑差额按照借款费用资本化的原则处理外，均计入当期损益。</w:t>
      </w: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21"/>
          <w:szCs w:val="21"/>
        </w:rPr>
      </w:pPr>
    </w:p>
    <w:p>
      <w:pPr>
        <w:pStyle w:val="BodyText"/>
        <w:spacing w:line="477" w:lineRule="auto"/>
        <w:ind w:left="513" w:right="0"/>
        <w:jc w:val="left"/>
      </w:pPr>
      <w:r>
        <w:rPr/>
        <w:t>（二）外币财务报表的折算 </w:t>
      </w:r>
      <w:r>
        <w:rPr>
          <w:spacing w:val="-2"/>
        </w:rPr>
        <w:t>资产负债表中的资产和负债项目，采用资产负债表日的即期汇率折算；所有者权益项目除“未分配利润”项目外，其他</w:t>
      </w:r>
    </w:p>
    <w:p>
      <w:pPr>
        <w:pStyle w:val="BodyText"/>
        <w:spacing w:line="477" w:lineRule="auto" w:before="54"/>
        <w:ind w:left="513" w:right="1133" w:hanging="361"/>
        <w:jc w:val="left"/>
      </w:pPr>
      <w:r>
        <w:rPr/>
        <w:t>项目采用发生时的即期汇率折算。利润表中的收入和费用项目，采用交易发生日的平均汇率折算。 处置境外经营时，将与该境外经营相关的外币财务报表折算差额，自所有者权益项目转入处置当期损益。</w:t>
      </w:r>
    </w:p>
    <w:p>
      <w:pPr>
        <w:spacing w:line="240" w:lineRule="auto" w:before="11"/>
        <w:rPr>
          <w:rFonts w:ascii="宋体" w:hAnsi="宋体" w:cs="宋体" w:eastAsia="宋体" w:hint="default"/>
          <w:sz w:val="16"/>
          <w:szCs w:val="16"/>
        </w:rPr>
      </w:pPr>
    </w:p>
    <w:p>
      <w:pPr>
        <w:pStyle w:val="Heading5"/>
        <w:spacing w:line="240" w:lineRule="auto"/>
        <w:ind w:right="0"/>
        <w:jc w:val="left"/>
        <w:rPr>
          <w:b w:val="0"/>
          <w:bCs w:val="0"/>
        </w:rPr>
      </w:pPr>
      <w:r>
        <w:rPr>
          <w:rFonts w:ascii="Times New Roman" w:hAnsi="Times New Roman" w:cs="Times New Roman" w:eastAsia="Times New Roman" w:hint="default"/>
        </w:rPr>
        <w:t>10</w:t>
      </w:r>
      <w:r>
        <w:rPr/>
        <w:t>、金融工具</w:t>
      </w:r>
      <w:r>
        <w:rPr>
          <w:b w:val="0"/>
          <w:bCs w:val="0"/>
        </w:rPr>
      </w:r>
    </w:p>
    <w:p>
      <w:pPr>
        <w:spacing w:line="240" w:lineRule="auto" w:before="15"/>
        <w:rPr>
          <w:rFonts w:ascii="Microsoft JhengHei" w:hAnsi="Microsoft JhengHei" w:cs="Microsoft JhengHei" w:eastAsia="Microsoft JhengHei" w:hint="default"/>
          <w:b/>
          <w:bCs/>
          <w:sz w:val="24"/>
          <w:szCs w:val="24"/>
        </w:rPr>
      </w:pPr>
    </w:p>
    <w:p>
      <w:pPr>
        <w:pStyle w:val="BodyText"/>
        <w:spacing w:line="477" w:lineRule="auto"/>
        <w:ind w:left="513" w:right="5633"/>
        <w:jc w:val="left"/>
      </w:pPr>
      <w:r>
        <w:rPr/>
        <w:t>金融工具包括金融资产、金融负债和权益工具。 </w:t>
      </w:r>
      <w:r>
        <w:rPr>
          <w:rFonts w:ascii="宋体" w:hAnsi="宋体" w:cs="宋体" w:eastAsia="宋体" w:hint="default"/>
        </w:rPr>
        <w:t>1</w:t>
      </w:r>
      <w:r>
        <w:rPr/>
        <w:t>、金融工具的分类</w:t>
      </w:r>
    </w:p>
    <w:p>
      <w:pPr>
        <w:spacing w:after="0" w:line="477" w:lineRule="auto"/>
        <w:jc w:val="left"/>
        <w:sectPr>
          <w:pgSz w:w="11910" w:h="16840"/>
          <w:pgMar w:header="877" w:footer="979" w:top="1100" w:bottom="1160" w:left="980" w:right="980"/>
        </w:sectPr>
      </w:pPr>
    </w:p>
    <w:p>
      <w:pPr>
        <w:spacing w:line="240" w:lineRule="auto" w:before="12"/>
        <w:rPr>
          <w:rFonts w:ascii="宋体" w:hAnsi="宋体" w:cs="宋体" w:eastAsia="宋体" w:hint="default"/>
          <w:sz w:val="27"/>
          <w:szCs w:val="27"/>
        </w:rPr>
      </w:pPr>
    </w:p>
    <w:p>
      <w:pPr>
        <w:pStyle w:val="BodyText"/>
        <w:spacing w:line="477" w:lineRule="auto" w:before="44"/>
        <w:ind w:right="192" w:firstLine="360"/>
        <w:jc w:val="both"/>
      </w:pPr>
      <w:r>
        <w:rPr>
          <w:spacing w:val="-2"/>
        </w:rPr>
        <w:t>金融资产和金融负债于初始确认时分类为：以公允价值计量且其变动计入当期损益的金融资产或金融负债，包括交易性</w:t>
      </w:r>
      <w:r>
        <w:rPr/>
        <w:t> </w:t>
      </w:r>
      <w:r>
        <w:rPr>
          <w:spacing w:val="-2"/>
        </w:rPr>
        <w:t>金融资产或金融负债和直接指定为以公允价值计量且其变动计入当期损益的金融资产或金融负债；持有至到期投资；应收款</w:t>
      </w:r>
      <w:r>
        <w:rPr>
          <w:spacing w:val="-64"/>
        </w:rPr>
        <w:t> </w:t>
      </w:r>
      <w:r>
        <w:rPr>
          <w:spacing w:val="-64"/>
        </w:rPr>
      </w:r>
      <w:r>
        <w:rPr/>
        <w:t>项；可供出售金融资产；其他金融负债等。</w:t>
      </w: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21"/>
          <w:szCs w:val="21"/>
        </w:rPr>
      </w:pPr>
    </w:p>
    <w:p>
      <w:pPr>
        <w:pStyle w:val="BodyText"/>
        <w:spacing w:line="240" w:lineRule="auto"/>
        <w:ind w:left="513" w:right="94"/>
        <w:jc w:val="left"/>
      </w:pPr>
      <w:r>
        <w:rPr>
          <w:rFonts w:ascii="宋体" w:hAnsi="宋体" w:cs="宋体" w:eastAsia="宋体" w:hint="default"/>
        </w:rPr>
        <w:t>2</w:t>
      </w:r>
      <w:r>
        <w:rPr/>
        <w:t>、金融工具的确认依据和计量方法</w:t>
      </w:r>
    </w:p>
    <w:p>
      <w:pPr>
        <w:spacing w:line="240" w:lineRule="auto" w:before="10"/>
        <w:rPr>
          <w:rFonts w:ascii="宋体" w:hAnsi="宋体" w:cs="宋体" w:eastAsia="宋体" w:hint="default"/>
          <w:sz w:val="17"/>
          <w:szCs w:val="17"/>
        </w:rPr>
      </w:pPr>
    </w:p>
    <w:p>
      <w:pPr>
        <w:pStyle w:val="BodyText"/>
        <w:spacing w:line="477" w:lineRule="auto"/>
        <w:ind w:left="513" w:right="94"/>
        <w:jc w:val="left"/>
      </w:pPr>
      <w:r>
        <w:rPr/>
        <w:t>（</w:t>
      </w:r>
      <w:r>
        <w:rPr>
          <w:rFonts w:ascii="宋体" w:hAnsi="宋体" w:cs="宋体" w:eastAsia="宋体" w:hint="default"/>
        </w:rPr>
        <w:t>1</w:t>
      </w:r>
      <w:r>
        <w:rPr/>
        <w:t>）以公允价值计量且其变动计入当期损益的金融资产（金融负债） </w:t>
      </w:r>
      <w:r>
        <w:rPr>
          <w:spacing w:val="-2"/>
        </w:rPr>
        <w:t>取得时以公允价值（扣除已宣告但尚未发放的现金股利或已到付息期但尚未领取的债券利息）作为初始确认金额，相关</w:t>
      </w:r>
    </w:p>
    <w:p>
      <w:pPr>
        <w:pStyle w:val="BodyText"/>
        <w:spacing w:line="477" w:lineRule="auto" w:before="55"/>
        <w:ind w:left="513" w:right="1893" w:hanging="361"/>
        <w:jc w:val="left"/>
      </w:pPr>
      <w:r>
        <w:rPr/>
        <w:t>的交易费用计入当期损益。 持有期间将取得的利息或现金股利确认为投资收益，年末将公允价值变动计入当期损益。 处置时，其公允价值与初始入账金额之间的差额确认为投资收益，同时调整公允价值变动损益。</w:t>
      </w:r>
    </w:p>
    <w:p>
      <w:pPr>
        <w:pStyle w:val="BodyText"/>
        <w:spacing w:line="477" w:lineRule="auto" w:before="54"/>
        <w:ind w:left="513" w:right="94"/>
        <w:jc w:val="left"/>
      </w:pPr>
      <w:r>
        <w:rPr/>
        <w:t>（</w:t>
      </w:r>
      <w:r>
        <w:rPr>
          <w:rFonts w:ascii="宋体" w:hAnsi="宋体" w:cs="宋体" w:eastAsia="宋体" w:hint="default"/>
        </w:rPr>
        <w:t>2</w:t>
      </w:r>
      <w:r>
        <w:rPr/>
        <w:t>）持有至到期投资 取得时按公允价值（扣除已到付息期但尚未领取的债券利息）和相关交易费用之和作为初始确认金额。 </w:t>
      </w:r>
      <w:r>
        <w:rPr>
          <w:spacing w:val="-2"/>
        </w:rPr>
        <w:t>持有期间按照摊余成本和实际利率计算确认利息收入，计入投资收益。实际利率在取得时确定，在该预期存续期间或适</w:t>
      </w:r>
    </w:p>
    <w:p>
      <w:pPr>
        <w:pStyle w:val="BodyText"/>
        <w:spacing w:line="477" w:lineRule="auto" w:before="54"/>
        <w:ind w:left="513" w:right="4053" w:hanging="361"/>
        <w:jc w:val="left"/>
      </w:pPr>
      <w:r>
        <w:rPr/>
        <w:t>用的更短期间内保持不变。 处置时，将所取得价款与该投资账面价值之间的差额计入投资收益。</w:t>
      </w:r>
    </w:p>
    <w:p>
      <w:pPr>
        <w:pStyle w:val="BodyText"/>
        <w:spacing w:line="477" w:lineRule="auto" w:before="54"/>
        <w:ind w:left="513" w:right="94"/>
        <w:jc w:val="left"/>
      </w:pPr>
      <w:r>
        <w:rPr/>
        <w:t>（</w:t>
      </w:r>
      <w:r>
        <w:rPr>
          <w:rFonts w:ascii="宋体" w:hAnsi="宋体" w:cs="宋体" w:eastAsia="宋体" w:hint="default"/>
        </w:rPr>
        <w:t>3</w:t>
      </w:r>
      <w:r>
        <w:rPr/>
        <w:t>）应收款项 </w:t>
      </w:r>
      <w:r>
        <w:rPr>
          <w:spacing w:val="-2"/>
        </w:rPr>
        <w:t>公司对外销售商品或提供劳务形成的应收债权，以及公司持有的其他企业的不包括在活跃市场上有报价的债务工具的债</w:t>
      </w:r>
    </w:p>
    <w:p>
      <w:pPr>
        <w:pStyle w:val="BodyText"/>
        <w:spacing w:line="477" w:lineRule="auto" w:before="54"/>
        <w:ind w:right="94"/>
        <w:jc w:val="left"/>
      </w:pPr>
      <w:r>
        <w:rPr>
          <w:spacing w:val="-2"/>
        </w:rPr>
        <w:t>权，包括应收账款、其他应收款等，以向购货方应收的合同或协议价款作为初始确认金额；具有融资性质的，按其现值进行</w:t>
      </w:r>
      <w:r>
        <w:rPr>
          <w:spacing w:val="-67"/>
        </w:rPr>
        <w:t> </w:t>
      </w:r>
      <w:r>
        <w:rPr>
          <w:spacing w:val="-67"/>
        </w:rPr>
      </w:r>
      <w:r>
        <w:rPr/>
        <w:t>初始确认。</w:t>
      </w:r>
    </w:p>
    <w:p>
      <w:pPr>
        <w:pStyle w:val="BodyText"/>
        <w:spacing w:line="240" w:lineRule="auto" w:before="54"/>
        <w:ind w:left="513" w:right="94"/>
        <w:jc w:val="left"/>
      </w:pPr>
      <w:r>
        <w:rPr/>
        <w:t>收回或处置时，将取得的价款与该应收款项账面价值之间的差额计入当期损益。</w:t>
      </w:r>
    </w:p>
    <w:p>
      <w:pPr>
        <w:spacing w:line="240" w:lineRule="auto" w:before="11"/>
        <w:rPr>
          <w:rFonts w:ascii="宋体" w:hAnsi="宋体" w:cs="宋体" w:eastAsia="宋体" w:hint="default"/>
          <w:sz w:val="17"/>
          <w:szCs w:val="17"/>
        </w:rPr>
      </w:pPr>
    </w:p>
    <w:p>
      <w:pPr>
        <w:pStyle w:val="BodyText"/>
        <w:spacing w:line="477" w:lineRule="auto"/>
        <w:ind w:left="513" w:right="94"/>
        <w:jc w:val="left"/>
      </w:pPr>
      <w:r>
        <w:rPr/>
        <w:t>（</w:t>
      </w:r>
      <w:r>
        <w:rPr>
          <w:rFonts w:ascii="宋体" w:hAnsi="宋体" w:cs="宋体" w:eastAsia="宋体" w:hint="default"/>
        </w:rPr>
        <w:t>4</w:t>
      </w:r>
      <w:r>
        <w:rPr/>
        <w:t>）可供出售金融资产 </w:t>
      </w:r>
      <w:r>
        <w:rPr>
          <w:spacing w:val="-2"/>
        </w:rPr>
        <w:t>取得时按公允价值（扣除已宣告但尚未发放的现金股利或已到付息期但尚未领取的债券利息）和相关交易费用之和作为</w:t>
      </w:r>
    </w:p>
    <w:p>
      <w:pPr>
        <w:pStyle w:val="BodyText"/>
        <w:spacing w:line="477" w:lineRule="auto" w:before="54"/>
        <w:ind w:left="513" w:right="93" w:hanging="361"/>
        <w:jc w:val="left"/>
      </w:pPr>
      <w:r>
        <w:rPr/>
        <w:t>初始确认金额。 持有期间将取得的利息或现金股利确认为投资收益。年末以公允价值计量且将公允价值变动计入其他综合收益。但是，</w:t>
      </w:r>
    </w:p>
    <w:p>
      <w:pPr>
        <w:pStyle w:val="BodyText"/>
        <w:spacing w:line="477" w:lineRule="auto" w:before="54"/>
        <w:ind w:right="94"/>
        <w:jc w:val="left"/>
      </w:pPr>
      <w:r>
        <w:rPr>
          <w:spacing w:val="-2"/>
        </w:rPr>
        <w:t>在活跃市场中没有报价且其公允价值不能可靠计量的权益工具投资，以及与该权益工具挂钩并须通过交付该权益工具结算的</w:t>
      </w:r>
      <w:r>
        <w:rPr>
          <w:spacing w:val="-63"/>
        </w:rPr>
        <w:t> </w:t>
      </w:r>
      <w:r>
        <w:rPr>
          <w:spacing w:val="-63"/>
        </w:rPr>
      </w:r>
      <w:r>
        <w:rPr/>
        <w:t>衍生金融资产，按照成本计量。</w:t>
      </w:r>
    </w:p>
    <w:p>
      <w:pPr>
        <w:pStyle w:val="BodyText"/>
        <w:spacing w:line="477" w:lineRule="auto" w:before="54"/>
        <w:ind w:right="190" w:firstLine="360"/>
        <w:jc w:val="both"/>
      </w:pPr>
      <w:r>
        <w:rPr>
          <w:spacing w:val="-2"/>
        </w:rPr>
        <w:t>处置时，将取得的价款与该金融资产账面价值之间的差额，计入投资损益；同时，将原直接计入其他综合收益的公允价</w:t>
      </w:r>
      <w:r>
        <w:rPr/>
        <w:t> 值变动累计额对应处置部分的金额转出，计入当期损益。</w:t>
      </w:r>
    </w:p>
    <w:p>
      <w:pPr>
        <w:pStyle w:val="BodyText"/>
        <w:spacing w:line="477" w:lineRule="auto" w:before="54"/>
        <w:ind w:left="513" w:right="2793"/>
        <w:jc w:val="left"/>
      </w:pPr>
      <w:r>
        <w:rPr/>
        <w:t>（</w:t>
      </w:r>
      <w:r>
        <w:rPr>
          <w:rFonts w:ascii="宋体" w:hAnsi="宋体" w:cs="宋体" w:eastAsia="宋体" w:hint="default"/>
        </w:rPr>
        <w:t>5</w:t>
      </w:r>
      <w:r>
        <w:rPr/>
        <w:t>）其他金融负债 按其公允价值和相关交易费用之和作为初始确认金额。采用摊余成本进行后续计量。</w:t>
      </w:r>
    </w:p>
    <w:p>
      <w:pPr>
        <w:spacing w:after="0" w:line="477" w:lineRule="auto"/>
        <w:jc w:val="left"/>
        <w:sectPr>
          <w:pgSz w:w="11910" w:h="16840"/>
          <w:pgMar w:header="877" w:footer="979" w:top="1100" w:bottom="1160" w:left="980" w:right="940"/>
        </w:sectPr>
      </w:pPr>
    </w:p>
    <w:p>
      <w:pPr>
        <w:spacing w:line="240" w:lineRule="auto" w:before="12"/>
        <w:rPr>
          <w:rFonts w:ascii="宋体" w:hAnsi="宋体" w:cs="宋体" w:eastAsia="宋体" w:hint="default"/>
          <w:sz w:val="27"/>
          <w:szCs w:val="27"/>
        </w:rPr>
      </w:pPr>
    </w:p>
    <w:p>
      <w:pPr>
        <w:pStyle w:val="BodyText"/>
        <w:spacing w:line="477" w:lineRule="auto" w:before="44"/>
        <w:ind w:left="513" w:right="94"/>
        <w:jc w:val="left"/>
      </w:pPr>
      <w:r>
        <w:rPr>
          <w:rFonts w:ascii="宋体" w:hAnsi="宋体" w:cs="宋体" w:eastAsia="宋体" w:hint="default"/>
        </w:rPr>
        <w:t>3</w:t>
      </w:r>
      <w:r>
        <w:rPr/>
        <w:t>、金融资产转移的确认依据和计量方法 </w:t>
      </w:r>
      <w:r>
        <w:rPr>
          <w:spacing w:val="-2"/>
        </w:rPr>
        <w:t>公司发生金融资产转移时，如已将金融资产所有权上几乎所有的风险和报酬转移给转入方，则终止确认该金融资产；如</w:t>
      </w:r>
    </w:p>
    <w:p>
      <w:pPr>
        <w:pStyle w:val="BodyText"/>
        <w:spacing w:line="477" w:lineRule="auto" w:before="54"/>
        <w:ind w:left="513" w:right="94" w:hanging="361"/>
        <w:jc w:val="left"/>
      </w:pPr>
      <w:r>
        <w:rPr/>
        <w:t>保留了金融资产所有权上几乎所有的风险和报酬的，则不终止确认该金融资产。 </w:t>
      </w:r>
      <w:r>
        <w:rPr>
          <w:spacing w:val="-2"/>
        </w:rPr>
        <w:t>在判断金融资产转移是否满足上述金融资产终止确认条件时，采用实质重于形式的原则。公司将金融资产转移区分为金</w:t>
      </w:r>
    </w:p>
    <w:p>
      <w:pPr>
        <w:pStyle w:val="BodyText"/>
        <w:spacing w:line="240" w:lineRule="auto" w:before="54"/>
        <w:ind w:right="0"/>
        <w:jc w:val="both"/>
      </w:pPr>
      <w:r>
        <w:rPr/>
        <w:t>融资产整体转移和部分转移。金融资产整体转移满足终止确认条件的，将下列两项金额的差额计入当期损益：</w:t>
      </w:r>
    </w:p>
    <w:p>
      <w:pPr>
        <w:spacing w:line="240" w:lineRule="auto" w:before="10"/>
        <w:rPr>
          <w:rFonts w:ascii="宋体" w:hAnsi="宋体" w:cs="宋体" w:eastAsia="宋体" w:hint="default"/>
          <w:sz w:val="17"/>
          <w:szCs w:val="17"/>
        </w:rPr>
      </w:pPr>
    </w:p>
    <w:p>
      <w:pPr>
        <w:pStyle w:val="BodyText"/>
        <w:spacing w:line="240" w:lineRule="auto"/>
        <w:ind w:left="513" w:right="94"/>
        <w:jc w:val="left"/>
      </w:pPr>
      <w:r>
        <w:rPr/>
        <w:t>（</w:t>
      </w:r>
      <w:r>
        <w:rPr>
          <w:rFonts w:ascii="宋体" w:hAnsi="宋体" w:cs="宋体" w:eastAsia="宋体" w:hint="default"/>
        </w:rPr>
        <w:t>1</w:t>
      </w:r>
      <w:r>
        <w:rPr/>
        <w:t>）所转移金融资产的账面价值；</w:t>
      </w:r>
    </w:p>
    <w:p>
      <w:pPr>
        <w:spacing w:line="240" w:lineRule="auto" w:before="10"/>
        <w:rPr>
          <w:rFonts w:ascii="宋体" w:hAnsi="宋体" w:cs="宋体" w:eastAsia="宋体" w:hint="default"/>
          <w:sz w:val="17"/>
          <w:szCs w:val="17"/>
        </w:rPr>
      </w:pPr>
    </w:p>
    <w:p>
      <w:pPr>
        <w:pStyle w:val="BodyText"/>
        <w:spacing w:line="477" w:lineRule="auto"/>
        <w:ind w:right="184" w:firstLine="360"/>
        <w:jc w:val="left"/>
      </w:pPr>
      <w:r>
        <w:rPr/>
        <w:t>（</w:t>
      </w:r>
      <w:r>
        <w:rPr>
          <w:rFonts w:ascii="宋体" w:hAnsi="宋体" w:cs="宋体" w:eastAsia="宋体" w:hint="default"/>
        </w:rPr>
        <w:t>2</w:t>
      </w:r>
      <w:r>
        <w:rPr/>
        <w:t>）因转移而收到的对价，与原直接计入所有者权益的公允价值变动累计额（涉及转移的金融资产为可供出售金融资 产的情形）之和。</w:t>
      </w:r>
    </w:p>
    <w:p>
      <w:pPr>
        <w:pStyle w:val="BodyText"/>
        <w:spacing w:line="477" w:lineRule="auto" w:before="54"/>
        <w:ind w:right="94" w:firstLine="360"/>
        <w:jc w:val="left"/>
      </w:pPr>
      <w:r>
        <w:rPr/>
        <w:t>金融资产部分转移满足终止确认条件的，将所转移金融资产整体的账面价值，在终止确认部分和未终止确认部分之间， 按照各自的相对公允价值进行分摊，并将下列两项金额的差额计入当期损益：</w:t>
      </w:r>
    </w:p>
    <w:p>
      <w:pPr>
        <w:pStyle w:val="BodyText"/>
        <w:spacing w:line="240" w:lineRule="auto" w:before="54"/>
        <w:ind w:left="513" w:right="94"/>
        <w:jc w:val="left"/>
      </w:pPr>
      <w:r>
        <w:rPr/>
        <w:t>（</w:t>
      </w:r>
      <w:r>
        <w:rPr>
          <w:rFonts w:ascii="宋体" w:hAnsi="宋体" w:cs="宋体" w:eastAsia="宋体" w:hint="default"/>
        </w:rPr>
        <w:t>1</w:t>
      </w:r>
      <w:r>
        <w:rPr/>
        <w:t>）终止确认部分的账面价值；</w:t>
      </w:r>
    </w:p>
    <w:p>
      <w:pPr>
        <w:spacing w:line="240" w:lineRule="auto" w:before="10"/>
        <w:rPr>
          <w:rFonts w:ascii="宋体" w:hAnsi="宋体" w:cs="宋体" w:eastAsia="宋体" w:hint="default"/>
          <w:sz w:val="17"/>
          <w:szCs w:val="17"/>
        </w:rPr>
      </w:pPr>
    </w:p>
    <w:p>
      <w:pPr>
        <w:pStyle w:val="BodyText"/>
        <w:spacing w:line="477" w:lineRule="auto"/>
        <w:ind w:right="184" w:firstLine="360"/>
        <w:jc w:val="left"/>
      </w:pPr>
      <w:r>
        <w:rPr/>
        <w:t>（</w:t>
      </w:r>
      <w:r>
        <w:rPr>
          <w:rFonts w:ascii="宋体" w:hAnsi="宋体" w:cs="宋体" w:eastAsia="宋体" w:hint="default"/>
        </w:rPr>
        <w:t>2</w:t>
      </w:r>
      <w:r>
        <w:rPr/>
        <w:t>）终止确认部分的对价，与原直接计入所有者权益的公允价值变动累计额中对应终止确认部分的金额（涉及转移的 金融资产为可供出售金融资产的情形）之和。</w:t>
      </w:r>
    </w:p>
    <w:p>
      <w:pPr>
        <w:pStyle w:val="BodyText"/>
        <w:spacing w:line="477" w:lineRule="auto" w:before="54"/>
        <w:ind w:left="513" w:right="94"/>
        <w:jc w:val="left"/>
      </w:pPr>
      <w:r>
        <w:rPr/>
        <w:t>金融资产转移不满足终止确认条件的，继续确认该金融资产，所收到的对价确认为一项金融负债。 </w:t>
      </w:r>
      <w:r>
        <w:rPr>
          <w:rFonts w:ascii="宋体" w:hAnsi="宋体" w:cs="宋体" w:eastAsia="宋体" w:hint="default"/>
        </w:rPr>
        <w:t>4</w:t>
      </w:r>
      <w:r>
        <w:rPr/>
        <w:t>、金融负债终止确认条件 </w:t>
      </w:r>
      <w:r>
        <w:rPr>
          <w:spacing w:val="-2"/>
        </w:rPr>
        <w:t>金融负债的现时义务全部或部分已经解除的，则终止确认该金融负债或其一部分；本公司若与债权人签定协议，以承担</w:t>
      </w:r>
    </w:p>
    <w:p>
      <w:pPr>
        <w:pStyle w:val="BodyText"/>
        <w:spacing w:line="477" w:lineRule="auto" w:before="54"/>
        <w:ind w:right="190"/>
        <w:jc w:val="both"/>
      </w:pPr>
      <w:r>
        <w:rPr>
          <w:spacing w:val="-2"/>
        </w:rPr>
        <w:t>新金融负债方式替换现存金融负债，且新金融负债与现存金融负债的合同条款实质上不同的，则终止确认现存金融负债，并</w:t>
      </w:r>
      <w:r>
        <w:rPr>
          <w:spacing w:val="-63"/>
        </w:rPr>
        <w:t> </w:t>
      </w:r>
      <w:r>
        <w:rPr>
          <w:spacing w:val="-63"/>
        </w:rPr>
      </w:r>
      <w:r>
        <w:rPr/>
        <w:t>同时确认新金融负债。</w:t>
      </w:r>
    </w:p>
    <w:p>
      <w:pPr>
        <w:pStyle w:val="BodyText"/>
        <w:spacing w:line="477" w:lineRule="auto" w:before="54"/>
        <w:ind w:right="94" w:firstLine="360"/>
        <w:jc w:val="left"/>
      </w:pPr>
      <w:r>
        <w:rPr>
          <w:spacing w:val="-2"/>
        </w:rPr>
        <w:t>对现存金融负债全部或部分合同条款作出实质性修改的，则终止确认现存金融负债或其一部分，同时将修改条款后的金</w:t>
      </w:r>
      <w:r>
        <w:rPr/>
        <w:t> 融负债确认为一项新金融负债。</w:t>
      </w:r>
    </w:p>
    <w:p>
      <w:pPr>
        <w:pStyle w:val="BodyText"/>
        <w:spacing w:line="477" w:lineRule="auto" w:before="55"/>
        <w:ind w:right="94" w:firstLine="360"/>
        <w:jc w:val="left"/>
      </w:pPr>
      <w:r>
        <w:rPr>
          <w:spacing w:val="-2"/>
        </w:rPr>
        <w:t>金融负债全部或部分终止确认时，终止确认的金融负债账面价值与支付对价（包括转出的非现金资产或承担的新金融负</w:t>
      </w:r>
      <w:r>
        <w:rPr/>
        <w:t> 债）之间的差额，计入当期损益。</w:t>
      </w:r>
    </w:p>
    <w:p>
      <w:pPr>
        <w:pStyle w:val="BodyText"/>
        <w:spacing w:line="477" w:lineRule="auto" w:before="54"/>
        <w:ind w:right="94" w:firstLine="360"/>
        <w:jc w:val="left"/>
      </w:pPr>
      <w:r>
        <w:rPr>
          <w:spacing w:val="-2"/>
        </w:rPr>
        <w:t>本公司若回购部分金融负债的，在回购日按照继续确认部分与终止确认部分的相对公允价值，将该金融负债整体的账面</w:t>
      </w:r>
      <w:r>
        <w:rPr/>
        <w:t> 价值进行分配。分配给终止确认部分的账面价值与支付的对价（包括转出的非现金资产或承担的新金融负债）之间的差额， 计入当期损益。</w:t>
      </w:r>
    </w:p>
    <w:p>
      <w:pPr>
        <w:pStyle w:val="BodyText"/>
        <w:spacing w:line="477" w:lineRule="auto" w:before="54"/>
        <w:ind w:left="513" w:right="94"/>
        <w:jc w:val="left"/>
      </w:pPr>
      <w:r>
        <w:rPr>
          <w:rFonts w:ascii="宋体" w:hAnsi="宋体" w:cs="宋体" w:eastAsia="宋体" w:hint="default"/>
        </w:rPr>
        <w:t>5</w:t>
      </w:r>
      <w:r>
        <w:rPr/>
        <w:t>、金融资产和金融负债的公允价值的确定方法 </w:t>
      </w:r>
      <w:r>
        <w:rPr>
          <w:spacing w:val="-2"/>
        </w:rPr>
        <w:t>存在活跃市场的金融工具，以活跃市场中的报价确定其公允价值。不存在活跃市场的金融工具，采用估值技术确定其公</w:t>
      </w:r>
    </w:p>
    <w:p>
      <w:pPr>
        <w:pStyle w:val="BodyText"/>
        <w:spacing w:line="477" w:lineRule="auto" w:before="54"/>
        <w:ind w:right="192"/>
        <w:jc w:val="both"/>
      </w:pPr>
      <w:r>
        <w:rPr>
          <w:spacing w:val="-2"/>
        </w:rPr>
        <w:t>允价值。在估值时，本公司采用在当前情况下适用并且有足够可利用数据和其他信息支持的估值技术，选择与市场参与者在</w:t>
      </w:r>
      <w:r>
        <w:rPr>
          <w:spacing w:val="-66"/>
        </w:rPr>
        <w:t> </w:t>
      </w:r>
      <w:r>
        <w:rPr>
          <w:spacing w:val="-66"/>
        </w:rPr>
      </w:r>
      <w:r>
        <w:rPr>
          <w:spacing w:val="-2"/>
        </w:rPr>
        <w:t>相关资产或负债的交易中所考虑的资产或负债特征相一致的输入值，并优先使用相关可观察输入值。只有在相关可观察输入</w:t>
      </w:r>
      <w:r>
        <w:rPr>
          <w:spacing w:val="-63"/>
        </w:rPr>
        <w:t> </w:t>
      </w:r>
      <w:r>
        <w:rPr>
          <w:spacing w:val="-63"/>
        </w:rPr>
      </w:r>
      <w:r>
        <w:rPr/>
        <w:t>值无法取得或取得不切实可行的情况下，才使用不可观察输入值。</w:t>
      </w:r>
    </w:p>
    <w:p>
      <w:pPr>
        <w:spacing w:after="0" w:line="477" w:lineRule="auto"/>
        <w:jc w:val="both"/>
        <w:sectPr>
          <w:pgSz w:w="11910" w:h="16840"/>
          <w:pgMar w:header="877" w:footer="979" w:top="1100" w:bottom="1160" w:left="980" w:right="940"/>
        </w:sectPr>
      </w:pPr>
    </w:p>
    <w:p>
      <w:pPr>
        <w:spacing w:line="240" w:lineRule="auto" w:before="12"/>
        <w:rPr>
          <w:rFonts w:ascii="宋体" w:hAnsi="宋体" w:cs="宋体" w:eastAsia="宋体" w:hint="default"/>
          <w:sz w:val="27"/>
          <w:szCs w:val="27"/>
        </w:rPr>
      </w:pPr>
    </w:p>
    <w:p>
      <w:pPr>
        <w:pStyle w:val="BodyText"/>
        <w:spacing w:line="477" w:lineRule="auto" w:before="44"/>
        <w:ind w:left="513" w:right="0"/>
        <w:jc w:val="left"/>
      </w:pPr>
      <w:r>
        <w:rPr>
          <w:rFonts w:ascii="宋体" w:hAnsi="宋体" w:cs="宋体" w:eastAsia="宋体" w:hint="default"/>
        </w:rPr>
        <w:t>6</w:t>
      </w:r>
      <w:r>
        <w:rPr/>
        <w:t>、金融资产（不含应收款项）减值的测试方法及会计处理方法 </w:t>
      </w:r>
      <w:r>
        <w:rPr>
          <w:spacing w:val="-2"/>
        </w:rPr>
        <w:t>除以公允价值计量且其变动计入当期损益的金融资产外，本公司于资产负债表日对金融资产的账面价值进行检查，如果</w:t>
      </w:r>
    </w:p>
    <w:p>
      <w:pPr>
        <w:pStyle w:val="BodyText"/>
        <w:spacing w:line="240" w:lineRule="auto" w:before="54"/>
        <w:ind w:right="0"/>
        <w:jc w:val="left"/>
      </w:pPr>
      <w:r>
        <w:rPr/>
        <w:t>有客观证据表明某项金融资产发生减值的，计提减值准备。</w:t>
      </w:r>
    </w:p>
    <w:p>
      <w:pPr>
        <w:spacing w:line="240" w:lineRule="auto" w:before="10"/>
        <w:rPr>
          <w:rFonts w:ascii="宋体" w:hAnsi="宋体" w:cs="宋体" w:eastAsia="宋体" w:hint="default"/>
          <w:sz w:val="17"/>
          <w:szCs w:val="17"/>
        </w:rPr>
      </w:pPr>
    </w:p>
    <w:p>
      <w:pPr>
        <w:pStyle w:val="BodyText"/>
        <w:spacing w:line="477" w:lineRule="auto"/>
        <w:ind w:left="513" w:right="0"/>
        <w:jc w:val="left"/>
      </w:pPr>
      <w:r>
        <w:rPr/>
        <w:t>（</w:t>
      </w:r>
      <w:r>
        <w:rPr>
          <w:rFonts w:ascii="宋体" w:hAnsi="宋体" w:cs="宋体" w:eastAsia="宋体" w:hint="default"/>
        </w:rPr>
        <w:t>1</w:t>
      </w:r>
      <w:r>
        <w:rPr/>
        <w:t>）可供出售金融资产的减值准备 </w:t>
      </w:r>
      <w:r>
        <w:rPr>
          <w:spacing w:val="-2"/>
        </w:rPr>
        <w:t>年末如果可供出售金融资产的公允价值发生严重下降，或在综合考虑各种相关因素后，预期这种下降趋势属于非暂时性</w:t>
      </w:r>
    </w:p>
    <w:p>
      <w:pPr>
        <w:pStyle w:val="BodyText"/>
        <w:spacing w:line="477" w:lineRule="auto" w:before="54"/>
        <w:ind w:left="513" w:right="0" w:hanging="361"/>
        <w:jc w:val="left"/>
      </w:pPr>
      <w:r>
        <w:rPr/>
        <w:t>的，就认定其已发生减值，将原直接计入所有者权益的公允价值下降形成的累计损失一并转出，确认减值损失。 </w:t>
      </w:r>
      <w:r>
        <w:rPr>
          <w:spacing w:val="-2"/>
        </w:rPr>
        <w:t>对于已确认减值损失的可供出售债务工具，在随后的会计期间公允价值已上升且客观上与确认原减值损失确认后发生的</w:t>
      </w:r>
    </w:p>
    <w:p>
      <w:pPr>
        <w:pStyle w:val="BodyText"/>
        <w:spacing w:line="477" w:lineRule="auto" w:before="55"/>
        <w:ind w:left="513" w:right="4733" w:hanging="361"/>
        <w:jc w:val="left"/>
      </w:pPr>
      <w:r>
        <w:rPr/>
        <w:t>事项有关的，原确认的减值损失予以转回，计入当期损益。 可供出售权益工具投资发生的减值损失，不通过损益转回。</w:t>
      </w:r>
    </w:p>
    <w:p>
      <w:pPr>
        <w:pStyle w:val="BodyText"/>
        <w:spacing w:line="477" w:lineRule="auto" w:before="54"/>
        <w:ind w:left="513" w:right="3833"/>
        <w:jc w:val="left"/>
      </w:pPr>
      <w:r>
        <w:rPr/>
        <w:t>（</w:t>
      </w:r>
      <w:r>
        <w:rPr>
          <w:rFonts w:ascii="宋体" w:hAnsi="宋体" w:cs="宋体" w:eastAsia="宋体" w:hint="default"/>
        </w:rPr>
        <w:t>2</w:t>
      </w:r>
      <w:r>
        <w:rPr/>
        <w:t>）持有至到期投资的减值准备 持有至到期投资减值损失的计量比照应收款项减值损失计量方法处理。</w:t>
      </w:r>
    </w:p>
    <w:p>
      <w:pPr>
        <w:spacing w:line="240" w:lineRule="auto" w:before="4"/>
        <w:rPr>
          <w:rFonts w:ascii="宋体" w:hAnsi="宋体" w:cs="宋体" w:eastAsia="宋体" w:hint="default"/>
          <w:sz w:val="14"/>
          <w:szCs w:val="14"/>
        </w:rPr>
      </w:pPr>
    </w:p>
    <w:p>
      <w:pPr>
        <w:pStyle w:val="Heading3"/>
        <w:spacing w:line="240" w:lineRule="auto"/>
        <w:ind w:right="0"/>
        <w:jc w:val="left"/>
        <w:rPr>
          <w:b w:val="0"/>
          <w:bCs w:val="0"/>
        </w:rPr>
      </w:pPr>
      <w:r>
        <w:rPr>
          <w:rFonts w:ascii="Times New Roman" w:hAnsi="Times New Roman" w:cs="Times New Roman" w:eastAsia="Times New Roman" w:hint="default"/>
        </w:rPr>
        <w:t>11</w:t>
      </w:r>
      <w:r>
        <w:rPr/>
        <w:t>、应收款项</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）单项金额重大并单独计提坏账准备的应收款项</w:t>
      </w:r>
      <w:r>
        <w:rPr>
          <w:b w:val="0"/>
          <w:bCs w:val="0"/>
        </w:rPr>
      </w:r>
    </w:p>
    <w:p>
      <w:pPr>
        <w:spacing w:line="240" w:lineRule="auto" w:before="13"/>
        <w:rPr>
          <w:rFonts w:ascii="Microsoft JhengHei" w:hAnsi="Microsoft JhengHei" w:cs="Microsoft JhengHei" w:eastAsia="Microsoft JhengHei" w:hint="default"/>
          <w:b/>
          <w:bCs/>
          <w:sz w:val="18"/>
          <w:szCs w:val="18"/>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年末余额占应收账款年末余额</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以上的应收款项。</w:t>
            </w:r>
          </w:p>
        </w:tc>
      </w:tr>
      <w:tr>
        <w:trPr>
          <w:trHeight w:val="1025"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2"/>
              <w:jc w:val="both"/>
              <w:rPr>
                <w:rFonts w:ascii="宋体" w:hAnsi="宋体" w:cs="宋体" w:eastAsia="宋体" w:hint="default"/>
                <w:sz w:val="18"/>
                <w:szCs w:val="18"/>
              </w:rPr>
            </w:pPr>
            <w:r>
              <w:rPr>
                <w:rFonts w:ascii="宋体" w:hAnsi="宋体" w:cs="宋体" w:eastAsia="宋体" w:hint="default"/>
                <w:sz w:val="18"/>
                <w:szCs w:val="18"/>
              </w:rPr>
              <w:t>单独进行减值测试，按预计未来现金流量现值低于其账面价 值的差额计提坏账准备，计入当期损益。单独测试未发生减 值的应收款项，将其归入相应组合计提坏账准备。</w:t>
            </w:r>
          </w:p>
        </w:tc>
      </w:tr>
    </w:tbl>
    <w:p>
      <w:pPr>
        <w:spacing w:line="240" w:lineRule="auto" w:before="8"/>
        <w:rPr>
          <w:rFonts w:ascii="Microsoft JhengHei" w:hAnsi="Microsoft JhengHei" w:cs="Microsoft JhengHei" w:eastAsia="Microsoft JhengHei" w:hint="default"/>
          <w:b/>
          <w:bCs/>
          <w:sz w:val="14"/>
          <w:szCs w:val="14"/>
        </w:rPr>
      </w:pPr>
    </w:p>
    <w:p>
      <w:pPr>
        <w:pStyle w:val="Heading3"/>
        <w:spacing w:line="335" w:lineRule="exact"/>
        <w:ind w:right="0"/>
        <w:jc w:val="left"/>
        <w:rPr>
          <w:b w:val="0"/>
          <w:bCs w:val="0"/>
        </w:rPr>
      </w:pPr>
      <w:r>
        <w:rPr/>
        <w:t>（</w:t>
      </w:r>
      <w:r>
        <w:rPr>
          <w:rFonts w:ascii="Times New Roman" w:hAnsi="Times New Roman" w:cs="Times New Roman" w:eastAsia="Times New Roman" w:hint="default"/>
        </w:rPr>
        <w:t>2</w:t>
      </w:r>
      <w:r>
        <w:rPr/>
        <w:t>）按信用风险特征组合计提坏账准备的应收款项</w:t>
      </w:r>
      <w:r>
        <w:rPr>
          <w:b w:val="0"/>
          <w:bCs w:val="0"/>
        </w:rPr>
      </w:r>
    </w:p>
    <w:p>
      <w:pPr>
        <w:spacing w:line="240" w:lineRule="auto" w:before="15"/>
        <w:rPr>
          <w:rFonts w:ascii="Microsoft JhengHei" w:hAnsi="Microsoft JhengHei" w:cs="Microsoft JhengHei" w:eastAsia="Microsoft JhengHei" w:hint="default"/>
          <w:b/>
          <w:bCs/>
          <w:sz w:val="18"/>
          <w:szCs w:val="18"/>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坏账准备计提方法</w:t>
            </w:r>
          </w:p>
        </w:tc>
      </w:tr>
      <w:tr>
        <w:trPr>
          <w:trHeight w:val="404"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以账龄特征划分为若干应收款项组合</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bl>
    <w:p>
      <w:pPr>
        <w:pStyle w:val="BodyText"/>
        <w:spacing w:line="240" w:lineRule="auto" w:before="49"/>
        <w:ind w:right="0"/>
        <w:jc w:val="left"/>
      </w:pPr>
      <w:r>
        <w:rPr/>
        <w:t>组合中，采用账龄分析法计提坏账准备的：</w:t>
      </w:r>
    </w:p>
    <w:p>
      <w:pPr>
        <w:pStyle w:val="BodyText"/>
        <w:spacing w:line="240" w:lineRule="auto" w:before="115"/>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71"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2.00%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2.00%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20.00%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50.00%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50.00%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r>
    </w:tbl>
    <w:p>
      <w:pPr>
        <w:pStyle w:val="BodyText"/>
        <w:spacing w:line="240" w:lineRule="auto" w:before="49"/>
        <w:ind w:right="0"/>
        <w:jc w:val="left"/>
      </w:pPr>
      <w:r>
        <w:rPr/>
        <w:t>组合中，采用余额百分比法计提坏账准备的：</w:t>
      </w:r>
    </w:p>
    <w:p>
      <w:pPr>
        <w:pStyle w:val="BodyText"/>
        <w:spacing w:line="340" w:lineRule="auto" w:before="115"/>
        <w:ind w:right="65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组合中，采用其他方法计提坏账准备的：</w:t>
      </w:r>
    </w:p>
    <w:p>
      <w:pPr>
        <w:spacing w:after="0" w:line="340" w:lineRule="auto"/>
        <w:jc w:val="left"/>
        <w:sectPr>
          <w:footerReference w:type="default" r:id="rId20"/>
          <w:pgSz w:w="11910" w:h="16840"/>
          <w:pgMar w:footer="979" w:header="877" w:top="1100" w:bottom="1160" w:left="980" w:right="980"/>
          <w:pgNumType w:start="90"/>
        </w:sectPr>
      </w:pPr>
    </w:p>
    <w:p>
      <w:pPr>
        <w:spacing w:line="240" w:lineRule="auto" w:before="11"/>
        <w:rPr>
          <w:rFonts w:ascii="宋体" w:hAnsi="宋体" w:cs="宋体" w:eastAsia="宋体" w:hint="default"/>
          <w:sz w:val="21"/>
          <w:szCs w:val="21"/>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）单项金额不重大但单独计提坏账准备的应收款项</w:t>
      </w:r>
      <w:r>
        <w:rPr>
          <w:b w:val="0"/>
          <w:bCs w:val="0"/>
        </w:rPr>
      </w: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7"/>
        <w:rPr>
          <w:rFonts w:ascii="Microsoft JhengHei" w:hAnsi="Microsoft JhengHei" w:cs="Microsoft JhengHei" w:eastAsia="Microsoft JhengHei" w:hint="default"/>
          <w:b/>
          <w:bCs/>
          <w:sz w:val="14"/>
          <w:szCs w:val="14"/>
        </w:rPr>
      </w:pPr>
    </w:p>
    <w:p>
      <w:pPr>
        <w:pStyle w:val="BodyText"/>
        <w:spacing w:line="240" w:lineRule="auto" w:before="44"/>
        <w:ind w:left="0" w:right="161"/>
        <w:jc w:val="right"/>
      </w:pPr>
      <w:r>
        <w:rPr/>
        <w:pict>
          <v:shape style="position:absolute;margin-left:56.459999pt;margin-top:-83.168282pt;width:479.2pt;height:103.15pt;mso-position-horizontal-relative:page;mso-position-vertical-relative:paragraph;z-index:145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783"/>
                    <w:gridCol w:w="4787"/>
                  </w:tblGrid>
                  <w:tr>
                    <w:trPr>
                      <w:trHeight w:val="1025"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2"/>
                          <w:jc w:val="both"/>
                          <w:rPr>
                            <w:rFonts w:ascii="宋体" w:hAnsi="宋体" w:cs="宋体" w:eastAsia="宋体" w:hint="default"/>
                            <w:sz w:val="18"/>
                            <w:szCs w:val="18"/>
                          </w:rPr>
                        </w:pPr>
                        <w:r>
                          <w:rPr>
                            <w:rFonts w:ascii="宋体" w:hAnsi="宋体" w:cs="宋体" w:eastAsia="宋体" w:hint="default"/>
                            <w:sz w:val="18"/>
                            <w:szCs w:val="18"/>
                          </w:rPr>
                          <w:t>有客观证据表明可能发生减值，如债务人出现撤销、破产或 死亡，以其破产财产或遗产清偿后仍不能收回，现金流量严 重不足等情况。</w:t>
                        </w:r>
                      </w:p>
                    </w:tc>
                  </w:tr>
                  <w:tr>
                    <w:trPr>
                      <w:trHeight w:val="1028"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2"/>
                          <w:jc w:val="both"/>
                          <w:rPr>
                            <w:rFonts w:ascii="宋体" w:hAnsi="宋体" w:cs="宋体" w:eastAsia="宋体" w:hint="default"/>
                            <w:sz w:val="18"/>
                            <w:szCs w:val="18"/>
                          </w:rPr>
                        </w:pPr>
                        <w:r>
                          <w:rPr>
                            <w:rFonts w:ascii="宋体" w:hAnsi="宋体" w:cs="宋体" w:eastAsia="宋体" w:hint="default"/>
                            <w:sz w:val="18"/>
                            <w:szCs w:val="18"/>
                          </w:rPr>
                          <w:t>对有客观证据表明可能发生了减值的应收款项，将其从相关 组合中分离出来，单独进行减值测试，根据其未来现金流量 </w:t>
                        </w:r>
                        <w:r>
                          <w:rPr>
                            <w:rFonts w:ascii="宋体" w:hAnsi="宋体" w:cs="宋体" w:eastAsia="宋体" w:hint="default"/>
                            <w:spacing w:val="-2"/>
                            <w:sz w:val="18"/>
                            <w:szCs w:val="18"/>
                          </w:rPr>
                          <w:t>现值低于其账面价值的差额，确认减值损失，计提坏账准备</w:t>
                        </w:r>
                      </w:p>
                    </w:tc>
                  </w:tr>
                </w:tbl>
                <w:p>
                  <w:pPr/>
                </w:p>
              </w:txbxContent>
            </v:textbox>
            <w10:wrap type="none"/>
          </v:shape>
        </w:pict>
      </w:r>
      <w:r>
        <w:rPr/>
        <w:t>。</w:t>
      </w:r>
    </w:p>
    <w:p>
      <w:pPr>
        <w:spacing w:line="240" w:lineRule="auto" w:before="4"/>
        <w:rPr>
          <w:rFonts w:ascii="宋体" w:hAnsi="宋体" w:cs="宋体" w:eastAsia="宋体" w:hint="default"/>
          <w:sz w:val="28"/>
          <w:szCs w:val="28"/>
        </w:rPr>
      </w:pPr>
    </w:p>
    <w:p>
      <w:pPr>
        <w:pStyle w:val="Heading3"/>
        <w:spacing w:line="335" w:lineRule="exact"/>
        <w:ind w:right="0"/>
        <w:jc w:val="left"/>
        <w:rPr>
          <w:b w:val="0"/>
          <w:bCs w:val="0"/>
        </w:rPr>
      </w:pPr>
      <w:r>
        <w:rPr>
          <w:rFonts w:ascii="Times New Roman" w:hAnsi="Times New Roman" w:cs="Times New Roman" w:eastAsia="Times New Roman" w:hint="default"/>
        </w:rPr>
        <w:t>12</w:t>
      </w:r>
      <w:r>
        <w:rPr/>
        <w:t>、存货</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360" w:lineRule="auto"/>
        <w:ind w:right="6714"/>
        <w:jc w:val="left"/>
      </w:pPr>
      <w:r>
        <w:rPr/>
        <w:t>公司是否需要遵守特殊行业的披露要求 否</w:t>
      </w:r>
    </w:p>
    <w:p>
      <w:pPr>
        <w:pStyle w:val="Heading5"/>
        <w:spacing w:line="283" w:lineRule="exact"/>
        <w:ind w:right="0"/>
        <w:jc w:val="left"/>
        <w:rPr>
          <w:b w:val="0"/>
          <w:bCs w:val="0"/>
        </w:rPr>
      </w:pPr>
      <w:r>
        <w:rPr/>
        <w:t>（一）存货的分类</w:t>
      </w:r>
      <w:r>
        <w:rPr>
          <w:b w:val="0"/>
          <w:bCs w:val="0"/>
        </w:rPr>
      </w:r>
    </w:p>
    <w:p>
      <w:pPr>
        <w:pStyle w:val="BodyText"/>
        <w:spacing w:line="240" w:lineRule="auto" w:before="135"/>
        <w:ind w:left="513" w:right="0"/>
        <w:jc w:val="left"/>
      </w:pPr>
      <w:r>
        <w:rPr/>
        <w:t>存货分类为：原材料、半成品、产成品、发出商品、委托加工物资、包装物等。</w:t>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13"/>
          <w:szCs w:val="13"/>
        </w:rPr>
      </w:pPr>
    </w:p>
    <w:p>
      <w:pPr>
        <w:spacing w:line="343" w:lineRule="auto" w:before="0"/>
        <w:ind w:left="513" w:right="6173" w:hanging="361"/>
        <w:jc w:val="left"/>
        <w:rPr>
          <w:rFonts w:ascii="宋体" w:hAnsi="宋体" w:cs="宋体" w:eastAsia="宋体" w:hint="default"/>
          <w:sz w:val="18"/>
          <w:szCs w:val="18"/>
        </w:rPr>
      </w:pPr>
      <w:r>
        <w:rPr>
          <w:rFonts w:ascii="Microsoft JhengHei" w:hAnsi="Microsoft JhengHei" w:cs="Microsoft JhengHei" w:eastAsia="Microsoft JhengHei" w:hint="default"/>
          <w:b/>
          <w:bCs/>
          <w:sz w:val="18"/>
          <w:szCs w:val="18"/>
        </w:rPr>
        <w:t>（二）发出存货的计价方法</w:t>
      </w:r>
      <w:r>
        <w:rPr>
          <w:rFonts w:ascii="Microsoft JhengHei" w:hAnsi="Microsoft JhengHei" w:cs="Microsoft JhengHei" w:eastAsia="Microsoft JhengHei" w:hint="default"/>
          <w:b/>
          <w:bCs/>
          <w:spacing w:val="-38"/>
          <w:sz w:val="18"/>
          <w:szCs w:val="18"/>
        </w:rPr>
        <w:t> </w:t>
      </w:r>
      <w:r>
        <w:rPr>
          <w:rFonts w:ascii="Microsoft JhengHei" w:hAnsi="Microsoft JhengHei" w:cs="Microsoft JhengHei" w:eastAsia="Microsoft JhengHei" w:hint="default"/>
          <w:b/>
          <w:bCs/>
          <w:spacing w:val="-38"/>
          <w:sz w:val="18"/>
          <w:szCs w:val="18"/>
        </w:rPr>
      </w:r>
      <w:r>
        <w:rPr>
          <w:rFonts w:ascii="宋体" w:hAnsi="宋体" w:cs="宋体" w:eastAsia="宋体" w:hint="default"/>
          <w:sz w:val="18"/>
          <w:szCs w:val="18"/>
        </w:rPr>
        <w:t>存货发出时按月末一次加权平均法计价。</w:t>
      </w:r>
    </w:p>
    <w:p>
      <w:pPr>
        <w:spacing w:line="240" w:lineRule="auto" w:before="3"/>
        <w:rPr>
          <w:rFonts w:ascii="宋体" w:hAnsi="宋体" w:cs="宋体" w:eastAsia="宋体" w:hint="default"/>
          <w:sz w:val="25"/>
          <w:szCs w:val="25"/>
        </w:rPr>
      </w:pPr>
    </w:p>
    <w:p>
      <w:pPr>
        <w:spacing w:line="343" w:lineRule="auto" w:before="0"/>
        <w:ind w:left="513" w:right="0" w:hanging="361"/>
        <w:jc w:val="left"/>
        <w:rPr>
          <w:rFonts w:ascii="宋体" w:hAnsi="宋体" w:cs="宋体" w:eastAsia="宋体" w:hint="default"/>
          <w:sz w:val="18"/>
          <w:szCs w:val="18"/>
        </w:rPr>
      </w:pPr>
      <w:r>
        <w:rPr>
          <w:rFonts w:ascii="Microsoft JhengHei" w:hAnsi="Microsoft JhengHei" w:cs="Microsoft JhengHei" w:eastAsia="Microsoft JhengHei" w:hint="default"/>
          <w:b/>
          <w:bCs/>
          <w:sz w:val="18"/>
          <w:szCs w:val="18"/>
        </w:rPr>
        <w:t>（三）不同类别存货可变现净值的确定依据</w:t>
      </w:r>
      <w:r>
        <w:rPr>
          <w:rFonts w:ascii="Microsoft JhengHei" w:hAnsi="Microsoft JhengHei" w:cs="Microsoft JhengHei" w:eastAsia="Microsoft JhengHei" w:hint="default"/>
          <w:b/>
          <w:bCs/>
          <w:spacing w:val="-34"/>
          <w:sz w:val="18"/>
          <w:szCs w:val="18"/>
        </w:rPr>
        <w:t> </w:t>
      </w:r>
      <w:r>
        <w:rPr>
          <w:rFonts w:ascii="Microsoft JhengHei" w:hAnsi="Microsoft JhengHei" w:cs="Microsoft JhengHei" w:eastAsia="Microsoft JhengHei" w:hint="default"/>
          <w:b/>
          <w:bCs/>
          <w:spacing w:val="-34"/>
          <w:sz w:val="18"/>
          <w:szCs w:val="18"/>
        </w:rPr>
      </w:r>
      <w:r>
        <w:rPr>
          <w:rFonts w:ascii="宋体" w:hAnsi="宋体" w:cs="宋体" w:eastAsia="宋体" w:hint="default"/>
          <w:spacing w:val="-2"/>
          <w:sz w:val="18"/>
          <w:szCs w:val="18"/>
        </w:rPr>
        <w:t>产成品、库存商品和用于出售的材料等直接用于出售的商品存货，在正常生产经营过程中，以该存货的估计售价减去估</w:t>
      </w:r>
    </w:p>
    <w:p>
      <w:pPr>
        <w:pStyle w:val="BodyText"/>
        <w:spacing w:line="477" w:lineRule="auto" w:before="155"/>
        <w:ind w:right="150"/>
        <w:jc w:val="both"/>
      </w:pPr>
      <w:r>
        <w:rPr>
          <w:spacing w:val="-2"/>
        </w:rPr>
        <w:t>计的销售费用和相关税费后的金额，确定其可变现净值；需要经过加工的材料存货，在正常生产经营过程中，以所生产的产</w:t>
      </w:r>
      <w:r>
        <w:rPr>
          <w:spacing w:val="-64"/>
        </w:rPr>
        <w:t> </w:t>
      </w:r>
      <w:r>
        <w:rPr>
          <w:spacing w:val="-64"/>
        </w:rPr>
      </w:r>
      <w:r>
        <w:rPr>
          <w:spacing w:val="-2"/>
        </w:rPr>
        <w:t>成品的估计售价减去至完工时估计将要发生的成本、估计的销售费用和相关税费后的金额，确定其可变现净值；为执行销售</w:t>
      </w:r>
      <w:r>
        <w:rPr>
          <w:spacing w:val="-66"/>
        </w:rPr>
        <w:t> </w:t>
      </w:r>
      <w:r>
        <w:rPr>
          <w:spacing w:val="-66"/>
        </w:rPr>
      </w:r>
      <w:r>
        <w:rPr>
          <w:spacing w:val="-2"/>
        </w:rPr>
        <w:t>合同或者劳务合同而持有的存货，其可变现净值以合同价格为基础计算，若持有存货的数量多于销售合同订购数量的，超出</w:t>
      </w:r>
      <w:r>
        <w:rPr>
          <w:spacing w:val="-63"/>
        </w:rPr>
        <w:t> </w:t>
      </w:r>
      <w:r>
        <w:rPr>
          <w:spacing w:val="-63"/>
        </w:rPr>
      </w:r>
      <w:r>
        <w:rPr/>
        <w:t>部分的存货的可变现净值以一般销售价格为基础计算。</w:t>
      </w:r>
    </w:p>
    <w:p>
      <w:pPr>
        <w:pStyle w:val="BodyText"/>
        <w:spacing w:line="477" w:lineRule="auto" w:before="55"/>
        <w:ind w:right="150" w:firstLine="360"/>
        <w:jc w:val="both"/>
      </w:pPr>
      <w:r>
        <w:rPr>
          <w:spacing w:val="-2"/>
        </w:rPr>
        <w:t>年末按照单个存货项目计提存货跌价准备；但对于数量繁多、单价较低的存货，按照存货类别计提存货跌价准备；与在</w:t>
      </w:r>
      <w:r>
        <w:rPr/>
        <w:t> </w:t>
      </w:r>
      <w:r>
        <w:rPr>
          <w:spacing w:val="-2"/>
        </w:rPr>
        <w:t>同一地区生产和销售的产品系列相关、具有相同或类似最终用途或目的，且难以与其他项目分开计量的存货，则合并计提存</w:t>
      </w:r>
      <w:r>
        <w:rPr>
          <w:spacing w:val="-63"/>
        </w:rPr>
        <w:t> </w:t>
      </w:r>
      <w:r>
        <w:rPr>
          <w:spacing w:val="-63"/>
        </w:rPr>
      </w:r>
      <w:r>
        <w:rPr/>
        <w:t>货跌价准备。</w:t>
      </w:r>
    </w:p>
    <w:p>
      <w:pPr>
        <w:pStyle w:val="BodyText"/>
        <w:spacing w:line="477" w:lineRule="auto" w:before="54"/>
        <w:ind w:left="513" w:right="593"/>
        <w:jc w:val="left"/>
      </w:pPr>
      <w:r>
        <w:rPr/>
        <w:t>除有明确证据表明资产负债表日市场价格异常外，存货项目的可变现净值以资产负债表日市场价格为基础确定。 本期期末存货项目的可变现净值以资产负债表日市场价格为基础确定。</w:t>
      </w:r>
    </w:p>
    <w:p>
      <w:pPr>
        <w:spacing w:line="240" w:lineRule="auto" w:before="7"/>
        <w:rPr>
          <w:rFonts w:ascii="宋体" w:hAnsi="宋体" w:cs="宋体" w:eastAsia="宋体" w:hint="default"/>
          <w:sz w:val="17"/>
          <w:szCs w:val="17"/>
        </w:rPr>
      </w:pPr>
    </w:p>
    <w:p>
      <w:pPr>
        <w:spacing w:line="343" w:lineRule="auto" w:before="0"/>
        <w:ind w:left="513" w:right="7973" w:hanging="361"/>
        <w:jc w:val="left"/>
        <w:rPr>
          <w:rFonts w:ascii="宋体" w:hAnsi="宋体" w:cs="宋体" w:eastAsia="宋体" w:hint="default"/>
          <w:sz w:val="18"/>
          <w:szCs w:val="18"/>
        </w:rPr>
      </w:pPr>
      <w:r>
        <w:rPr>
          <w:rFonts w:ascii="Microsoft JhengHei" w:hAnsi="Microsoft JhengHei" w:cs="Microsoft JhengHei" w:eastAsia="Microsoft JhengHei" w:hint="default"/>
          <w:b/>
          <w:bCs/>
          <w:sz w:val="18"/>
          <w:szCs w:val="18"/>
        </w:rPr>
        <w:t>（四）存货的盘存制度</w:t>
      </w:r>
      <w:r>
        <w:rPr>
          <w:rFonts w:ascii="Microsoft JhengHei" w:hAnsi="Microsoft JhengHei" w:cs="Microsoft JhengHei" w:eastAsia="Microsoft JhengHei" w:hint="default"/>
          <w:b/>
          <w:bCs/>
          <w:spacing w:val="-40"/>
          <w:sz w:val="18"/>
          <w:szCs w:val="18"/>
        </w:rPr>
        <w:t> </w:t>
      </w:r>
      <w:r>
        <w:rPr>
          <w:rFonts w:ascii="Microsoft JhengHei" w:hAnsi="Microsoft JhengHei" w:cs="Microsoft JhengHei" w:eastAsia="Microsoft JhengHei" w:hint="default"/>
          <w:b/>
          <w:bCs/>
          <w:spacing w:val="-40"/>
          <w:sz w:val="18"/>
          <w:szCs w:val="18"/>
        </w:rPr>
      </w:r>
      <w:r>
        <w:rPr>
          <w:rFonts w:ascii="宋体" w:hAnsi="宋体" w:cs="宋体" w:eastAsia="宋体" w:hint="default"/>
          <w:sz w:val="18"/>
          <w:szCs w:val="18"/>
        </w:rPr>
        <w:t>采用永续盘存制。</w:t>
      </w:r>
    </w:p>
    <w:p>
      <w:pPr>
        <w:spacing w:line="240" w:lineRule="auto" w:before="3"/>
        <w:rPr>
          <w:rFonts w:ascii="宋体" w:hAnsi="宋体" w:cs="宋体" w:eastAsia="宋体" w:hint="default"/>
          <w:sz w:val="25"/>
          <w:szCs w:val="25"/>
        </w:rPr>
      </w:pPr>
    </w:p>
    <w:p>
      <w:pPr>
        <w:pStyle w:val="Heading5"/>
        <w:spacing w:line="240" w:lineRule="auto"/>
        <w:ind w:right="0"/>
        <w:jc w:val="left"/>
        <w:rPr>
          <w:b w:val="0"/>
          <w:bCs w:val="0"/>
        </w:rPr>
      </w:pPr>
      <w:r>
        <w:rPr/>
        <w:t>（五）低值易耗品和包装物的摊销方法</w:t>
      </w:r>
      <w:r>
        <w:rPr>
          <w:b w:val="0"/>
          <w:bCs w:val="0"/>
        </w:rPr>
      </w:r>
    </w:p>
    <w:p>
      <w:pPr>
        <w:spacing w:after="0" w:line="240" w:lineRule="auto"/>
        <w:jc w:val="left"/>
        <w:sectPr>
          <w:pgSz w:w="11910" w:h="16840"/>
          <w:pgMar w:header="877" w:footer="979" w:top="1100" w:bottom="1160" w:left="980" w:right="980"/>
        </w:sectPr>
      </w:pPr>
    </w:p>
    <w:p>
      <w:pPr>
        <w:spacing w:line="240" w:lineRule="auto" w:before="17"/>
        <w:rPr>
          <w:rFonts w:ascii="Microsoft JhengHei" w:hAnsi="Microsoft JhengHei" w:cs="Microsoft JhengHei" w:eastAsia="Microsoft JhengHei" w:hint="default"/>
          <w:b/>
          <w:bCs/>
          <w:sz w:val="20"/>
          <w:szCs w:val="20"/>
        </w:rPr>
      </w:pPr>
    </w:p>
    <w:p>
      <w:pPr>
        <w:pStyle w:val="BodyText"/>
        <w:spacing w:line="240" w:lineRule="auto" w:before="44"/>
        <w:ind w:left="513" w:right="94"/>
        <w:jc w:val="left"/>
      </w:pPr>
      <w:r>
        <w:rPr/>
        <w:t>（</w:t>
      </w:r>
      <w:r>
        <w:rPr>
          <w:rFonts w:ascii="宋体" w:hAnsi="宋体" w:cs="宋体" w:eastAsia="宋体" w:hint="default"/>
        </w:rPr>
        <w:t>1</w:t>
      </w:r>
      <w:r>
        <w:rPr/>
        <w:t>）低值易耗品采用一次转销法；</w:t>
      </w:r>
    </w:p>
    <w:p>
      <w:pPr>
        <w:spacing w:line="240" w:lineRule="auto" w:before="10"/>
        <w:rPr>
          <w:rFonts w:ascii="宋体" w:hAnsi="宋体" w:cs="宋体" w:eastAsia="宋体" w:hint="default"/>
          <w:sz w:val="17"/>
          <w:szCs w:val="17"/>
        </w:rPr>
      </w:pPr>
    </w:p>
    <w:p>
      <w:pPr>
        <w:pStyle w:val="BodyText"/>
        <w:spacing w:line="240" w:lineRule="auto"/>
        <w:ind w:left="513" w:right="94"/>
        <w:jc w:val="left"/>
      </w:pPr>
      <w:r>
        <w:rPr/>
        <w:t>（</w:t>
      </w:r>
      <w:r>
        <w:rPr>
          <w:rFonts w:ascii="宋体" w:hAnsi="宋体" w:cs="宋体" w:eastAsia="宋体" w:hint="default"/>
        </w:rPr>
        <w:t>2</w:t>
      </w:r>
      <w:r>
        <w:rPr/>
        <w:t>）包装物采用一次转销法。</w:t>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2"/>
          <w:szCs w:val="12"/>
        </w:rPr>
      </w:pPr>
    </w:p>
    <w:p>
      <w:pPr>
        <w:spacing w:line="573" w:lineRule="auto" w:before="0"/>
        <w:ind w:left="513" w:right="3513" w:hanging="361"/>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13</w:t>
      </w:r>
      <w:r>
        <w:rPr>
          <w:rFonts w:ascii="Microsoft JhengHei" w:hAnsi="Microsoft JhengHei" w:cs="Microsoft JhengHei" w:eastAsia="Microsoft JhengHei" w:hint="default"/>
          <w:b/>
          <w:bCs/>
          <w:sz w:val="18"/>
          <w:szCs w:val="18"/>
        </w:rPr>
        <w:t>、持有待售资产</w:t>
      </w:r>
      <w:r>
        <w:rPr>
          <w:rFonts w:ascii="Microsoft JhengHei" w:hAnsi="Microsoft JhengHei" w:cs="Microsoft JhengHei" w:eastAsia="Microsoft JhengHei" w:hint="default"/>
          <w:b/>
          <w:bCs/>
          <w:spacing w:val="-41"/>
          <w:sz w:val="18"/>
          <w:szCs w:val="18"/>
        </w:rPr>
        <w:t> </w:t>
      </w:r>
      <w:r>
        <w:rPr>
          <w:rFonts w:ascii="Microsoft JhengHei" w:hAnsi="Microsoft JhengHei" w:cs="Microsoft JhengHei" w:eastAsia="Microsoft JhengHei" w:hint="default"/>
          <w:b/>
          <w:bCs/>
          <w:spacing w:val="-41"/>
          <w:sz w:val="18"/>
          <w:szCs w:val="18"/>
        </w:rPr>
      </w:r>
      <w:r>
        <w:rPr>
          <w:rFonts w:ascii="宋体" w:hAnsi="宋体" w:cs="宋体" w:eastAsia="宋体" w:hint="default"/>
          <w:sz w:val="18"/>
          <w:szCs w:val="18"/>
        </w:rPr>
        <w:t>本公司将同时满足下列条件的组成部分（或非流动资产）确认为持有待售：</w:t>
      </w:r>
    </w:p>
    <w:p>
      <w:pPr>
        <w:pStyle w:val="BodyText"/>
        <w:spacing w:line="218" w:lineRule="exact"/>
        <w:ind w:left="513" w:right="94"/>
        <w:jc w:val="left"/>
      </w:pPr>
      <w:r>
        <w:rPr/>
        <w:t>（</w:t>
      </w:r>
      <w:r>
        <w:rPr>
          <w:rFonts w:ascii="宋体" w:hAnsi="宋体" w:cs="宋体" w:eastAsia="宋体" w:hint="default"/>
        </w:rPr>
        <w:t>1</w:t>
      </w:r>
      <w:r>
        <w:rPr/>
        <w:t>）该组成部分必须在其当前状况下仅根据出售此类组成部分的惯常条款即可立即出售；</w:t>
      </w:r>
    </w:p>
    <w:p>
      <w:pPr>
        <w:spacing w:line="240" w:lineRule="auto" w:before="10"/>
        <w:rPr>
          <w:rFonts w:ascii="宋体" w:hAnsi="宋体" w:cs="宋体" w:eastAsia="宋体" w:hint="default"/>
          <w:sz w:val="17"/>
          <w:szCs w:val="17"/>
        </w:rPr>
      </w:pPr>
    </w:p>
    <w:p>
      <w:pPr>
        <w:pStyle w:val="BodyText"/>
        <w:spacing w:line="477" w:lineRule="auto"/>
        <w:ind w:right="184" w:firstLine="360"/>
        <w:jc w:val="left"/>
      </w:pPr>
      <w:r>
        <w:rPr/>
        <w:t>（</w:t>
      </w:r>
      <w:r>
        <w:rPr>
          <w:rFonts w:ascii="宋体" w:hAnsi="宋体" w:cs="宋体" w:eastAsia="宋体" w:hint="default"/>
        </w:rPr>
        <w:t>2</w:t>
      </w:r>
      <w:r>
        <w:rPr/>
        <w:t>）公司已经就处置该组成部分（或非流动资产）作出决议，如按规定需得到股东批准的，已经取得股东大会或相应 权力机构的批准；</w:t>
      </w:r>
    </w:p>
    <w:p>
      <w:pPr>
        <w:pStyle w:val="BodyText"/>
        <w:spacing w:line="240" w:lineRule="auto" w:before="54"/>
        <w:ind w:left="513" w:right="94"/>
        <w:jc w:val="left"/>
      </w:pPr>
      <w:r>
        <w:rPr/>
        <w:t>（</w:t>
      </w:r>
      <w:r>
        <w:rPr>
          <w:rFonts w:ascii="宋体" w:hAnsi="宋体" w:cs="宋体" w:eastAsia="宋体" w:hint="default"/>
        </w:rPr>
        <w:t>3</w:t>
      </w:r>
      <w:r>
        <w:rPr/>
        <w:t>）公司已与受让方签订了不可撤销的转让协议；</w:t>
      </w:r>
    </w:p>
    <w:p>
      <w:pPr>
        <w:spacing w:line="240" w:lineRule="auto" w:before="10"/>
        <w:rPr>
          <w:rFonts w:ascii="宋体" w:hAnsi="宋体" w:cs="宋体" w:eastAsia="宋体" w:hint="default"/>
          <w:sz w:val="17"/>
          <w:szCs w:val="17"/>
        </w:rPr>
      </w:pPr>
    </w:p>
    <w:p>
      <w:pPr>
        <w:pStyle w:val="BodyText"/>
        <w:spacing w:line="240" w:lineRule="auto"/>
        <w:ind w:left="513" w:right="94"/>
        <w:jc w:val="left"/>
      </w:pPr>
      <w:r>
        <w:rPr/>
        <w:t>（</w:t>
      </w:r>
      <w:r>
        <w:rPr>
          <w:rFonts w:ascii="宋体" w:hAnsi="宋体" w:cs="宋体" w:eastAsia="宋体" w:hint="default"/>
        </w:rPr>
        <w:t>4</w:t>
      </w:r>
      <w:r>
        <w:rPr/>
        <w:t>）该项转让将在一年内完成。</w:t>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2"/>
          <w:szCs w:val="12"/>
        </w:rPr>
      </w:pPr>
    </w:p>
    <w:p>
      <w:pPr>
        <w:pStyle w:val="Heading5"/>
        <w:spacing w:line="240" w:lineRule="auto"/>
        <w:ind w:right="94"/>
        <w:jc w:val="left"/>
        <w:rPr>
          <w:b w:val="0"/>
          <w:bCs w:val="0"/>
        </w:rPr>
      </w:pPr>
      <w:r>
        <w:rPr>
          <w:rFonts w:ascii="Times New Roman" w:hAnsi="Times New Roman" w:cs="Times New Roman" w:eastAsia="Times New Roman" w:hint="default"/>
        </w:rPr>
        <w:t>14</w:t>
      </w:r>
      <w:r>
        <w:rPr/>
        <w:t>、长期股权投资</w:t>
      </w:r>
      <w:r>
        <w:rPr>
          <w:b w:val="0"/>
          <w:bCs w:val="0"/>
        </w:rPr>
      </w:r>
    </w:p>
    <w:p>
      <w:pPr>
        <w:spacing w:line="240" w:lineRule="auto" w:before="0"/>
        <w:rPr>
          <w:rFonts w:ascii="Microsoft JhengHei" w:hAnsi="Microsoft JhengHei" w:cs="Microsoft JhengHei" w:eastAsia="Microsoft JhengHei" w:hint="default"/>
          <w:b/>
          <w:bCs/>
          <w:sz w:val="17"/>
          <w:szCs w:val="17"/>
        </w:rPr>
      </w:pPr>
    </w:p>
    <w:p>
      <w:pPr>
        <w:spacing w:line="343" w:lineRule="auto" w:before="0"/>
        <w:ind w:left="513" w:right="94" w:hanging="361"/>
        <w:jc w:val="left"/>
        <w:rPr>
          <w:rFonts w:ascii="宋体" w:hAnsi="宋体" w:cs="宋体" w:eastAsia="宋体" w:hint="default"/>
          <w:sz w:val="18"/>
          <w:szCs w:val="18"/>
        </w:rPr>
      </w:pPr>
      <w:r>
        <w:rPr>
          <w:rFonts w:ascii="Microsoft JhengHei" w:hAnsi="Microsoft JhengHei" w:cs="Microsoft JhengHei" w:eastAsia="Microsoft JhengHei" w:hint="default"/>
          <w:b/>
          <w:bCs/>
          <w:sz w:val="18"/>
          <w:szCs w:val="18"/>
        </w:rPr>
        <w:t>（一）共同控制、重大影响的判断标准</w:t>
      </w:r>
      <w:r>
        <w:rPr>
          <w:rFonts w:ascii="Microsoft JhengHei" w:hAnsi="Microsoft JhengHei" w:cs="Microsoft JhengHei" w:eastAsia="Microsoft JhengHei" w:hint="default"/>
          <w:b/>
          <w:bCs/>
          <w:spacing w:val="-36"/>
          <w:sz w:val="18"/>
          <w:szCs w:val="18"/>
        </w:rPr>
        <w:t> </w:t>
      </w:r>
      <w:r>
        <w:rPr>
          <w:rFonts w:ascii="Microsoft JhengHei" w:hAnsi="Microsoft JhengHei" w:cs="Microsoft JhengHei" w:eastAsia="Microsoft JhengHei" w:hint="default"/>
          <w:b/>
          <w:bCs/>
          <w:spacing w:val="-36"/>
          <w:sz w:val="18"/>
          <w:szCs w:val="18"/>
        </w:rPr>
      </w:r>
      <w:r>
        <w:rPr>
          <w:rFonts w:ascii="宋体" w:hAnsi="宋体" w:cs="宋体" w:eastAsia="宋体" w:hint="default"/>
          <w:spacing w:val="-2"/>
          <w:sz w:val="18"/>
          <w:szCs w:val="18"/>
        </w:rPr>
        <w:t>共同控制，是指按照相关约定对某项安排所共有的控制，并且该安排的相关活动必须经过分享控制权的参与方一致同意</w:t>
      </w:r>
    </w:p>
    <w:p>
      <w:pPr>
        <w:pStyle w:val="BodyText"/>
        <w:spacing w:line="477" w:lineRule="auto" w:before="155"/>
        <w:ind w:right="94"/>
        <w:jc w:val="left"/>
      </w:pPr>
      <w:r>
        <w:rPr>
          <w:spacing w:val="-2"/>
        </w:rPr>
        <w:t>后才能决策。本公司与其他合营方一同对被投资单位实施共同控制且对被投资单位净资产享有权利的，被投资单位为本公司</w:t>
      </w:r>
      <w:r>
        <w:rPr>
          <w:spacing w:val="-64"/>
        </w:rPr>
        <w:t> </w:t>
      </w:r>
      <w:r>
        <w:rPr>
          <w:spacing w:val="-64"/>
        </w:rPr>
      </w:r>
      <w:r>
        <w:rPr/>
        <w:t>的合营企业。</w:t>
      </w:r>
    </w:p>
    <w:p>
      <w:pPr>
        <w:pStyle w:val="BodyText"/>
        <w:spacing w:line="477" w:lineRule="auto" w:before="54"/>
        <w:ind w:right="94" w:firstLine="360"/>
        <w:jc w:val="left"/>
      </w:pPr>
      <w:r>
        <w:rPr>
          <w:spacing w:val="-2"/>
        </w:rPr>
        <w:t>重大影响，是指对一个企业的财务和经营决策有参与决策的权力，但并不能够控制或者与其他方一起共同控制这些政策</w:t>
      </w:r>
      <w:r>
        <w:rPr/>
        <w:t> 的制定。本公司能够对被投资单位施加重大影响的，被投资单位为本公司联营企业。</w:t>
      </w:r>
    </w:p>
    <w:p>
      <w:pPr>
        <w:spacing w:line="240" w:lineRule="auto" w:before="7"/>
        <w:rPr>
          <w:rFonts w:ascii="宋体" w:hAnsi="宋体" w:cs="宋体" w:eastAsia="宋体" w:hint="default"/>
          <w:sz w:val="17"/>
          <w:szCs w:val="17"/>
        </w:rPr>
      </w:pPr>
    </w:p>
    <w:p>
      <w:pPr>
        <w:pStyle w:val="Heading5"/>
        <w:spacing w:line="240" w:lineRule="auto"/>
        <w:ind w:right="94"/>
        <w:jc w:val="left"/>
        <w:rPr>
          <w:b w:val="0"/>
          <w:bCs w:val="0"/>
        </w:rPr>
      </w:pPr>
      <w:r>
        <w:rPr/>
        <w:t>（二）初始投资成本的确定</w:t>
      </w:r>
      <w:r>
        <w:rPr>
          <w:b w:val="0"/>
          <w:bCs w:val="0"/>
        </w:rPr>
      </w:r>
    </w:p>
    <w:p>
      <w:pPr>
        <w:pStyle w:val="BodyText"/>
        <w:spacing w:line="477" w:lineRule="auto" w:before="135"/>
        <w:ind w:left="513" w:right="94"/>
        <w:jc w:val="left"/>
      </w:pPr>
      <w:r>
        <w:rPr/>
        <w:t>（</w:t>
      </w:r>
      <w:r>
        <w:rPr>
          <w:rFonts w:ascii="宋体" w:hAnsi="宋体" w:cs="宋体" w:eastAsia="宋体" w:hint="default"/>
        </w:rPr>
        <w:t>1</w:t>
      </w:r>
      <w:r>
        <w:rPr/>
        <w:t>）企业合并形成的长期股权投资 </w:t>
      </w:r>
      <w:r>
        <w:rPr>
          <w:spacing w:val="-2"/>
        </w:rPr>
        <w:t>同一控制下的企业合并：公司以支付现金、转让非现金资产或承担债务方式以及以发行权益性证券作为合并对价的，在</w:t>
      </w:r>
    </w:p>
    <w:p>
      <w:pPr>
        <w:pStyle w:val="BodyText"/>
        <w:spacing w:line="477" w:lineRule="auto" w:before="54"/>
        <w:ind w:right="94"/>
        <w:jc w:val="left"/>
      </w:pPr>
      <w:r>
        <w:rPr>
          <w:spacing w:val="-2"/>
        </w:rPr>
        <w:t>合并日按照取得被合并方所有者权益在最终控制方合并财务报表中的账面价值的份额作为长期股权投资的初始投资成本。因</w:t>
      </w:r>
      <w:r>
        <w:rPr>
          <w:spacing w:val="-64"/>
        </w:rPr>
        <w:t> </w:t>
      </w:r>
      <w:r>
        <w:rPr>
          <w:spacing w:val="-64"/>
        </w:rPr>
      </w:r>
      <w:r>
        <w:rPr>
          <w:spacing w:val="-2"/>
        </w:rPr>
        <w:t>追加投资等原因能够对同一控制下的被投资单位实施控制的，在合并日根据合并后应享有被合并方净资产在最终控制方合并</w:t>
      </w:r>
      <w:r>
        <w:rPr>
          <w:spacing w:val="-64"/>
        </w:rPr>
        <w:t> </w:t>
      </w:r>
      <w:r>
        <w:rPr>
          <w:spacing w:val="-64"/>
        </w:rPr>
      </w:r>
      <w:r>
        <w:rPr>
          <w:spacing w:val="-2"/>
        </w:rPr>
        <w:t>财务报表中的账面价值的份额，确定长期股权投资的初始投资成本。合并日长期股权投资的初始投资成本，与达到合并前的</w:t>
      </w:r>
      <w:r>
        <w:rPr>
          <w:spacing w:val="-63"/>
        </w:rPr>
        <w:t> </w:t>
      </w:r>
      <w:r>
        <w:rPr>
          <w:spacing w:val="-63"/>
        </w:rPr>
      </w:r>
      <w:r>
        <w:rPr>
          <w:spacing w:val="-4"/>
        </w:rPr>
        <w:t>长期股权投资账面价值加上合并日进一步取得股份新支付对价的账面价值之和的差额，调整股本溢价，股本溢价不足冲减的，</w:t>
      </w:r>
      <w:r>
        <w:rPr>
          <w:spacing w:val="-42"/>
        </w:rPr>
        <w:t> </w:t>
      </w:r>
      <w:r>
        <w:rPr>
          <w:spacing w:val="-42"/>
        </w:rPr>
      </w:r>
      <w:r>
        <w:rPr/>
        <w:t>冲减留存收益。</w:t>
      </w:r>
    </w:p>
    <w:p>
      <w:pPr>
        <w:pStyle w:val="BodyText"/>
        <w:spacing w:line="477" w:lineRule="auto" w:before="54"/>
        <w:ind w:right="192" w:firstLine="360"/>
        <w:jc w:val="both"/>
      </w:pPr>
      <w:r>
        <w:rPr>
          <w:spacing w:val="-2"/>
        </w:rPr>
        <w:t>非同一控制下的企业合并：公司按照购买日确定的合并成本作为长期股权投资的初始投资成本。因追加投资等原因能够</w:t>
      </w:r>
      <w:r>
        <w:rPr/>
        <w:t> </w:t>
      </w:r>
      <w:r>
        <w:rPr>
          <w:spacing w:val="-2"/>
        </w:rPr>
        <w:t>对非同一控制下的被投资单位实施控制的，按照原持有的股权投资账面价值加上新增投资成本之和，作为改按成本法核算的</w:t>
      </w:r>
      <w:r>
        <w:rPr>
          <w:spacing w:val="-64"/>
        </w:rPr>
        <w:t> </w:t>
      </w:r>
      <w:r>
        <w:rPr>
          <w:spacing w:val="-64"/>
        </w:rPr>
      </w:r>
      <w:r>
        <w:rPr/>
        <w:t>初始投资成本。</w:t>
      </w:r>
    </w:p>
    <w:p>
      <w:pPr>
        <w:pStyle w:val="BodyText"/>
        <w:spacing w:line="240" w:lineRule="auto" w:before="54"/>
        <w:ind w:left="513" w:right="94"/>
        <w:jc w:val="left"/>
      </w:pPr>
      <w:r>
        <w:rPr/>
        <w:t>（</w:t>
      </w:r>
      <w:r>
        <w:rPr>
          <w:rFonts w:ascii="宋体" w:hAnsi="宋体" w:cs="宋体" w:eastAsia="宋体" w:hint="default"/>
        </w:rPr>
        <w:t>2</w:t>
      </w:r>
      <w:r>
        <w:rPr/>
        <w:t>）其他方式取得的长期股权投资</w:t>
      </w:r>
    </w:p>
    <w:p>
      <w:pPr>
        <w:spacing w:after="0" w:line="240" w:lineRule="auto"/>
        <w:jc w:val="left"/>
        <w:sectPr>
          <w:pgSz w:w="11910" w:h="16840"/>
          <w:pgMar w:header="877" w:footer="979" w:top="1100" w:bottom="1160" w:left="980" w:right="940"/>
        </w:sectPr>
      </w:pPr>
    </w:p>
    <w:p>
      <w:pPr>
        <w:spacing w:line="240" w:lineRule="auto" w:before="12"/>
        <w:rPr>
          <w:rFonts w:ascii="宋体" w:hAnsi="宋体" w:cs="宋体" w:eastAsia="宋体" w:hint="default"/>
          <w:sz w:val="27"/>
          <w:szCs w:val="27"/>
        </w:rPr>
      </w:pPr>
    </w:p>
    <w:p>
      <w:pPr>
        <w:pStyle w:val="BodyText"/>
        <w:spacing w:line="477" w:lineRule="auto" w:before="44"/>
        <w:ind w:left="513" w:right="94"/>
        <w:jc w:val="left"/>
      </w:pPr>
      <w:r>
        <w:rPr/>
        <w:t>以支付现金方式取得的长期股权投资，按照实际支付的购买价款作为初始投资成本。 以发行权益性证券取得的长期股权投资，按照发行权益性证券的公允价值作为初始投资成本。 </w:t>
      </w:r>
      <w:r>
        <w:rPr>
          <w:spacing w:val="-2"/>
        </w:rPr>
        <w:t>在非货币性资产交换具备商业实质和换入资产或换出资产的公允价值能够可靠计量的前提下，非货币性资产交换换入的</w:t>
      </w:r>
    </w:p>
    <w:p>
      <w:pPr>
        <w:pStyle w:val="BodyText"/>
        <w:spacing w:line="477" w:lineRule="auto" w:before="54"/>
        <w:ind w:right="193"/>
        <w:jc w:val="both"/>
      </w:pPr>
      <w:r>
        <w:rPr>
          <w:spacing w:val="-2"/>
        </w:rPr>
        <w:t>长期股权投资以换出资产的公允价值和应支付的相关税费确定其初始投资成本，除非有确凿证据表明换入资产的公允价值更</w:t>
      </w:r>
      <w:r>
        <w:rPr>
          <w:spacing w:val="-64"/>
        </w:rPr>
        <w:t> </w:t>
      </w:r>
      <w:r>
        <w:rPr>
          <w:spacing w:val="-64"/>
        </w:rPr>
      </w:r>
      <w:r>
        <w:rPr>
          <w:spacing w:val="-2"/>
        </w:rPr>
        <w:t>加可靠；不满足上述前提的非货币性资产交换，以换出资产的账面价值和应支付的相关税费作为换入长期股权投资的初始投</w:t>
      </w:r>
      <w:r>
        <w:rPr>
          <w:spacing w:val="-64"/>
        </w:rPr>
        <w:t> </w:t>
      </w:r>
      <w:r>
        <w:rPr>
          <w:spacing w:val="-64"/>
        </w:rPr>
      </w:r>
      <w:r>
        <w:rPr/>
        <w:t>资成本。</w:t>
      </w:r>
    </w:p>
    <w:p>
      <w:pPr>
        <w:pStyle w:val="BodyText"/>
        <w:spacing w:line="240" w:lineRule="auto" w:before="54"/>
        <w:ind w:left="513" w:right="94"/>
        <w:jc w:val="left"/>
      </w:pPr>
      <w:r>
        <w:rPr/>
        <w:t>通过债务重组取得的长期股权投资，其初始投资成本按照公允价值为基础确定。</w:t>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13"/>
          <w:szCs w:val="13"/>
        </w:rPr>
      </w:pPr>
    </w:p>
    <w:p>
      <w:pPr>
        <w:pStyle w:val="Heading5"/>
        <w:spacing w:line="240" w:lineRule="auto"/>
        <w:ind w:right="0"/>
        <w:jc w:val="both"/>
        <w:rPr>
          <w:b w:val="0"/>
          <w:bCs w:val="0"/>
        </w:rPr>
      </w:pPr>
      <w:r>
        <w:rPr/>
        <w:t>（三）后续计量及损益确认方法</w:t>
      </w:r>
      <w:r>
        <w:rPr>
          <w:b w:val="0"/>
          <w:bCs w:val="0"/>
        </w:rPr>
      </w:r>
    </w:p>
    <w:p>
      <w:pPr>
        <w:pStyle w:val="BodyText"/>
        <w:spacing w:line="477" w:lineRule="auto" w:before="135"/>
        <w:ind w:left="513" w:right="94"/>
        <w:jc w:val="left"/>
      </w:pPr>
      <w:r>
        <w:rPr/>
        <w:t>（</w:t>
      </w:r>
      <w:r>
        <w:rPr>
          <w:rFonts w:ascii="宋体" w:hAnsi="宋体" w:cs="宋体" w:eastAsia="宋体" w:hint="default"/>
        </w:rPr>
        <w:t>1</w:t>
      </w:r>
      <w:r>
        <w:rPr/>
        <w:t>）成本法核算的长期股权投资 </w:t>
      </w:r>
      <w:r>
        <w:rPr>
          <w:spacing w:val="-2"/>
        </w:rPr>
        <w:t>公司对子公司的长期股权投资，采用成本法核算。除取得投资时实际支付的价款或对价中包含的已宣告但尚未发放的现</w:t>
      </w:r>
    </w:p>
    <w:p>
      <w:pPr>
        <w:pStyle w:val="BodyText"/>
        <w:spacing w:line="240" w:lineRule="auto" w:before="54"/>
        <w:ind w:right="0"/>
        <w:jc w:val="both"/>
      </w:pPr>
      <w:r>
        <w:rPr/>
        <w:t>金股利或利润外，公司按照享有被投资单位宣告发放的现金股利或利润确认当期投资收益。</w:t>
      </w:r>
    </w:p>
    <w:p>
      <w:pPr>
        <w:spacing w:line="240" w:lineRule="auto" w:before="10"/>
        <w:rPr>
          <w:rFonts w:ascii="宋体" w:hAnsi="宋体" w:cs="宋体" w:eastAsia="宋体" w:hint="default"/>
          <w:sz w:val="17"/>
          <w:szCs w:val="17"/>
        </w:rPr>
      </w:pPr>
    </w:p>
    <w:p>
      <w:pPr>
        <w:pStyle w:val="BodyText"/>
        <w:spacing w:line="477" w:lineRule="auto"/>
        <w:ind w:left="513" w:right="94"/>
        <w:jc w:val="left"/>
      </w:pPr>
      <w:r>
        <w:rPr/>
        <w:t>（</w:t>
      </w:r>
      <w:r>
        <w:rPr>
          <w:rFonts w:ascii="宋体" w:hAnsi="宋体" w:cs="宋体" w:eastAsia="宋体" w:hint="default"/>
        </w:rPr>
        <w:t>2</w:t>
      </w:r>
      <w:r>
        <w:rPr/>
        <w:t>）权益法核算的长期股权投资 </w:t>
      </w:r>
      <w:r>
        <w:rPr>
          <w:spacing w:val="-2"/>
        </w:rPr>
        <w:t>对联营企业和合营企业的长期股权投资，采用权益法核算。初始投资成本大于投资时应享有被投资单位可辨认净资产公</w:t>
      </w:r>
    </w:p>
    <w:p>
      <w:pPr>
        <w:pStyle w:val="BodyText"/>
        <w:spacing w:line="477" w:lineRule="auto" w:before="54"/>
        <w:ind w:right="193"/>
        <w:jc w:val="both"/>
      </w:pPr>
      <w:r>
        <w:rPr>
          <w:spacing w:val="-2"/>
        </w:rPr>
        <w:t>允价值份额的差额，不调整长期股权投资的初始投资成本；初始投资成本小于投资时应享有被投资单位可辨认净资产公允价</w:t>
      </w:r>
      <w:r>
        <w:rPr>
          <w:spacing w:val="-64"/>
        </w:rPr>
        <w:t> </w:t>
      </w:r>
      <w:r>
        <w:rPr>
          <w:spacing w:val="-64"/>
        </w:rPr>
      </w:r>
      <w:r>
        <w:rPr/>
        <w:t>值份额的差额，计入当期损益。</w:t>
      </w:r>
    </w:p>
    <w:p>
      <w:pPr>
        <w:pStyle w:val="BodyText"/>
        <w:spacing w:line="477" w:lineRule="auto" w:before="54"/>
        <w:ind w:right="190" w:firstLine="360"/>
        <w:jc w:val="both"/>
      </w:pPr>
      <w:r>
        <w:rPr>
          <w:spacing w:val="-2"/>
        </w:rPr>
        <w:t>公司按照应享有或应分担的被投资单位实现的净损益和其他综合收益的份额，分别确认投资收益和其他综合收益，同时</w:t>
      </w:r>
      <w:r>
        <w:rPr/>
        <w:t> </w:t>
      </w:r>
      <w:r>
        <w:rPr>
          <w:spacing w:val="-2"/>
        </w:rPr>
        <w:t>调整长期股权投资的账面价值；按照被投资单位宣告分派的利润或现金股利计算应享有的部分，相应减少长期股权投资的账</w:t>
      </w:r>
      <w:r>
        <w:rPr>
          <w:spacing w:val="-64"/>
        </w:rPr>
        <w:t> </w:t>
      </w:r>
      <w:r>
        <w:rPr>
          <w:spacing w:val="-64"/>
        </w:rPr>
      </w:r>
      <w:r>
        <w:rPr>
          <w:spacing w:val="-2"/>
        </w:rPr>
        <w:t>面价值；对于被投资单位除净损益、其他综合收益和利润分配以外所有者权益的其他变动，调整长期股权投资的账面价值并</w:t>
      </w:r>
      <w:r>
        <w:rPr>
          <w:spacing w:val="-63"/>
        </w:rPr>
        <w:t> </w:t>
      </w:r>
      <w:r>
        <w:rPr>
          <w:spacing w:val="-63"/>
        </w:rPr>
      </w:r>
      <w:r>
        <w:rPr/>
        <w:t>计入所有者权益。</w:t>
      </w:r>
    </w:p>
    <w:p>
      <w:pPr>
        <w:pStyle w:val="BodyText"/>
        <w:spacing w:line="477" w:lineRule="auto" w:before="54"/>
        <w:ind w:right="191" w:firstLine="360"/>
        <w:jc w:val="both"/>
      </w:pPr>
      <w:r>
        <w:rPr>
          <w:spacing w:val="-2"/>
        </w:rPr>
        <w:t>在确认应享有被投资单位净损益的份额时，以取得投资时被投资单位可辨认净资产的公允价值为基础，并按照公司的会</w:t>
      </w:r>
      <w:r>
        <w:rPr/>
        <w:t> </w:t>
      </w:r>
      <w:r>
        <w:rPr>
          <w:spacing w:val="-2"/>
        </w:rPr>
        <w:t>计政策及会计期间，对被投资单位的净利润进行调整后确认。在持有投资期间，被投资单位编制合并财务报表的，以合并财</w:t>
      </w:r>
      <w:r>
        <w:rPr>
          <w:spacing w:val="-64"/>
        </w:rPr>
        <w:t> </w:t>
      </w:r>
      <w:r>
        <w:rPr>
          <w:spacing w:val="-64"/>
        </w:rPr>
      </w:r>
      <w:r>
        <w:rPr/>
        <w:t>务报表中的净利润、其他综合收益和其他所有者权益变动中归属于被投资单位的金额为基础进行核算。</w:t>
      </w:r>
    </w:p>
    <w:p>
      <w:pPr>
        <w:pStyle w:val="BodyText"/>
        <w:spacing w:line="477" w:lineRule="auto" w:before="54"/>
        <w:ind w:right="190" w:firstLine="360"/>
        <w:jc w:val="both"/>
      </w:pPr>
      <w:r>
        <w:rPr>
          <w:spacing w:val="-2"/>
        </w:rPr>
        <w:t>公司与联营企业、合营企业之间发生的未实现内部交易损益按照应享有的比例计算归属于公司的部分，予以抵销，在此</w:t>
      </w:r>
      <w:r>
        <w:rPr/>
        <w:t> </w:t>
      </w:r>
      <w:r>
        <w:rPr>
          <w:spacing w:val="-2"/>
        </w:rPr>
        <w:t>基础上确认投资收益。与被投资单位发生的未实现内部交易损失，属于资产减值损失的，全额确认。公司与联营企业、合营</w:t>
      </w:r>
      <w:r>
        <w:rPr>
          <w:spacing w:val="-67"/>
        </w:rPr>
        <w:t> </w:t>
      </w:r>
      <w:r>
        <w:rPr>
          <w:spacing w:val="-67"/>
        </w:rPr>
      </w:r>
      <w:r>
        <w:rPr>
          <w:spacing w:val="-2"/>
        </w:rPr>
        <w:t>企业之间发生投出或出售资产的交易，该资产构成业务的，按照本附注“五、（五）同一控制下和非同一控制下企业合并的</w:t>
      </w:r>
      <w:r>
        <w:rPr>
          <w:spacing w:val="-65"/>
        </w:rPr>
        <w:t> </w:t>
      </w:r>
      <w:r>
        <w:rPr>
          <w:spacing w:val="-65"/>
        </w:rPr>
      </w:r>
      <w:r>
        <w:rPr/>
        <w:t>会计处理方法”和“五、（六）合并财务报表的编制方法”中披露的相关政策进行会计处理。</w:t>
      </w:r>
    </w:p>
    <w:p>
      <w:pPr>
        <w:pStyle w:val="BodyText"/>
        <w:spacing w:line="477" w:lineRule="auto" w:before="54"/>
        <w:ind w:right="94" w:firstLine="360"/>
        <w:jc w:val="left"/>
      </w:pPr>
      <w:r>
        <w:rPr>
          <w:spacing w:val="-2"/>
        </w:rPr>
        <w:t>在公司确认应分担被投资单位发生的亏损时，按照以下顺序进行处理：首先，冲减长期股权投资的账面价值。其次，长</w:t>
      </w:r>
      <w:r>
        <w:rPr/>
        <w:t> 期股权投资的账面价值不足以冲减的，以其他实质上构成对被投资单位净投资的长期权益账面价值为限继续确认投资损失， </w:t>
      </w:r>
      <w:r>
        <w:rPr>
          <w:spacing w:val="-2"/>
        </w:rPr>
        <w:t>冲减长期应收项目等的账面价值。最后，经过上述处理，按照投资合同或协议约定企业仍承担额外义务的，按预计承担的义</w:t>
      </w:r>
    </w:p>
    <w:p>
      <w:pPr>
        <w:spacing w:after="0" w:line="477" w:lineRule="auto"/>
        <w:jc w:val="left"/>
        <w:sectPr>
          <w:pgSz w:w="11910" w:h="16840"/>
          <w:pgMar w:header="877" w:footer="979" w:top="1100" w:bottom="1160" w:left="980" w:right="940"/>
        </w:sectPr>
      </w:pPr>
    </w:p>
    <w:p>
      <w:pPr>
        <w:spacing w:line="240" w:lineRule="auto" w:before="12"/>
        <w:rPr>
          <w:rFonts w:ascii="宋体" w:hAnsi="宋体" w:cs="宋体" w:eastAsia="宋体" w:hint="default"/>
          <w:sz w:val="27"/>
          <w:szCs w:val="27"/>
        </w:rPr>
      </w:pPr>
    </w:p>
    <w:p>
      <w:pPr>
        <w:pStyle w:val="BodyText"/>
        <w:spacing w:line="240" w:lineRule="auto" w:before="44"/>
        <w:ind w:right="94"/>
        <w:jc w:val="left"/>
      </w:pPr>
      <w:r>
        <w:rPr/>
        <w:t>务确认预计负债，计入当期投资损失。</w:t>
      </w:r>
    </w:p>
    <w:p>
      <w:pPr>
        <w:spacing w:line="240" w:lineRule="auto" w:before="10"/>
        <w:rPr>
          <w:rFonts w:ascii="宋体" w:hAnsi="宋体" w:cs="宋体" w:eastAsia="宋体" w:hint="default"/>
          <w:sz w:val="17"/>
          <w:szCs w:val="17"/>
        </w:rPr>
      </w:pPr>
    </w:p>
    <w:p>
      <w:pPr>
        <w:pStyle w:val="BodyText"/>
        <w:spacing w:line="477" w:lineRule="auto"/>
        <w:ind w:left="513" w:right="3693"/>
        <w:jc w:val="left"/>
      </w:pPr>
      <w:r>
        <w:rPr/>
        <w:t>（</w:t>
      </w:r>
      <w:r>
        <w:rPr>
          <w:rFonts w:ascii="宋体" w:hAnsi="宋体" w:cs="宋体" w:eastAsia="宋体" w:hint="default"/>
        </w:rPr>
        <w:t>3</w:t>
      </w:r>
      <w:r>
        <w:rPr/>
        <w:t>）长期股权投资的处置 处置长期股权投资，其账面价值与实际取得价款的差额，计入当期损益。</w:t>
      </w:r>
    </w:p>
    <w:p>
      <w:pPr>
        <w:pStyle w:val="BodyText"/>
        <w:spacing w:line="477" w:lineRule="auto" w:before="54"/>
        <w:ind w:right="192" w:firstLine="360"/>
        <w:jc w:val="both"/>
      </w:pPr>
      <w:r>
        <w:rPr>
          <w:spacing w:val="-2"/>
        </w:rPr>
        <w:t>采用权益法核算的长期股权投资，在处置该项投资时，采用与被投资单位直接处置相关资产或负债相同的基础，按相应</w:t>
      </w:r>
      <w:r>
        <w:rPr/>
        <w:t> </w:t>
      </w:r>
      <w:r>
        <w:rPr>
          <w:spacing w:val="-2"/>
        </w:rPr>
        <w:t>比例对原计入其他综合收益的部分进行会计处理。因被投资单位除净损益、其他综合收益和利润分配以外的其他所有者权益</w:t>
      </w:r>
      <w:r>
        <w:rPr>
          <w:spacing w:val="-63"/>
        </w:rPr>
        <w:t> </w:t>
      </w:r>
      <w:r>
        <w:rPr>
          <w:spacing w:val="-63"/>
        </w:rPr>
      </w:r>
      <w:r>
        <w:rPr>
          <w:spacing w:val="-2"/>
        </w:rPr>
        <w:t>变动而确认的所有者权益，按比例结转入当期损益，由于被投资方重新计量设定受益计划净负债或净资产变动而产生的其他</w:t>
      </w:r>
      <w:r>
        <w:rPr>
          <w:spacing w:val="-64"/>
        </w:rPr>
        <w:t> </w:t>
      </w:r>
      <w:r>
        <w:rPr>
          <w:spacing w:val="-64"/>
        </w:rPr>
      </w:r>
      <w:r>
        <w:rPr/>
        <w:t>综合收益除外。</w:t>
      </w:r>
    </w:p>
    <w:p>
      <w:pPr>
        <w:pStyle w:val="BodyText"/>
        <w:spacing w:line="477" w:lineRule="auto" w:before="55"/>
        <w:ind w:right="94" w:firstLine="360"/>
        <w:jc w:val="left"/>
      </w:pPr>
      <w:r>
        <w:rPr>
          <w:spacing w:val="-2"/>
        </w:rPr>
        <w:t>因处置部分股权投资等原因丧失了对被投资单位的共同控制或重大影响的，处置后的剩余股权改按金融工具确认和计量</w:t>
      </w:r>
      <w:r>
        <w:rPr/>
        <w:t> </w:t>
      </w:r>
      <w:r>
        <w:rPr>
          <w:spacing w:val="-2"/>
        </w:rPr>
        <w:t>准则核算，其在丧失共同控制或重大影响之日的公允价值与账面价值之间的差额计入当期损益。原股权投资因采用权益法核</w:t>
      </w:r>
      <w:r>
        <w:rPr>
          <w:spacing w:val="-64"/>
        </w:rPr>
        <w:t> </w:t>
      </w:r>
      <w:r>
        <w:rPr>
          <w:spacing w:val="-64"/>
        </w:rPr>
      </w:r>
      <w:r>
        <w:rPr/>
        <w:t>算而确认的其他综合收益，在终止采用权益法核算时采用与被投资单位直接处置相关资产或负债相同的基础进行会计处理。</w:t>
      </w:r>
      <w:r>
        <w:rPr/>
        <w:t> </w:t>
      </w:r>
      <w:r>
        <w:rPr>
          <w:spacing w:val="-2"/>
        </w:rPr>
        <w:t>因被投资方除净损益、其他综合收益和利润分配以外的其他所有者权益变动而确认的所有者权益，在终止采用权益法核算时</w:t>
      </w:r>
      <w:r>
        <w:rPr>
          <w:spacing w:val="-64"/>
        </w:rPr>
        <w:t> </w:t>
      </w:r>
      <w:r>
        <w:rPr>
          <w:spacing w:val="-64"/>
        </w:rPr>
      </w:r>
      <w:r>
        <w:rPr/>
        <w:t>全部转入当期损益。</w:t>
      </w:r>
    </w:p>
    <w:p>
      <w:pPr>
        <w:pStyle w:val="BodyText"/>
        <w:spacing w:line="477" w:lineRule="auto" w:before="54"/>
        <w:ind w:right="190" w:firstLine="360"/>
        <w:jc w:val="both"/>
      </w:pPr>
      <w:r>
        <w:rPr>
          <w:spacing w:val="-2"/>
        </w:rPr>
        <w:t>因处置部分股权投资、因其他投资方对子公司增资而导致本公司持股比例下降等原因丧失了对被投资单位控制权的，在</w:t>
      </w:r>
      <w:r>
        <w:rPr/>
        <w:t> </w:t>
      </w:r>
      <w:r>
        <w:rPr>
          <w:spacing w:val="-2"/>
        </w:rPr>
        <w:t>编制个别财务报表时，剩余股权能够对被投资单位实施共同控制或重大影响的，改按权益法核算，并对该剩余股权视同自取</w:t>
      </w:r>
      <w:r>
        <w:rPr>
          <w:spacing w:val="-63"/>
        </w:rPr>
        <w:t> </w:t>
      </w:r>
      <w:r>
        <w:rPr>
          <w:spacing w:val="-63"/>
        </w:rPr>
      </w:r>
      <w:r>
        <w:rPr>
          <w:spacing w:val="-2"/>
        </w:rPr>
        <w:t>得时即采用权益法核算进行调整；剩余股权不能对被投资单位实施共同控制或施加重大影响的，改按金融工具确认和计量准</w:t>
      </w:r>
      <w:r>
        <w:rPr>
          <w:spacing w:val="-64"/>
        </w:rPr>
        <w:t> </w:t>
      </w:r>
      <w:r>
        <w:rPr>
          <w:spacing w:val="-64"/>
        </w:rPr>
      </w:r>
      <w:r>
        <w:rPr/>
        <w:t>则的有关规定进行会计处理，其在丧失控制之日的公允价值与账面价值间的差额计入当期损益。</w:t>
      </w:r>
    </w:p>
    <w:p>
      <w:pPr>
        <w:pStyle w:val="BodyText"/>
        <w:spacing w:line="477" w:lineRule="auto" w:before="54"/>
        <w:ind w:right="192" w:firstLine="360"/>
        <w:jc w:val="both"/>
      </w:pPr>
      <w:r>
        <w:rPr>
          <w:spacing w:val="-2"/>
        </w:rPr>
        <w:t>处置的股权是因追加投资等原因通过企业合并取得的，在编制个别财务报表时，处置后的剩余股权采用成本法或权益法</w:t>
      </w:r>
      <w:r>
        <w:rPr/>
        <w:t> </w:t>
      </w:r>
      <w:r>
        <w:rPr>
          <w:spacing w:val="-2"/>
        </w:rPr>
        <w:t>核算的，购买日之前持有的股权投资因采用权益法核算而确认的其他综合收益和其他所有者权益按比例结转；处置后的剩余</w:t>
      </w:r>
      <w:r>
        <w:rPr>
          <w:spacing w:val="-64"/>
        </w:rPr>
        <w:t> </w:t>
      </w:r>
      <w:r>
        <w:rPr>
          <w:spacing w:val="-64"/>
        </w:rPr>
      </w:r>
      <w:r>
        <w:rPr/>
        <w:t>股权改按金融工具确认和计量准则进行会计处理的，其他综合收益和其他所有者权益全部结转。</w:t>
      </w:r>
    </w:p>
    <w:p>
      <w:pPr>
        <w:spacing w:line="240" w:lineRule="auto" w:before="11"/>
        <w:rPr>
          <w:rFonts w:ascii="宋体" w:hAnsi="宋体" w:cs="宋体" w:eastAsia="宋体" w:hint="default"/>
          <w:sz w:val="16"/>
          <w:szCs w:val="16"/>
        </w:rPr>
      </w:pPr>
    </w:p>
    <w:p>
      <w:pPr>
        <w:pStyle w:val="Heading5"/>
        <w:spacing w:line="240" w:lineRule="auto"/>
        <w:ind w:right="94"/>
        <w:jc w:val="left"/>
        <w:rPr>
          <w:b w:val="0"/>
          <w:bCs w:val="0"/>
        </w:rPr>
      </w:pPr>
      <w:r>
        <w:rPr>
          <w:rFonts w:ascii="Times New Roman" w:hAnsi="Times New Roman" w:cs="Times New Roman" w:eastAsia="Times New Roman" w:hint="default"/>
        </w:rPr>
        <w:t>15</w:t>
      </w:r>
      <w:r>
        <w:rPr/>
        <w:t>、投资性房地产</w:t>
      </w:r>
      <w:r>
        <w:rPr>
          <w:b w:val="0"/>
          <w:bCs w:val="0"/>
        </w:rPr>
      </w:r>
    </w:p>
    <w:p>
      <w:pPr>
        <w:spacing w:line="240" w:lineRule="auto" w:before="6"/>
        <w:rPr>
          <w:rFonts w:ascii="Microsoft JhengHei" w:hAnsi="Microsoft JhengHei" w:cs="Microsoft JhengHei" w:eastAsia="Microsoft JhengHei" w:hint="default"/>
          <w:b/>
          <w:bCs/>
          <w:sz w:val="20"/>
          <w:szCs w:val="20"/>
        </w:rPr>
      </w:pPr>
    </w:p>
    <w:p>
      <w:pPr>
        <w:pStyle w:val="BodyText"/>
        <w:spacing w:line="360" w:lineRule="auto"/>
        <w:ind w:right="7834"/>
        <w:jc w:val="left"/>
      </w:pPr>
      <w:r>
        <w:rPr/>
        <w:t>投资性房地产计量模式 公允价值计量 选择公允价值计量的依据</w:t>
      </w:r>
    </w:p>
    <w:p>
      <w:pPr>
        <w:pStyle w:val="BodyText"/>
        <w:spacing w:line="477" w:lineRule="auto" w:before="104"/>
        <w:ind w:right="190" w:firstLine="360"/>
        <w:jc w:val="both"/>
      </w:pPr>
      <w:r>
        <w:rPr>
          <w:spacing w:val="-2"/>
        </w:rPr>
        <w:t>投资性房地产是指为赚取租金或资本增值，或两者兼有而持有的房地产，包括已出租的土地使用权、持有并准备增值后</w:t>
      </w:r>
      <w:r>
        <w:rPr/>
        <w:t> </w:t>
      </w:r>
      <w:r>
        <w:rPr>
          <w:spacing w:val="-2"/>
        </w:rPr>
        <w:t>转让的土地使用权、已出租的建筑物（含自行建造或开发活动完成后用于出租的建筑物以及正在建造或开发过程中将来用于</w:t>
      </w:r>
      <w:r>
        <w:rPr>
          <w:spacing w:val="-64"/>
        </w:rPr>
        <w:t> </w:t>
      </w:r>
      <w:r>
        <w:rPr>
          <w:spacing w:val="-64"/>
        </w:rPr>
      </w:r>
      <w:r>
        <w:rPr/>
        <w:t>出租的建筑物）。</w:t>
      </w:r>
    </w:p>
    <w:p>
      <w:pPr>
        <w:pStyle w:val="BodyText"/>
        <w:spacing w:line="477" w:lineRule="auto" w:before="54"/>
        <w:ind w:right="192" w:firstLine="360"/>
        <w:jc w:val="both"/>
      </w:pPr>
      <w:r>
        <w:rPr>
          <w:spacing w:val="-2"/>
        </w:rPr>
        <w:t>本公司不对投资性房地产计提折旧或进行摊销，在资产负债表日以投资性房地产的公允价值为基础调整其账面价值，公</w:t>
      </w:r>
      <w:r>
        <w:rPr/>
        <w:t> 允价值与原账面价值之间的差额计入当期损益。</w:t>
      </w:r>
    </w:p>
    <w:p>
      <w:pPr>
        <w:pStyle w:val="BodyText"/>
        <w:spacing w:line="240" w:lineRule="auto" w:before="54"/>
        <w:ind w:left="513" w:right="0"/>
        <w:jc w:val="left"/>
      </w:pPr>
      <w:r>
        <w:rPr/>
        <w:t>本公司有确凿证据表明房地产用途发生改变，将投资性房地产转换为自用房地产时，以其转换当日的公允价值作为自用</w:t>
      </w:r>
    </w:p>
    <w:p>
      <w:pPr>
        <w:spacing w:after="0" w:line="240" w:lineRule="auto"/>
        <w:jc w:val="left"/>
        <w:sectPr>
          <w:pgSz w:w="11910" w:h="16840"/>
          <w:pgMar w:header="877" w:footer="979" w:top="1100" w:bottom="1160" w:left="980" w:right="940"/>
        </w:sectPr>
      </w:pPr>
    </w:p>
    <w:p>
      <w:pPr>
        <w:spacing w:line="240" w:lineRule="auto" w:before="12"/>
        <w:rPr>
          <w:rFonts w:ascii="宋体" w:hAnsi="宋体" w:cs="宋体" w:eastAsia="宋体" w:hint="default"/>
          <w:sz w:val="27"/>
          <w:szCs w:val="27"/>
        </w:rPr>
      </w:pPr>
    </w:p>
    <w:p>
      <w:pPr>
        <w:pStyle w:val="BodyText"/>
        <w:spacing w:line="477" w:lineRule="auto" w:before="44"/>
        <w:ind w:right="151"/>
        <w:jc w:val="both"/>
      </w:pPr>
      <w:r>
        <w:rPr>
          <w:spacing w:val="-2"/>
        </w:rPr>
        <w:t>房地产的账面价值，公允价值与原账面价值的差额计入当期损益。自用房地产或存货转换为采用公允价值模式计量的投资性</w:t>
      </w:r>
      <w:r>
        <w:rPr>
          <w:spacing w:val="-63"/>
        </w:rPr>
        <w:t> </w:t>
      </w:r>
      <w:r>
        <w:rPr>
          <w:spacing w:val="-63"/>
        </w:rPr>
      </w:r>
      <w:r>
        <w:rPr>
          <w:spacing w:val="-2"/>
        </w:rPr>
        <w:t>房地产时，投资性房地产按照转换当日的公允价值计价，转换当日的公允价值小于原账面价值的，其差额计入当期损益；转</w:t>
      </w:r>
      <w:r>
        <w:rPr>
          <w:spacing w:val="-64"/>
        </w:rPr>
        <w:t> </w:t>
      </w:r>
      <w:r>
        <w:rPr>
          <w:spacing w:val="-64"/>
        </w:rPr>
      </w:r>
      <w:r>
        <w:rPr/>
        <w:t>换当日的公允价值大于原账面价值的，其差额计入其他综合收益。</w:t>
      </w:r>
    </w:p>
    <w:p>
      <w:pPr>
        <w:spacing w:line="240" w:lineRule="auto" w:before="11"/>
        <w:rPr>
          <w:rFonts w:ascii="宋体" w:hAnsi="宋体" w:cs="宋体" w:eastAsia="宋体" w:hint="default"/>
          <w:sz w:val="16"/>
          <w:szCs w:val="16"/>
        </w:rPr>
      </w:pPr>
    </w:p>
    <w:p>
      <w:pPr>
        <w:pStyle w:val="Heading5"/>
        <w:spacing w:line="240" w:lineRule="auto"/>
        <w:ind w:right="0"/>
        <w:jc w:val="both"/>
        <w:rPr>
          <w:b w:val="0"/>
          <w:bCs w:val="0"/>
        </w:rPr>
      </w:pPr>
      <w:r>
        <w:rPr>
          <w:rFonts w:ascii="Times New Roman" w:hAnsi="Times New Roman" w:cs="Times New Roman" w:eastAsia="Times New Roman" w:hint="default"/>
        </w:rPr>
        <w:t>16</w:t>
      </w:r>
      <w:r>
        <w:rPr/>
        <w:t>、固定资产</w:t>
      </w:r>
      <w:r>
        <w:rPr>
          <w:b w:val="0"/>
          <w:bCs w:val="0"/>
        </w:rPr>
      </w:r>
    </w:p>
    <w:p>
      <w:pPr>
        <w:spacing w:line="240" w:lineRule="auto" w:before="5"/>
        <w:rPr>
          <w:rFonts w:ascii="Microsoft JhengHei" w:hAnsi="Microsoft JhengHei" w:cs="Microsoft JhengHei" w:eastAsia="Microsoft JhengHei" w:hint="default"/>
          <w:b/>
          <w:bCs/>
          <w:sz w:val="17"/>
          <w:szCs w:val="17"/>
        </w:rPr>
      </w:pPr>
    </w:p>
    <w:p>
      <w:pPr>
        <w:pStyle w:val="Heading5"/>
        <w:spacing w:line="240" w:lineRule="auto"/>
        <w:ind w:right="0"/>
        <w:jc w:val="both"/>
        <w:rPr>
          <w:b w:val="0"/>
          <w:bCs w:val="0"/>
        </w:rPr>
      </w:pPr>
      <w:r>
        <w:rPr/>
        <w:t>（</w:t>
      </w:r>
      <w:r>
        <w:rPr>
          <w:rFonts w:ascii="Times New Roman" w:hAnsi="Times New Roman" w:cs="Times New Roman" w:eastAsia="Times New Roman" w:hint="default"/>
        </w:rPr>
        <w:t>1</w:t>
      </w:r>
      <w:r>
        <w:rPr/>
        <w:t>）确认条件</w:t>
      </w:r>
      <w:r>
        <w:rPr>
          <w:b w:val="0"/>
          <w:bCs w:val="0"/>
        </w:rPr>
      </w:r>
    </w:p>
    <w:p>
      <w:pPr>
        <w:spacing w:line="240" w:lineRule="auto" w:before="15"/>
        <w:rPr>
          <w:rFonts w:ascii="Microsoft JhengHei" w:hAnsi="Microsoft JhengHei" w:cs="Microsoft JhengHei" w:eastAsia="Microsoft JhengHei" w:hint="default"/>
          <w:b/>
          <w:bCs/>
          <w:sz w:val="24"/>
          <w:szCs w:val="24"/>
        </w:rPr>
      </w:pPr>
    </w:p>
    <w:p>
      <w:pPr>
        <w:pStyle w:val="BodyText"/>
        <w:spacing w:line="477" w:lineRule="auto"/>
        <w:ind w:right="0" w:firstLine="360"/>
        <w:jc w:val="left"/>
      </w:pPr>
      <w:r>
        <w:rPr>
          <w:spacing w:val="-2"/>
        </w:rPr>
        <w:t>固定资产指为生产商品、提供劳务、出租或经营管理而持有，并且使用寿命超过一个会计年度的有形资产。固定资产在</w:t>
      </w:r>
      <w:r>
        <w:rPr/>
        <w:t> 同时满足下列条件时予以确认：</w:t>
      </w:r>
    </w:p>
    <w:p>
      <w:pPr>
        <w:pStyle w:val="BodyText"/>
        <w:spacing w:line="240" w:lineRule="auto" w:before="54"/>
        <w:ind w:left="513" w:right="0"/>
        <w:jc w:val="left"/>
      </w:pPr>
      <w:r>
        <w:rPr/>
        <w:t>（</w:t>
      </w:r>
      <w:r>
        <w:rPr>
          <w:rFonts w:ascii="宋体" w:hAnsi="宋体" w:cs="宋体" w:eastAsia="宋体" w:hint="default"/>
        </w:rPr>
        <w:t>1</w:t>
      </w:r>
      <w:r>
        <w:rPr/>
        <w:t>）与该固定资产有关的经济利益很可能流入企业；</w:t>
      </w:r>
    </w:p>
    <w:p>
      <w:pPr>
        <w:spacing w:line="240" w:lineRule="auto" w:before="10"/>
        <w:rPr>
          <w:rFonts w:ascii="宋体" w:hAnsi="宋体" w:cs="宋体" w:eastAsia="宋体" w:hint="default"/>
          <w:sz w:val="17"/>
          <w:szCs w:val="17"/>
        </w:rPr>
      </w:pPr>
    </w:p>
    <w:p>
      <w:pPr>
        <w:pStyle w:val="BodyText"/>
        <w:spacing w:line="240" w:lineRule="auto"/>
        <w:ind w:left="513" w:right="0"/>
        <w:jc w:val="left"/>
      </w:pPr>
      <w:r>
        <w:rPr/>
        <w:t>（</w:t>
      </w:r>
      <w:r>
        <w:rPr>
          <w:rFonts w:ascii="宋体" w:hAnsi="宋体" w:cs="宋体" w:eastAsia="宋体" w:hint="default"/>
        </w:rPr>
        <w:t>2</w:t>
      </w:r>
      <w:r>
        <w:rPr/>
        <w:t>）该固定资产的成本能够可靠地计量。</w:t>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2"/>
          <w:szCs w:val="12"/>
        </w:rPr>
      </w:pPr>
    </w:p>
    <w:p>
      <w:pPr>
        <w:pStyle w:val="Heading5"/>
        <w:spacing w:line="240" w:lineRule="auto"/>
        <w:ind w:right="0"/>
        <w:jc w:val="both"/>
        <w:rPr>
          <w:b w:val="0"/>
          <w:bCs w:val="0"/>
        </w:rPr>
      </w:pPr>
      <w:r>
        <w:rPr/>
        <w:t>（</w:t>
      </w:r>
      <w:r>
        <w:rPr>
          <w:rFonts w:ascii="Times New Roman" w:hAnsi="Times New Roman" w:cs="Times New Roman" w:eastAsia="Times New Roman" w:hint="default"/>
        </w:rPr>
        <w:t>2</w:t>
      </w:r>
      <w:r>
        <w:rPr/>
        <w:t>）折旧方法</w:t>
      </w:r>
      <w:r>
        <w:rPr>
          <w:b w:val="0"/>
          <w:bCs w:val="0"/>
        </w:rPr>
      </w:r>
    </w:p>
    <w:p>
      <w:pPr>
        <w:spacing w:line="240" w:lineRule="auto" w:before="17"/>
        <w:rPr>
          <w:rFonts w:ascii="Microsoft JhengHei" w:hAnsi="Microsoft JhengHei" w:cs="Microsoft JhengHei" w:eastAsia="Microsoft JhengHei" w:hint="default"/>
          <w:b/>
          <w:bCs/>
          <w:sz w:val="19"/>
          <w:szCs w:val="19"/>
        </w:rPr>
      </w:pPr>
    </w:p>
    <w:tbl>
      <w:tblPr>
        <w:tblW w:w="0" w:type="auto"/>
        <w:jc w:val="left"/>
        <w:tblInd w:w="148" w:type="dxa"/>
        <w:tblLayout w:type="fixed"/>
        <w:tblCellMar>
          <w:top w:w="0" w:type="dxa"/>
          <w:left w:w="0" w:type="dxa"/>
          <w:bottom w:w="0" w:type="dxa"/>
          <w:right w:w="0" w:type="dxa"/>
        </w:tblCellMar>
        <w:tblLook w:val="01E0"/>
      </w:tblPr>
      <w:tblGrid>
        <w:gridCol w:w="1916"/>
        <w:gridCol w:w="1913"/>
        <w:gridCol w:w="1916"/>
        <w:gridCol w:w="1913"/>
        <w:gridCol w:w="1915"/>
      </w:tblGrid>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折旧年限（年）</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残值率（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年折旧率（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4"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20-45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2.11-4.75</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8-12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7.92-11.88</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19.00</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电子及其他设备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19.00-31.67</w:t>
            </w:r>
          </w:p>
        </w:tc>
      </w:tr>
    </w:tbl>
    <w:p>
      <w:pPr>
        <w:spacing w:line="240" w:lineRule="auto" w:before="5"/>
        <w:rPr>
          <w:rFonts w:ascii="Microsoft JhengHei" w:hAnsi="Microsoft JhengHei" w:cs="Microsoft JhengHei" w:eastAsia="Microsoft JhengHei" w:hint="default"/>
          <w:b/>
          <w:bCs/>
          <w:sz w:val="15"/>
          <w:szCs w:val="15"/>
        </w:rPr>
      </w:pPr>
    </w:p>
    <w:p>
      <w:pPr>
        <w:pStyle w:val="Heading5"/>
        <w:spacing w:line="300" w:lineRule="exact"/>
        <w:ind w:right="0"/>
        <w:jc w:val="left"/>
        <w:rPr>
          <w:b w:val="0"/>
          <w:bCs w:val="0"/>
        </w:rPr>
      </w:pPr>
      <w:r>
        <w:rPr/>
        <w:t>（</w:t>
      </w:r>
      <w:r>
        <w:rPr>
          <w:rFonts w:ascii="Times New Roman" w:hAnsi="Times New Roman" w:cs="Times New Roman" w:eastAsia="Times New Roman" w:hint="default"/>
        </w:rPr>
        <w:t>3</w:t>
      </w:r>
      <w:r>
        <w:rPr/>
        <w:t>）融资租入固定资产的认定依据、计价和折旧方法</w:t>
      </w:r>
      <w:r>
        <w:rPr>
          <w:b w:val="0"/>
          <w:bCs w:val="0"/>
        </w:rPr>
      </w:r>
    </w:p>
    <w:p>
      <w:pPr>
        <w:spacing w:line="240" w:lineRule="auto" w:before="0"/>
        <w:rPr>
          <w:rFonts w:ascii="Microsoft JhengHei" w:hAnsi="Microsoft JhengHei" w:cs="Microsoft JhengHei" w:eastAsia="Microsoft JhengHei" w:hint="default"/>
          <w:b/>
          <w:bCs/>
          <w:sz w:val="25"/>
          <w:szCs w:val="25"/>
        </w:rPr>
      </w:pPr>
    </w:p>
    <w:p>
      <w:pPr>
        <w:pStyle w:val="BodyText"/>
        <w:spacing w:line="240" w:lineRule="auto"/>
        <w:ind w:left="513" w:right="0"/>
        <w:jc w:val="left"/>
      </w:pPr>
      <w:r>
        <w:rPr/>
        <w:t>公司与租赁方所签订的租赁协议条款中规定了下列条件之一的，确认为融资租入资产：</w:t>
      </w:r>
    </w:p>
    <w:p>
      <w:pPr>
        <w:spacing w:line="240" w:lineRule="auto" w:before="10"/>
        <w:rPr>
          <w:rFonts w:ascii="宋体" w:hAnsi="宋体" w:cs="宋体" w:eastAsia="宋体" w:hint="default"/>
          <w:sz w:val="17"/>
          <w:szCs w:val="17"/>
        </w:rPr>
      </w:pPr>
    </w:p>
    <w:p>
      <w:pPr>
        <w:pStyle w:val="BodyText"/>
        <w:spacing w:line="240" w:lineRule="auto"/>
        <w:ind w:left="513" w:right="0"/>
        <w:jc w:val="left"/>
      </w:pPr>
      <w:r>
        <w:rPr/>
        <w:t>（</w:t>
      </w:r>
      <w:r>
        <w:rPr>
          <w:rFonts w:ascii="宋体" w:hAnsi="宋体" w:cs="宋体" w:eastAsia="宋体" w:hint="default"/>
        </w:rPr>
        <w:t>1</w:t>
      </w:r>
      <w:r>
        <w:rPr/>
        <w:t>）租赁期满后租赁资产的所有权归属于本公司；</w:t>
      </w:r>
    </w:p>
    <w:p>
      <w:pPr>
        <w:spacing w:line="240" w:lineRule="auto" w:before="11"/>
        <w:rPr>
          <w:rFonts w:ascii="宋体" w:hAnsi="宋体" w:cs="宋体" w:eastAsia="宋体" w:hint="default"/>
          <w:sz w:val="17"/>
          <w:szCs w:val="17"/>
        </w:rPr>
      </w:pPr>
    </w:p>
    <w:p>
      <w:pPr>
        <w:pStyle w:val="BodyText"/>
        <w:spacing w:line="240" w:lineRule="auto"/>
        <w:ind w:left="513" w:right="0"/>
        <w:jc w:val="left"/>
      </w:pPr>
      <w:r>
        <w:rPr/>
        <w:t>（</w:t>
      </w:r>
      <w:r>
        <w:rPr>
          <w:rFonts w:ascii="宋体" w:hAnsi="宋体" w:cs="宋体" w:eastAsia="宋体" w:hint="default"/>
        </w:rPr>
        <w:t>2</w:t>
      </w:r>
      <w:r>
        <w:rPr/>
        <w:t>）公司具有购买资产的选择权，购买价款远低于行使选择权时该资产的公允价值；</w:t>
      </w:r>
    </w:p>
    <w:p>
      <w:pPr>
        <w:spacing w:line="240" w:lineRule="auto" w:before="10"/>
        <w:rPr>
          <w:rFonts w:ascii="宋体" w:hAnsi="宋体" w:cs="宋体" w:eastAsia="宋体" w:hint="default"/>
          <w:sz w:val="17"/>
          <w:szCs w:val="17"/>
        </w:rPr>
      </w:pPr>
    </w:p>
    <w:p>
      <w:pPr>
        <w:pStyle w:val="BodyText"/>
        <w:spacing w:line="240" w:lineRule="auto"/>
        <w:ind w:left="513" w:right="0"/>
        <w:jc w:val="left"/>
      </w:pPr>
      <w:r>
        <w:rPr/>
        <w:t>（</w:t>
      </w:r>
      <w:r>
        <w:rPr>
          <w:rFonts w:ascii="宋体" w:hAnsi="宋体" w:cs="宋体" w:eastAsia="宋体" w:hint="default"/>
        </w:rPr>
        <w:t>3</w:t>
      </w:r>
      <w:r>
        <w:rPr/>
        <w:t>）租赁期占所租赁资产使用寿命的大部分；</w:t>
      </w:r>
    </w:p>
    <w:p>
      <w:pPr>
        <w:spacing w:line="240" w:lineRule="auto" w:before="10"/>
        <w:rPr>
          <w:rFonts w:ascii="宋体" w:hAnsi="宋体" w:cs="宋体" w:eastAsia="宋体" w:hint="default"/>
          <w:sz w:val="17"/>
          <w:szCs w:val="17"/>
        </w:rPr>
      </w:pPr>
    </w:p>
    <w:p>
      <w:pPr>
        <w:pStyle w:val="BodyText"/>
        <w:spacing w:line="477" w:lineRule="auto"/>
        <w:ind w:left="513" w:right="0"/>
        <w:jc w:val="left"/>
      </w:pPr>
      <w:r>
        <w:rPr/>
        <w:t>（</w:t>
      </w:r>
      <w:r>
        <w:rPr>
          <w:rFonts w:ascii="宋体" w:hAnsi="宋体" w:cs="宋体" w:eastAsia="宋体" w:hint="default"/>
        </w:rPr>
        <w:t>4</w:t>
      </w:r>
      <w:r>
        <w:rPr/>
        <w:t>）租赁开始日的最低租赁付款额现值，与该资产的公允价值不存在较大的差异。 </w:t>
      </w:r>
      <w:r>
        <w:rPr>
          <w:spacing w:val="-2"/>
        </w:rPr>
        <w:t>公司在承租开始日，将租赁资产公允价值与最低租赁付款额现值两者中较低者作为租入资产的入账价值，将最低租赁付</w:t>
      </w:r>
    </w:p>
    <w:p>
      <w:pPr>
        <w:pStyle w:val="BodyText"/>
        <w:spacing w:line="240" w:lineRule="auto" w:before="54"/>
        <w:ind w:right="0"/>
        <w:jc w:val="left"/>
      </w:pPr>
      <w:r>
        <w:rPr/>
        <w:t>款额作为长期应付款的入账价值，其差额作为未确认的融资费。</w:t>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2"/>
          <w:szCs w:val="12"/>
        </w:rPr>
      </w:pPr>
    </w:p>
    <w:p>
      <w:pPr>
        <w:pStyle w:val="Heading5"/>
        <w:spacing w:line="240" w:lineRule="auto"/>
        <w:ind w:right="0"/>
        <w:jc w:val="left"/>
        <w:rPr>
          <w:b w:val="0"/>
          <w:bCs w:val="0"/>
        </w:rPr>
      </w:pPr>
      <w:r>
        <w:rPr>
          <w:rFonts w:ascii="Times New Roman" w:hAnsi="Times New Roman" w:cs="Times New Roman" w:eastAsia="Times New Roman" w:hint="default"/>
        </w:rPr>
        <w:t>17</w:t>
      </w:r>
      <w:r>
        <w:rPr/>
        <w:t>、在建工程</w:t>
      </w:r>
      <w:r>
        <w:rPr>
          <w:b w:val="0"/>
          <w:bCs w:val="0"/>
        </w:rPr>
      </w:r>
    </w:p>
    <w:p>
      <w:pPr>
        <w:spacing w:line="240" w:lineRule="auto" w:before="6"/>
        <w:rPr>
          <w:rFonts w:ascii="Microsoft JhengHei" w:hAnsi="Microsoft JhengHei" w:cs="Microsoft JhengHei" w:eastAsia="Microsoft JhengHei" w:hint="default"/>
          <w:b/>
          <w:bCs/>
          <w:sz w:val="20"/>
          <w:szCs w:val="20"/>
        </w:rPr>
      </w:pPr>
    </w:p>
    <w:p>
      <w:pPr>
        <w:pStyle w:val="BodyText"/>
        <w:spacing w:line="360" w:lineRule="auto"/>
        <w:ind w:right="6714"/>
        <w:jc w:val="left"/>
      </w:pPr>
      <w:r>
        <w:rPr/>
        <w:t>公司是否需要遵守特殊行业的披露要求 否</w:t>
      </w:r>
    </w:p>
    <w:p>
      <w:pPr>
        <w:pStyle w:val="BodyText"/>
        <w:spacing w:line="240" w:lineRule="auto" w:before="106"/>
        <w:ind w:left="513" w:right="0"/>
        <w:jc w:val="left"/>
      </w:pPr>
      <w:r>
        <w:rPr/>
        <w:t>在建工程项目按建造该项资产达到预定可使用状态前所发生的必要支出，作为固定资产的入账价值。所建造的固定资产</w:t>
      </w:r>
    </w:p>
    <w:p>
      <w:pPr>
        <w:spacing w:after="0" w:line="240" w:lineRule="auto"/>
        <w:jc w:val="left"/>
        <w:sectPr>
          <w:pgSz w:w="11910" w:h="16840"/>
          <w:pgMar w:header="877" w:footer="979" w:top="1100" w:bottom="1160" w:left="980" w:right="980"/>
        </w:sectPr>
      </w:pPr>
    </w:p>
    <w:p>
      <w:pPr>
        <w:spacing w:line="240" w:lineRule="auto" w:before="12"/>
        <w:rPr>
          <w:rFonts w:ascii="宋体" w:hAnsi="宋体" w:cs="宋体" w:eastAsia="宋体" w:hint="default"/>
          <w:sz w:val="27"/>
          <w:szCs w:val="27"/>
        </w:rPr>
      </w:pPr>
    </w:p>
    <w:p>
      <w:pPr>
        <w:pStyle w:val="BodyText"/>
        <w:spacing w:line="477" w:lineRule="auto" w:before="44"/>
        <w:ind w:right="151"/>
        <w:jc w:val="both"/>
      </w:pPr>
      <w:r>
        <w:rPr>
          <w:spacing w:val="-2"/>
        </w:rPr>
        <w:t>在建工程已达到预定可使用状态，但尚未办理竣工决算的，自达到预定可使用状态之日起，根据工程预算、造价或者工程实</w:t>
      </w:r>
      <w:r>
        <w:rPr>
          <w:spacing w:val="-66"/>
        </w:rPr>
        <w:t> </w:t>
      </w:r>
      <w:r>
        <w:rPr>
          <w:spacing w:val="-66"/>
        </w:rPr>
      </w:r>
      <w:r>
        <w:rPr>
          <w:spacing w:val="-2"/>
        </w:rPr>
        <w:t>际成本等，按估计的价值转入固定资产，并按本公司固定资产折旧政策计提固定资产的折旧，待办理竣工决算后，再按实际</w:t>
      </w:r>
      <w:r>
        <w:rPr>
          <w:spacing w:val="-64"/>
        </w:rPr>
        <w:t> </w:t>
      </w:r>
      <w:r>
        <w:rPr>
          <w:spacing w:val="-64"/>
        </w:rPr>
      </w:r>
      <w:r>
        <w:rPr/>
        <w:t>成本调整原来的暂估价值，但不调整原已计提的折旧额。</w:t>
      </w:r>
    </w:p>
    <w:p>
      <w:pPr>
        <w:spacing w:line="240" w:lineRule="auto" w:before="11"/>
        <w:rPr>
          <w:rFonts w:ascii="宋体" w:hAnsi="宋体" w:cs="宋体" w:eastAsia="宋体" w:hint="default"/>
          <w:sz w:val="16"/>
          <w:szCs w:val="16"/>
        </w:rPr>
      </w:pPr>
    </w:p>
    <w:p>
      <w:pPr>
        <w:pStyle w:val="Heading5"/>
        <w:spacing w:line="240" w:lineRule="auto"/>
        <w:ind w:right="0"/>
        <w:jc w:val="left"/>
        <w:rPr>
          <w:b w:val="0"/>
          <w:bCs w:val="0"/>
        </w:rPr>
      </w:pPr>
      <w:r>
        <w:rPr>
          <w:rFonts w:ascii="Times New Roman" w:hAnsi="Times New Roman" w:cs="Times New Roman" w:eastAsia="Times New Roman" w:hint="default"/>
        </w:rPr>
        <w:t>18</w:t>
      </w:r>
      <w:r>
        <w:rPr/>
        <w:t>、借款费用</w:t>
      </w:r>
      <w:r>
        <w:rPr>
          <w:b w:val="0"/>
          <w:bCs w:val="0"/>
        </w:rPr>
      </w:r>
    </w:p>
    <w:p>
      <w:pPr>
        <w:spacing w:line="240" w:lineRule="auto" w:before="0"/>
        <w:rPr>
          <w:rFonts w:ascii="Microsoft JhengHei" w:hAnsi="Microsoft JhengHei" w:cs="Microsoft JhengHei" w:eastAsia="Microsoft JhengHei" w:hint="default"/>
          <w:b/>
          <w:bCs/>
          <w:sz w:val="25"/>
          <w:szCs w:val="25"/>
        </w:rPr>
      </w:pPr>
    </w:p>
    <w:p>
      <w:pPr>
        <w:pStyle w:val="BodyText"/>
        <w:spacing w:line="477" w:lineRule="auto"/>
        <w:ind w:left="513" w:right="0"/>
        <w:jc w:val="left"/>
      </w:pPr>
      <w:r>
        <w:rPr/>
        <w:t>（一）借款费用资本化的确认原则 借款费用，包括借款利息、折价或者溢价的摊销、辅助费用以及因外币借款而发生的汇兑差额等。 </w:t>
      </w:r>
      <w:r>
        <w:rPr>
          <w:spacing w:val="-2"/>
        </w:rPr>
        <w:t>公司发生的借款费用，可直接归属于符合资本化条件的资产的购建或者生产的，予以资本化，计入相关资产成本；其他</w:t>
      </w:r>
    </w:p>
    <w:p>
      <w:pPr>
        <w:pStyle w:val="BodyText"/>
        <w:spacing w:line="477" w:lineRule="auto" w:before="54"/>
        <w:ind w:left="513" w:right="0" w:hanging="361"/>
        <w:jc w:val="left"/>
      </w:pPr>
      <w:r>
        <w:rPr/>
        <w:t>借款费用，在发生时根据其发生额确认为费用，计入当期损益。 符合资本化条件的资产，是指需要经过相当长时间的购建或者生产活动才能达到预定可使用或者可销售状态的固定资</w:t>
      </w:r>
    </w:p>
    <w:p>
      <w:pPr>
        <w:pStyle w:val="BodyText"/>
        <w:spacing w:line="477" w:lineRule="auto" w:before="54"/>
        <w:ind w:left="513" w:right="5993" w:hanging="361"/>
        <w:jc w:val="left"/>
      </w:pPr>
      <w:r>
        <w:rPr/>
        <w:t>产、投资性房地产和存货等资产。 借款费用同时满足下列条件时开始资本化：</w:t>
      </w:r>
    </w:p>
    <w:p>
      <w:pPr>
        <w:pStyle w:val="BodyText"/>
        <w:spacing w:line="477" w:lineRule="auto" w:before="54"/>
        <w:ind w:right="144" w:firstLine="360"/>
        <w:jc w:val="left"/>
      </w:pPr>
      <w:r>
        <w:rPr/>
        <w:t>（</w:t>
      </w:r>
      <w:r>
        <w:rPr>
          <w:rFonts w:ascii="宋体" w:hAnsi="宋体" w:cs="宋体" w:eastAsia="宋体" w:hint="default"/>
        </w:rPr>
        <w:t>1</w:t>
      </w:r>
      <w:r>
        <w:rPr/>
        <w:t>）资产支出已经发生，资产支出包括为购建或者生产符合资本化条件的资产而以支付现金、转移非现金资产或者承 担带息债务形式发生的支出；</w:t>
      </w:r>
    </w:p>
    <w:p>
      <w:pPr>
        <w:pStyle w:val="BodyText"/>
        <w:spacing w:line="240" w:lineRule="auto" w:before="54"/>
        <w:ind w:left="513" w:right="0"/>
        <w:jc w:val="left"/>
      </w:pPr>
      <w:r>
        <w:rPr/>
        <w:t>（</w:t>
      </w:r>
      <w:r>
        <w:rPr>
          <w:rFonts w:ascii="宋体" w:hAnsi="宋体" w:cs="宋体" w:eastAsia="宋体" w:hint="default"/>
        </w:rPr>
        <w:t>2</w:t>
      </w:r>
      <w:r>
        <w:rPr/>
        <w:t>）借款费用已经发生；</w:t>
      </w:r>
    </w:p>
    <w:p>
      <w:pPr>
        <w:spacing w:line="240" w:lineRule="auto" w:before="10"/>
        <w:rPr>
          <w:rFonts w:ascii="宋体" w:hAnsi="宋体" w:cs="宋体" w:eastAsia="宋体" w:hint="default"/>
          <w:sz w:val="17"/>
          <w:szCs w:val="17"/>
        </w:rPr>
      </w:pPr>
    </w:p>
    <w:p>
      <w:pPr>
        <w:pStyle w:val="BodyText"/>
        <w:spacing w:line="240" w:lineRule="auto"/>
        <w:ind w:left="513" w:right="0"/>
        <w:jc w:val="left"/>
      </w:pPr>
      <w:r>
        <w:rPr/>
        <w:t>（</w:t>
      </w:r>
      <w:r>
        <w:rPr>
          <w:rFonts w:ascii="宋体" w:hAnsi="宋体" w:cs="宋体" w:eastAsia="宋体" w:hint="default"/>
        </w:rPr>
        <w:t>3</w:t>
      </w:r>
      <w:r>
        <w:rPr/>
        <w:t>）为使资产达到预定可使用或者可销售状态所必要的购建或者生产活动已经开始。</w:t>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3"/>
          <w:szCs w:val="23"/>
        </w:rPr>
      </w:pPr>
    </w:p>
    <w:p>
      <w:pPr>
        <w:pStyle w:val="BodyText"/>
        <w:spacing w:line="477" w:lineRule="auto"/>
        <w:ind w:left="513" w:right="0"/>
        <w:jc w:val="left"/>
      </w:pPr>
      <w:r>
        <w:rPr/>
        <w:t>（二）借款费用资本化期间 资本化期间，指从借款费用开始资本化时点到停止资本化时点的期间，借款费用暂停资本化的期间不包括在内。 当购建或者生产符合资本化条件的资产达到预定可使用或者可销售状态时，借款费用停止资本化。 当购建或者生产符合资本化条件的资产中部分项目分别完工且可单独使用时，该部分资产借款费用停止资本化。 </w:t>
      </w:r>
      <w:r>
        <w:rPr>
          <w:spacing w:val="-2"/>
        </w:rPr>
        <w:t>购建或者生产的资产的各部分分别完工，但必须等到整体完工后才可使用或可对外销售的，在该资产整体完工时停止借</w:t>
      </w:r>
    </w:p>
    <w:p>
      <w:pPr>
        <w:pStyle w:val="BodyText"/>
        <w:spacing w:line="240" w:lineRule="auto" w:before="54"/>
        <w:ind w:right="0"/>
        <w:jc w:val="left"/>
      </w:pPr>
      <w:r>
        <w:rPr/>
        <w:t>款费用资本化。</w:t>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3"/>
          <w:szCs w:val="23"/>
        </w:rPr>
      </w:pPr>
    </w:p>
    <w:p>
      <w:pPr>
        <w:pStyle w:val="BodyText"/>
        <w:spacing w:line="453" w:lineRule="auto"/>
        <w:ind w:left="513" w:right="0"/>
        <w:jc w:val="left"/>
        <w:rPr>
          <w:sz w:val="21"/>
          <w:szCs w:val="21"/>
        </w:rPr>
      </w:pPr>
      <w:r>
        <w:rPr/>
        <w:t>（三）暂停资本化期间 </w:t>
      </w:r>
      <w:r>
        <w:rPr>
          <w:spacing w:val="-1"/>
        </w:rPr>
        <w:t>符合资本化条件的资产在购建或生产过程中发生的非正常中断、且中断时间连续超过</w:t>
      </w:r>
      <w:r>
        <w:rPr>
          <w:rFonts w:ascii="宋体" w:hAnsi="宋体" w:cs="宋体" w:eastAsia="宋体" w:hint="default"/>
          <w:spacing w:val="-1"/>
        </w:rPr>
        <w:t>3</w:t>
      </w:r>
      <w:r>
        <w:rPr>
          <w:spacing w:val="-1"/>
        </w:rPr>
        <w:t>个月的，则借</w:t>
      </w:r>
      <w:r>
        <w:rPr>
          <w:spacing w:val="-1"/>
          <w:sz w:val="21"/>
          <w:szCs w:val="21"/>
        </w:rPr>
        <w:t>款费用暂停资本</w:t>
      </w:r>
    </w:p>
    <w:p>
      <w:pPr>
        <w:pStyle w:val="BodyText"/>
        <w:spacing w:line="477" w:lineRule="auto" w:before="29"/>
        <w:ind w:right="153"/>
        <w:jc w:val="both"/>
      </w:pPr>
      <w:r>
        <w:rPr>
          <w:spacing w:val="-2"/>
        </w:rPr>
        <w:t>化；该项中断如是所购建或生产的符合资本化条件的资产达到预定可使用状态或者可销售状态必要的程序，则借款费用继续</w:t>
      </w:r>
      <w:r>
        <w:rPr>
          <w:spacing w:val="-64"/>
        </w:rPr>
        <w:t> </w:t>
      </w:r>
      <w:r>
        <w:rPr>
          <w:spacing w:val="-64"/>
        </w:rPr>
      </w:r>
      <w:r>
        <w:rPr/>
        <w:t>资本化。在中断期间发生的借款费用确认为当期损益，直至资产的购建或者生产活动重新开始后借款费用继续资本化。</w:t>
      </w:r>
    </w:p>
    <w:p>
      <w:pPr>
        <w:spacing w:line="240" w:lineRule="auto" w:before="0"/>
        <w:rPr>
          <w:rFonts w:ascii="宋体" w:hAnsi="宋体" w:cs="宋体" w:eastAsia="宋体" w:hint="default"/>
          <w:sz w:val="18"/>
          <w:szCs w:val="18"/>
        </w:rPr>
      </w:pPr>
    </w:p>
    <w:p>
      <w:pPr>
        <w:pStyle w:val="BodyText"/>
        <w:spacing w:line="477" w:lineRule="auto" w:before="131"/>
        <w:ind w:left="513" w:right="0"/>
        <w:jc w:val="left"/>
      </w:pPr>
      <w:r>
        <w:rPr/>
        <w:t>（四）借款费用资本化率、资本化金额的计算方法 </w:t>
      </w:r>
      <w:r>
        <w:rPr>
          <w:spacing w:val="-2"/>
        </w:rPr>
        <w:t>对于为购建或者生产符合资本化条件的资产而借入的专门借款，以专门借款当期实际发生的借款费用，减去尚未动用的</w:t>
      </w:r>
    </w:p>
    <w:p>
      <w:pPr>
        <w:spacing w:after="0" w:line="477" w:lineRule="auto"/>
        <w:jc w:val="left"/>
        <w:sectPr>
          <w:footerReference w:type="default" r:id="rId21"/>
          <w:pgSz w:w="11910" w:h="16840"/>
          <w:pgMar w:footer="979" w:header="877" w:top="1100" w:bottom="1160" w:left="980" w:right="980"/>
          <w:pgNumType w:start="96"/>
        </w:sectPr>
      </w:pPr>
    </w:p>
    <w:p>
      <w:pPr>
        <w:spacing w:line="240" w:lineRule="auto" w:before="12"/>
        <w:rPr>
          <w:rFonts w:ascii="宋体" w:hAnsi="宋体" w:cs="宋体" w:eastAsia="宋体" w:hint="default"/>
          <w:sz w:val="27"/>
          <w:szCs w:val="27"/>
        </w:rPr>
      </w:pPr>
    </w:p>
    <w:p>
      <w:pPr>
        <w:pStyle w:val="BodyText"/>
        <w:spacing w:line="477" w:lineRule="auto" w:before="44"/>
        <w:ind w:left="513" w:right="0" w:hanging="361"/>
        <w:jc w:val="left"/>
      </w:pPr>
      <w:r>
        <w:rPr/>
        <w:t>借款资金存入银行取得的利息收入或进行暂时性投资取得的投资收益后的金额，来确定借款费用的资本化金额。 </w:t>
      </w:r>
      <w:r>
        <w:rPr>
          <w:spacing w:val="-2"/>
        </w:rPr>
        <w:t>对于为购建或者生产符合资本化条件的资产而占用的一般借款，根据累计资产支出超过专门借款部分的资产支出加权平</w:t>
      </w:r>
    </w:p>
    <w:p>
      <w:pPr>
        <w:pStyle w:val="BodyText"/>
        <w:spacing w:line="477" w:lineRule="auto" w:before="54"/>
        <w:ind w:right="0"/>
        <w:jc w:val="left"/>
      </w:pPr>
      <w:r>
        <w:rPr>
          <w:spacing w:val="-2"/>
        </w:rPr>
        <w:t>均数乘以所占用一般借款的资本化率，计算确定一般借款应予资本化的借款费用金额。资本化率根据一般借款加权平均利率</w:t>
      </w:r>
      <w:r>
        <w:rPr>
          <w:spacing w:val="-64"/>
        </w:rPr>
        <w:t> </w:t>
      </w:r>
      <w:r>
        <w:rPr>
          <w:spacing w:val="-64"/>
        </w:rPr>
      </w:r>
      <w:r>
        <w:rPr/>
        <w:t>计算确定。</w:t>
      </w:r>
    </w:p>
    <w:p>
      <w:pPr>
        <w:spacing w:line="240" w:lineRule="auto" w:before="11"/>
        <w:rPr>
          <w:rFonts w:ascii="宋体" w:hAnsi="宋体" w:cs="宋体" w:eastAsia="宋体" w:hint="default"/>
          <w:sz w:val="16"/>
          <w:szCs w:val="16"/>
        </w:rPr>
      </w:pPr>
    </w:p>
    <w:p>
      <w:pPr>
        <w:pStyle w:val="Heading5"/>
        <w:spacing w:line="240" w:lineRule="auto"/>
        <w:ind w:right="0"/>
        <w:jc w:val="left"/>
        <w:rPr>
          <w:b w:val="0"/>
          <w:bCs w:val="0"/>
        </w:rPr>
      </w:pPr>
      <w:r>
        <w:rPr>
          <w:rFonts w:ascii="Times New Roman" w:hAnsi="Times New Roman" w:cs="Times New Roman" w:eastAsia="Times New Roman" w:hint="default"/>
        </w:rPr>
        <w:t>19</w:t>
      </w:r>
      <w:r>
        <w:rPr/>
        <w:t>、无形资产</w:t>
      </w:r>
      <w:r>
        <w:rPr>
          <w:b w:val="0"/>
          <w:bCs w:val="0"/>
        </w:rPr>
      </w:r>
    </w:p>
    <w:p>
      <w:pPr>
        <w:spacing w:line="240" w:lineRule="auto" w:before="5"/>
        <w:rPr>
          <w:rFonts w:ascii="Microsoft JhengHei" w:hAnsi="Microsoft JhengHei" w:cs="Microsoft JhengHei" w:eastAsia="Microsoft JhengHei" w:hint="default"/>
          <w:b/>
          <w:bCs/>
          <w:sz w:val="17"/>
          <w:szCs w:val="17"/>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）计价方法、使用寿命、减值测试</w:t>
      </w:r>
      <w:r>
        <w:rPr>
          <w:b w:val="0"/>
          <w:bCs w:val="0"/>
        </w:rPr>
      </w:r>
    </w:p>
    <w:p>
      <w:pPr>
        <w:spacing w:line="240" w:lineRule="auto" w:before="16"/>
        <w:rPr>
          <w:rFonts w:ascii="Microsoft JhengHei" w:hAnsi="Microsoft JhengHei" w:cs="Microsoft JhengHei" w:eastAsia="Microsoft JhengHei" w:hint="default"/>
          <w:b/>
          <w:bCs/>
          <w:sz w:val="24"/>
          <w:szCs w:val="24"/>
        </w:rPr>
      </w:pPr>
    </w:p>
    <w:p>
      <w:pPr>
        <w:pStyle w:val="BodyText"/>
        <w:spacing w:line="240" w:lineRule="auto"/>
        <w:ind w:left="513" w:right="0"/>
        <w:jc w:val="left"/>
      </w:pPr>
      <w:r>
        <w:rPr/>
        <w:t>（一）无形资产的计价方法</w:t>
      </w:r>
    </w:p>
    <w:p>
      <w:pPr>
        <w:spacing w:line="240" w:lineRule="auto" w:before="10"/>
        <w:rPr>
          <w:rFonts w:ascii="宋体" w:hAnsi="宋体" w:cs="宋体" w:eastAsia="宋体" w:hint="default"/>
          <w:sz w:val="17"/>
          <w:szCs w:val="17"/>
        </w:rPr>
      </w:pPr>
    </w:p>
    <w:p>
      <w:pPr>
        <w:pStyle w:val="BodyText"/>
        <w:spacing w:line="477" w:lineRule="auto"/>
        <w:ind w:left="513" w:right="0"/>
        <w:jc w:val="left"/>
      </w:pPr>
      <w:r>
        <w:rPr/>
        <w:t>（</w:t>
      </w:r>
      <w:r>
        <w:rPr>
          <w:rFonts w:ascii="宋体" w:hAnsi="宋体" w:cs="宋体" w:eastAsia="宋体" w:hint="default"/>
        </w:rPr>
        <w:t>1</w:t>
      </w:r>
      <w:r>
        <w:rPr/>
        <w:t>）公司取得无形资产时按成本进行初始计量； </w:t>
      </w:r>
      <w:r>
        <w:rPr>
          <w:spacing w:val="-2"/>
        </w:rPr>
        <w:t>外购无形资产的成本，包括购买价款、相关税费以及直接归属于使该项资产达到预定用途所发生的其他支出。购买无形</w:t>
      </w:r>
    </w:p>
    <w:p>
      <w:pPr>
        <w:pStyle w:val="BodyText"/>
        <w:spacing w:line="477" w:lineRule="auto" w:before="54"/>
        <w:ind w:left="513" w:right="0" w:hanging="361"/>
        <w:jc w:val="left"/>
      </w:pPr>
      <w:r>
        <w:rPr/>
        <w:t>资产的价款超过正常信用条件延期支付，实质上具有融资性质的，无形资产的成本以购买价款的现值为基础确定。 </w:t>
      </w:r>
      <w:r>
        <w:rPr>
          <w:spacing w:val="-2"/>
        </w:rPr>
        <w:t>债务重组取得债务人用以抵债的无形资产，以该无形资产的公允价值为基础确定其入账价值，并将重组债务的账面价值</w:t>
      </w:r>
    </w:p>
    <w:p>
      <w:pPr>
        <w:pStyle w:val="BodyText"/>
        <w:spacing w:line="477" w:lineRule="auto" w:before="54"/>
        <w:ind w:left="513" w:right="0" w:hanging="361"/>
        <w:jc w:val="left"/>
      </w:pPr>
      <w:r>
        <w:rPr/>
        <w:t>与该用以抵债的无形资产公允价值之间的差额，计入当期损益。 </w:t>
      </w:r>
      <w:r>
        <w:rPr>
          <w:spacing w:val="-2"/>
        </w:rPr>
        <w:t>在非货币性资产交换具备商业实质且换入资产或换出资产的公允价值能够可靠计量的前提下，非货币性资产交换换入的</w:t>
      </w:r>
    </w:p>
    <w:p>
      <w:pPr>
        <w:pStyle w:val="BodyText"/>
        <w:spacing w:line="477" w:lineRule="auto" w:before="54"/>
        <w:ind w:right="0"/>
        <w:jc w:val="left"/>
      </w:pPr>
      <w:r>
        <w:rPr>
          <w:spacing w:val="-2"/>
        </w:rPr>
        <w:t>无形资产以换出资产的公允价值为基础确定其入账价值，除非有确凿证据表明换入资产的公允价值更加可靠；不满足上述前</w:t>
      </w:r>
      <w:r>
        <w:rPr>
          <w:spacing w:val="-64"/>
        </w:rPr>
        <w:t> </w:t>
      </w:r>
      <w:r>
        <w:rPr>
          <w:spacing w:val="-64"/>
        </w:rPr>
      </w:r>
      <w:r>
        <w:rPr/>
        <w:t>提的非货币性资产交换，以换出资产的账面价值和应支付的相关税费作为换入无形资产的成本，不确认损益。</w:t>
      </w:r>
    </w:p>
    <w:p>
      <w:pPr>
        <w:pStyle w:val="BodyText"/>
        <w:spacing w:line="477" w:lineRule="auto" w:before="54"/>
        <w:ind w:left="513" w:right="6173"/>
        <w:jc w:val="left"/>
      </w:pPr>
      <w:r>
        <w:rPr/>
        <w:t>（</w:t>
      </w:r>
      <w:r>
        <w:rPr>
          <w:rFonts w:ascii="宋体" w:hAnsi="宋体" w:cs="宋体" w:eastAsia="宋体" w:hint="default"/>
        </w:rPr>
        <w:t>2</w:t>
      </w:r>
      <w:r>
        <w:rPr/>
        <w:t>）后续计量 在取得无形资产时分析判断其使用寿命。</w:t>
      </w:r>
    </w:p>
    <w:p>
      <w:pPr>
        <w:pStyle w:val="BodyText"/>
        <w:spacing w:line="477" w:lineRule="auto" w:before="54"/>
        <w:ind w:right="0" w:firstLine="360"/>
        <w:jc w:val="left"/>
      </w:pPr>
      <w:r>
        <w:rPr>
          <w:spacing w:val="-2"/>
        </w:rPr>
        <w:t>对于使用寿命有限的无形资产，在为企业带来经济利益的期限内按直线法摊销；无法预见无形资产为企业带来经济利益</w:t>
      </w:r>
      <w:r>
        <w:rPr/>
        <w:t> 期限的，视为使用寿命不确定的无形资产，不予摊销。</w:t>
      </w: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21"/>
          <w:szCs w:val="21"/>
        </w:rPr>
      </w:pPr>
    </w:p>
    <w:p>
      <w:pPr>
        <w:pStyle w:val="BodyText"/>
        <w:spacing w:line="477" w:lineRule="auto"/>
        <w:ind w:left="513" w:right="0"/>
        <w:jc w:val="left"/>
      </w:pPr>
      <w:r>
        <w:rPr/>
        <w:t>（二）使用寿命有限的无形资产的使用寿命估计情况 </w:t>
      </w:r>
      <w:r>
        <w:rPr>
          <w:spacing w:val="-2"/>
        </w:rPr>
        <w:t>使用寿命有限的无形资产，以其成本扣除预计残值后的金额，在预计的使用年限内采用直线法进行摊销，其摊销期限如</w:t>
      </w:r>
    </w:p>
    <w:p>
      <w:pPr>
        <w:pStyle w:val="BodyText"/>
        <w:spacing w:line="240" w:lineRule="auto" w:before="54"/>
        <w:ind w:right="0"/>
        <w:jc w:val="left"/>
      </w:pPr>
      <w:r>
        <w:rPr/>
        <w:t>下：</w:t>
      </w:r>
    </w:p>
    <w:p>
      <w:pPr>
        <w:spacing w:line="240" w:lineRule="auto" w:before="10"/>
        <w:rPr>
          <w:rFonts w:ascii="宋体" w:hAnsi="宋体" w:cs="宋体" w:eastAsia="宋体" w:hint="default"/>
          <w:sz w:val="17"/>
          <w:szCs w:val="17"/>
        </w:rPr>
      </w:pPr>
    </w:p>
    <w:p>
      <w:pPr>
        <w:pStyle w:val="BodyText"/>
        <w:spacing w:line="240" w:lineRule="auto"/>
        <w:ind w:left="513" w:right="0"/>
        <w:jc w:val="left"/>
      </w:pPr>
      <w:r>
        <w:rPr/>
        <w:t>（</w:t>
      </w:r>
      <w:r>
        <w:rPr>
          <w:rFonts w:ascii="宋体" w:hAnsi="宋体" w:cs="宋体" w:eastAsia="宋体" w:hint="default"/>
        </w:rPr>
        <w:t>1</w:t>
      </w:r>
      <w:r>
        <w:rPr/>
        <w:t>）土地使用权按取得时尚可使用年限摊销；</w:t>
      </w:r>
    </w:p>
    <w:p>
      <w:pPr>
        <w:spacing w:line="240" w:lineRule="auto" w:before="10"/>
        <w:rPr>
          <w:rFonts w:ascii="宋体" w:hAnsi="宋体" w:cs="宋体" w:eastAsia="宋体" w:hint="default"/>
          <w:sz w:val="17"/>
          <w:szCs w:val="17"/>
        </w:rPr>
      </w:pPr>
    </w:p>
    <w:p>
      <w:pPr>
        <w:pStyle w:val="BodyText"/>
        <w:spacing w:line="477" w:lineRule="auto"/>
        <w:ind w:left="513" w:right="5453"/>
        <w:jc w:val="left"/>
      </w:pPr>
      <w:r>
        <w:rPr/>
        <w:t>（</w:t>
      </w:r>
      <w:r>
        <w:rPr>
          <w:rFonts w:ascii="宋体" w:hAnsi="宋体" w:cs="宋体" w:eastAsia="宋体" w:hint="default"/>
        </w:rPr>
        <w:t>2</w:t>
      </w:r>
      <w:r>
        <w:rPr/>
        <w:t>）其他无形资产按预计使用年限摊销。 对于无形资产的使用寿命按照下述程序进行判断：</w:t>
      </w:r>
    </w:p>
    <w:p>
      <w:pPr>
        <w:pStyle w:val="BodyText"/>
        <w:spacing w:line="240" w:lineRule="auto" w:before="54"/>
        <w:ind w:left="513" w:right="0"/>
        <w:jc w:val="left"/>
      </w:pPr>
      <w:r>
        <w:rPr/>
        <w:t>（</w:t>
      </w:r>
      <w:r>
        <w:rPr>
          <w:rFonts w:ascii="宋体" w:hAnsi="宋体" w:cs="宋体" w:eastAsia="宋体" w:hint="default"/>
        </w:rPr>
        <w:t>1</w:t>
      </w:r>
      <w:r>
        <w:rPr/>
        <w:t>）来源于合同性权利或其他法定权利的无形资产，其使用寿命不应超过合同性权利或其他法定权利的期限；</w:t>
      </w:r>
    </w:p>
    <w:p>
      <w:pPr>
        <w:spacing w:line="240" w:lineRule="auto" w:before="10"/>
        <w:rPr>
          <w:rFonts w:ascii="宋体" w:hAnsi="宋体" w:cs="宋体" w:eastAsia="宋体" w:hint="default"/>
          <w:sz w:val="17"/>
          <w:szCs w:val="17"/>
        </w:rPr>
      </w:pPr>
    </w:p>
    <w:p>
      <w:pPr>
        <w:pStyle w:val="BodyText"/>
        <w:spacing w:line="240" w:lineRule="auto"/>
        <w:ind w:left="513" w:right="0"/>
        <w:jc w:val="left"/>
      </w:pPr>
      <w:r>
        <w:rPr/>
        <w:t>（</w:t>
      </w:r>
      <w:r>
        <w:rPr>
          <w:rFonts w:ascii="宋体" w:hAnsi="宋体" w:cs="宋体" w:eastAsia="宋体" w:hint="default"/>
        </w:rPr>
        <w:t>2</w:t>
      </w:r>
      <w:r>
        <w:rPr/>
        <w:t>）合同性权利或其他法定权利在到期时因续约等延续、且有证据表明企业续约不需要付出大额成本的，续约期应当</w:t>
      </w:r>
    </w:p>
    <w:p>
      <w:pPr>
        <w:spacing w:after="0" w:line="240" w:lineRule="auto"/>
        <w:jc w:val="left"/>
        <w:sectPr>
          <w:pgSz w:w="11910" w:h="16840"/>
          <w:pgMar w:header="877" w:footer="979" w:top="1100" w:bottom="1160" w:left="980" w:right="980"/>
        </w:sectPr>
      </w:pPr>
    </w:p>
    <w:p>
      <w:pPr>
        <w:spacing w:line="240" w:lineRule="auto" w:before="12"/>
        <w:rPr>
          <w:rFonts w:ascii="宋体" w:hAnsi="宋体" w:cs="宋体" w:eastAsia="宋体" w:hint="default"/>
          <w:sz w:val="27"/>
          <w:szCs w:val="27"/>
        </w:rPr>
      </w:pPr>
    </w:p>
    <w:p>
      <w:pPr>
        <w:pStyle w:val="BodyText"/>
        <w:spacing w:line="477" w:lineRule="auto" w:before="44"/>
        <w:ind w:right="94"/>
        <w:jc w:val="left"/>
      </w:pPr>
      <w:r>
        <w:rPr>
          <w:spacing w:val="-2"/>
        </w:rPr>
        <w:t>计入使用寿命。合同或法律没有规定使用寿命的，本公司综合各方面因素判断，以确定无形资产能为企业带来经济利益的期</w:t>
      </w:r>
      <w:r>
        <w:rPr>
          <w:spacing w:val="-63"/>
        </w:rPr>
        <w:t> </w:t>
      </w:r>
      <w:r>
        <w:rPr>
          <w:spacing w:val="-63"/>
        </w:rPr>
      </w:r>
      <w:r>
        <w:rPr/>
        <w:t>限。</w:t>
      </w:r>
    </w:p>
    <w:p>
      <w:pPr>
        <w:pStyle w:val="BodyText"/>
        <w:spacing w:line="477" w:lineRule="auto" w:before="54"/>
        <w:ind w:left="513" w:right="3513"/>
        <w:jc w:val="left"/>
      </w:pPr>
      <w:r>
        <w:rPr/>
        <w:t>每年度终了，对使用寿命有限的无形资产的使用寿命及摊销方法进行复核。 经复核，本年年末无形资产的使用寿命及摊销方法与以前估计未有不同。</w:t>
      </w: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21"/>
          <w:szCs w:val="21"/>
        </w:rPr>
      </w:pPr>
    </w:p>
    <w:p>
      <w:pPr>
        <w:pStyle w:val="BodyText"/>
        <w:spacing w:line="477" w:lineRule="auto"/>
        <w:ind w:left="513" w:right="4593"/>
        <w:jc w:val="left"/>
      </w:pPr>
      <w:r>
        <w:rPr/>
        <w:t>（三）使用寿命不确定的无形资产的判断依据 每年末，对使用寿命不确定的无形资产的使用寿命进行复核。 经复核，该类无形资产的使用寿命仍为不确定。</w:t>
      </w: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21"/>
          <w:szCs w:val="21"/>
        </w:rPr>
      </w:pPr>
    </w:p>
    <w:p>
      <w:pPr>
        <w:pStyle w:val="BodyText"/>
        <w:spacing w:line="477" w:lineRule="auto"/>
        <w:ind w:left="513" w:right="3513"/>
        <w:jc w:val="left"/>
      </w:pPr>
      <w:r>
        <w:rPr/>
        <w:t>（四）无形资产减值准备的计提 对于使用寿命确定的无形资产，如有明显减值迹象的，年末进行减值测试。 对于使用寿命不确定的无形资产，每年末进行减值测试。</w:t>
      </w:r>
    </w:p>
    <w:p>
      <w:pPr>
        <w:pStyle w:val="BodyText"/>
        <w:spacing w:line="477" w:lineRule="auto" w:before="54"/>
        <w:ind w:right="190" w:firstLine="360"/>
        <w:jc w:val="both"/>
      </w:pPr>
      <w:r>
        <w:rPr>
          <w:spacing w:val="-2"/>
        </w:rPr>
        <w:t>对无形资产进行减值测试，估计其可收回金额。有迹象表明一项无形资产可能发生减值的，公司以单项无形资产为基础</w:t>
      </w:r>
      <w:r>
        <w:rPr/>
        <w:t> </w:t>
      </w:r>
      <w:r>
        <w:rPr>
          <w:spacing w:val="-2"/>
        </w:rPr>
        <w:t>估计其可收回金额。公司难以对单项资产的可收回金额进行估计的，以该无形资产所属的资产组为基础确定无形资产组的可</w:t>
      </w:r>
      <w:r>
        <w:rPr>
          <w:spacing w:val="-64"/>
        </w:rPr>
        <w:t> </w:t>
      </w:r>
      <w:r>
        <w:rPr>
          <w:spacing w:val="-64"/>
        </w:rPr>
      </w:r>
      <w:r>
        <w:rPr/>
        <w:t>收回金额。</w:t>
      </w:r>
    </w:p>
    <w:p>
      <w:pPr>
        <w:pStyle w:val="BodyText"/>
        <w:spacing w:line="477" w:lineRule="auto" w:before="54"/>
        <w:ind w:left="513" w:right="93"/>
        <w:jc w:val="left"/>
      </w:pPr>
      <w:r>
        <w:rPr/>
        <w:t>可收回金额根据无形资产的公允价值减去处置费用后的净额与无形资产预计未来现金流量的现值两者之间较高者确定。 </w:t>
      </w:r>
      <w:r>
        <w:rPr>
          <w:spacing w:val="-2"/>
        </w:rPr>
        <w:t>当无形资产的可收回金额低于其账面价值的，将无形资产的账面价值减记至可收回金额，减记的金额确认为无形资产减</w:t>
      </w:r>
    </w:p>
    <w:p>
      <w:pPr>
        <w:pStyle w:val="BodyText"/>
        <w:spacing w:line="477" w:lineRule="auto" w:before="54"/>
        <w:ind w:left="513" w:right="94" w:hanging="361"/>
        <w:jc w:val="left"/>
      </w:pPr>
      <w:r>
        <w:rPr/>
        <w:t>值损失，计入当期损益，同时计提相应的无形资产减值准备。 </w:t>
      </w:r>
      <w:r>
        <w:rPr>
          <w:spacing w:val="-2"/>
        </w:rPr>
        <w:t>无形资产减值损失确认后，减值无形资产的折耗或者摊销费用在未来期间作相应调整，以使该无形资产在剩余使用寿命</w:t>
      </w:r>
    </w:p>
    <w:p>
      <w:pPr>
        <w:pStyle w:val="BodyText"/>
        <w:spacing w:line="477" w:lineRule="auto" w:before="54"/>
        <w:ind w:left="513" w:right="4594" w:hanging="361"/>
        <w:jc w:val="left"/>
      </w:pPr>
      <w:r>
        <w:rPr/>
        <w:t>内，系统地分摊调整后的无形资产账面价值（扣除预计净残值）。 无形资产的减值损失一经确认，在以后会计期间不再转回。</w:t>
      </w:r>
    </w:p>
    <w:p>
      <w:pPr>
        <w:spacing w:line="240" w:lineRule="auto" w:before="11"/>
        <w:rPr>
          <w:rFonts w:ascii="宋体" w:hAnsi="宋体" w:cs="宋体" w:eastAsia="宋体" w:hint="default"/>
          <w:sz w:val="16"/>
          <w:szCs w:val="16"/>
        </w:rPr>
      </w:pPr>
    </w:p>
    <w:p>
      <w:pPr>
        <w:pStyle w:val="Heading5"/>
        <w:spacing w:line="240" w:lineRule="auto"/>
        <w:ind w:right="94"/>
        <w:jc w:val="left"/>
        <w:rPr>
          <w:b w:val="0"/>
          <w:bCs w:val="0"/>
        </w:rPr>
      </w:pPr>
      <w:r>
        <w:rPr/>
        <w:t>（</w:t>
      </w:r>
      <w:r>
        <w:rPr>
          <w:rFonts w:ascii="Times New Roman" w:hAnsi="Times New Roman" w:cs="Times New Roman" w:eastAsia="Times New Roman" w:hint="default"/>
        </w:rPr>
        <w:t>2</w:t>
      </w:r>
      <w:r>
        <w:rPr/>
        <w:t>）内部研究开发支出会计政策</w:t>
      </w:r>
      <w:r>
        <w:rPr>
          <w:b w:val="0"/>
          <w:bCs w:val="0"/>
        </w:rPr>
      </w:r>
    </w:p>
    <w:p>
      <w:pPr>
        <w:spacing w:line="240" w:lineRule="auto" w:before="15"/>
        <w:rPr>
          <w:rFonts w:ascii="Microsoft JhengHei" w:hAnsi="Microsoft JhengHei" w:cs="Microsoft JhengHei" w:eastAsia="Microsoft JhengHei" w:hint="default"/>
          <w:b/>
          <w:bCs/>
          <w:sz w:val="24"/>
          <w:szCs w:val="24"/>
        </w:rPr>
      </w:pPr>
    </w:p>
    <w:p>
      <w:pPr>
        <w:pStyle w:val="BodyText"/>
        <w:spacing w:line="477" w:lineRule="auto"/>
        <w:ind w:left="513" w:right="94"/>
        <w:jc w:val="left"/>
      </w:pPr>
      <w:r>
        <w:rPr/>
        <w:t>（一）划分公司内部研究开发项目的研究阶段和开发阶段具体标准 公司内部研究开发项目的支出分为研究阶段支出和开发阶段支出。 研究阶段：为获取并理解新的科学或技术知识等而进行的独创性的有计划调查、研究活动的阶段。 </w:t>
      </w:r>
      <w:r>
        <w:rPr>
          <w:spacing w:val="-2"/>
        </w:rPr>
        <w:t>开发阶段：在进行商业性生产或使用前，将研究成果或其他知识应用于某项计划或设计，以生产出新的或具有实质性改</w:t>
      </w:r>
    </w:p>
    <w:p>
      <w:pPr>
        <w:pStyle w:val="BodyText"/>
        <w:spacing w:line="240" w:lineRule="auto" w:before="54"/>
        <w:ind w:right="94"/>
        <w:jc w:val="left"/>
      </w:pPr>
      <w:r>
        <w:rPr/>
        <w:t>进的材料、装置、产品等活动的阶段。</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7"/>
          <w:szCs w:val="17"/>
        </w:rPr>
      </w:pPr>
    </w:p>
    <w:p>
      <w:pPr>
        <w:pStyle w:val="BodyText"/>
        <w:spacing w:line="240" w:lineRule="auto"/>
        <w:ind w:left="513" w:right="94"/>
        <w:jc w:val="left"/>
      </w:pPr>
      <w:r>
        <w:rPr/>
        <w:t>（二）开发阶段支出符合资本化的具体标准</w:t>
      </w:r>
    </w:p>
    <w:p>
      <w:pPr>
        <w:spacing w:after="0" w:line="240" w:lineRule="auto"/>
        <w:jc w:val="left"/>
        <w:sectPr>
          <w:pgSz w:w="11910" w:h="16840"/>
          <w:pgMar w:header="877" w:footer="979" w:top="1100" w:bottom="1160" w:left="980" w:right="940"/>
        </w:sectPr>
      </w:pPr>
    </w:p>
    <w:p>
      <w:pPr>
        <w:spacing w:line="240" w:lineRule="auto" w:before="12"/>
        <w:rPr>
          <w:rFonts w:ascii="宋体" w:hAnsi="宋体" w:cs="宋体" w:eastAsia="宋体" w:hint="default"/>
          <w:sz w:val="27"/>
          <w:szCs w:val="27"/>
        </w:rPr>
      </w:pPr>
    </w:p>
    <w:p>
      <w:pPr>
        <w:pStyle w:val="BodyText"/>
        <w:spacing w:line="240" w:lineRule="auto" w:before="44"/>
        <w:ind w:left="513" w:right="94"/>
        <w:jc w:val="left"/>
      </w:pPr>
      <w:r>
        <w:rPr/>
        <w:t>内部研究开发项目开发阶段的支出，同时满足下列条件时确认为无形资产：</w:t>
      </w:r>
    </w:p>
    <w:p>
      <w:pPr>
        <w:spacing w:line="240" w:lineRule="auto" w:before="10"/>
        <w:rPr>
          <w:rFonts w:ascii="宋体" w:hAnsi="宋体" w:cs="宋体" w:eastAsia="宋体" w:hint="default"/>
          <w:sz w:val="17"/>
          <w:szCs w:val="17"/>
        </w:rPr>
      </w:pPr>
    </w:p>
    <w:p>
      <w:pPr>
        <w:pStyle w:val="BodyText"/>
        <w:spacing w:line="240" w:lineRule="auto"/>
        <w:ind w:left="513" w:right="94"/>
        <w:jc w:val="left"/>
      </w:pPr>
      <w:r>
        <w:rPr/>
        <w:t>（</w:t>
      </w:r>
      <w:r>
        <w:rPr>
          <w:rFonts w:ascii="宋体" w:hAnsi="宋体" w:cs="宋体" w:eastAsia="宋体" w:hint="default"/>
        </w:rPr>
        <w:t>1</w:t>
      </w:r>
      <w:r>
        <w:rPr/>
        <w:t>）完成该无形资产以使其能够使用或出售在技术上具有可行性；</w:t>
      </w:r>
    </w:p>
    <w:p>
      <w:pPr>
        <w:spacing w:line="240" w:lineRule="auto" w:before="10"/>
        <w:rPr>
          <w:rFonts w:ascii="宋体" w:hAnsi="宋体" w:cs="宋体" w:eastAsia="宋体" w:hint="default"/>
          <w:sz w:val="17"/>
          <w:szCs w:val="17"/>
        </w:rPr>
      </w:pPr>
    </w:p>
    <w:p>
      <w:pPr>
        <w:pStyle w:val="BodyText"/>
        <w:spacing w:line="240" w:lineRule="auto"/>
        <w:ind w:left="513" w:right="94"/>
        <w:jc w:val="left"/>
      </w:pPr>
      <w:r>
        <w:rPr/>
        <w:t>（</w:t>
      </w:r>
      <w:r>
        <w:rPr>
          <w:rFonts w:ascii="宋体" w:hAnsi="宋体" w:cs="宋体" w:eastAsia="宋体" w:hint="default"/>
        </w:rPr>
        <w:t>2</w:t>
      </w:r>
      <w:r>
        <w:rPr/>
        <w:t>）具有完成该无形资产并使用或出售的意图；</w:t>
      </w:r>
    </w:p>
    <w:p>
      <w:pPr>
        <w:spacing w:line="240" w:lineRule="auto" w:before="10"/>
        <w:rPr>
          <w:rFonts w:ascii="宋体" w:hAnsi="宋体" w:cs="宋体" w:eastAsia="宋体" w:hint="default"/>
          <w:sz w:val="17"/>
          <w:szCs w:val="17"/>
        </w:rPr>
      </w:pPr>
    </w:p>
    <w:p>
      <w:pPr>
        <w:pStyle w:val="BodyText"/>
        <w:spacing w:line="477" w:lineRule="auto"/>
        <w:ind w:right="184" w:firstLine="360"/>
        <w:jc w:val="left"/>
      </w:pPr>
      <w:r>
        <w:rPr/>
        <w:t>（</w:t>
      </w:r>
      <w:r>
        <w:rPr>
          <w:rFonts w:ascii="宋体" w:hAnsi="宋体" w:cs="宋体" w:eastAsia="宋体" w:hint="default"/>
        </w:rPr>
        <w:t>3</w:t>
      </w:r>
      <w:r>
        <w:rPr/>
        <w:t>）无形资产产生经济利益的方式，包括能够证明运用该无形资产生产的产品存在市场或无形资产自身存在市场，无 形资产将在内部使用的，能够证明其有用性；</w:t>
      </w:r>
    </w:p>
    <w:p>
      <w:pPr>
        <w:pStyle w:val="BodyText"/>
        <w:spacing w:line="240" w:lineRule="auto" w:before="54"/>
        <w:ind w:left="513" w:right="94"/>
        <w:jc w:val="left"/>
      </w:pPr>
      <w:r>
        <w:rPr/>
        <w:t>（</w:t>
      </w:r>
      <w:r>
        <w:rPr>
          <w:rFonts w:ascii="宋体" w:hAnsi="宋体" w:cs="宋体" w:eastAsia="宋体" w:hint="default"/>
        </w:rPr>
        <w:t>4</w:t>
      </w:r>
      <w:r>
        <w:rPr/>
        <w:t>）有足够的技术、财务资源和其他资源支持，以完成该无形资产的开发，并有能力使用或出售该无形资产；</w:t>
      </w:r>
    </w:p>
    <w:p>
      <w:pPr>
        <w:spacing w:line="240" w:lineRule="auto" w:before="10"/>
        <w:rPr>
          <w:rFonts w:ascii="宋体" w:hAnsi="宋体" w:cs="宋体" w:eastAsia="宋体" w:hint="default"/>
          <w:sz w:val="17"/>
          <w:szCs w:val="17"/>
        </w:rPr>
      </w:pPr>
    </w:p>
    <w:p>
      <w:pPr>
        <w:pStyle w:val="BodyText"/>
        <w:spacing w:line="477" w:lineRule="auto"/>
        <w:ind w:left="513" w:right="813"/>
        <w:jc w:val="left"/>
      </w:pPr>
      <w:r>
        <w:rPr/>
        <w:t>（</w:t>
      </w:r>
      <w:r>
        <w:rPr>
          <w:rFonts w:ascii="宋体" w:hAnsi="宋体" w:cs="宋体" w:eastAsia="宋体" w:hint="default"/>
        </w:rPr>
        <w:t>5</w:t>
      </w:r>
      <w:r>
        <w:rPr/>
        <w:t>）归属于该无形资产开发阶段的支出能够可靠地计量。 开发阶段的支出，若不满足上列条件的，于发生时计入当期损益。研究阶段的支出，在发生时计入当期损益。</w:t>
      </w:r>
    </w:p>
    <w:p>
      <w:pPr>
        <w:spacing w:line="240" w:lineRule="auto" w:before="11"/>
        <w:rPr>
          <w:rFonts w:ascii="宋体" w:hAnsi="宋体" w:cs="宋体" w:eastAsia="宋体" w:hint="default"/>
          <w:sz w:val="16"/>
          <w:szCs w:val="16"/>
        </w:rPr>
      </w:pPr>
    </w:p>
    <w:p>
      <w:pPr>
        <w:pStyle w:val="BodyText"/>
        <w:spacing w:line="573" w:lineRule="auto"/>
        <w:ind w:left="513" w:right="94" w:hanging="361"/>
        <w:jc w:val="left"/>
      </w:pPr>
      <w:r>
        <w:rPr>
          <w:rFonts w:ascii="Times New Roman" w:hAnsi="Times New Roman" w:cs="Times New Roman" w:eastAsia="Times New Roman" w:hint="default"/>
          <w:b/>
          <w:bCs/>
        </w:rPr>
        <w:t>20</w:t>
      </w:r>
      <w:r>
        <w:rPr>
          <w:rFonts w:ascii="Microsoft JhengHei" w:hAnsi="Microsoft JhengHei" w:cs="Microsoft JhengHei" w:eastAsia="Microsoft JhengHei" w:hint="default"/>
          <w:b/>
          <w:bCs/>
        </w:rPr>
        <w:t>、长期资产减值</w:t>
      </w:r>
      <w:r>
        <w:rPr>
          <w:rFonts w:ascii="Microsoft JhengHei" w:hAnsi="Microsoft JhengHei" w:cs="Microsoft JhengHei" w:eastAsia="Microsoft JhengHei" w:hint="default"/>
          <w:b/>
          <w:bCs/>
          <w:spacing w:val="-41"/>
        </w:rPr>
        <w:t> </w:t>
      </w:r>
      <w:r>
        <w:rPr>
          <w:rFonts w:ascii="Microsoft JhengHei" w:hAnsi="Microsoft JhengHei" w:cs="Microsoft JhengHei" w:eastAsia="Microsoft JhengHei" w:hint="default"/>
          <w:b/>
          <w:bCs/>
          <w:spacing w:val="-41"/>
        </w:rPr>
      </w:r>
      <w:r>
        <w:rPr>
          <w:spacing w:val="-2"/>
        </w:rPr>
        <w:t>长期股权投资、采用成本模式计量的投资性房地产、固定资产、在建工程、使用寿命有限的无形资产等长期资产，于资</w:t>
      </w:r>
    </w:p>
    <w:p>
      <w:pPr>
        <w:pStyle w:val="BodyText"/>
        <w:spacing w:line="218" w:lineRule="exact"/>
        <w:ind w:right="0"/>
        <w:jc w:val="left"/>
      </w:pPr>
      <w:r>
        <w:rPr/>
        <w:t>产负债表日存在减值迹象的，进行减值测试。减值测试结果表明资产的可收回金额低于其账面价值的，按其差额计提减值准</w:t>
      </w:r>
    </w:p>
    <w:p>
      <w:pPr>
        <w:spacing w:line="240" w:lineRule="auto" w:before="10"/>
        <w:rPr>
          <w:rFonts w:ascii="宋体" w:hAnsi="宋体" w:cs="宋体" w:eastAsia="宋体" w:hint="default"/>
          <w:sz w:val="17"/>
          <w:szCs w:val="17"/>
        </w:rPr>
      </w:pPr>
    </w:p>
    <w:p>
      <w:pPr>
        <w:pStyle w:val="BodyText"/>
        <w:spacing w:line="477" w:lineRule="auto"/>
        <w:ind w:right="190"/>
        <w:jc w:val="both"/>
      </w:pPr>
      <w:r>
        <w:rPr/>
        <w:t>备并计入减值损失。可收回金额为资产的公允价值减去处置费用后的净额与资产预计未来现金流量的现值两者之间的较高</w:t>
      </w:r>
      <w:r>
        <w:rPr>
          <w:spacing w:val="-11"/>
        </w:rPr>
        <w:t> </w:t>
      </w:r>
      <w:r>
        <w:rPr>
          <w:spacing w:val="-11"/>
        </w:rPr>
      </w:r>
      <w:r>
        <w:rPr>
          <w:spacing w:val="-2"/>
        </w:rPr>
        <w:t>者。资产减值准备按单项资产为基础计算并确认，如果难以对单项资产的可收回金额进行估计的，以该资产所属的资产组确</w:t>
      </w:r>
      <w:r>
        <w:rPr>
          <w:spacing w:val="-63"/>
        </w:rPr>
        <w:t> </w:t>
      </w:r>
      <w:r>
        <w:rPr>
          <w:spacing w:val="-63"/>
        </w:rPr>
      </w:r>
      <w:r>
        <w:rPr/>
        <w:t>定资产组的可收回金额。资产组是能够独立产生现金流入的最小资产组合。</w:t>
      </w:r>
    </w:p>
    <w:p>
      <w:pPr>
        <w:pStyle w:val="BodyText"/>
        <w:spacing w:line="477" w:lineRule="auto" w:before="54"/>
        <w:ind w:left="513" w:right="93"/>
        <w:jc w:val="left"/>
      </w:pPr>
      <w:r>
        <w:rPr/>
        <w:t>商誉和使用寿命不确定的无形资产至少在每年年度终了进行减值测试。 本公司进行商誉减值测试，对于因企业合并形成的商誉的账面价值，自购买日起按照合理的方法分摊至相关的资产组；</w:t>
      </w:r>
    </w:p>
    <w:p>
      <w:pPr>
        <w:pStyle w:val="BodyText"/>
        <w:spacing w:line="477" w:lineRule="auto" w:before="52"/>
        <w:ind w:right="94"/>
        <w:jc w:val="left"/>
      </w:pPr>
      <w:r>
        <w:rPr/>
        <w:t>难以分摊至相关的资产组的，将其分摊至相关的资产组组合。在将商誉的账面价值分摊至相关的资产组或者资产组组合时， </w:t>
      </w:r>
      <w:r>
        <w:rPr>
          <w:spacing w:val="-2"/>
        </w:rPr>
        <w:t>按照各资产组或者资产组组合的公允价值占相关资产组或者资产组组合公允价值总额的比例进行分摊。公允价值难以可靠计</w:t>
      </w:r>
      <w:r>
        <w:rPr>
          <w:spacing w:val="-64"/>
        </w:rPr>
        <w:t> </w:t>
      </w:r>
      <w:r>
        <w:rPr>
          <w:spacing w:val="-64"/>
        </w:rPr>
      </w:r>
      <w:r>
        <w:rPr/>
        <w:t>量的，按照各资产组或者资产组组合的账面价值占相关资产组或者资产组组合账面价值总额的比例进行分摊。</w:t>
      </w:r>
    </w:p>
    <w:p>
      <w:pPr>
        <w:pStyle w:val="BodyText"/>
        <w:spacing w:line="470" w:lineRule="auto" w:before="55"/>
        <w:ind w:right="94" w:firstLine="360"/>
        <w:jc w:val="left"/>
        <w:rPr>
          <w:sz w:val="21"/>
          <w:szCs w:val="21"/>
        </w:rPr>
      </w:pPr>
      <w:r>
        <w:rPr/>
        <w:t>在对包含商誉的相关资产组或者资产组组合进行减值测试时，如与商誉相关的资产组或者资产组组合存在减值迹象的， </w:t>
      </w:r>
      <w:r>
        <w:rPr>
          <w:spacing w:val="-4"/>
        </w:rPr>
        <w:t>先对不包含商誉的资产组或者资产组组合进行减值测试，计算可收回金额，并与相关账面价值相比较，确认相应的减值损失。</w:t>
      </w:r>
      <w:r>
        <w:rPr>
          <w:spacing w:val="-44"/>
        </w:rPr>
        <w:t> </w:t>
      </w:r>
      <w:r>
        <w:rPr>
          <w:spacing w:val="-44"/>
        </w:rPr>
      </w:r>
      <w:r>
        <w:rPr>
          <w:spacing w:val="-2"/>
        </w:rPr>
        <w:t>再对包含商誉的资产组或者资产组组合进行减值测试，比较这些相关资产组或者资产组组合的账面价值（包括所分摊的商誉</w:t>
      </w:r>
      <w:r>
        <w:rPr>
          <w:spacing w:val="-64"/>
        </w:rPr>
        <w:t> </w:t>
      </w:r>
      <w:r>
        <w:rPr>
          <w:spacing w:val="-64"/>
        </w:rPr>
      </w:r>
      <w:r>
        <w:rPr/>
        <w:t>的账面价值部分）与其可收回金额，如相关资产组或者资产组组合的可收回金额低于其账面价值的，确认商誉的减值损失。 上述资产减值损失一经确认，</w:t>
      </w:r>
      <w:r>
        <w:rPr>
          <w:sz w:val="21"/>
          <w:szCs w:val="21"/>
        </w:rPr>
        <w:t>在以后会计期间不予转回。</w:t>
      </w:r>
    </w:p>
    <w:p>
      <w:pPr>
        <w:spacing w:line="240" w:lineRule="auto" w:before="10"/>
        <w:rPr>
          <w:rFonts w:ascii="宋体" w:hAnsi="宋体" w:cs="宋体" w:eastAsia="宋体" w:hint="default"/>
          <w:sz w:val="13"/>
          <w:szCs w:val="13"/>
        </w:rPr>
      </w:pPr>
    </w:p>
    <w:p>
      <w:pPr>
        <w:pStyle w:val="Heading5"/>
        <w:spacing w:line="240" w:lineRule="auto"/>
        <w:ind w:right="94"/>
        <w:jc w:val="left"/>
        <w:rPr>
          <w:b w:val="0"/>
          <w:bCs w:val="0"/>
        </w:rPr>
      </w:pPr>
      <w:r>
        <w:rPr>
          <w:rFonts w:ascii="Times New Roman" w:hAnsi="Times New Roman" w:cs="Times New Roman" w:eastAsia="Times New Roman" w:hint="default"/>
        </w:rPr>
        <w:t>21</w:t>
      </w:r>
      <w:r>
        <w:rPr/>
        <w:t>、 </w:t>
      </w:r>
      <w:r>
        <w:rPr>
          <w:spacing w:val="5"/>
        </w:rPr>
        <w:t> </w:t>
      </w:r>
      <w:r>
        <w:rPr/>
        <w:t>商誉</w:t>
      </w:r>
      <w:r>
        <w:rPr>
          <w:b w:val="0"/>
          <w:bCs w:val="0"/>
        </w:rPr>
      </w:r>
    </w:p>
    <w:p>
      <w:pPr>
        <w:spacing w:line="240" w:lineRule="auto" w:before="0"/>
        <w:rPr>
          <w:rFonts w:ascii="Microsoft JhengHei" w:hAnsi="Microsoft JhengHei" w:cs="Microsoft JhengHei" w:eastAsia="Microsoft JhengHei" w:hint="default"/>
          <w:b/>
          <w:bCs/>
          <w:sz w:val="25"/>
          <w:szCs w:val="25"/>
        </w:rPr>
      </w:pPr>
    </w:p>
    <w:p>
      <w:pPr>
        <w:pStyle w:val="BodyText"/>
        <w:spacing w:line="477" w:lineRule="auto"/>
        <w:ind w:right="94" w:firstLine="360"/>
        <w:jc w:val="left"/>
      </w:pPr>
      <w:r>
        <w:rPr>
          <w:spacing w:val="-2"/>
        </w:rPr>
        <w:t>因非同一控制下企业合并形成的商誉，其初始成本是合并成本大于合并中取得的被购买方可辨认净资产公允价值份额的</w:t>
      </w:r>
      <w:r>
        <w:rPr/>
        <w:t> 差额。</w:t>
      </w:r>
    </w:p>
    <w:p>
      <w:pPr>
        <w:pStyle w:val="BodyText"/>
        <w:spacing w:line="240" w:lineRule="auto" w:before="54"/>
        <w:ind w:left="513" w:right="94"/>
        <w:jc w:val="left"/>
      </w:pPr>
      <w:r>
        <w:rPr/>
        <w:t>商誉在其相关资产组或资产组组合处置时予以转出，计入当期损益。</w:t>
      </w:r>
    </w:p>
    <w:p>
      <w:pPr>
        <w:spacing w:after="0" w:line="240" w:lineRule="auto"/>
        <w:jc w:val="left"/>
        <w:sectPr>
          <w:footerReference w:type="default" r:id="rId22"/>
          <w:pgSz w:w="11910" w:h="16840"/>
          <w:pgMar w:footer="979" w:header="877" w:top="1100" w:bottom="1160" w:left="980" w:right="940"/>
        </w:sectPr>
      </w:pPr>
    </w:p>
    <w:p>
      <w:pPr>
        <w:spacing w:line="240" w:lineRule="auto" w:before="12"/>
        <w:rPr>
          <w:rFonts w:ascii="宋体" w:hAnsi="宋体" w:cs="宋体" w:eastAsia="宋体" w:hint="default"/>
          <w:sz w:val="27"/>
          <w:szCs w:val="27"/>
        </w:rPr>
      </w:pPr>
    </w:p>
    <w:p>
      <w:pPr>
        <w:pStyle w:val="BodyText"/>
        <w:spacing w:line="477" w:lineRule="auto" w:before="44"/>
        <w:ind w:left="513" w:right="93"/>
        <w:jc w:val="left"/>
      </w:pPr>
      <w:r>
        <w:rPr/>
        <w:t>本公司对商誉不摊销，商誉至少在每年年度终了进行减值测试。 本公司进行商誉减值测试，对于因企业合并形成的商誉的账面价值，自购买日起按照合理的方法分摊至相关的资产组；</w:t>
      </w:r>
    </w:p>
    <w:p>
      <w:pPr>
        <w:pStyle w:val="BodyText"/>
        <w:spacing w:line="477" w:lineRule="auto" w:before="54"/>
        <w:ind w:right="94"/>
        <w:jc w:val="left"/>
      </w:pPr>
      <w:r>
        <w:rPr/>
        <w:t>难以分摊至相关的资产组的，将其分摊至相关的资产组组合。在将商誉的账面价值分摊至相关的资产组或者资产组组合时， </w:t>
      </w:r>
      <w:r>
        <w:rPr>
          <w:spacing w:val="-2"/>
        </w:rPr>
        <w:t>按照各资产组或者资产组组合的公允价值占相关资产组或者资产组组合公允价值总额的比例进行分摊。公允价值难以可靠计</w:t>
      </w:r>
      <w:r>
        <w:rPr>
          <w:spacing w:val="-63"/>
        </w:rPr>
        <w:t> </w:t>
      </w:r>
      <w:r>
        <w:rPr>
          <w:spacing w:val="-63"/>
        </w:rPr>
      </w:r>
      <w:r>
        <w:rPr/>
        <w:t>量的，按照各资产组或者资产组组合的账面价值占相关资产组或者资产组组合账面价值总额的比例进行分摊。</w:t>
      </w:r>
    </w:p>
    <w:p>
      <w:pPr>
        <w:pStyle w:val="BodyText"/>
        <w:spacing w:line="477" w:lineRule="auto" w:before="54"/>
        <w:ind w:right="94" w:firstLine="360"/>
        <w:jc w:val="left"/>
      </w:pPr>
      <w:r>
        <w:rPr/>
        <w:t>在对包含商誉的相关资产组或者资产组组合进行减值测试时，如与商誉相关的资产组或者资产组组合存在减值迹象的， </w:t>
      </w:r>
      <w:r>
        <w:rPr>
          <w:spacing w:val="-4"/>
        </w:rPr>
        <w:t>先对不包含商誉的资产组或者资产组组合进行减值测试，计算可收回金额，并与相关账面价值相比较，确认相应的减值损失。</w:t>
      </w:r>
      <w:r>
        <w:rPr>
          <w:spacing w:val="-44"/>
        </w:rPr>
        <w:t> </w:t>
      </w:r>
      <w:r>
        <w:rPr>
          <w:spacing w:val="-44"/>
        </w:rPr>
      </w:r>
      <w:r>
        <w:rPr>
          <w:spacing w:val="-2"/>
        </w:rPr>
        <w:t>再对包含商誉的资产组或者资产组组合进行减值测试，比较这些相关资产组或者资产组组合的账面价值（包括所分摊的商誉</w:t>
      </w:r>
      <w:r>
        <w:rPr>
          <w:spacing w:val="-64"/>
        </w:rPr>
        <w:t> </w:t>
      </w:r>
      <w:r>
        <w:rPr>
          <w:spacing w:val="-64"/>
        </w:rPr>
      </w:r>
      <w:r>
        <w:rPr/>
        <w:t>的账面价值部分）与其可收回金额，如相关资产组或者资产组组合的可收回金额低于其账面价值的，确认商誉的减值损失。</w:t>
      </w:r>
    </w:p>
    <w:p>
      <w:pPr>
        <w:pStyle w:val="BodyText"/>
        <w:spacing w:line="240" w:lineRule="auto" w:before="54"/>
        <w:ind w:left="513" w:right="94"/>
        <w:jc w:val="left"/>
      </w:pPr>
      <w:r>
        <w:rPr/>
        <w:t>商誉减值损失在发生时计入当期损益，且在以后会计期间不予转回。</w:t>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2"/>
          <w:szCs w:val="12"/>
        </w:rPr>
      </w:pPr>
    </w:p>
    <w:p>
      <w:pPr>
        <w:pStyle w:val="Heading5"/>
        <w:spacing w:line="240" w:lineRule="auto"/>
        <w:ind w:right="94"/>
        <w:jc w:val="left"/>
        <w:rPr>
          <w:b w:val="0"/>
          <w:bCs w:val="0"/>
        </w:rPr>
      </w:pPr>
      <w:r>
        <w:rPr>
          <w:rFonts w:ascii="Times New Roman" w:hAnsi="Times New Roman" w:cs="Times New Roman" w:eastAsia="Times New Roman" w:hint="default"/>
        </w:rPr>
        <w:t>22</w:t>
      </w:r>
      <w:r>
        <w:rPr/>
        <w:t>、长期待摊费用</w:t>
      </w:r>
      <w:r>
        <w:rPr>
          <w:b w:val="0"/>
          <w:bCs w:val="0"/>
        </w:rPr>
      </w:r>
    </w:p>
    <w:p>
      <w:pPr>
        <w:spacing w:line="240" w:lineRule="auto" w:before="0"/>
        <w:rPr>
          <w:rFonts w:ascii="Microsoft JhengHei" w:hAnsi="Microsoft JhengHei" w:cs="Microsoft JhengHei" w:eastAsia="Microsoft JhengHei" w:hint="default"/>
          <w:b/>
          <w:bCs/>
          <w:sz w:val="25"/>
          <w:szCs w:val="25"/>
        </w:rPr>
      </w:pPr>
    </w:p>
    <w:p>
      <w:pPr>
        <w:pStyle w:val="BodyText"/>
        <w:spacing w:line="477" w:lineRule="auto"/>
        <w:ind w:left="513" w:right="2433"/>
        <w:jc w:val="left"/>
      </w:pPr>
      <w:r>
        <w:rPr/>
        <w:t>长期待摊费用为已经发生但应由本年和以后各期负担的分摊期限在一年以上的各项费用。 摊销方法</w:t>
      </w:r>
    </w:p>
    <w:p>
      <w:pPr>
        <w:pStyle w:val="BodyText"/>
        <w:spacing w:line="477" w:lineRule="auto" w:before="54"/>
        <w:ind w:left="513" w:right="94"/>
        <w:jc w:val="left"/>
      </w:pPr>
      <w:r>
        <w:rPr/>
        <w:t>开办费在开始生产经营的当月一次计入损益。 </w:t>
      </w:r>
      <w:r>
        <w:rPr>
          <w:spacing w:val="-2"/>
        </w:rPr>
        <w:t>其他长期待摊费用在受益期内分期平均摊销，如长期待摊费用项目不能使以后会计期间受益，则将尚未摊销的摊余价值</w:t>
      </w:r>
    </w:p>
    <w:p>
      <w:pPr>
        <w:pStyle w:val="BodyText"/>
        <w:spacing w:line="240" w:lineRule="auto" w:before="54"/>
        <w:ind w:right="94"/>
        <w:jc w:val="left"/>
      </w:pPr>
      <w:r>
        <w:rPr/>
        <w:t>全部转入当期损益。</w:t>
      </w:r>
    </w:p>
    <w:p>
      <w:pPr>
        <w:spacing w:line="240" w:lineRule="auto" w:before="0"/>
        <w:rPr>
          <w:rFonts w:ascii="宋体" w:hAnsi="宋体" w:cs="宋体" w:eastAsia="宋体" w:hint="default"/>
          <w:sz w:val="18"/>
          <w:szCs w:val="18"/>
        </w:rPr>
      </w:pPr>
    </w:p>
    <w:p>
      <w:pPr>
        <w:pStyle w:val="Heading5"/>
        <w:spacing w:line="240" w:lineRule="auto" w:before="160"/>
        <w:ind w:right="94"/>
        <w:jc w:val="left"/>
        <w:rPr>
          <w:b w:val="0"/>
          <w:bCs w:val="0"/>
        </w:rPr>
      </w:pPr>
      <w:r>
        <w:rPr>
          <w:rFonts w:ascii="Times New Roman" w:hAnsi="Times New Roman" w:cs="Times New Roman" w:eastAsia="Times New Roman" w:hint="default"/>
        </w:rPr>
        <w:t>23</w:t>
      </w:r>
      <w:r>
        <w:rPr/>
        <w:t>、职工薪酬</w:t>
      </w:r>
      <w:r>
        <w:rPr>
          <w:b w:val="0"/>
          <w:bCs w:val="0"/>
        </w:rPr>
      </w:r>
    </w:p>
    <w:p>
      <w:pPr>
        <w:spacing w:line="240" w:lineRule="auto" w:before="5"/>
        <w:rPr>
          <w:rFonts w:ascii="Microsoft JhengHei" w:hAnsi="Microsoft JhengHei" w:cs="Microsoft JhengHei" w:eastAsia="Microsoft JhengHei" w:hint="default"/>
          <w:b/>
          <w:bCs/>
          <w:sz w:val="17"/>
          <w:szCs w:val="17"/>
        </w:rPr>
      </w:pPr>
    </w:p>
    <w:p>
      <w:pPr>
        <w:pStyle w:val="Heading5"/>
        <w:spacing w:line="240" w:lineRule="auto"/>
        <w:ind w:right="94"/>
        <w:jc w:val="left"/>
        <w:rPr>
          <w:b w:val="0"/>
          <w:bCs w:val="0"/>
        </w:rPr>
      </w:pPr>
      <w:r>
        <w:rPr/>
        <w:t>（</w:t>
      </w:r>
      <w:r>
        <w:rPr>
          <w:rFonts w:ascii="Times New Roman" w:hAnsi="Times New Roman" w:cs="Times New Roman" w:eastAsia="Times New Roman" w:hint="default"/>
        </w:rPr>
        <w:t>1</w:t>
      </w:r>
      <w:r>
        <w:rPr/>
        <w:t>）短期薪酬的会计处理方法</w:t>
      </w:r>
      <w:r>
        <w:rPr>
          <w:b w:val="0"/>
          <w:bCs w:val="0"/>
        </w:rPr>
      </w:r>
    </w:p>
    <w:p>
      <w:pPr>
        <w:spacing w:line="240" w:lineRule="auto" w:before="1"/>
        <w:rPr>
          <w:rFonts w:ascii="Microsoft JhengHei" w:hAnsi="Microsoft JhengHei" w:cs="Microsoft JhengHei" w:eastAsia="Microsoft JhengHei" w:hint="default"/>
          <w:b/>
          <w:bCs/>
          <w:sz w:val="25"/>
          <w:szCs w:val="25"/>
        </w:rPr>
      </w:pPr>
    </w:p>
    <w:p>
      <w:pPr>
        <w:pStyle w:val="BodyText"/>
        <w:spacing w:line="477" w:lineRule="auto"/>
        <w:ind w:left="513" w:right="94"/>
        <w:jc w:val="left"/>
      </w:pPr>
      <w:r>
        <w:rPr/>
        <w:t>本公司在职工为本公司提供服务的会计期间，将实际发生的短期薪酬确认为负债，并计入当期损益或相关资产成本。 </w:t>
      </w:r>
      <w:r>
        <w:rPr>
          <w:spacing w:val="-2"/>
        </w:rPr>
        <w:t>本公司为职工缴纳的社会保险费和住房公积金，以及按规定提取的工会经费和职工教育经费，在职工为本公司提供服务</w:t>
      </w:r>
    </w:p>
    <w:p>
      <w:pPr>
        <w:pStyle w:val="BodyText"/>
        <w:spacing w:line="477" w:lineRule="auto" w:before="54"/>
        <w:ind w:left="513" w:right="3693" w:hanging="361"/>
        <w:jc w:val="left"/>
      </w:pPr>
      <w:r>
        <w:rPr/>
        <w:t>的会计期间，根据规定的计提基础和计提比例计算确定相应的职工薪酬金额。 职工福利费为非货币性福利的，如能够可靠计量的，按照公允价值计量。</w:t>
      </w:r>
    </w:p>
    <w:p>
      <w:pPr>
        <w:spacing w:line="240" w:lineRule="auto" w:before="11"/>
        <w:rPr>
          <w:rFonts w:ascii="宋体" w:hAnsi="宋体" w:cs="宋体" w:eastAsia="宋体" w:hint="default"/>
          <w:sz w:val="16"/>
          <w:szCs w:val="16"/>
        </w:rPr>
      </w:pPr>
    </w:p>
    <w:p>
      <w:pPr>
        <w:pStyle w:val="Heading5"/>
        <w:spacing w:line="240" w:lineRule="auto"/>
        <w:ind w:right="94"/>
        <w:jc w:val="left"/>
        <w:rPr>
          <w:b w:val="0"/>
          <w:bCs w:val="0"/>
        </w:rPr>
      </w:pPr>
      <w:r>
        <w:rPr/>
        <w:t>（</w:t>
      </w:r>
      <w:r>
        <w:rPr>
          <w:rFonts w:ascii="Times New Roman" w:hAnsi="Times New Roman" w:cs="Times New Roman" w:eastAsia="Times New Roman" w:hint="default"/>
        </w:rPr>
        <w:t>2</w:t>
      </w:r>
      <w:r>
        <w:rPr/>
        <w:t>）离职后福利的会计处理方法</w:t>
      </w:r>
      <w:r>
        <w:rPr>
          <w:b w:val="0"/>
          <w:bCs w:val="0"/>
        </w:rPr>
      </w:r>
    </w:p>
    <w:p>
      <w:pPr>
        <w:spacing w:line="240" w:lineRule="auto" w:before="15"/>
        <w:rPr>
          <w:rFonts w:ascii="Microsoft JhengHei" w:hAnsi="Microsoft JhengHei" w:cs="Microsoft JhengHei" w:eastAsia="Microsoft JhengHei" w:hint="default"/>
          <w:b/>
          <w:bCs/>
          <w:sz w:val="24"/>
          <w:szCs w:val="24"/>
        </w:rPr>
      </w:pPr>
    </w:p>
    <w:p>
      <w:pPr>
        <w:pStyle w:val="BodyText"/>
        <w:spacing w:line="477" w:lineRule="auto"/>
        <w:ind w:left="513" w:right="94"/>
        <w:jc w:val="left"/>
      </w:pPr>
      <w:r>
        <w:rPr/>
        <w:t>（一）设定提存计划 </w:t>
      </w:r>
      <w:r>
        <w:rPr>
          <w:spacing w:val="-2"/>
        </w:rPr>
        <w:t>本公司按当地政府的相关规定为职工缴纳基本养老保险和失业保险，在职工为本公司提供服务的会计期间，按以当地规</w:t>
      </w:r>
    </w:p>
    <w:p>
      <w:pPr>
        <w:pStyle w:val="BodyText"/>
        <w:spacing w:line="240" w:lineRule="auto" w:before="54"/>
        <w:ind w:right="94"/>
        <w:jc w:val="left"/>
      </w:pPr>
      <w:r>
        <w:rPr/>
        <w:t>定的缴纳基数和比例计算应缴纳金额，确认为负债，并计入当期损益或相关资产成本。</w:t>
      </w:r>
    </w:p>
    <w:p>
      <w:pPr>
        <w:spacing w:after="0" w:line="240" w:lineRule="auto"/>
        <w:jc w:val="left"/>
        <w:sectPr>
          <w:footerReference w:type="default" r:id="rId23"/>
          <w:pgSz w:w="11910" w:h="16840"/>
          <w:pgMar w:footer="979" w:header="877" w:top="1100" w:bottom="1160" w:left="980" w:right="940"/>
        </w:sectPr>
      </w:pPr>
    </w:p>
    <w:p>
      <w:pPr>
        <w:spacing w:line="240" w:lineRule="auto" w:before="12"/>
        <w:rPr>
          <w:rFonts w:ascii="宋体" w:hAnsi="宋体" w:cs="宋体" w:eastAsia="宋体" w:hint="default"/>
          <w:sz w:val="27"/>
          <w:szCs w:val="27"/>
        </w:rPr>
      </w:pPr>
    </w:p>
    <w:p>
      <w:pPr>
        <w:pStyle w:val="BodyText"/>
        <w:spacing w:line="477" w:lineRule="auto" w:before="44"/>
        <w:ind w:right="94" w:firstLine="360"/>
        <w:jc w:val="left"/>
      </w:pPr>
      <w:r>
        <w:rPr/>
        <w:t>除基本养老保险外，本公司还依据国家企业年金制度的相关政策建立了企业年金缴费制度（补充养老保险）</w:t>
      </w:r>
      <w:r>
        <w:rPr>
          <w:rFonts w:ascii="宋体" w:hAnsi="宋体" w:cs="宋体" w:eastAsia="宋体" w:hint="default"/>
        </w:rPr>
        <w:t>/</w:t>
      </w:r>
      <w:r>
        <w:rPr/>
        <w:t>企业年金 </w:t>
      </w:r>
      <w:r>
        <w:rPr>
          <w:spacing w:val="-2"/>
        </w:rPr>
        <w:t>计划。本公司按职工工资总额的一定比例向当地社会保险机构缴费</w:t>
      </w:r>
      <w:r>
        <w:rPr>
          <w:rFonts w:ascii="宋体" w:hAnsi="宋体" w:cs="宋体" w:eastAsia="宋体" w:hint="default"/>
          <w:spacing w:val="-2"/>
        </w:rPr>
        <w:t>/</w:t>
      </w:r>
      <w:r>
        <w:rPr>
          <w:spacing w:val="-2"/>
        </w:rPr>
        <w:t>年金计划缴费，相应支出计入当期损益或相关资产成本。</w:t>
      </w:r>
    </w:p>
    <w:p>
      <w:pPr>
        <w:pStyle w:val="BodyText"/>
        <w:spacing w:line="477" w:lineRule="auto" w:before="54"/>
        <w:ind w:left="513" w:right="94"/>
        <w:jc w:val="left"/>
      </w:pPr>
      <w:r>
        <w:rPr/>
        <w:t>（二）设定受益计划 </w:t>
      </w:r>
      <w:r>
        <w:rPr>
          <w:spacing w:val="-2"/>
        </w:rPr>
        <w:t>本公司根据预期累计福利单位法确定的公式将设定受益计划产生的福利义务归属于职工提供服务的期间，并计入当期损</w:t>
      </w:r>
    </w:p>
    <w:p>
      <w:pPr>
        <w:pStyle w:val="BodyText"/>
        <w:spacing w:line="477" w:lineRule="auto" w:before="54"/>
        <w:ind w:left="513" w:right="93" w:hanging="361"/>
        <w:jc w:val="left"/>
      </w:pPr>
      <w:r>
        <w:rPr/>
        <w:t>益或相关资产成本。 设定受益计划义务现值减去设定受益计划资产公允价值所形成的赤字或盈余确认为一项设定受益计划净负债或净资产。</w:t>
      </w:r>
    </w:p>
    <w:p>
      <w:pPr>
        <w:pStyle w:val="BodyText"/>
        <w:spacing w:line="477" w:lineRule="auto" w:before="54"/>
        <w:ind w:left="513" w:right="94" w:hanging="361"/>
        <w:jc w:val="left"/>
      </w:pPr>
      <w:r>
        <w:rPr/>
        <w:t>设定受益计划存在盈余的，本公司以设定受益计划的盈余和资产上限两项的孰低者计量设定受益计划净资产。 </w:t>
      </w:r>
      <w:r>
        <w:rPr>
          <w:spacing w:val="-2"/>
        </w:rPr>
        <w:t>所有设定受益计划义务，包括预期在职工提供服务的年度报告期间结束后的十二个月内支付的义务，根据资产负债表日</w:t>
      </w:r>
    </w:p>
    <w:p>
      <w:pPr>
        <w:pStyle w:val="BodyText"/>
        <w:spacing w:line="477" w:lineRule="auto" w:before="54"/>
        <w:ind w:left="513" w:right="94" w:hanging="361"/>
        <w:jc w:val="left"/>
      </w:pPr>
      <w:r>
        <w:rPr/>
        <w:t>与设定受益计划义务期限和币种相匹配的国债或活跃市场上的高质量公司债券的市场收益率予以折现。 </w:t>
      </w:r>
      <w:r>
        <w:rPr>
          <w:spacing w:val="-2"/>
        </w:rPr>
        <w:t>设定受益计划产生的服务成本和设定受益计划净负债或净资产的利息净额计入当期损益或相关资产成本；重新计量设定</w:t>
      </w:r>
    </w:p>
    <w:p>
      <w:pPr>
        <w:pStyle w:val="BodyText"/>
        <w:spacing w:line="477" w:lineRule="auto" w:before="54"/>
        <w:ind w:right="94"/>
        <w:jc w:val="left"/>
      </w:pPr>
      <w:r>
        <w:rPr>
          <w:spacing w:val="-2"/>
        </w:rPr>
        <w:t>受益计划净负债或净资产所产生的变动计入其他综合收益，并且在后续会计期间不转回至损益，在原设定受益计划终止时在</w:t>
      </w:r>
      <w:r>
        <w:rPr>
          <w:spacing w:val="-64"/>
        </w:rPr>
        <w:t> </w:t>
      </w:r>
      <w:r>
        <w:rPr>
          <w:spacing w:val="-64"/>
        </w:rPr>
      </w:r>
      <w:r>
        <w:rPr/>
        <w:t>权益范围内将原计入其他综合收益的部分全部结转至未分配利润。</w:t>
      </w:r>
    </w:p>
    <w:p>
      <w:pPr>
        <w:pStyle w:val="BodyText"/>
        <w:spacing w:line="240" w:lineRule="auto" w:before="54"/>
        <w:ind w:left="513" w:right="94"/>
        <w:jc w:val="left"/>
      </w:pPr>
      <w:r>
        <w:rPr/>
        <w:t>在设定受益计划结算时，按在结算日确定的设定受益计划义务现值和结算价格两者的差额，确认结算利得或损失。</w:t>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2"/>
          <w:szCs w:val="12"/>
        </w:rPr>
      </w:pPr>
    </w:p>
    <w:p>
      <w:pPr>
        <w:spacing w:line="573" w:lineRule="auto" w:before="0"/>
        <w:ind w:left="513" w:right="94" w:hanging="361"/>
        <w:jc w:val="left"/>
        <w:rPr>
          <w:rFonts w:ascii="宋体" w:hAnsi="宋体" w:cs="宋体" w:eastAsia="宋体" w:hint="default"/>
          <w:sz w:val="18"/>
          <w:szCs w:val="18"/>
        </w:rPr>
      </w:pPr>
      <w:r>
        <w:rPr>
          <w:rFonts w:ascii="Microsoft JhengHei" w:hAnsi="Microsoft JhengHei" w:cs="Microsoft JhengHei" w:eastAsia="Microsoft JhengHei" w:hint="default"/>
          <w:b/>
          <w:bCs/>
          <w:sz w:val="18"/>
          <w:szCs w:val="18"/>
        </w:rPr>
        <w:t>（</w:t>
      </w:r>
      <w:r>
        <w:rPr>
          <w:rFonts w:ascii="Times New Roman" w:hAnsi="Times New Roman" w:cs="Times New Roman" w:eastAsia="Times New Roman" w:hint="default"/>
          <w:b/>
          <w:bCs/>
          <w:sz w:val="18"/>
          <w:szCs w:val="18"/>
        </w:rPr>
        <w:t>3</w:t>
      </w:r>
      <w:r>
        <w:rPr>
          <w:rFonts w:ascii="Microsoft JhengHei" w:hAnsi="Microsoft JhengHei" w:cs="Microsoft JhengHei" w:eastAsia="Microsoft JhengHei" w:hint="default"/>
          <w:b/>
          <w:bCs/>
          <w:sz w:val="18"/>
          <w:szCs w:val="18"/>
        </w:rPr>
        <w:t>）辞退福利的会计处理方法</w:t>
      </w:r>
      <w:r>
        <w:rPr>
          <w:rFonts w:ascii="Microsoft JhengHei" w:hAnsi="Microsoft JhengHei" w:cs="Microsoft JhengHei" w:eastAsia="Microsoft JhengHei" w:hint="default"/>
          <w:b/>
          <w:bCs/>
          <w:spacing w:val="-40"/>
          <w:sz w:val="18"/>
          <w:szCs w:val="18"/>
        </w:rPr>
        <w:t> </w:t>
      </w:r>
      <w:r>
        <w:rPr>
          <w:rFonts w:ascii="Microsoft JhengHei" w:hAnsi="Microsoft JhengHei" w:cs="Microsoft JhengHei" w:eastAsia="Microsoft JhengHei" w:hint="default"/>
          <w:b/>
          <w:bCs/>
          <w:spacing w:val="-40"/>
          <w:sz w:val="18"/>
          <w:szCs w:val="18"/>
        </w:rPr>
      </w:r>
      <w:r>
        <w:rPr>
          <w:rFonts w:ascii="宋体" w:hAnsi="宋体" w:cs="宋体" w:eastAsia="宋体" w:hint="default"/>
          <w:spacing w:val="-2"/>
          <w:sz w:val="18"/>
          <w:szCs w:val="18"/>
        </w:rPr>
        <w:t>本公司在不能单方面撤回因解除劳动关系计划或裁减建议所提供的辞退福利时，或确认与涉及支付辞退福利的重组相关</w:t>
      </w:r>
    </w:p>
    <w:p>
      <w:pPr>
        <w:pStyle w:val="BodyText"/>
        <w:spacing w:line="218" w:lineRule="exact"/>
        <w:ind w:right="94"/>
        <w:jc w:val="left"/>
      </w:pPr>
      <w:r>
        <w:rPr/>
        <w:t>的成本或费用时（两者孰早），确认辞退福利产生的职工薪酬负债，并计入当期损益。</w:t>
      </w:r>
    </w:p>
    <w:p>
      <w:pPr>
        <w:spacing w:line="240" w:lineRule="auto" w:before="0"/>
        <w:rPr>
          <w:rFonts w:ascii="宋体" w:hAnsi="宋体" w:cs="宋体" w:eastAsia="宋体" w:hint="default"/>
          <w:sz w:val="18"/>
          <w:szCs w:val="18"/>
        </w:rPr>
      </w:pPr>
    </w:p>
    <w:p>
      <w:pPr>
        <w:pStyle w:val="Heading5"/>
        <w:spacing w:line="240" w:lineRule="auto" w:before="160"/>
        <w:ind w:right="94"/>
        <w:jc w:val="left"/>
        <w:rPr>
          <w:b w:val="0"/>
          <w:bCs w:val="0"/>
        </w:rPr>
      </w:pPr>
      <w:r>
        <w:rPr>
          <w:rFonts w:ascii="Times New Roman" w:hAnsi="Times New Roman" w:cs="Times New Roman" w:eastAsia="Times New Roman" w:hint="default"/>
        </w:rPr>
        <w:t>24</w:t>
      </w:r>
      <w:r>
        <w:rPr/>
        <w:t>、预计负债</w:t>
      </w:r>
      <w:r>
        <w:rPr>
          <w:b w:val="0"/>
          <w:bCs w:val="0"/>
        </w:rPr>
      </w:r>
    </w:p>
    <w:p>
      <w:pPr>
        <w:spacing w:line="240" w:lineRule="auto" w:before="0"/>
        <w:rPr>
          <w:rFonts w:ascii="Microsoft JhengHei" w:hAnsi="Microsoft JhengHei" w:cs="Microsoft JhengHei" w:eastAsia="Microsoft JhengHei" w:hint="default"/>
          <w:b/>
          <w:bCs/>
          <w:sz w:val="25"/>
          <w:szCs w:val="25"/>
        </w:rPr>
      </w:pPr>
    </w:p>
    <w:p>
      <w:pPr>
        <w:pStyle w:val="BodyText"/>
        <w:spacing w:line="453" w:lineRule="auto"/>
        <w:ind w:left="513" w:right="483"/>
        <w:jc w:val="left"/>
        <w:rPr>
          <w:sz w:val="21"/>
          <w:szCs w:val="21"/>
        </w:rPr>
      </w:pPr>
      <w:r>
        <w:rPr/>
        <w:t>（一）预计负债的确认标准 与诉讼、债务担保、亏损合同、重组事项等或有事项相关的义务同时满足下列条件时，本公司确认为</w:t>
      </w:r>
      <w:r>
        <w:rPr>
          <w:sz w:val="21"/>
          <w:szCs w:val="21"/>
        </w:rPr>
        <w:t>预计负债：</w:t>
      </w:r>
    </w:p>
    <w:p>
      <w:pPr>
        <w:pStyle w:val="BodyText"/>
        <w:spacing w:line="240" w:lineRule="auto" w:before="29"/>
        <w:ind w:left="513" w:right="94"/>
        <w:jc w:val="left"/>
      </w:pPr>
      <w:r>
        <w:rPr/>
        <w:t>（</w:t>
      </w:r>
      <w:r>
        <w:rPr>
          <w:rFonts w:ascii="宋体" w:hAnsi="宋体" w:cs="宋体" w:eastAsia="宋体" w:hint="default"/>
        </w:rPr>
        <w:t>1</w:t>
      </w:r>
      <w:r>
        <w:rPr/>
        <w:t>）该义务是本公司承担的现时义务；</w:t>
      </w:r>
    </w:p>
    <w:p>
      <w:pPr>
        <w:spacing w:line="240" w:lineRule="auto" w:before="10"/>
        <w:rPr>
          <w:rFonts w:ascii="宋体" w:hAnsi="宋体" w:cs="宋体" w:eastAsia="宋体" w:hint="default"/>
          <w:sz w:val="17"/>
          <w:szCs w:val="17"/>
        </w:rPr>
      </w:pPr>
    </w:p>
    <w:p>
      <w:pPr>
        <w:pStyle w:val="BodyText"/>
        <w:spacing w:line="240" w:lineRule="auto"/>
        <w:ind w:left="513" w:right="94"/>
        <w:jc w:val="left"/>
      </w:pPr>
      <w:r>
        <w:rPr/>
        <w:t>（</w:t>
      </w:r>
      <w:r>
        <w:rPr>
          <w:rFonts w:ascii="宋体" w:hAnsi="宋体" w:cs="宋体" w:eastAsia="宋体" w:hint="default"/>
        </w:rPr>
        <w:t>2</w:t>
      </w:r>
      <w:r>
        <w:rPr/>
        <w:t>）履行该义务很可能导致经济利益流出本公司；</w:t>
      </w:r>
    </w:p>
    <w:p>
      <w:pPr>
        <w:spacing w:line="240" w:lineRule="auto" w:before="10"/>
        <w:rPr>
          <w:rFonts w:ascii="宋体" w:hAnsi="宋体" w:cs="宋体" w:eastAsia="宋体" w:hint="default"/>
          <w:sz w:val="17"/>
          <w:szCs w:val="17"/>
        </w:rPr>
      </w:pPr>
    </w:p>
    <w:p>
      <w:pPr>
        <w:pStyle w:val="BodyText"/>
        <w:spacing w:line="240" w:lineRule="auto"/>
        <w:ind w:left="513" w:right="94"/>
        <w:jc w:val="left"/>
      </w:pPr>
      <w:r>
        <w:rPr/>
        <w:t>（</w:t>
      </w:r>
      <w:r>
        <w:rPr>
          <w:rFonts w:ascii="宋体" w:hAnsi="宋体" w:cs="宋体" w:eastAsia="宋体" w:hint="default"/>
        </w:rPr>
        <w:t>3</w:t>
      </w:r>
      <w:r>
        <w:rPr/>
        <w:t>）该义务的金额能够可靠地计量。</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7"/>
          <w:szCs w:val="17"/>
        </w:rPr>
      </w:pPr>
    </w:p>
    <w:p>
      <w:pPr>
        <w:pStyle w:val="BodyText"/>
        <w:spacing w:line="477" w:lineRule="auto"/>
        <w:ind w:left="513" w:right="3333"/>
        <w:jc w:val="left"/>
      </w:pPr>
      <w:r>
        <w:rPr/>
        <w:t>（二）各类预计负债的计量方法 本公司预计负债按履行相关现时义务所需的支出的最佳估计数进行初始计量。</w:t>
      </w:r>
    </w:p>
    <w:p>
      <w:pPr>
        <w:pStyle w:val="BodyText"/>
        <w:spacing w:line="477" w:lineRule="auto" w:before="54"/>
        <w:ind w:right="94" w:firstLine="360"/>
        <w:jc w:val="left"/>
      </w:pPr>
      <w:r>
        <w:rPr>
          <w:spacing w:val="-2"/>
        </w:rPr>
        <w:t>本公司在确定最佳估计数时，综合考虑与或有事项有关的风险、不确定性和货币时间价值等因素。对于货币时间价值影</w:t>
      </w:r>
      <w:r>
        <w:rPr/>
        <w:t> 响重大的，通过对相关未来现金流出进行折现后确定最佳估计数。</w:t>
      </w:r>
    </w:p>
    <w:p>
      <w:pPr>
        <w:pStyle w:val="BodyText"/>
        <w:spacing w:line="240" w:lineRule="auto" w:before="54"/>
        <w:ind w:left="513" w:right="94"/>
        <w:jc w:val="left"/>
      </w:pPr>
      <w:r>
        <w:rPr/>
        <w:t>最佳估计数分别以下情况处理：</w:t>
      </w:r>
    </w:p>
    <w:p>
      <w:pPr>
        <w:spacing w:after="0" w:line="240" w:lineRule="auto"/>
        <w:jc w:val="left"/>
        <w:sectPr>
          <w:footerReference w:type="default" r:id="rId24"/>
          <w:pgSz w:w="11910" w:h="16840"/>
          <w:pgMar w:footer="979" w:header="877" w:top="1100" w:bottom="1160" w:left="980" w:right="940"/>
          <w:pgNumType w:start="101"/>
        </w:sectPr>
      </w:pPr>
    </w:p>
    <w:p>
      <w:pPr>
        <w:spacing w:line="240" w:lineRule="auto" w:before="12"/>
        <w:rPr>
          <w:rFonts w:ascii="宋体" w:hAnsi="宋体" w:cs="宋体" w:eastAsia="宋体" w:hint="default"/>
          <w:sz w:val="27"/>
          <w:szCs w:val="27"/>
        </w:rPr>
      </w:pPr>
    </w:p>
    <w:p>
      <w:pPr>
        <w:pStyle w:val="BodyText"/>
        <w:spacing w:line="477" w:lineRule="auto" w:before="44"/>
        <w:ind w:right="191" w:firstLine="360"/>
        <w:jc w:val="both"/>
      </w:pPr>
      <w:r>
        <w:rPr>
          <w:spacing w:val="-2"/>
        </w:rPr>
        <w:t>所需支出存在一个连续范围（或区间），且该范围内各种结果发生的可能性相同的，则最佳估计数按照该范围的中间值</w:t>
      </w:r>
      <w:r>
        <w:rPr/>
        <w:t> 即上下限金额的平均数确定。</w:t>
      </w:r>
    </w:p>
    <w:p>
      <w:pPr>
        <w:pStyle w:val="BodyText"/>
        <w:spacing w:line="477" w:lineRule="auto" w:before="54"/>
        <w:ind w:right="190" w:firstLine="360"/>
        <w:jc w:val="both"/>
      </w:pPr>
      <w:r>
        <w:rPr>
          <w:spacing w:val="-2"/>
        </w:rPr>
        <w:t>所需支出不存在一个连续范围（或区间），或虽然存在一个连续范围但该范围内各种结果发生的可能性不相同的，如或</w:t>
      </w:r>
      <w:r>
        <w:rPr/>
        <w:t> </w:t>
      </w:r>
      <w:r>
        <w:rPr>
          <w:spacing w:val="-2"/>
        </w:rPr>
        <w:t>有事项涉及单个项目的，则最佳估计数按照最可能发生金额确定；如或有事项涉及多个项目的，则最佳估计数按各种可能结</w:t>
      </w:r>
      <w:r>
        <w:rPr>
          <w:spacing w:val="-63"/>
        </w:rPr>
        <w:t> </w:t>
      </w:r>
      <w:r>
        <w:rPr>
          <w:spacing w:val="-63"/>
        </w:rPr>
      </w:r>
      <w:r>
        <w:rPr/>
        <w:t>果及相关概率计算确定。</w:t>
      </w:r>
    </w:p>
    <w:p>
      <w:pPr>
        <w:pStyle w:val="BodyText"/>
        <w:spacing w:line="477" w:lineRule="auto" w:before="54"/>
        <w:ind w:right="111" w:firstLine="360"/>
        <w:jc w:val="both"/>
      </w:pPr>
      <w:r>
        <w:rPr/>
        <w:t>本公司清偿预计负债所需支出全部或部分预期由第三方补偿的，补偿金额在基本确定能够收到时，作为资产单独确认， 确认的补偿金额不超过预计负债的账面价值。</w:t>
      </w:r>
    </w:p>
    <w:p>
      <w:pPr>
        <w:spacing w:line="240" w:lineRule="auto" w:before="11"/>
        <w:rPr>
          <w:rFonts w:ascii="宋体" w:hAnsi="宋体" w:cs="宋体" w:eastAsia="宋体" w:hint="default"/>
          <w:sz w:val="16"/>
          <w:szCs w:val="16"/>
        </w:rPr>
      </w:pPr>
    </w:p>
    <w:p>
      <w:pPr>
        <w:pStyle w:val="Heading5"/>
        <w:spacing w:line="240" w:lineRule="auto"/>
        <w:ind w:right="94"/>
        <w:jc w:val="left"/>
        <w:rPr>
          <w:b w:val="0"/>
          <w:bCs w:val="0"/>
        </w:rPr>
      </w:pPr>
      <w:r>
        <w:rPr>
          <w:rFonts w:ascii="Times New Roman" w:hAnsi="Times New Roman" w:cs="Times New Roman" w:eastAsia="Times New Roman" w:hint="default"/>
        </w:rPr>
        <w:t>25</w:t>
      </w:r>
      <w:r>
        <w:rPr/>
        <w:t>、收入</w:t>
      </w:r>
      <w:r>
        <w:rPr>
          <w:b w:val="0"/>
          <w:bCs w:val="0"/>
        </w:rPr>
      </w:r>
    </w:p>
    <w:p>
      <w:pPr>
        <w:spacing w:line="240" w:lineRule="auto" w:before="8"/>
        <w:rPr>
          <w:rFonts w:ascii="Microsoft JhengHei" w:hAnsi="Microsoft JhengHei" w:cs="Microsoft JhengHei" w:eastAsia="Microsoft JhengHei" w:hint="default"/>
          <w:b/>
          <w:bCs/>
          <w:sz w:val="20"/>
          <w:szCs w:val="20"/>
        </w:rPr>
      </w:pPr>
    </w:p>
    <w:p>
      <w:pPr>
        <w:pStyle w:val="BodyText"/>
        <w:spacing w:line="357" w:lineRule="auto"/>
        <w:ind w:right="6754"/>
        <w:jc w:val="left"/>
      </w:pPr>
      <w:r>
        <w:rPr/>
        <w:t>公司是否需要遵守特殊行业的披露要求 否</w:t>
      </w:r>
    </w:p>
    <w:p>
      <w:pPr>
        <w:pStyle w:val="BodyText"/>
        <w:spacing w:line="477" w:lineRule="auto" w:before="108"/>
        <w:ind w:left="513" w:right="94"/>
        <w:jc w:val="left"/>
      </w:pPr>
      <w:r>
        <w:rPr/>
        <w:t>（一）销售商品收入确认时间的具体判断标准 </w:t>
      </w:r>
      <w:r>
        <w:rPr>
          <w:spacing w:val="-2"/>
        </w:rPr>
        <w:t>公司已将商品所有权上的主要风险和报酬转移给购买方；公司既没有保留与所有权相联系的继续管理权，也没有对已售</w:t>
      </w:r>
    </w:p>
    <w:p>
      <w:pPr>
        <w:pStyle w:val="BodyText"/>
        <w:spacing w:line="477" w:lineRule="auto" w:before="54"/>
        <w:ind w:right="94"/>
        <w:jc w:val="left"/>
      </w:pPr>
      <w:r>
        <w:rPr>
          <w:spacing w:val="-2"/>
        </w:rPr>
        <w:t>出的商品实施有效控制；收入的金额能够可靠地计量；相关的经济利益很可能流入企业；相关的已发生或将发生的成本能够</w:t>
      </w:r>
      <w:r>
        <w:rPr>
          <w:spacing w:val="-63"/>
        </w:rPr>
        <w:t> </w:t>
      </w:r>
      <w:r>
        <w:rPr>
          <w:spacing w:val="-63"/>
        </w:rPr>
      </w:r>
      <w:r>
        <w:rPr/>
        <w:t>可靠地计量时，确认商品销售收入实现。</w:t>
      </w:r>
    </w:p>
    <w:p>
      <w:pPr>
        <w:pStyle w:val="BodyText"/>
        <w:spacing w:line="477" w:lineRule="auto" w:before="54"/>
        <w:ind w:right="193" w:firstLine="360"/>
        <w:jc w:val="both"/>
      </w:pPr>
      <w:r>
        <w:rPr/>
        <w:t>（</w:t>
      </w:r>
      <w:r>
        <w:rPr>
          <w:rFonts w:ascii="宋体" w:hAnsi="宋体" w:cs="宋体" w:eastAsia="宋体" w:hint="default"/>
        </w:rPr>
        <w:t>1</w:t>
      </w:r>
      <w:r>
        <w:rPr/>
        <w:t>）外销收入确认：出口销售采用离岸价结算，货物经商检、出口报关，公司在海关确认出口并在出口报关单上加注 出口日期后确认收入；</w:t>
      </w:r>
    </w:p>
    <w:p>
      <w:pPr>
        <w:pStyle w:val="BodyText"/>
        <w:spacing w:line="240" w:lineRule="auto" w:before="54"/>
        <w:ind w:left="513" w:right="94"/>
        <w:jc w:val="left"/>
      </w:pPr>
      <w:r>
        <w:rPr/>
        <w:t>（</w:t>
      </w:r>
      <w:r>
        <w:rPr>
          <w:rFonts w:ascii="宋体" w:hAnsi="宋体" w:cs="宋体" w:eastAsia="宋体" w:hint="default"/>
        </w:rPr>
        <w:t>2</w:t>
      </w:r>
      <w:r>
        <w:rPr/>
        <w:t>）内销收入确认：在开具发票，并取得客户签字的发货单后确认收入。</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7"/>
          <w:szCs w:val="17"/>
        </w:rPr>
      </w:pPr>
    </w:p>
    <w:p>
      <w:pPr>
        <w:pStyle w:val="BodyText"/>
        <w:spacing w:line="477" w:lineRule="auto"/>
        <w:ind w:left="513" w:right="273"/>
        <w:jc w:val="left"/>
      </w:pPr>
      <w:r>
        <w:rPr/>
        <w:t>（二）确认让渡资产使用权收入的依据 与交易相关的经济利益很可能流入企业，收入的金额能够可靠地计量时。分别下列情况确定让渡资产使用权收入金额</w:t>
      </w:r>
    </w:p>
    <w:p>
      <w:pPr>
        <w:pStyle w:val="BodyText"/>
        <w:spacing w:line="240" w:lineRule="auto" w:before="55"/>
        <w:ind w:left="513" w:right="94"/>
        <w:jc w:val="left"/>
      </w:pPr>
      <w:r>
        <w:rPr/>
        <w:t>（</w:t>
      </w:r>
      <w:r>
        <w:rPr>
          <w:rFonts w:ascii="宋体" w:hAnsi="宋体" w:cs="宋体" w:eastAsia="宋体" w:hint="default"/>
        </w:rPr>
        <w:t>1</w:t>
      </w:r>
      <w:r>
        <w:rPr/>
        <w:t>）利息收入金额，按照他人使用本企业货币资金的时间和实际利率计算确定；</w:t>
      </w:r>
    </w:p>
    <w:p>
      <w:pPr>
        <w:spacing w:line="240" w:lineRule="auto" w:before="10"/>
        <w:rPr>
          <w:rFonts w:ascii="宋体" w:hAnsi="宋体" w:cs="宋体" w:eastAsia="宋体" w:hint="default"/>
          <w:sz w:val="17"/>
          <w:szCs w:val="17"/>
        </w:rPr>
      </w:pPr>
    </w:p>
    <w:p>
      <w:pPr>
        <w:pStyle w:val="BodyText"/>
        <w:spacing w:line="240" w:lineRule="auto"/>
        <w:ind w:left="513" w:right="94"/>
        <w:jc w:val="left"/>
      </w:pPr>
      <w:r>
        <w:rPr/>
        <w:t>（</w:t>
      </w:r>
      <w:r>
        <w:rPr>
          <w:rFonts w:ascii="宋体" w:hAnsi="宋体" w:cs="宋体" w:eastAsia="宋体" w:hint="default"/>
        </w:rPr>
        <w:t>2</w:t>
      </w:r>
      <w:r>
        <w:rPr/>
        <w:t>）使用费收入金额，按照有关合同或协议约定的收费时间和方法计算确定。</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7"/>
          <w:szCs w:val="17"/>
        </w:rPr>
      </w:pPr>
    </w:p>
    <w:p>
      <w:pPr>
        <w:pStyle w:val="BodyText"/>
        <w:spacing w:line="477" w:lineRule="auto"/>
        <w:ind w:left="513" w:right="94"/>
        <w:jc w:val="left"/>
      </w:pPr>
      <w:r>
        <w:rPr/>
        <w:t>（三）按完工百分比法确认提供劳务的收入和建造合同收入时，确定合同完工进度的依据和方法 </w:t>
      </w:r>
      <w:r>
        <w:rPr>
          <w:spacing w:val="-4"/>
        </w:rPr>
        <w:t>在资产负债表日提供劳务交易的结果能够可靠估计的，采用完工百分比法确认提供劳务收入。提供劳务交易的完工进度，</w:t>
      </w:r>
    </w:p>
    <w:p>
      <w:pPr>
        <w:pStyle w:val="BodyText"/>
        <w:spacing w:line="477" w:lineRule="auto" w:before="54"/>
        <w:ind w:left="513" w:right="94" w:hanging="361"/>
        <w:jc w:val="left"/>
      </w:pPr>
      <w:r>
        <w:rPr/>
        <w:t>依据已完工作的测量确定。 </w:t>
      </w:r>
      <w:r>
        <w:rPr>
          <w:spacing w:val="-2"/>
        </w:rPr>
        <w:t>按照已收或应收的合同或协议价款确定提供劳务收入总额，但已收或应收的合同或协议价款不公允的除外。资产负债表</w:t>
      </w:r>
    </w:p>
    <w:p>
      <w:pPr>
        <w:pStyle w:val="BodyText"/>
        <w:spacing w:line="477" w:lineRule="auto" w:before="54"/>
        <w:ind w:right="94"/>
        <w:jc w:val="left"/>
      </w:pPr>
      <w:r>
        <w:rPr>
          <w:spacing w:val="-4"/>
        </w:rPr>
        <w:t>日按照提供劳务收入总额乘以完工进度扣除以前会计期间累计已确认提供劳务收入后的金额，确认当期提供劳务收入；同时，</w:t>
      </w:r>
      <w:r>
        <w:rPr>
          <w:spacing w:val="-44"/>
        </w:rPr>
        <w:t> </w:t>
      </w:r>
      <w:r>
        <w:rPr>
          <w:spacing w:val="-44"/>
        </w:rPr>
      </w:r>
      <w:r>
        <w:rPr/>
        <w:t>按照提供劳务估计总成本乘以完工进度扣除以前会计期间累计已确认劳务成本后的金额，结转当期劳务成本。</w:t>
      </w:r>
    </w:p>
    <w:p>
      <w:pPr>
        <w:spacing w:after="0" w:line="477" w:lineRule="auto"/>
        <w:jc w:val="left"/>
        <w:sectPr>
          <w:pgSz w:w="11910" w:h="16840"/>
          <w:pgMar w:header="877" w:footer="979" w:top="1100" w:bottom="1160" w:left="980" w:right="940"/>
        </w:sectPr>
      </w:pPr>
    </w:p>
    <w:p>
      <w:pPr>
        <w:spacing w:line="240" w:lineRule="auto" w:before="12"/>
        <w:rPr>
          <w:rFonts w:ascii="宋体" w:hAnsi="宋体" w:cs="宋体" w:eastAsia="宋体" w:hint="default"/>
          <w:sz w:val="27"/>
          <w:szCs w:val="27"/>
        </w:rPr>
      </w:pPr>
    </w:p>
    <w:p>
      <w:pPr>
        <w:pStyle w:val="BodyText"/>
        <w:spacing w:line="240" w:lineRule="auto" w:before="44"/>
        <w:ind w:left="513" w:right="0"/>
        <w:jc w:val="left"/>
      </w:pPr>
      <w:r>
        <w:rPr/>
        <w:t>在资产负债表日提供劳务交易结果不能够可靠估计的，分别下列情况处理：</w:t>
      </w:r>
    </w:p>
    <w:p>
      <w:pPr>
        <w:spacing w:line="240" w:lineRule="auto" w:before="10"/>
        <w:rPr>
          <w:rFonts w:ascii="宋体" w:hAnsi="宋体" w:cs="宋体" w:eastAsia="宋体" w:hint="default"/>
          <w:sz w:val="17"/>
          <w:szCs w:val="17"/>
        </w:rPr>
      </w:pPr>
    </w:p>
    <w:p>
      <w:pPr>
        <w:pStyle w:val="BodyText"/>
        <w:spacing w:line="477" w:lineRule="auto"/>
        <w:ind w:right="144" w:firstLine="360"/>
        <w:jc w:val="left"/>
      </w:pPr>
      <w:r>
        <w:rPr/>
        <w:t>（</w:t>
      </w:r>
      <w:r>
        <w:rPr>
          <w:rFonts w:ascii="宋体" w:hAnsi="宋体" w:cs="宋体" w:eastAsia="宋体" w:hint="default"/>
        </w:rPr>
        <w:t>1</w:t>
      </w:r>
      <w:r>
        <w:rPr/>
        <w:t>）已经发生的劳务成本预计能够得到补偿的，按照已经发生的劳务成本金额确认提供劳务收入，并按相同金额结转 劳务成本；</w:t>
      </w:r>
    </w:p>
    <w:p>
      <w:pPr>
        <w:pStyle w:val="BodyText"/>
        <w:spacing w:line="240" w:lineRule="auto" w:before="54"/>
        <w:ind w:left="513" w:right="0"/>
        <w:jc w:val="left"/>
      </w:pPr>
      <w:r>
        <w:rPr/>
        <w:t>（</w:t>
      </w:r>
      <w:r>
        <w:rPr>
          <w:rFonts w:ascii="宋体" w:hAnsi="宋体" w:cs="宋体" w:eastAsia="宋体" w:hint="default"/>
        </w:rPr>
        <w:t>2</w:t>
      </w:r>
      <w:r>
        <w:rPr/>
        <w:t>）已经发生的劳务成本预计不能够得到补偿的，将已经发生的劳务成本计入当期损益，不确认提供劳务收入。</w:t>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2"/>
          <w:szCs w:val="12"/>
        </w:rPr>
      </w:pPr>
    </w:p>
    <w:p>
      <w:pPr>
        <w:pStyle w:val="Heading5"/>
        <w:spacing w:line="240" w:lineRule="auto"/>
        <w:ind w:right="0"/>
        <w:jc w:val="left"/>
        <w:rPr>
          <w:b w:val="0"/>
          <w:bCs w:val="0"/>
        </w:rPr>
      </w:pPr>
      <w:r>
        <w:rPr>
          <w:rFonts w:ascii="Times New Roman" w:hAnsi="Times New Roman" w:cs="Times New Roman" w:eastAsia="Times New Roman" w:hint="default"/>
        </w:rPr>
        <w:t>26</w:t>
      </w:r>
      <w:r>
        <w:rPr/>
        <w:t>、政府补助</w:t>
      </w:r>
      <w:r>
        <w:rPr>
          <w:b w:val="0"/>
          <w:bCs w:val="0"/>
        </w:rPr>
      </w:r>
    </w:p>
    <w:p>
      <w:pPr>
        <w:spacing w:line="240" w:lineRule="auto" w:before="5"/>
        <w:rPr>
          <w:rFonts w:ascii="Microsoft JhengHei" w:hAnsi="Microsoft JhengHei" w:cs="Microsoft JhengHei" w:eastAsia="Microsoft JhengHei" w:hint="default"/>
          <w:b/>
          <w:bCs/>
          <w:sz w:val="17"/>
          <w:szCs w:val="17"/>
        </w:rPr>
      </w:pPr>
    </w:p>
    <w:p>
      <w:pPr>
        <w:spacing w:line="571" w:lineRule="auto" w:before="0"/>
        <w:ind w:left="513" w:right="0" w:hanging="361"/>
        <w:jc w:val="left"/>
        <w:rPr>
          <w:rFonts w:ascii="宋体" w:hAnsi="宋体" w:cs="宋体" w:eastAsia="宋体" w:hint="default"/>
          <w:sz w:val="18"/>
          <w:szCs w:val="18"/>
        </w:rPr>
      </w:pPr>
      <w:r>
        <w:rPr>
          <w:rFonts w:ascii="Microsoft JhengHei" w:hAnsi="Microsoft JhengHei" w:cs="Microsoft JhengHei" w:eastAsia="Microsoft JhengHei" w:hint="default"/>
          <w:b/>
          <w:bCs/>
          <w:sz w:val="18"/>
          <w:szCs w:val="18"/>
        </w:rPr>
        <w:t>（</w:t>
      </w:r>
      <w:r>
        <w:rPr>
          <w:rFonts w:ascii="Times New Roman" w:hAnsi="Times New Roman" w:cs="Times New Roman" w:eastAsia="Times New Roman" w:hint="default"/>
          <w:b/>
          <w:bCs/>
          <w:sz w:val="18"/>
          <w:szCs w:val="18"/>
        </w:rPr>
        <w:t>1</w:t>
      </w:r>
      <w:r>
        <w:rPr>
          <w:rFonts w:ascii="Microsoft JhengHei" w:hAnsi="Microsoft JhengHei" w:cs="Microsoft JhengHei" w:eastAsia="Microsoft JhengHei" w:hint="default"/>
          <w:b/>
          <w:bCs/>
          <w:sz w:val="18"/>
          <w:szCs w:val="18"/>
        </w:rPr>
        <w:t>）与资产相关的政府补助判断依据及会计处理方法</w:t>
      </w:r>
      <w:r>
        <w:rPr>
          <w:rFonts w:ascii="Microsoft JhengHei" w:hAnsi="Microsoft JhengHei" w:cs="Microsoft JhengHei" w:eastAsia="Microsoft JhengHei" w:hint="default"/>
          <w:b/>
          <w:bCs/>
          <w:spacing w:val="-34"/>
          <w:sz w:val="18"/>
          <w:szCs w:val="18"/>
        </w:rPr>
        <w:t> </w:t>
      </w:r>
      <w:r>
        <w:rPr>
          <w:rFonts w:ascii="Microsoft JhengHei" w:hAnsi="Microsoft JhengHei" w:cs="Microsoft JhengHei" w:eastAsia="Microsoft JhengHei" w:hint="default"/>
          <w:b/>
          <w:bCs/>
          <w:spacing w:val="-34"/>
          <w:sz w:val="18"/>
          <w:szCs w:val="18"/>
        </w:rPr>
      </w:r>
      <w:r>
        <w:rPr>
          <w:rFonts w:ascii="宋体" w:hAnsi="宋体" w:cs="宋体" w:eastAsia="宋体" w:hint="default"/>
          <w:spacing w:val="-2"/>
          <w:sz w:val="18"/>
          <w:szCs w:val="18"/>
        </w:rPr>
        <w:t>与资产相关的政府补助，是指本公司取得的、用于购建或以其他方式形成长期资产的政府补助，包括购买固定资产或无</w:t>
      </w:r>
    </w:p>
    <w:p>
      <w:pPr>
        <w:pStyle w:val="BodyText"/>
        <w:spacing w:line="220" w:lineRule="exact"/>
        <w:ind w:right="0"/>
        <w:jc w:val="left"/>
      </w:pPr>
      <w:r>
        <w:rPr/>
        <w:t>形资产的财政拨款、固定资产专门借款的财政贴息等。</w:t>
      </w:r>
    </w:p>
    <w:p>
      <w:pPr>
        <w:spacing w:line="240" w:lineRule="auto" w:before="10"/>
        <w:rPr>
          <w:rFonts w:ascii="宋体" w:hAnsi="宋体" w:cs="宋体" w:eastAsia="宋体" w:hint="default"/>
          <w:sz w:val="17"/>
          <w:szCs w:val="17"/>
        </w:rPr>
      </w:pPr>
    </w:p>
    <w:p>
      <w:pPr>
        <w:pStyle w:val="BodyText"/>
        <w:spacing w:line="240" w:lineRule="auto"/>
        <w:ind w:left="513" w:right="0"/>
        <w:jc w:val="left"/>
      </w:pPr>
      <w:r>
        <w:rPr/>
        <w:t>与资产相关的政府补助，确认为递延收益，按照所建造或购买的资产使用年限分期计入营业外收入。</w:t>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2"/>
          <w:szCs w:val="12"/>
        </w:rPr>
      </w:pPr>
    </w:p>
    <w:p>
      <w:pPr>
        <w:pStyle w:val="Heading5"/>
        <w:spacing w:line="240" w:lineRule="auto"/>
        <w:ind w:right="0"/>
        <w:jc w:val="left"/>
        <w:rPr>
          <w:b w:val="0"/>
          <w:bCs w:val="0"/>
        </w:rPr>
      </w:pPr>
      <w:r>
        <w:rPr/>
        <w:t>（</w:t>
      </w:r>
      <w:r>
        <w:rPr>
          <w:rFonts w:ascii="Times New Roman" w:hAnsi="Times New Roman" w:cs="Times New Roman" w:eastAsia="Times New Roman" w:hint="default"/>
        </w:rPr>
        <w:t>2</w:t>
      </w:r>
      <w:r>
        <w:rPr/>
        <w:t>）与收益相关的政府补助判断依据及会计处理方法</w:t>
      </w:r>
      <w:r>
        <w:rPr>
          <w:b w:val="0"/>
          <w:bCs w:val="0"/>
        </w:rPr>
      </w:r>
    </w:p>
    <w:p>
      <w:pPr>
        <w:spacing w:line="240" w:lineRule="auto" w:before="0"/>
        <w:rPr>
          <w:rFonts w:ascii="Microsoft JhengHei" w:hAnsi="Microsoft JhengHei" w:cs="Microsoft JhengHei" w:eastAsia="Microsoft JhengHei" w:hint="default"/>
          <w:b/>
          <w:bCs/>
          <w:sz w:val="25"/>
          <w:szCs w:val="25"/>
        </w:rPr>
      </w:pPr>
    </w:p>
    <w:p>
      <w:pPr>
        <w:pStyle w:val="BodyText"/>
        <w:spacing w:line="477" w:lineRule="auto"/>
        <w:ind w:left="513" w:right="0"/>
        <w:jc w:val="left"/>
      </w:pPr>
      <w:r>
        <w:rPr/>
        <w:t>与收益相关的政府补助，是指除与资产相关的政府补助之外的政府补助。 </w:t>
      </w:r>
      <w:r>
        <w:rPr>
          <w:spacing w:val="-2"/>
        </w:rPr>
        <w:t>与收益相关的政府补助，用于补偿企业以后期间的相关费用或损失的，取得时确认为递延收益，在确认相关费用的期间</w:t>
      </w:r>
    </w:p>
    <w:p>
      <w:pPr>
        <w:pStyle w:val="BodyText"/>
        <w:spacing w:line="240" w:lineRule="auto" w:before="54"/>
        <w:ind w:right="0"/>
        <w:jc w:val="left"/>
      </w:pPr>
      <w:r>
        <w:rPr/>
        <w:t>计入当期营业外收入；用于补偿企业已发生的相关费用或损失的，取得时直接计入当期营业外收入。</w:t>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2"/>
          <w:szCs w:val="12"/>
        </w:rPr>
      </w:pPr>
    </w:p>
    <w:p>
      <w:pPr>
        <w:spacing w:line="571" w:lineRule="auto" w:before="0"/>
        <w:ind w:left="513" w:right="0" w:hanging="361"/>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27</w:t>
      </w:r>
      <w:r>
        <w:rPr>
          <w:rFonts w:ascii="Microsoft JhengHei" w:hAnsi="Microsoft JhengHei" w:cs="Microsoft JhengHei" w:eastAsia="Microsoft JhengHei" w:hint="default"/>
          <w:b/>
          <w:bCs/>
          <w:sz w:val="18"/>
          <w:szCs w:val="18"/>
        </w:rPr>
        <w:t>、递延所得税资产</w:t>
      </w:r>
      <w:r>
        <w:rPr>
          <w:rFonts w:ascii="Times New Roman" w:hAnsi="Times New Roman" w:cs="Times New Roman" w:eastAsia="Times New Roman" w:hint="default"/>
          <w:b/>
          <w:bCs/>
          <w:sz w:val="18"/>
          <w:szCs w:val="18"/>
        </w:rPr>
        <w:t>/</w:t>
      </w:r>
      <w:r>
        <w:rPr>
          <w:rFonts w:ascii="Microsoft JhengHei" w:hAnsi="Microsoft JhengHei" w:cs="Microsoft JhengHei" w:eastAsia="Microsoft JhengHei" w:hint="default"/>
          <w:b/>
          <w:bCs/>
          <w:sz w:val="18"/>
          <w:szCs w:val="18"/>
        </w:rPr>
        <w:t>递延所得税负债</w:t>
      </w:r>
      <w:r>
        <w:rPr>
          <w:rFonts w:ascii="Microsoft JhengHei" w:hAnsi="Microsoft JhengHei" w:cs="Microsoft JhengHei" w:eastAsia="Microsoft JhengHei" w:hint="default"/>
          <w:b/>
          <w:bCs/>
          <w:spacing w:val="-38"/>
          <w:sz w:val="18"/>
          <w:szCs w:val="18"/>
        </w:rPr>
        <w:t> </w:t>
      </w:r>
      <w:r>
        <w:rPr>
          <w:rFonts w:ascii="Microsoft JhengHei" w:hAnsi="Microsoft JhengHei" w:cs="Microsoft JhengHei" w:eastAsia="Microsoft JhengHei" w:hint="default"/>
          <w:b/>
          <w:bCs/>
          <w:spacing w:val="-38"/>
          <w:sz w:val="18"/>
          <w:szCs w:val="18"/>
        </w:rPr>
      </w:r>
      <w:r>
        <w:rPr>
          <w:rFonts w:ascii="宋体" w:hAnsi="宋体" w:cs="宋体" w:eastAsia="宋体" w:hint="default"/>
          <w:sz w:val="18"/>
          <w:szCs w:val="18"/>
        </w:rPr>
        <w:t>对于可抵扣暂时性差异确认递延所得税资产，以未来期间很可能取得的用来抵扣可抵扣暂时性差异的应纳税所得额为</w:t>
      </w:r>
    </w:p>
    <w:p>
      <w:pPr>
        <w:pStyle w:val="BodyText"/>
        <w:spacing w:line="220" w:lineRule="exact"/>
        <w:ind w:right="0"/>
        <w:jc w:val="left"/>
      </w:pPr>
      <w:r>
        <w:rPr/>
        <w:t>限。对于能够结转以后年度的可抵扣亏损和税款抵减，以很可能获得用来抵扣可抵扣亏损和税款抵减的未来应纳税所得额为</w:t>
      </w:r>
    </w:p>
    <w:p>
      <w:pPr>
        <w:spacing w:line="240" w:lineRule="auto" w:before="10"/>
        <w:rPr>
          <w:rFonts w:ascii="宋体" w:hAnsi="宋体" w:cs="宋体" w:eastAsia="宋体" w:hint="default"/>
          <w:sz w:val="17"/>
          <w:szCs w:val="17"/>
        </w:rPr>
      </w:pPr>
    </w:p>
    <w:p>
      <w:pPr>
        <w:pStyle w:val="BodyText"/>
        <w:spacing w:line="477" w:lineRule="auto"/>
        <w:ind w:left="513" w:right="4373" w:hanging="361"/>
        <w:jc w:val="left"/>
      </w:pPr>
      <w:r>
        <w:rPr/>
        <w:t>限，确认相应的递延所得税资产。 对于应纳税暂时性差异，除特殊情况外，确认递延所得税负债。</w:t>
      </w:r>
    </w:p>
    <w:p>
      <w:pPr>
        <w:pStyle w:val="BodyText"/>
        <w:spacing w:line="477" w:lineRule="auto" w:before="54"/>
        <w:ind w:right="0" w:firstLine="360"/>
        <w:jc w:val="left"/>
      </w:pPr>
      <w:r>
        <w:rPr>
          <w:spacing w:val="-2"/>
        </w:rPr>
        <w:t>不确认递延所得税资产或递延所得税负债的特殊情况包括：商誉的初始确认；除企业合并以外的发生时既不影响会计利</w:t>
      </w:r>
      <w:r>
        <w:rPr/>
        <w:t> 润也不影响应纳税所得额（或可抵扣亏损）的其他交易或事项。</w:t>
      </w:r>
    </w:p>
    <w:p>
      <w:pPr>
        <w:pStyle w:val="BodyText"/>
        <w:spacing w:line="477" w:lineRule="auto" w:before="54"/>
        <w:ind w:right="0" w:firstLine="360"/>
        <w:jc w:val="left"/>
      </w:pPr>
      <w:r>
        <w:rPr>
          <w:spacing w:val="-2"/>
        </w:rPr>
        <w:t>当拥有以净额结算的法定权利，且意图以净额结算或取得资产、清偿负债同时进行时，当期所得税资产及当期所得税负</w:t>
      </w:r>
      <w:r>
        <w:rPr/>
        <w:t> 债以抵销后的净额列报。</w:t>
      </w:r>
    </w:p>
    <w:p>
      <w:pPr>
        <w:pStyle w:val="BodyText"/>
        <w:spacing w:line="477" w:lineRule="auto" w:before="54"/>
        <w:ind w:right="152" w:firstLine="360"/>
        <w:jc w:val="both"/>
      </w:pPr>
      <w:r>
        <w:rPr>
          <w:spacing w:val="-2"/>
        </w:rPr>
        <w:t>当拥有以净额结算当期所得税资产及当期所得税负债的法定权利，且递延所得税资产及递延所得税负债是与同一税收征</w:t>
      </w:r>
      <w:r>
        <w:rPr/>
        <w:t> </w:t>
      </w:r>
      <w:r>
        <w:rPr>
          <w:spacing w:val="-2"/>
        </w:rPr>
        <w:t>管部门对同一纳税主体征收的所得税相关或者是对不同的纳税主体相关，但在未来每一具有重要性的递延所得税资产及负债</w:t>
      </w:r>
      <w:r>
        <w:rPr>
          <w:spacing w:val="-64"/>
        </w:rPr>
        <w:t> </w:t>
      </w:r>
      <w:r>
        <w:rPr>
          <w:spacing w:val="-64"/>
        </w:rPr>
      </w:r>
      <w:r>
        <w:rPr>
          <w:spacing w:val="-2"/>
        </w:rPr>
        <w:t>转回的期间内，涉及的纳税主体意图以净额结算当期所得税资产和负债或是同时取得资产、清偿负债时，递延所得税资产及</w:t>
      </w:r>
      <w:r>
        <w:rPr>
          <w:spacing w:val="-66"/>
        </w:rPr>
        <w:t> </w:t>
      </w:r>
      <w:r>
        <w:rPr>
          <w:spacing w:val="-66"/>
        </w:rPr>
      </w:r>
      <w:r>
        <w:rPr/>
        <w:t>递延所得税负债以抵销后的净额列报。</w:t>
      </w:r>
    </w:p>
    <w:p>
      <w:pPr>
        <w:spacing w:after="0" w:line="477" w:lineRule="auto"/>
        <w:jc w:val="both"/>
        <w:sectPr>
          <w:pgSz w:w="11910" w:h="16840"/>
          <w:pgMar w:header="877" w:footer="979" w:top="1100" w:bottom="1160" w:left="980" w:right="980"/>
        </w:sectPr>
      </w:pPr>
    </w:p>
    <w:p>
      <w:pPr>
        <w:spacing w:line="240" w:lineRule="auto" w:before="0"/>
        <w:rPr>
          <w:rFonts w:ascii="宋体" w:hAnsi="宋体" w:cs="宋体" w:eastAsia="宋体" w:hint="default"/>
          <w:sz w:val="22"/>
          <w:szCs w:val="22"/>
        </w:rPr>
      </w:pPr>
    </w:p>
    <w:p>
      <w:pPr>
        <w:pStyle w:val="Heading5"/>
        <w:spacing w:line="300" w:lineRule="exact"/>
        <w:ind w:right="94"/>
        <w:jc w:val="left"/>
        <w:rPr>
          <w:b w:val="0"/>
          <w:bCs w:val="0"/>
        </w:rPr>
      </w:pPr>
      <w:r>
        <w:rPr>
          <w:rFonts w:ascii="Times New Roman" w:hAnsi="Times New Roman" w:cs="Times New Roman" w:eastAsia="Times New Roman" w:hint="default"/>
        </w:rPr>
        <w:t>28</w:t>
      </w:r>
      <w:r>
        <w:rPr/>
        <w:t>、租赁</w:t>
      </w:r>
      <w:r>
        <w:rPr>
          <w:b w:val="0"/>
          <w:bCs w:val="0"/>
        </w:rPr>
      </w:r>
    </w:p>
    <w:p>
      <w:pPr>
        <w:spacing w:line="240" w:lineRule="auto" w:before="5"/>
        <w:rPr>
          <w:rFonts w:ascii="Microsoft JhengHei" w:hAnsi="Microsoft JhengHei" w:cs="Microsoft JhengHei" w:eastAsia="Microsoft JhengHei" w:hint="default"/>
          <w:b/>
          <w:bCs/>
          <w:sz w:val="17"/>
          <w:szCs w:val="17"/>
        </w:rPr>
      </w:pPr>
    </w:p>
    <w:p>
      <w:pPr>
        <w:pStyle w:val="Heading5"/>
        <w:spacing w:line="240" w:lineRule="auto"/>
        <w:ind w:right="94"/>
        <w:jc w:val="left"/>
        <w:rPr>
          <w:b w:val="0"/>
          <w:bCs w:val="0"/>
        </w:rPr>
      </w:pPr>
      <w:r>
        <w:rPr/>
        <w:t>（</w:t>
      </w:r>
      <w:r>
        <w:rPr>
          <w:rFonts w:ascii="Times New Roman" w:hAnsi="Times New Roman" w:cs="Times New Roman" w:eastAsia="Times New Roman" w:hint="default"/>
        </w:rPr>
        <w:t>1</w:t>
      </w:r>
      <w:r>
        <w:rPr/>
        <w:t>）经营租赁的会计处理方法</w:t>
      </w:r>
      <w:r>
        <w:rPr>
          <w:b w:val="0"/>
          <w:bCs w:val="0"/>
        </w:rPr>
      </w:r>
    </w:p>
    <w:p>
      <w:pPr>
        <w:spacing w:line="240" w:lineRule="auto" w:before="15"/>
        <w:rPr>
          <w:rFonts w:ascii="Microsoft JhengHei" w:hAnsi="Microsoft JhengHei" w:cs="Microsoft JhengHei" w:eastAsia="Microsoft JhengHei" w:hint="default"/>
          <w:b/>
          <w:bCs/>
          <w:sz w:val="24"/>
          <w:szCs w:val="24"/>
        </w:rPr>
      </w:pPr>
    </w:p>
    <w:p>
      <w:pPr>
        <w:pStyle w:val="BodyText"/>
        <w:spacing w:line="477" w:lineRule="auto"/>
        <w:ind w:right="193" w:firstLine="360"/>
        <w:jc w:val="both"/>
      </w:pPr>
      <w:r>
        <w:rPr>
          <w:spacing w:val="-2"/>
        </w:rPr>
        <w:t>①公司租入资产所支付的租赁费，在不扣除免租期的整个租赁期内，按直线法进行分摊，计入当期费用。公司支付的与</w:t>
      </w:r>
      <w:r>
        <w:rPr/>
        <w:t> 租赁交易相关的初始直接费用，计入当期费用。</w:t>
      </w:r>
    </w:p>
    <w:p>
      <w:pPr>
        <w:pStyle w:val="BodyText"/>
        <w:spacing w:line="477" w:lineRule="auto" w:before="54"/>
        <w:ind w:right="192" w:firstLine="360"/>
        <w:jc w:val="both"/>
      </w:pPr>
      <w:r>
        <w:rPr>
          <w:spacing w:val="-2"/>
        </w:rPr>
        <w:t>资产出租方承担了应由公司承担的与租赁相关的费用时，公司将该部分费用从租金总额中扣除，按扣除后的租金费用在</w:t>
      </w:r>
      <w:r>
        <w:rPr/>
        <w:t> 租赁期内分摊，计入当期费用。</w:t>
      </w:r>
    </w:p>
    <w:p>
      <w:pPr>
        <w:pStyle w:val="BodyText"/>
        <w:spacing w:line="477" w:lineRule="auto" w:before="55"/>
        <w:ind w:right="193" w:firstLine="360"/>
        <w:jc w:val="both"/>
      </w:pPr>
      <w:r>
        <w:rPr>
          <w:spacing w:val="-2"/>
        </w:rPr>
        <w:t>②公司出租资产所收取的租赁费，在不扣除免租期的整个租赁期内，按直线法进行分摊，确认为租赁相关收入。公司支</w:t>
      </w:r>
      <w:r>
        <w:rPr/>
        <w:t> </w:t>
      </w:r>
      <w:r>
        <w:rPr>
          <w:spacing w:val="-2"/>
        </w:rPr>
        <w:t>付的与租赁交易相关的初始直接费用，计入当期费用；如金额较大的，则予以资本化，在整个租赁期间内按照与租赁相关收</w:t>
      </w:r>
      <w:r>
        <w:rPr>
          <w:spacing w:val="-66"/>
        </w:rPr>
        <w:t> </w:t>
      </w:r>
      <w:r>
        <w:rPr>
          <w:spacing w:val="-66"/>
        </w:rPr>
      </w:r>
      <w:r>
        <w:rPr/>
        <w:t>入确认相同的基础分期计入当期收益。</w:t>
      </w:r>
    </w:p>
    <w:p>
      <w:pPr>
        <w:pStyle w:val="BodyText"/>
        <w:spacing w:line="477" w:lineRule="auto" w:before="54"/>
        <w:ind w:right="191" w:firstLine="360"/>
        <w:jc w:val="both"/>
      </w:pPr>
      <w:r>
        <w:rPr>
          <w:spacing w:val="-2"/>
        </w:rPr>
        <w:t>公司承担了应由承租方承担的与租赁相关的费用时，公司将该部分费用从租金收入总额中扣除，按扣除后的租金费用在</w:t>
      </w:r>
      <w:r>
        <w:rPr/>
        <w:t> 租赁期内分配。</w:t>
      </w:r>
    </w:p>
    <w:p>
      <w:pPr>
        <w:spacing w:line="240" w:lineRule="auto" w:before="11"/>
        <w:rPr>
          <w:rFonts w:ascii="宋体" w:hAnsi="宋体" w:cs="宋体" w:eastAsia="宋体" w:hint="default"/>
          <w:sz w:val="16"/>
          <w:szCs w:val="16"/>
        </w:rPr>
      </w:pPr>
    </w:p>
    <w:p>
      <w:pPr>
        <w:pStyle w:val="Heading5"/>
        <w:spacing w:line="240" w:lineRule="auto"/>
        <w:ind w:right="94"/>
        <w:jc w:val="left"/>
        <w:rPr>
          <w:b w:val="0"/>
          <w:bCs w:val="0"/>
        </w:rPr>
      </w:pPr>
      <w:r>
        <w:rPr/>
        <w:t>（</w:t>
      </w:r>
      <w:r>
        <w:rPr>
          <w:rFonts w:ascii="Times New Roman" w:hAnsi="Times New Roman" w:cs="Times New Roman" w:eastAsia="Times New Roman" w:hint="default"/>
        </w:rPr>
        <w:t>2</w:t>
      </w:r>
      <w:r>
        <w:rPr/>
        <w:t>）融资租赁的会计处理方法</w:t>
      </w:r>
      <w:r>
        <w:rPr>
          <w:b w:val="0"/>
          <w:bCs w:val="0"/>
        </w:rPr>
      </w:r>
    </w:p>
    <w:p>
      <w:pPr>
        <w:spacing w:line="240" w:lineRule="auto" w:before="0"/>
        <w:rPr>
          <w:rFonts w:ascii="Microsoft JhengHei" w:hAnsi="Microsoft JhengHei" w:cs="Microsoft JhengHei" w:eastAsia="Microsoft JhengHei" w:hint="default"/>
          <w:b/>
          <w:bCs/>
          <w:sz w:val="25"/>
          <w:szCs w:val="25"/>
        </w:rPr>
      </w:pPr>
    </w:p>
    <w:p>
      <w:pPr>
        <w:pStyle w:val="BodyText"/>
        <w:spacing w:line="477" w:lineRule="auto"/>
        <w:ind w:right="190" w:firstLine="360"/>
        <w:jc w:val="both"/>
      </w:pPr>
      <w:r>
        <w:rPr>
          <w:spacing w:val="-2"/>
        </w:rPr>
        <w:t>①融资租入资产：公司在承租开始日，将租赁资产公允价值与最低租赁付款额现值两者中较低者作为租入资产的入账价</w:t>
      </w:r>
      <w:r>
        <w:rPr/>
        <w:t> </w:t>
      </w:r>
      <w:r>
        <w:rPr>
          <w:spacing w:val="-2"/>
        </w:rPr>
        <w:t>值，将最低租赁付款额作为长期应付款的入账价值，其差额作为未确认的融资费用。公司采用实际利率法对未确认的融资费</w:t>
      </w:r>
      <w:r>
        <w:rPr>
          <w:spacing w:val="-63"/>
        </w:rPr>
        <w:t> </w:t>
      </w:r>
      <w:r>
        <w:rPr>
          <w:spacing w:val="-63"/>
        </w:rPr>
      </w:r>
      <w:r>
        <w:rPr/>
        <w:t>用，在资产租赁期间内摊销，计入财务费用。公司发生的初始直接费用，计入租入资产价值。</w:t>
      </w:r>
    </w:p>
    <w:p>
      <w:pPr>
        <w:pStyle w:val="BodyText"/>
        <w:spacing w:line="477" w:lineRule="auto" w:before="54"/>
        <w:ind w:right="94" w:firstLine="360"/>
        <w:jc w:val="left"/>
      </w:pPr>
      <w:r>
        <w:rPr>
          <w:spacing w:val="-2"/>
        </w:rPr>
        <w:t>②融资租出资产：公司在租赁开始日，将应收融资租赁款，未担保余值之和与其现值的差额确认为未实现融资收益，在</w:t>
      </w:r>
      <w:r>
        <w:rPr/>
        <w:t> </w:t>
      </w:r>
      <w:r>
        <w:rPr>
          <w:spacing w:val="-4"/>
        </w:rPr>
        <w:t>将来收到租金的各期间内确认为租赁收入。公司发生的与出租交易相关的初始直接费用，计入应收融资租赁款的初始计量中，</w:t>
      </w:r>
      <w:r>
        <w:rPr>
          <w:spacing w:val="-43"/>
        </w:rPr>
        <w:t> </w:t>
      </w:r>
      <w:r>
        <w:rPr>
          <w:spacing w:val="-43"/>
        </w:rPr>
      </w:r>
      <w:r>
        <w:rPr/>
        <w:t>并减少租赁期内确认的收益金额。</w:t>
      </w:r>
    </w:p>
    <w:p>
      <w:pPr>
        <w:spacing w:line="240" w:lineRule="auto" w:before="11"/>
        <w:rPr>
          <w:rFonts w:ascii="宋体" w:hAnsi="宋体" w:cs="宋体" w:eastAsia="宋体" w:hint="default"/>
          <w:sz w:val="16"/>
          <w:szCs w:val="16"/>
        </w:rPr>
      </w:pPr>
    </w:p>
    <w:p>
      <w:pPr>
        <w:pStyle w:val="Heading5"/>
        <w:spacing w:line="571" w:lineRule="auto"/>
        <w:ind w:left="513" w:right="6934" w:hanging="361"/>
        <w:jc w:val="left"/>
        <w:rPr>
          <w:rFonts w:ascii="宋体" w:hAnsi="宋体" w:cs="宋体" w:eastAsia="宋体" w:hint="default"/>
          <w:b w:val="0"/>
          <w:bCs w:val="0"/>
        </w:rPr>
      </w:pPr>
      <w:r>
        <w:rPr>
          <w:rFonts w:ascii="Times New Roman" w:hAnsi="Times New Roman" w:cs="Times New Roman" w:eastAsia="Times New Roman" w:hint="default"/>
        </w:rPr>
        <w:t>29</w:t>
      </w:r>
      <w:r>
        <w:rPr/>
        <w:t>、其他重要的会计政策和会计估计</w:t>
      </w:r>
      <w:r>
        <w:rPr>
          <w:spacing w:val="-36"/>
        </w:rPr>
        <w:t> </w:t>
      </w:r>
      <w:r>
        <w:rPr>
          <w:spacing w:val="-36"/>
        </w:rPr>
      </w:r>
      <w:r>
        <w:rPr>
          <w:rFonts w:ascii="宋体" w:hAnsi="宋体" w:cs="宋体" w:eastAsia="宋体" w:hint="default"/>
          <w:b w:val="0"/>
          <w:bCs w:val="0"/>
        </w:rPr>
        <w:t>套期会计</w:t>
      </w:r>
    </w:p>
    <w:p>
      <w:pPr>
        <w:pStyle w:val="BodyText"/>
        <w:spacing w:line="220" w:lineRule="exact"/>
        <w:ind w:left="513" w:right="94"/>
        <w:jc w:val="left"/>
      </w:pPr>
      <w:r>
        <w:rPr/>
        <w:t>（一）套期保值的分类</w:t>
      </w:r>
    </w:p>
    <w:p>
      <w:pPr>
        <w:spacing w:line="240" w:lineRule="auto" w:before="10"/>
        <w:rPr>
          <w:rFonts w:ascii="宋体" w:hAnsi="宋体" w:cs="宋体" w:eastAsia="宋体" w:hint="default"/>
          <w:sz w:val="17"/>
          <w:szCs w:val="17"/>
        </w:rPr>
      </w:pPr>
    </w:p>
    <w:p>
      <w:pPr>
        <w:pStyle w:val="BodyText"/>
        <w:spacing w:line="240" w:lineRule="auto"/>
        <w:ind w:left="513" w:right="94"/>
        <w:jc w:val="left"/>
      </w:pPr>
      <w:r>
        <w:rPr/>
        <w:t>（</w:t>
      </w:r>
      <w:r>
        <w:rPr>
          <w:rFonts w:ascii="宋体" w:hAnsi="宋体" w:cs="宋体" w:eastAsia="宋体" w:hint="default"/>
        </w:rPr>
        <w:t>1</w:t>
      </w:r>
      <w:r>
        <w:rPr/>
        <w:t>）公允价值套期，是指对已确认资产或负债，尚未确认的确定承诺（除外汇风险外）的公允价值变动风险进行的套</w:t>
      </w:r>
    </w:p>
    <w:p>
      <w:pPr>
        <w:spacing w:line="240" w:lineRule="auto" w:before="10"/>
        <w:rPr>
          <w:rFonts w:ascii="宋体" w:hAnsi="宋体" w:cs="宋体" w:eastAsia="宋体" w:hint="default"/>
          <w:sz w:val="17"/>
          <w:szCs w:val="17"/>
        </w:rPr>
      </w:pPr>
    </w:p>
    <w:p>
      <w:pPr>
        <w:pStyle w:val="BodyText"/>
        <w:spacing w:line="240" w:lineRule="auto"/>
        <w:ind w:right="94"/>
        <w:jc w:val="left"/>
      </w:pPr>
      <w:r>
        <w:rPr/>
        <w:t>期；</w:t>
      </w:r>
    </w:p>
    <w:p>
      <w:pPr>
        <w:spacing w:line="240" w:lineRule="auto" w:before="10"/>
        <w:rPr>
          <w:rFonts w:ascii="宋体" w:hAnsi="宋体" w:cs="宋体" w:eastAsia="宋体" w:hint="default"/>
          <w:sz w:val="17"/>
          <w:szCs w:val="17"/>
        </w:rPr>
      </w:pPr>
    </w:p>
    <w:p>
      <w:pPr>
        <w:pStyle w:val="BodyText"/>
        <w:spacing w:line="477" w:lineRule="auto"/>
        <w:ind w:right="193" w:firstLine="360"/>
        <w:jc w:val="both"/>
      </w:pPr>
      <w:r>
        <w:rPr/>
        <w:t>（</w:t>
      </w:r>
      <w:r>
        <w:rPr>
          <w:rFonts w:ascii="宋体" w:hAnsi="宋体" w:cs="宋体" w:eastAsia="宋体" w:hint="default"/>
        </w:rPr>
        <w:t>2</w:t>
      </w:r>
      <w:r>
        <w:rPr/>
        <w:t>）现金流量套期，是指对现金流量变动风险进行的套期，此现金流量变动源于与已确认资产或负债、很可能发生的 预期交易有关的某类特定风险，或一项未确认的确定承诺包含的外汇风险；</w:t>
      </w:r>
    </w:p>
    <w:p>
      <w:pPr>
        <w:pStyle w:val="BodyText"/>
        <w:spacing w:line="477" w:lineRule="auto" w:before="54"/>
        <w:ind w:right="192" w:firstLine="360"/>
        <w:jc w:val="both"/>
      </w:pPr>
      <w:r>
        <w:rPr/>
        <w:t>（</w:t>
      </w:r>
      <w:r>
        <w:rPr>
          <w:rFonts w:ascii="宋体" w:hAnsi="宋体" w:cs="宋体" w:eastAsia="宋体" w:hint="default"/>
        </w:rPr>
        <w:t>3</w:t>
      </w:r>
      <w:r>
        <w:rPr/>
        <w:t>）境外经营净投资套期，是指对境外经营净投资外汇风险进行的套期。境外经营净投资，是指企业在境外经营净资 产中的权益份额。</w:t>
      </w:r>
    </w:p>
    <w:p>
      <w:pPr>
        <w:spacing w:after="0" w:line="477" w:lineRule="auto"/>
        <w:jc w:val="both"/>
        <w:sectPr>
          <w:pgSz w:w="11910" w:h="16840"/>
          <w:pgMar w:header="877" w:footer="979" w:top="1100" w:bottom="1160" w:left="980" w:right="9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3"/>
          <w:szCs w:val="23"/>
        </w:rPr>
      </w:pPr>
    </w:p>
    <w:p>
      <w:pPr>
        <w:pStyle w:val="BodyText"/>
        <w:spacing w:line="477" w:lineRule="auto" w:before="44"/>
        <w:ind w:left="513" w:right="94"/>
        <w:jc w:val="left"/>
      </w:pPr>
      <w:r>
        <w:rPr/>
        <w:t>（二）套期关系的指定及套期有效性的认定 </w:t>
      </w:r>
      <w:r>
        <w:rPr>
          <w:spacing w:val="-4"/>
        </w:rPr>
        <w:t>在套期关系开始时，本公司对套期关系有正式指定，并准备了关于套期关系、风险管理目标和套期策略的正式书面文件。</w:t>
      </w:r>
    </w:p>
    <w:p>
      <w:pPr>
        <w:pStyle w:val="BodyText"/>
        <w:spacing w:line="477" w:lineRule="auto" w:before="54"/>
        <w:ind w:left="513" w:right="94" w:hanging="361"/>
        <w:jc w:val="left"/>
      </w:pPr>
      <w:r>
        <w:rPr/>
        <w:t>该文件载明了套期工具、被套期项目或交易，被套期风险的性质，以及本公司对套期工具有效性评价方法。 </w:t>
      </w:r>
      <w:r>
        <w:rPr>
          <w:spacing w:val="-2"/>
        </w:rPr>
        <w:t>套期有效性，是指套期工具的公允价值或现金流量变动能够抵销被套期风险引起的被套期项目公允价值或现金流量变动</w:t>
      </w:r>
    </w:p>
    <w:p>
      <w:pPr>
        <w:pStyle w:val="BodyText"/>
        <w:spacing w:line="477" w:lineRule="auto" w:before="54"/>
        <w:ind w:right="190"/>
        <w:jc w:val="both"/>
      </w:pPr>
      <w:r>
        <w:rPr>
          <w:spacing w:val="-2"/>
        </w:rPr>
        <w:t>的程度。本公司持续地对套期有效性进行评价，判断该套期在套期关系被指定的会计期间内是否高度有效。套期同时满足下</w:t>
      </w:r>
      <w:r>
        <w:rPr>
          <w:spacing w:val="-63"/>
        </w:rPr>
        <w:t> </w:t>
      </w:r>
      <w:r>
        <w:rPr>
          <w:spacing w:val="-63"/>
        </w:rPr>
      </w:r>
      <w:r>
        <w:rPr/>
        <w:t>列条件时，本公司认定其为高度有效：</w:t>
      </w:r>
    </w:p>
    <w:p>
      <w:pPr>
        <w:pStyle w:val="BodyText"/>
        <w:spacing w:line="240" w:lineRule="auto" w:before="55"/>
        <w:ind w:left="513" w:right="0"/>
        <w:jc w:val="left"/>
      </w:pPr>
      <w:r>
        <w:rPr>
          <w:spacing w:val="-2"/>
        </w:rPr>
        <w:t>（</w:t>
      </w:r>
      <w:r>
        <w:rPr>
          <w:rFonts w:ascii="宋体" w:hAnsi="宋体" w:cs="宋体" w:eastAsia="宋体" w:hint="default"/>
          <w:spacing w:val="-2"/>
        </w:rPr>
        <w:t>1</w:t>
      </w:r>
      <w:r>
        <w:rPr>
          <w:spacing w:val="-2"/>
        </w:rPr>
        <w:t>）在套期开始及以后期间，该套期预期会高度有效地抵销套期指定期间被套期风险引起的公允价值或现金流量变动；</w:t>
      </w:r>
    </w:p>
    <w:p>
      <w:pPr>
        <w:spacing w:line="240" w:lineRule="auto" w:before="10"/>
        <w:rPr>
          <w:rFonts w:ascii="宋体" w:hAnsi="宋体" w:cs="宋体" w:eastAsia="宋体" w:hint="default"/>
          <w:sz w:val="17"/>
          <w:szCs w:val="17"/>
        </w:rPr>
      </w:pPr>
    </w:p>
    <w:p>
      <w:pPr>
        <w:pStyle w:val="BodyText"/>
        <w:spacing w:line="240" w:lineRule="auto"/>
        <w:ind w:left="513" w:right="94"/>
        <w:jc w:val="left"/>
      </w:pPr>
      <w:r>
        <w:rPr/>
        <w:t>（</w:t>
      </w:r>
      <w:r>
        <w:rPr>
          <w:rFonts w:ascii="宋体" w:hAnsi="宋体" w:cs="宋体" w:eastAsia="宋体" w:hint="default"/>
        </w:rPr>
        <w:t>2</w:t>
      </w:r>
      <w:r>
        <w:rPr/>
        <w:t>）该套期的实际抵销结果在</w:t>
      </w:r>
      <w:r>
        <w:rPr>
          <w:rFonts w:ascii="宋体" w:hAnsi="宋体" w:cs="宋体" w:eastAsia="宋体" w:hint="default"/>
        </w:rPr>
        <w:t>80%</w:t>
      </w:r>
      <w:r>
        <w:rPr/>
        <w:t>至</w:t>
      </w:r>
      <w:r>
        <w:rPr>
          <w:rFonts w:ascii="宋体" w:hAnsi="宋体" w:cs="宋体" w:eastAsia="宋体" w:hint="default"/>
        </w:rPr>
        <w:t>125%</w:t>
      </w:r>
      <w:r>
        <w:rPr/>
        <w:t>的范围内。</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7"/>
          <w:szCs w:val="17"/>
        </w:rPr>
      </w:pPr>
    </w:p>
    <w:p>
      <w:pPr>
        <w:pStyle w:val="BodyText"/>
        <w:spacing w:line="240" w:lineRule="auto"/>
        <w:ind w:left="513" w:right="94"/>
        <w:jc w:val="left"/>
      </w:pPr>
      <w:r>
        <w:rPr/>
        <w:t>（三）套期会计处理方法</w:t>
      </w:r>
    </w:p>
    <w:p>
      <w:pPr>
        <w:spacing w:line="240" w:lineRule="auto" w:before="10"/>
        <w:rPr>
          <w:rFonts w:ascii="宋体" w:hAnsi="宋体" w:cs="宋体" w:eastAsia="宋体" w:hint="default"/>
          <w:sz w:val="17"/>
          <w:szCs w:val="17"/>
        </w:rPr>
      </w:pPr>
    </w:p>
    <w:p>
      <w:pPr>
        <w:pStyle w:val="BodyText"/>
        <w:spacing w:line="477" w:lineRule="auto"/>
        <w:ind w:left="513" w:right="94"/>
        <w:jc w:val="left"/>
      </w:pPr>
      <w:r>
        <w:rPr/>
        <w:t>（</w:t>
      </w:r>
      <w:r>
        <w:rPr>
          <w:rFonts w:ascii="宋体" w:hAnsi="宋体" w:cs="宋体" w:eastAsia="宋体" w:hint="default"/>
        </w:rPr>
        <w:t>1</w:t>
      </w:r>
      <w:r>
        <w:rPr/>
        <w:t>）公允价值套期 </w:t>
      </w:r>
      <w:r>
        <w:rPr>
          <w:spacing w:val="-2"/>
        </w:rPr>
        <w:t>套期衍生工具的公允价值变动计入当期损益。被套期项目的公允价值因套期风险而形成的变动，计入当期损益，同时调</w:t>
      </w:r>
    </w:p>
    <w:p>
      <w:pPr>
        <w:pStyle w:val="BodyText"/>
        <w:spacing w:line="477" w:lineRule="auto" w:before="54"/>
        <w:ind w:left="513" w:right="94" w:hanging="361"/>
        <w:jc w:val="left"/>
      </w:pPr>
      <w:r>
        <w:rPr/>
        <w:t>整被套期项目的账面价值。 </w:t>
      </w:r>
      <w:r>
        <w:rPr>
          <w:spacing w:val="-2"/>
        </w:rPr>
        <w:t>就与按摊余成本计量的金融工具有关的公允价值套期而言，对被套期项目账面价值所作的调整，在调整日至到期日之间</w:t>
      </w:r>
    </w:p>
    <w:p>
      <w:pPr>
        <w:pStyle w:val="BodyText"/>
        <w:spacing w:line="477" w:lineRule="auto" w:before="54"/>
        <w:ind w:right="190"/>
        <w:jc w:val="both"/>
      </w:pPr>
      <w:r>
        <w:rPr>
          <w:spacing w:val="-2"/>
        </w:rPr>
        <w:t>的剩余期间内进行摊销，计入当期损益。按照实际利率法的摊销可于账面价值调整后随即开始，并不得晚于被套期项目终止</w:t>
      </w:r>
      <w:r>
        <w:rPr>
          <w:spacing w:val="-63"/>
        </w:rPr>
        <w:t> </w:t>
      </w:r>
      <w:r>
        <w:rPr>
          <w:spacing w:val="-63"/>
        </w:rPr>
      </w:r>
      <w:r>
        <w:rPr/>
        <w:t>针对套期风险产生的公允价值变动而进行的调整。</w:t>
      </w:r>
    </w:p>
    <w:p>
      <w:pPr>
        <w:pStyle w:val="BodyText"/>
        <w:spacing w:line="477" w:lineRule="auto" w:before="54"/>
        <w:ind w:left="513" w:right="94"/>
        <w:jc w:val="left"/>
      </w:pPr>
      <w:r>
        <w:rPr/>
        <w:t>如果被套期项目终止确认，则将未摊销的公允价值确认为当期损益。 </w:t>
      </w:r>
      <w:r>
        <w:rPr>
          <w:spacing w:val="-2"/>
        </w:rPr>
        <w:t>被套期项目为尚未确认的确定承诺的，该确定承诺的公允价值因被套期风险引起的累计公允价值变动确认为一项资产或</w:t>
      </w:r>
    </w:p>
    <w:p>
      <w:pPr>
        <w:pStyle w:val="BodyText"/>
        <w:spacing w:line="240" w:lineRule="auto" w:before="54"/>
        <w:ind w:right="94"/>
        <w:jc w:val="left"/>
      </w:pPr>
      <w:r>
        <w:rPr/>
        <w:t>负债，相关的利得或损失计入当期损益。套期工具的公允价值变动亦计入当期损益。</w:t>
      </w:r>
    </w:p>
    <w:p>
      <w:pPr>
        <w:spacing w:line="240" w:lineRule="auto" w:before="11"/>
        <w:rPr>
          <w:rFonts w:ascii="宋体" w:hAnsi="宋体" w:cs="宋体" w:eastAsia="宋体" w:hint="default"/>
          <w:sz w:val="17"/>
          <w:szCs w:val="17"/>
        </w:rPr>
      </w:pPr>
    </w:p>
    <w:p>
      <w:pPr>
        <w:pStyle w:val="BodyText"/>
        <w:spacing w:line="477" w:lineRule="auto"/>
        <w:ind w:left="513" w:right="94"/>
        <w:jc w:val="left"/>
      </w:pPr>
      <w:r>
        <w:rPr/>
        <w:t>（</w:t>
      </w:r>
      <w:r>
        <w:rPr>
          <w:rFonts w:ascii="宋体" w:hAnsi="宋体" w:cs="宋体" w:eastAsia="宋体" w:hint="default"/>
        </w:rPr>
        <w:t>2</w:t>
      </w:r>
      <w:r>
        <w:rPr/>
        <w:t>）现金流量套期 套期工具利得或损失中属于有效套期的部分，直接确认为其他综合收益，属于无效套期的部分，计入当期损益。 </w:t>
      </w:r>
      <w:r>
        <w:rPr>
          <w:spacing w:val="-2"/>
        </w:rPr>
        <w:t>如果被套期交易影响当期损益的，如当被套期财务收入或财务费用被确认或预期销售发生时，则将其他综合收益中确认</w:t>
      </w:r>
    </w:p>
    <w:p>
      <w:pPr>
        <w:pStyle w:val="BodyText"/>
        <w:spacing w:line="477" w:lineRule="auto" w:before="54"/>
        <w:ind w:right="190"/>
        <w:jc w:val="both"/>
      </w:pPr>
      <w:r>
        <w:rPr>
          <w:spacing w:val="-2"/>
        </w:rPr>
        <w:t>的金额转入当期损益。如果被套期项目是一项非金融资产或非金融负债的成本，则原在其他综合收益中确认的金额转出，计</w:t>
      </w:r>
      <w:r>
        <w:rPr>
          <w:spacing w:val="-63"/>
        </w:rPr>
        <w:t> </w:t>
      </w:r>
      <w:r>
        <w:rPr>
          <w:spacing w:val="-63"/>
        </w:rPr>
      </w:r>
      <w:r>
        <w:rPr>
          <w:spacing w:val="-2"/>
        </w:rPr>
        <w:t>入该非金融资产或非金融负债的初始确认金额（或则原在其他综合收益中确认的，在该非金融资产或非金融负债影响损益的</w:t>
      </w:r>
      <w:r>
        <w:rPr>
          <w:spacing w:val="-63"/>
        </w:rPr>
        <w:t> </w:t>
      </w:r>
      <w:r>
        <w:rPr>
          <w:spacing w:val="-63"/>
        </w:rPr>
      </w:r>
      <w:r>
        <w:rPr/>
        <w:t>相同期间转出，计入当期损益）。</w:t>
      </w:r>
    </w:p>
    <w:p>
      <w:pPr>
        <w:pStyle w:val="BodyText"/>
        <w:spacing w:line="477" w:lineRule="auto" w:before="54"/>
        <w:ind w:right="190" w:firstLine="360"/>
        <w:jc w:val="both"/>
      </w:pPr>
      <w:r>
        <w:rPr>
          <w:spacing w:val="-2"/>
        </w:rPr>
        <w:t>如果预期交易或确定承诺预计不会发生，则以前计入股东权益中的套期工具累计利得或损失转出，计入当期损益。如果</w:t>
      </w:r>
      <w:r>
        <w:rPr/>
        <w:t> </w:t>
      </w:r>
      <w:r>
        <w:rPr>
          <w:spacing w:val="-2"/>
        </w:rPr>
        <w:t>套期工具已到期、被出售、合同终止或已行使（但并未被替换或展期），或者撤销了对套期关系的指定，则以前计入其他综</w:t>
      </w:r>
      <w:r>
        <w:rPr>
          <w:spacing w:val="-68"/>
        </w:rPr>
        <w:t> </w:t>
      </w:r>
      <w:r>
        <w:rPr>
          <w:spacing w:val="-68"/>
        </w:rPr>
      </w:r>
      <w:r>
        <w:rPr/>
        <w:t>合收益的金额不转出，直至预期交易或确定承诺影响当期损益。</w:t>
      </w:r>
    </w:p>
    <w:p>
      <w:pPr>
        <w:pStyle w:val="BodyText"/>
        <w:spacing w:line="240" w:lineRule="auto" w:before="54"/>
        <w:ind w:left="513" w:right="94"/>
        <w:jc w:val="left"/>
      </w:pPr>
      <w:r>
        <w:rPr/>
        <w:t>（</w:t>
      </w:r>
      <w:r>
        <w:rPr>
          <w:rFonts w:ascii="宋体" w:hAnsi="宋体" w:cs="宋体" w:eastAsia="宋体" w:hint="default"/>
        </w:rPr>
        <w:t>3</w:t>
      </w:r>
      <w:r>
        <w:rPr/>
        <w:t>）境外经营净投资套期</w:t>
      </w:r>
    </w:p>
    <w:p>
      <w:pPr>
        <w:spacing w:after="0" w:line="240" w:lineRule="auto"/>
        <w:jc w:val="left"/>
        <w:sectPr>
          <w:pgSz w:w="11910" w:h="16840"/>
          <w:pgMar w:header="877" w:footer="979" w:top="1100" w:bottom="1160" w:left="980" w:right="940"/>
        </w:sectPr>
      </w:pPr>
    </w:p>
    <w:p>
      <w:pPr>
        <w:spacing w:line="240" w:lineRule="auto" w:before="12"/>
        <w:rPr>
          <w:rFonts w:ascii="宋体" w:hAnsi="宋体" w:cs="宋体" w:eastAsia="宋体" w:hint="default"/>
          <w:sz w:val="27"/>
          <w:szCs w:val="27"/>
        </w:rPr>
      </w:pPr>
    </w:p>
    <w:p>
      <w:pPr>
        <w:pStyle w:val="BodyText"/>
        <w:spacing w:line="465" w:lineRule="auto" w:before="44"/>
        <w:ind w:right="150" w:firstLine="360"/>
        <w:jc w:val="both"/>
        <w:rPr>
          <w:sz w:val="21"/>
          <w:szCs w:val="21"/>
        </w:rPr>
      </w:pPr>
      <w:r>
        <w:rPr>
          <w:spacing w:val="-2"/>
        </w:rPr>
        <w:t>对境外经营净投资的套期，包括作为净投资的一部分的货币性项目的套期，其处理与现金流量套期类似。套期工具的利</w:t>
      </w:r>
      <w:r>
        <w:rPr/>
        <w:t> </w:t>
      </w:r>
      <w:r>
        <w:rPr>
          <w:spacing w:val="-2"/>
        </w:rPr>
        <w:t>得或损失中被确定为有效套期的部分计入其他综合收益，而无效套期的部分确认为当期损益。处置境外经营时，任何计入股</w:t>
      </w:r>
      <w:r>
        <w:rPr>
          <w:spacing w:val="-65"/>
        </w:rPr>
        <w:t> </w:t>
      </w:r>
      <w:r>
        <w:rPr>
          <w:spacing w:val="-65"/>
        </w:rPr>
      </w:r>
      <w:r>
        <w:rPr/>
        <w:t>东权益的累计利得或损失转出，计入当期损益</w:t>
      </w:r>
      <w:r>
        <w:rPr>
          <w:sz w:val="21"/>
          <w:szCs w:val="21"/>
        </w:rPr>
        <w:t>。</w:t>
      </w:r>
    </w:p>
    <w:p>
      <w:pPr>
        <w:spacing w:line="240" w:lineRule="auto" w:before="2"/>
        <w:rPr>
          <w:rFonts w:ascii="宋体" w:hAnsi="宋体" w:cs="宋体" w:eastAsia="宋体" w:hint="default"/>
          <w:sz w:val="14"/>
          <w:szCs w:val="14"/>
        </w:rPr>
      </w:pPr>
    </w:p>
    <w:p>
      <w:pPr>
        <w:pStyle w:val="Heading5"/>
        <w:spacing w:line="240" w:lineRule="auto"/>
        <w:ind w:right="0"/>
        <w:jc w:val="left"/>
        <w:rPr>
          <w:b w:val="0"/>
          <w:bCs w:val="0"/>
        </w:rPr>
      </w:pPr>
      <w:r>
        <w:rPr>
          <w:rFonts w:ascii="Times New Roman" w:hAnsi="Times New Roman" w:cs="Times New Roman" w:eastAsia="Times New Roman" w:hint="default"/>
        </w:rPr>
        <w:t>30</w:t>
      </w:r>
      <w:r>
        <w:rPr/>
        <w:t>、重要会计政策和会计估计变更</w:t>
      </w:r>
      <w:r>
        <w:rPr>
          <w:b w:val="0"/>
          <w:bCs w:val="0"/>
        </w:rPr>
      </w:r>
    </w:p>
    <w:p>
      <w:pPr>
        <w:spacing w:line="240" w:lineRule="auto" w:before="5"/>
        <w:rPr>
          <w:rFonts w:ascii="Microsoft JhengHei" w:hAnsi="Microsoft JhengHei" w:cs="Microsoft JhengHei" w:eastAsia="Microsoft JhengHei" w:hint="default"/>
          <w:b/>
          <w:bCs/>
          <w:sz w:val="17"/>
          <w:szCs w:val="17"/>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）重要会计政策变更</w:t>
      </w:r>
      <w:r>
        <w:rPr>
          <w:b w:val="0"/>
          <w:bCs w:val="0"/>
        </w:rPr>
      </w:r>
    </w:p>
    <w:p>
      <w:pPr>
        <w:spacing w:line="240" w:lineRule="auto" w:before="5"/>
        <w:rPr>
          <w:rFonts w:ascii="Microsoft JhengHei" w:hAnsi="Microsoft JhengHei" w:cs="Microsoft JhengHei" w:eastAsia="Microsoft JhengHei" w:hint="default"/>
          <w:b/>
          <w:bCs/>
          <w:sz w:val="20"/>
          <w:szCs w:val="20"/>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93"/>
        <w:gridCol w:w="3188"/>
        <w:gridCol w:w="3190"/>
      </w:tblGrid>
      <w:tr>
        <w:trPr>
          <w:trHeight w:val="401" w:hRule="exact"/>
        </w:trPr>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11"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审批程序</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3212" w:hRule="exact"/>
        </w:trPr>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17"/>
              <w:jc w:val="left"/>
              <w:rPr>
                <w:rFonts w:ascii="宋体" w:hAnsi="宋体" w:cs="宋体" w:eastAsia="宋体" w:hint="default"/>
                <w:sz w:val="18"/>
                <w:szCs w:val="18"/>
              </w:rPr>
            </w:pPr>
            <w:r>
              <w:rPr>
                <w:rFonts w:ascii="宋体" w:hAnsi="宋体" w:cs="宋体" w:eastAsia="宋体" w:hint="default"/>
                <w:sz w:val="18"/>
                <w:szCs w:val="18"/>
              </w:rPr>
              <w:t>为进一步推动公司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B2B+O2O</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玩具渠道 电商系统落地实施，有效利用公司</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万 平方米厂房快速推动公司玩具生产商线 下展示体验实体店的建立，经公司第三 届董事会第十一次会议审议通过，公司 将子公司自用房产用于出租，根据《企 业会计准则第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投资性房地产》 规定，公司将拟用于出租的自用房产转 换为</w:t>
            </w:r>
            <w:r>
              <w:rPr>
                <w:rFonts w:ascii="Times New Roman" w:hAnsi="Times New Roman" w:cs="Times New Roman" w:eastAsia="Times New Roman" w:hint="default"/>
                <w:sz w:val="18"/>
                <w:szCs w:val="18"/>
              </w:rPr>
              <w:t>“</w:t>
            </w:r>
            <w:r>
              <w:rPr>
                <w:rFonts w:ascii="宋体" w:hAnsi="宋体" w:cs="宋体" w:eastAsia="宋体" w:hint="default"/>
                <w:sz w:val="18"/>
                <w:szCs w:val="18"/>
              </w:rPr>
              <w:t>投资性房地产</w:t>
            </w:r>
            <w:r>
              <w:rPr>
                <w:rFonts w:ascii="Times New Roman" w:hAnsi="Times New Roman" w:cs="Times New Roman" w:eastAsia="Times New Roman" w:hint="default"/>
                <w:sz w:val="18"/>
                <w:szCs w:val="18"/>
              </w:rPr>
              <w:t>”</w:t>
            </w:r>
            <w:r>
              <w:rPr>
                <w:rFonts w:ascii="宋体" w:hAnsi="宋体" w:cs="宋体" w:eastAsia="宋体" w:hint="default"/>
                <w:sz w:val="18"/>
                <w:szCs w:val="18"/>
              </w:rPr>
              <w:t>并在投资性房地产 科目进行核算。</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1"/>
                <w:szCs w:val="21"/>
              </w:rPr>
            </w:pPr>
          </w:p>
          <w:p>
            <w:pPr>
              <w:pStyle w:val="TableParagraph"/>
              <w:spacing w:line="240" w:lineRule="auto"/>
              <w:ind w:right="69"/>
              <w:jc w:val="center"/>
              <w:rPr>
                <w:rFonts w:ascii="宋体" w:hAnsi="宋体" w:cs="宋体" w:eastAsia="宋体" w:hint="default"/>
                <w:sz w:val="18"/>
                <w:szCs w:val="18"/>
              </w:rPr>
            </w:pPr>
            <w:r>
              <w:rPr>
                <w:rFonts w:ascii="宋体" w:hAnsi="宋体" w:cs="宋体" w:eastAsia="宋体" w:hint="default"/>
                <w:sz w:val="18"/>
                <w:szCs w:val="18"/>
              </w:rPr>
              <w:t>经第三届董事会第十一次会议审议通过</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19"/>
              <w:ind w:left="23" w:right="274"/>
              <w:jc w:val="left"/>
              <w:rPr>
                <w:rFonts w:ascii="宋体" w:hAnsi="宋体" w:cs="宋体" w:eastAsia="宋体" w:hint="default"/>
                <w:sz w:val="18"/>
                <w:szCs w:val="18"/>
              </w:rPr>
            </w:pPr>
            <w:r>
              <w:rPr>
                <w:rFonts w:ascii="宋体" w:hAnsi="宋体" w:cs="宋体" w:eastAsia="宋体" w:hint="default"/>
                <w:sz w:val="18"/>
                <w:szCs w:val="18"/>
              </w:rPr>
              <w:t>因公司会计政策变更前无投资性房地 产，遂无追溯调整。</w:t>
            </w:r>
          </w:p>
        </w:tc>
      </w:tr>
      <w:tr>
        <w:trPr>
          <w:trHeight w:val="1649" w:hRule="exact"/>
        </w:trPr>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财政部于</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年度修订了《企业会计准</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则第</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政府补助》。</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69"/>
              <w:jc w:val="center"/>
              <w:rPr>
                <w:rFonts w:ascii="宋体" w:hAnsi="宋体" w:cs="宋体" w:eastAsia="宋体" w:hint="default"/>
                <w:sz w:val="18"/>
                <w:szCs w:val="18"/>
              </w:rPr>
            </w:pPr>
            <w:r>
              <w:rPr>
                <w:rFonts w:ascii="宋体" w:hAnsi="宋体" w:cs="宋体" w:eastAsia="宋体" w:hint="default"/>
                <w:sz w:val="18"/>
                <w:szCs w:val="18"/>
              </w:rPr>
              <w:t>经第三届董事会第十六次会议审议通过</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修订后的准则自</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日起施</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pacing w:val="-5"/>
                <w:sz w:val="18"/>
                <w:szCs w:val="18"/>
              </w:rPr>
              <w:t>行，对于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日存在的政府补</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助</w:t>
            </w:r>
            <w:r>
              <w:rPr>
                <w:rFonts w:ascii="宋体" w:hAnsi="宋体" w:cs="宋体" w:eastAsia="宋体" w:hint="default"/>
                <w:spacing w:val="-77"/>
                <w:sz w:val="18"/>
                <w:szCs w:val="18"/>
              </w:rPr>
              <w:t>，</w:t>
            </w:r>
            <w:r>
              <w:rPr>
                <w:rFonts w:ascii="宋体" w:hAnsi="宋体" w:cs="宋体" w:eastAsia="宋体" w:hint="default"/>
                <w:sz w:val="18"/>
                <w:szCs w:val="18"/>
              </w:rPr>
              <w:t>要求采用未来适用法处理</w:t>
            </w:r>
            <w:r>
              <w:rPr>
                <w:rFonts w:ascii="宋体" w:hAnsi="宋体" w:cs="宋体" w:eastAsia="宋体" w:hint="default"/>
                <w:spacing w:val="-75"/>
                <w:sz w:val="18"/>
                <w:szCs w:val="18"/>
              </w:rPr>
              <w:t>；</w:t>
            </w:r>
            <w:r>
              <w:rPr>
                <w:rFonts w:ascii="宋体" w:hAnsi="宋体" w:cs="宋体" w:eastAsia="宋体" w:hint="default"/>
                <w:sz w:val="18"/>
                <w:szCs w:val="18"/>
              </w:rPr>
              <w:t>对于</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7</w:t>
            </w:r>
          </w:p>
          <w:p>
            <w:pPr>
              <w:pStyle w:val="TableParagraph"/>
              <w:spacing w:line="300" w:lineRule="auto" w:before="63"/>
              <w:ind w:left="23" w:right="94"/>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日至施行日新增的政府补助， 也要求按照修订后的准则进行调整。</w:t>
            </w:r>
          </w:p>
        </w:tc>
      </w:tr>
      <w:tr>
        <w:trPr>
          <w:trHeight w:val="1652" w:hRule="exact"/>
        </w:trPr>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23"/>
              <w:jc w:val="left"/>
              <w:rPr>
                <w:rFonts w:ascii="宋体" w:hAnsi="宋体" w:cs="宋体" w:eastAsia="宋体" w:hint="default"/>
                <w:sz w:val="18"/>
                <w:szCs w:val="18"/>
              </w:rPr>
            </w:pPr>
            <w:r>
              <w:rPr>
                <w:rFonts w:ascii="宋体" w:hAnsi="宋体" w:cs="宋体" w:eastAsia="宋体" w:hint="default"/>
                <w:sz w:val="18"/>
                <w:szCs w:val="18"/>
              </w:rPr>
              <w:t>财政部于</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年度发布了《财政部关于 修订印发一般企业财务报表格式的通 知》，对一般企业财务报表格式进行了 </w:t>
            </w:r>
            <w:r>
              <w:rPr>
                <w:rFonts w:ascii="宋体" w:hAnsi="宋体" w:cs="宋体" w:eastAsia="宋体" w:hint="default"/>
                <w:spacing w:val="-3"/>
                <w:sz w:val="18"/>
                <w:szCs w:val="18"/>
              </w:rPr>
              <w:t>修订，适用于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年度及以后期间的财 务报表。</w:t>
            </w:r>
          </w:p>
        </w:tc>
        <w:tc>
          <w:tcPr>
            <w:tcW w:w="3188"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4"/>
          <w:szCs w:val="14"/>
        </w:rPr>
      </w:pPr>
    </w:p>
    <w:p>
      <w:pPr>
        <w:pStyle w:val="BodyText"/>
        <w:spacing w:line="240" w:lineRule="auto" w:before="44"/>
        <w:ind w:left="513" w:right="0"/>
        <w:jc w:val="left"/>
      </w:pPr>
      <w:r>
        <w:rPr/>
        <w:t>本公司执行上述三项规定的主要影响如下：</w:t>
      </w:r>
    </w:p>
    <w:p>
      <w:pPr>
        <w:spacing w:line="240" w:lineRule="auto" w:before="1"/>
        <w:rPr>
          <w:rFonts w:ascii="宋体" w:hAnsi="宋体" w:cs="宋体" w:eastAsia="宋体" w:hint="default"/>
          <w:sz w:val="11"/>
          <w:szCs w:val="11"/>
        </w:rPr>
      </w:pPr>
    </w:p>
    <w:tbl>
      <w:tblPr>
        <w:tblW w:w="0" w:type="auto"/>
        <w:jc w:val="left"/>
        <w:tblInd w:w="138" w:type="dxa"/>
        <w:tblLayout w:type="fixed"/>
        <w:tblCellMar>
          <w:top w:w="0" w:type="dxa"/>
          <w:left w:w="0" w:type="dxa"/>
          <w:bottom w:w="0" w:type="dxa"/>
          <w:right w:w="0" w:type="dxa"/>
        </w:tblCellMar>
        <w:tblLook w:val="01E0"/>
      </w:tblPr>
      <w:tblGrid>
        <w:gridCol w:w="5658"/>
        <w:gridCol w:w="4001"/>
      </w:tblGrid>
      <w:tr>
        <w:trPr>
          <w:trHeight w:val="341" w:hRule="exact"/>
        </w:trPr>
        <w:tc>
          <w:tcPr>
            <w:tcW w:w="5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742"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4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825" w:right="0"/>
              <w:jc w:val="left"/>
              <w:rPr>
                <w:rFonts w:ascii="宋体" w:hAnsi="宋体" w:cs="宋体" w:eastAsia="宋体" w:hint="default"/>
                <w:sz w:val="18"/>
                <w:szCs w:val="18"/>
              </w:rPr>
            </w:pPr>
            <w:r>
              <w:rPr>
                <w:rFonts w:ascii="宋体" w:hAnsi="宋体" w:cs="宋体" w:eastAsia="宋体" w:hint="default"/>
                <w:sz w:val="18"/>
                <w:szCs w:val="18"/>
              </w:rPr>
              <w:t>受影响的报表项目名称和金额</w:t>
            </w:r>
          </w:p>
        </w:tc>
      </w:tr>
      <w:tr>
        <w:trPr>
          <w:trHeight w:val="655" w:hRule="exact"/>
        </w:trPr>
        <w:tc>
          <w:tcPr>
            <w:tcW w:w="565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20"/>
              <w:ind w:left="4" w:right="5"/>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）在利润表中分别列示</w:t>
            </w:r>
            <w:r>
              <w:rPr>
                <w:rFonts w:ascii="Times New Roman" w:hAnsi="Times New Roman" w:cs="Times New Roman" w:eastAsia="Times New Roman" w:hint="default"/>
                <w:sz w:val="18"/>
                <w:szCs w:val="18"/>
              </w:rPr>
              <w:t>“</w:t>
            </w:r>
            <w:r>
              <w:rPr>
                <w:rFonts w:ascii="宋体" w:hAnsi="宋体" w:cs="宋体" w:eastAsia="宋体" w:hint="default"/>
                <w:sz w:val="18"/>
                <w:szCs w:val="18"/>
              </w:rPr>
              <w:t>持续经营净利润</w:t>
            </w:r>
            <w:r>
              <w:rPr>
                <w:rFonts w:ascii="Times New Roman" w:hAnsi="Times New Roman" w:cs="Times New Roman" w:eastAsia="Times New Roman" w:hint="default"/>
                <w:sz w:val="18"/>
                <w:szCs w:val="18"/>
              </w:rPr>
              <w:t>”</w:t>
            </w:r>
            <w:r>
              <w:rPr>
                <w:rFonts w:ascii="宋体" w:hAnsi="宋体" w:cs="宋体" w:eastAsia="宋体" w:hint="default"/>
                <w:sz w:val="18"/>
                <w:szCs w:val="18"/>
              </w:rPr>
              <w:t>和</w:t>
            </w:r>
            <w:r>
              <w:rPr>
                <w:rFonts w:ascii="Times New Roman" w:hAnsi="Times New Roman" w:cs="Times New Roman" w:eastAsia="Times New Roman" w:hint="default"/>
                <w:sz w:val="18"/>
                <w:szCs w:val="18"/>
              </w:rPr>
              <w:t>“</w:t>
            </w:r>
            <w:r>
              <w:rPr>
                <w:rFonts w:ascii="宋体" w:hAnsi="宋体" w:cs="宋体" w:eastAsia="宋体" w:hint="default"/>
                <w:sz w:val="18"/>
                <w:szCs w:val="18"/>
              </w:rPr>
              <w:t>终止经营净利润</w:t>
            </w:r>
            <w:r>
              <w:rPr>
                <w:rFonts w:ascii="Times New Roman" w:hAnsi="Times New Roman" w:cs="Times New Roman" w:eastAsia="Times New Roman" w:hint="default"/>
                <w:sz w:val="18"/>
                <w:szCs w:val="18"/>
              </w:rPr>
              <w:t>”</w:t>
            </w:r>
            <w:r>
              <w:rPr>
                <w:rFonts w:ascii="宋体" w:hAnsi="宋体" w:cs="宋体" w:eastAsia="宋体" w:hint="default"/>
                <w:sz w:val="18"/>
                <w:szCs w:val="18"/>
              </w:rPr>
              <w:t>。比较</w:t>
            </w:r>
            <w:r>
              <w:rPr>
                <w:rFonts w:ascii="宋体" w:hAnsi="宋体" w:cs="宋体" w:eastAsia="宋体" w:hint="default"/>
                <w:spacing w:val="-88"/>
                <w:sz w:val="18"/>
                <w:szCs w:val="18"/>
              </w:rPr>
              <w:t> </w:t>
            </w:r>
            <w:r>
              <w:rPr>
                <w:rFonts w:ascii="宋体" w:hAnsi="宋体" w:cs="宋体" w:eastAsia="宋体" w:hint="default"/>
                <w:sz w:val="18"/>
                <w:szCs w:val="18"/>
              </w:rPr>
              <w:t>数据相应调整。</w:t>
            </w:r>
          </w:p>
        </w:tc>
        <w:tc>
          <w:tcPr>
            <w:tcW w:w="4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7" w:right="0"/>
              <w:jc w:val="left"/>
              <w:rPr>
                <w:rFonts w:ascii="宋体" w:hAnsi="宋体" w:cs="宋体" w:eastAsia="宋体" w:hint="default"/>
                <w:sz w:val="18"/>
                <w:szCs w:val="18"/>
              </w:rPr>
            </w:pPr>
            <w:r>
              <w:rPr>
                <w:rFonts w:ascii="宋体" w:hAnsi="宋体" w:cs="宋体" w:eastAsia="宋体" w:hint="default"/>
                <w:sz w:val="18"/>
                <w:szCs w:val="18"/>
              </w:rPr>
              <w:t>列示持续经营净利润本年金额</w:t>
            </w:r>
            <w:r>
              <w:rPr>
                <w:rFonts w:ascii="Times New Roman" w:hAnsi="Times New Roman" w:cs="Times New Roman" w:eastAsia="Times New Roman" w:hint="default"/>
                <w:sz w:val="18"/>
                <w:szCs w:val="18"/>
              </w:rPr>
              <w:t>-21,412,779.47</w:t>
            </w:r>
            <w:r>
              <w:rPr>
                <w:rFonts w:ascii="宋体" w:hAnsi="宋体" w:cs="宋体" w:eastAsia="宋体" w:hint="default"/>
                <w:sz w:val="18"/>
                <w:szCs w:val="18"/>
              </w:rPr>
              <w:t>元。</w:t>
            </w:r>
          </w:p>
        </w:tc>
      </w:tr>
      <w:tr>
        <w:trPr>
          <w:trHeight w:val="653" w:hRule="exact"/>
        </w:trPr>
        <w:tc>
          <w:tcPr>
            <w:tcW w:w="565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18"/>
              <w:ind w:left="4" w:right="3"/>
              <w:jc w:val="left"/>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）与本公司日常活动相关的政府补助，计入其他收益，不再计入营业</w:t>
            </w:r>
            <w:r>
              <w:rPr>
                <w:rFonts w:ascii="宋体" w:hAnsi="宋体" w:cs="宋体" w:eastAsia="宋体" w:hint="default"/>
                <w:spacing w:val="-61"/>
                <w:sz w:val="18"/>
                <w:szCs w:val="18"/>
              </w:rPr>
              <w:t> </w:t>
            </w:r>
            <w:r>
              <w:rPr>
                <w:rFonts w:ascii="宋体" w:hAnsi="宋体" w:cs="宋体" w:eastAsia="宋体" w:hint="default"/>
                <w:spacing w:val="-61"/>
                <w:sz w:val="18"/>
                <w:szCs w:val="18"/>
              </w:rPr>
            </w:r>
            <w:r>
              <w:rPr>
                <w:rFonts w:ascii="宋体" w:hAnsi="宋体" w:cs="宋体" w:eastAsia="宋体" w:hint="default"/>
                <w:sz w:val="18"/>
                <w:szCs w:val="18"/>
              </w:rPr>
              <w:t>外收入。比较数据不调整。</w:t>
            </w:r>
          </w:p>
        </w:tc>
        <w:tc>
          <w:tcPr>
            <w:tcW w:w="4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7" w:right="0"/>
              <w:jc w:val="left"/>
              <w:rPr>
                <w:rFonts w:ascii="宋体" w:hAnsi="宋体" w:cs="宋体" w:eastAsia="宋体" w:hint="default"/>
                <w:sz w:val="18"/>
                <w:szCs w:val="18"/>
              </w:rPr>
            </w:pPr>
            <w:r>
              <w:rPr>
                <w:rFonts w:ascii="宋体" w:hAnsi="宋体" w:cs="宋体" w:eastAsia="宋体" w:hint="default"/>
                <w:sz w:val="18"/>
                <w:szCs w:val="18"/>
              </w:rPr>
              <w:t>报表新增其他收益科目，金额无影响。</w:t>
            </w:r>
          </w:p>
        </w:tc>
      </w:tr>
      <w:tr>
        <w:trPr>
          <w:trHeight w:val="655" w:hRule="exact"/>
        </w:trPr>
        <w:tc>
          <w:tcPr>
            <w:tcW w:w="565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20"/>
              <w:ind w:left="4" w:right="0"/>
              <w:jc w:val="left"/>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）在利润表中新增</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资产处置收益</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项目，将部分原列示为</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营业外收</w:t>
            </w:r>
            <w:r>
              <w:rPr>
                <w:rFonts w:ascii="宋体" w:hAnsi="宋体" w:cs="宋体" w:eastAsia="宋体" w:hint="default"/>
                <w:spacing w:val="-80"/>
                <w:sz w:val="18"/>
                <w:szCs w:val="18"/>
              </w:rPr>
              <w:t> </w:t>
            </w:r>
            <w:r>
              <w:rPr>
                <w:rFonts w:ascii="宋体" w:hAnsi="宋体" w:cs="宋体" w:eastAsia="宋体" w:hint="default"/>
                <w:sz w:val="18"/>
                <w:szCs w:val="18"/>
              </w:rPr>
              <w:t>入</w:t>
            </w:r>
            <w:r>
              <w:rPr>
                <w:rFonts w:ascii="Times New Roman" w:hAnsi="Times New Roman" w:cs="Times New Roman" w:eastAsia="Times New Roman" w:hint="default"/>
                <w:sz w:val="18"/>
                <w:szCs w:val="18"/>
              </w:rPr>
              <w:t>”</w:t>
            </w:r>
            <w:r>
              <w:rPr>
                <w:rFonts w:ascii="宋体" w:hAnsi="宋体" w:cs="宋体" w:eastAsia="宋体" w:hint="default"/>
                <w:sz w:val="18"/>
                <w:szCs w:val="18"/>
              </w:rPr>
              <w:t>的资产处置损益重分类至</w:t>
            </w:r>
            <w:r>
              <w:rPr>
                <w:rFonts w:ascii="Times New Roman" w:hAnsi="Times New Roman" w:cs="Times New Roman" w:eastAsia="Times New Roman" w:hint="default"/>
                <w:sz w:val="18"/>
                <w:szCs w:val="18"/>
              </w:rPr>
              <w:t>“</w:t>
            </w:r>
            <w:r>
              <w:rPr>
                <w:rFonts w:ascii="宋体" w:hAnsi="宋体" w:cs="宋体" w:eastAsia="宋体" w:hint="default"/>
                <w:sz w:val="18"/>
                <w:szCs w:val="18"/>
              </w:rPr>
              <w:t>资产处置收益</w:t>
            </w:r>
            <w:r>
              <w:rPr>
                <w:rFonts w:ascii="Times New Roman" w:hAnsi="Times New Roman" w:cs="Times New Roman" w:eastAsia="Times New Roman" w:hint="default"/>
                <w:sz w:val="18"/>
                <w:szCs w:val="18"/>
              </w:rPr>
              <w:t>”</w:t>
            </w:r>
            <w:r>
              <w:rPr>
                <w:rFonts w:ascii="宋体" w:hAnsi="宋体" w:cs="宋体" w:eastAsia="宋体" w:hint="default"/>
                <w:sz w:val="18"/>
                <w:szCs w:val="18"/>
              </w:rPr>
              <w:t>项目。比较数据相应调整。</w:t>
            </w:r>
          </w:p>
        </w:tc>
        <w:tc>
          <w:tcPr>
            <w:tcW w:w="400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20"/>
              <w:ind w:left="7" w:right="1"/>
              <w:jc w:val="left"/>
              <w:rPr>
                <w:rFonts w:ascii="宋体" w:hAnsi="宋体" w:cs="宋体" w:eastAsia="宋体" w:hint="default"/>
                <w:sz w:val="18"/>
                <w:szCs w:val="18"/>
              </w:rPr>
            </w:pPr>
            <w:r>
              <w:rPr>
                <w:rFonts w:ascii="宋体" w:hAnsi="宋体" w:cs="宋体" w:eastAsia="宋体" w:hint="default"/>
                <w:spacing w:val="15"/>
                <w:sz w:val="18"/>
                <w:szCs w:val="18"/>
              </w:rPr>
              <w:t>营业外收入减少</w:t>
            </w:r>
            <w:r>
              <w:rPr>
                <w:rFonts w:ascii="宋体" w:hAnsi="宋体" w:cs="宋体" w:eastAsia="宋体" w:hint="default"/>
                <w:spacing w:val="-73"/>
                <w:sz w:val="18"/>
                <w:szCs w:val="18"/>
              </w:rPr>
              <w:t> </w:t>
            </w:r>
            <w:r>
              <w:rPr>
                <w:rFonts w:ascii="Times New Roman" w:hAnsi="Times New Roman" w:cs="Times New Roman" w:eastAsia="Times New Roman" w:hint="default"/>
                <w:sz w:val="18"/>
                <w:szCs w:val="18"/>
              </w:rPr>
              <w:t>181,672.72</w:t>
            </w:r>
            <w:r>
              <w:rPr>
                <w:rFonts w:ascii="Times New Roman" w:hAnsi="Times New Roman" w:cs="Times New Roman" w:eastAsia="Times New Roman" w:hint="default"/>
                <w:spacing w:val="-23"/>
                <w:sz w:val="18"/>
                <w:szCs w:val="18"/>
              </w:rPr>
              <w:t> </w:t>
            </w:r>
            <w:r>
              <w:rPr>
                <w:rFonts w:ascii="宋体" w:hAnsi="宋体" w:cs="宋体" w:eastAsia="宋体" w:hint="default"/>
                <w:spacing w:val="8"/>
                <w:sz w:val="18"/>
                <w:szCs w:val="18"/>
              </w:rPr>
              <w:t>元，</w:t>
            </w:r>
            <w:r>
              <w:rPr>
                <w:rFonts w:ascii="宋体" w:hAnsi="宋体" w:cs="宋体" w:eastAsia="宋体" w:hint="default"/>
                <w:spacing w:val="-71"/>
                <w:sz w:val="18"/>
                <w:szCs w:val="18"/>
              </w:rPr>
              <w:t> </w:t>
            </w:r>
            <w:r>
              <w:rPr>
                <w:rFonts w:ascii="宋体" w:hAnsi="宋体" w:cs="宋体" w:eastAsia="宋体" w:hint="default"/>
                <w:spacing w:val="15"/>
                <w:sz w:val="18"/>
                <w:szCs w:val="18"/>
              </w:rPr>
              <w:t>营业外支出减少</w:t>
            </w:r>
            <w:r>
              <w:rPr>
                <w:rFonts w:ascii="宋体" w:hAnsi="宋体" w:cs="宋体" w:eastAsia="宋体" w:hint="default"/>
                <w:sz w:val="18"/>
                <w:szCs w:val="18"/>
              </w:rPr>
              <w:t> </w:t>
            </w:r>
            <w:r>
              <w:rPr>
                <w:rFonts w:ascii="Times New Roman" w:hAnsi="Times New Roman" w:cs="Times New Roman" w:eastAsia="Times New Roman" w:hint="default"/>
                <w:sz w:val="18"/>
                <w:szCs w:val="18"/>
              </w:rPr>
              <w:t>533,290.40</w:t>
            </w:r>
            <w:r>
              <w:rPr>
                <w:rFonts w:ascii="宋体" w:hAnsi="宋体" w:cs="宋体" w:eastAsia="宋体" w:hint="default"/>
                <w:sz w:val="18"/>
                <w:szCs w:val="18"/>
              </w:rPr>
              <w:t>元，重分类至资产处置收益。</w:t>
            </w:r>
          </w:p>
        </w:tc>
      </w:tr>
    </w:tbl>
    <w:p>
      <w:pPr>
        <w:spacing w:after="0" w:line="300" w:lineRule="auto"/>
        <w:jc w:val="left"/>
        <w:rPr>
          <w:rFonts w:ascii="宋体" w:hAnsi="宋体" w:cs="宋体" w:eastAsia="宋体" w:hint="default"/>
          <w:sz w:val="18"/>
          <w:szCs w:val="18"/>
        </w:rPr>
        <w:sectPr>
          <w:pgSz w:w="11910" w:h="16840"/>
          <w:pgMar w:header="877" w:footer="979" w:top="110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8"/>
          <w:szCs w:val="28"/>
        </w:rPr>
      </w:pPr>
    </w:p>
    <w:p>
      <w:pPr>
        <w:pStyle w:val="Heading5"/>
        <w:spacing w:line="300" w:lineRule="exact"/>
        <w:ind w:right="0"/>
        <w:jc w:val="left"/>
        <w:rPr>
          <w:b w:val="0"/>
          <w:bCs w:val="0"/>
        </w:rPr>
      </w:pPr>
      <w:r>
        <w:rPr/>
        <w:t>（</w:t>
      </w:r>
      <w:r>
        <w:rPr>
          <w:rFonts w:ascii="Times New Roman" w:hAnsi="Times New Roman" w:cs="Times New Roman" w:eastAsia="Times New Roman" w:hint="default"/>
        </w:rPr>
        <w:t>2</w:t>
      </w:r>
      <w:r>
        <w:rPr/>
        <w:t>）重要会计估计变更</w:t>
      </w:r>
      <w:r>
        <w:rPr>
          <w:b w:val="0"/>
          <w:bCs w:val="0"/>
        </w:rPr>
      </w:r>
    </w:p>
    <w:p>
      <w:pPr>
        <w:spacing w:line="240" w:lineRule="auto" w:before="8"/>
        <w:rPr>
          <w:rFonts w:ascii="Microsoft JhengHei" w:hAnsi="Microsoft JhengHei" w:cs="Microsoft JhengHei" w:eastAsia="Microsoft JhengHei" w:hint="default"/>
          <w:b/>
          <w:bCs/>
          <w:sz w:val="20"/>
          <w:szCs w:val="20"/>
        </w:rPr>
      </w:pPr>
    </w:p>
    <w:p>
      <w:pPr>
        <w:spacing w:line="535" w:lineRule="auto" w:before="0"/>
        <w:ind w:left="152" w:right="8334" w:firstLine="0"/>
        <w:jc w:val="left"/>
        <w:rPr>
          <w:rFonts w:ascii="Microsoft JhengHei" w:hAnsi="Microsoft JhengHei" w:cs="Microsoft JhengHei" w:eastAsia="Microsoft JhengHei"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w:t>
      </w:r>
      <w:r>
        <w:rPr>
          <w:rFonts w:ascii="Microsoft JhengHei" w:hAnsi="Microsoft JhengHei" w:cs="Microsoft JhengHei" w:eastAsia="Microsoft JhengHei" w:hint="default"/>
          <w:b/>
          <w:bCs/>
          <w:sz w:val="18"/>
          <w:szCs w:val="18"/>
        </w:rPr>
        <w:t>六、税项</w:t>
      </w:r>
      <w:r>
        <w:rPr>
          <w:rFonts w:ascii="Microsoft JhengHei" w:hAnsi="Microsoft JhengHei" w:cs="Microsoft JhengHei" w:eastAsia="Microsoft JhengHei" w:hint="default"/>
          <w:sz w:val="18"/>
          <w:szCs w:val="18"/>
        </w:rPr>
      </w:r>
    </w:p>
    <w:p>
      <w:pPr>
        <w:pStyle w:val="Heading5"/>
        <w:spacing w:line="240" w:lineRule="auto" w:before="6"/>
        <w:ind w:right="0"/>
        <w:jc w:val="left"/>
        <w:rPr>
          <w:b w:val="0"/>
          <w:bCs w:val="0"/>
        </w:rPr>
      </w:pPr>
      <w:r>
        <w:rPr>
          <w:rFonts w:ascii="Times New Roman" w:hAnsi="Times New Roman" w:cs="Times New Roman" w:eastAsia="Times New Roman" w:hint="default"/>
        </w:rPr>
        <w:t>1</w:t>
      </w:r>
      <w:r>
        <w:rPr/>
        <w:t>、主要税种及税率</w:t>
      </w:r>
      <w:r>
        <w:rPr>
          <w:b w:val="0"/>
          <w:bCs w:val="0"/>
        </w:rPr>
      </w:r>
    </w:p>
    <w:p>
      <w:pPr>
        <w:spacing w:line="240" w:lineRule="auto" w:before="17"/>
        <w:rPr>
          <w:rFonts w:ascii="Microsoft JhengHei" w:hAnsi="Microsoft JhengHei" w:cs="Microsoft JhengHei" w:eastAsia="Microsoft JhengHei" w:hint="default"/>
          <w:b/>
          <w:bCs/>
          <w:sz w:val="19"/>
          <w:szCs w:val="19"/>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税种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税率（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941" w:hRule="exact"/>
        </w:trPr>
        <w:tc>
          <w:tcPr>
            <w:tcW w:w="3191" w:type="dxa"/>
            <w:tcBorders>
              <w:top w:val="single" w:sz="4" w:space="0" w:color="000000"/>
              <w:left w:val="single" w:sz="4" w:space="0" w:color="000000"/>
              <w:bottom w:val="nil" w:sz="6" w:space="0" w:color="auto"/>
              <w:right w:val="single" w:sz="4" w:space="0" w:color="000000"/>
            </w:tcBorders>
            <w:shd w:val="clear" w:color="auto" w:fill="D2D2D2"/>
          </w:tcPr>
          <w:p>
            <w:pPr/>
          </w:p>
        </w:tc>
        <w:tc>
          <w:tcPr>
            <w:tcW w:w="3190" w:type="dxa"/>
            <w:vMerge w:val="restart"/>
            <w:tcBorders>
              <w:top w:val="single" w:sz="4" w:space="0" w:color="000000"/>
              <w:left w:val="single" w:sz="4" w:space="0" w:color="000000"/>
              <w:right w:val="single" w:sz="4" w:space="0" w:color="000000"/>
            </w:tcBorders>
          </w:tcPr>
          <w:p>
            <w:pPr>
              <w:pStyle w:val="TableParagraph"/>
              <w:spacing w:line="312" w:lineRule="auto" w:before="49"/>
              <w:ind w:left="23" w:right="20"/>
              <w:jc w:val="left"/>
              <w:rPr>
                <w:rFonts w:ascii="Times New Roman" w:hAnsi="Times New Roman" w:cs="Times New Roman" w:eastAsia="Times New Roman" w:hint="default"/>
                <w:sz w:val="18"/>
                <w:szCs w:val="18"/>
              </w:rPr>
            </w:pPr>
            <w:r>
              <w:rPr>
                <w:rFonts w:ascii="宋体" w:hAnsi="宋体" w:cs="宋体" w:eastAsia="宋体" w:hint="default"/>
                <w:sz w:val="18"/>
                <w:szCs w:val="18"/>
              </w:rPr>
              <w:t>按税法规定计算的销售货物和应税劳务 收入为基础计算销项税额，在扣除当期 允许抵扣的进项税额后，差额部分为应 交增值税；公司一般货物出口业务执行</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免、抵、退</w:t>
            </w:r>
            <w:r>
              <w:rPr>
                <w:rFonts w:ascii="Times New Roman" w:hAnsi="Times New Roman" w:cs="Times New Roman" w:eastAsia="Times New Roman" w:hint="default"/>
                <w:sz w:val="18"/>
                <w:szCs w:val="18"/>
              </w:rPr>
              <w:t>"</w:t>
            </w:r>
            <w:r>
              <w:rPr>
                <w:rFonts w:ascii="宋体" w:hAnsi="宋体" w:cs="宋体" w:eastAsia="宋体" w:hint="default"/>
                <w:sz w:val="18"/>
                <w:szCs w:val="18"/>
              </w:rPr>
              <w:t>政策，按照出口环节退还采 购环节的增值税政策；出口退税率为 </w:t>
            </w:r>
            <w:r>
              <w:rPr>
                <w:rFonts w:ascii="Times New Roman" w:hAnsi="Times New Roman" w:cs="Times New Roman" w:eastAsia="Times New Roman" w:hint="default"/>
                <w:sz w:val="18"/>
                <w:szCs w:val="18"/>
              </w:rPr>
              <w:t>13%</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p>
        </w:tc>
        <w:tc>
          <w:tcPr>
            <w:tcW w:w="319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0"/>
              <w:ind w:right="0"/>
              <w:jc w:val="left"/>
              <w:rPr>
                <w:rFonts w:ascii="Microsoft JhengHei" w:hAnsi="Microsoft JhengHei" w:cs="Microsoft JhengHei" w:eastAsia="Microsoft JhengHei" w:hint="default"/>
                <w:b/>
                <w:bCs/>
                <w:sz w:val="23"/>
                <w:szCs w:val="23"/>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17.00</w:t>
            </w:r>
          </w:p>
        </w:tc>
      </w:tr>
      <w:tr>
        <w:trPr>
          <w:trHeight w:val="394" w:hRule="exact"/>
        </w:trPr>
        <w:tc>
          <w:tcPr>
            <w:tcW w:w="319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0" w:type="dxa"/>
            <w:vMerge/>
            <w:tcBorders>
              <w:left w:val="single" w:sz="4" w:space="0" w:color="000000"/>
              <w:right w:val="single" w:sz="4" w:space="0" w:color="000000"/>
            </w:tcBorders>
          </w:tcPr>
          <w:p>
            <w:pPr/>
          </w:p>
        </w:tc>
        <w:tc>
          <w:tcPr>
            <w:tcW w:w="3190" w:type="dxa"/>
            <w:vMerge/>
            <w:tcBorders>
              <w:left w:val="single" w:sz="4" w:space="0" w:color="000000"/>
              <w:right w:val="single" w:sz="4" w:space="0" w:color="000000"/>
            </w:tcBorders>
          </w:tcPr>
          <w:p>
            <w:pPr/>
          </w:p>
        </w:tc>
      </w:tr>
      <w:tr>
        <w:trPr>
          <w:trHeight w:val="941" w:hRule="exact"/>
        </w:trPr>
        <w:tc>
          <w:tcPr>
            <w:tcW w:w="3191" w:type="dxa"/>
            <w:tcBorders>
              <w:top w:val="nil" w:sz="6" w:space="0" w:color="auto"/>
              <w:left w:val="single" w:sz="4" w:space="0" w:color="000000"/>
              <w:bottom w:val="single" w:sz="4" w:space="0" w:color="000000"/>
              <w:right w:val="single" w:sz="4" w:space="0" w:color="000000"/>
            </w:tcBorders>
            <w:shd w:val="clear" w:color="auto" w:fill="D2D2D2"/>
          </w:tcPr>
          <w:p>
            <w:pPr/>
          </w:p>
        </w:tc>
        <w:tc>
          <w:tcPr>
            <w:tcW w:w="3190" w:type="dxa"/>
            <w:vMerge/>
            <w:tcBorders>
              <w:left w:val="single" w:sz="4" w:space="0" w:color="000000"/>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161" w:hRule="exact"/>
        </w:trPr>
        <w:tc>
          <w:tcPr>
            <w:tcW w:w="3191" w:type="dxa"/>
            <w:tcBorders>
              <w:top w:val="single" w:sz="4" w:space="0" w:color="000000"/>
              <w:left w:val="single" w:sz="4" w:space="0" w:color="000000"/>
              <w:bottom w:val="nil" w:sz="6" w:space="0" w:color="auto"/>
              <w:right w:val="single" w:sz="4" w:space="0" w:color="000000"/>
            </w:tcBorders>
            <w:shd w:val="clear" w:color="auto" w:fill="D2D2D2"/>
          </w:tcPr>
          <w:p>
            <w:pPr/>
          </w:p>
        </w:tc>
        <w:tc>
          <w:tcPr>
            <w:tcW w:w="3190" w:type="dxa"/>
            <w:vMerge w:val="restart"/>
            <w:tcBorders>
              <w:top w:val="single" w:sz="4" w:space="0" w:color="000000"/>
              <w:left w:val="single" w:sz="4" w:space="0" w:color="000000"/>
              <w:right w:val="single" w:sz="4" w:space="0" w:color="000000"/>
            </w:tcBorders>
          </w:tcPr>
          <w:p>
            <w:pPr>
              <w:pStyle w:val="TableParagraph"/>
              <w:spacing w:line="314" w:lineRule="auto" w:before="49"/>
              <w:ind w:left="23" w:right="94"/>
              <w:jc w:val="left"/>
              <w:rPr>
                <w:rFonts w:ascii="宋体" w:hAnsi="宋体" w:cs="宋体" w:eastAsia="宋体" w:hint="default"/>
                <w:sz w:val="18"/>
                <w:szCs w:val="18"/>
              </w:rPr>
            </w:pPr>
            <w:r>
              <w:rPr>
                <w:rFonts w:ascii="宋体" w:hAnsi="宋体" w:cs="宋体" w:eastAsia="宋体" w:hint="default"/>
                <w:sz w:val="18"/>
                <w:szCs w:val="18"/>
              </w:rPr>
              <w:t>按实际缴纳的营业税、增值税及消费税 计征</w:t>
            </w:r>
          </w:p>
        </w:tc>
        <w:tc>
          <w:tcPr>
            <w:tcW w:w="3190"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7.00</w:t>
            </w:r>
          </w:p>
        </w:tc>
      </w:tr>
      <w:tr>
        <w:trPr>
          <w:trHeight w:val="391" w:hRule="exact"/>
        </w:trPr>
        <w:tc>
          <w:tcPr>
            <w:tcW w:w="319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0" w:type="dxa"/>
            <w:vMerge/>
            <w:tcBorders>
              <w:left w:val="single" w:sz="4" w:space="0" w:color="000000"/>
              <w:right w:val="single" w:sz="4" w:space="0" w:color="000000"/>
            </w:tcBorders>
          </w:tcPr>
          <w:p>
            <w:pPr/>
          </w:p>
        </w:tc>
        <w:tc>
          <w:tcPr>
            <w:tcW w:w="3190" w:type="dxa"/>
            <w:vMerge/>
            <w:tcBorders>
              <w:left w:val="single" w:sz="4" w:space="0" w:color="000000"/>
              <w:right w:val="single" w:sz="4" w:space="0" w:color="000000"/>
            </w:tcBorders>
          </w:tcPr>
          <w:p>
            <w:pPr/>
          </w:p>
        </w:tc>
      </w:tr>
      <w:tr>
        <w:trPr>
          <w:trHeight w:val="161" w:hRule="exact"/>
        </w:trPr>
        <w:tc>
          <w:tcPr>
            <w:tcW w:w="3191" w:type="dxa"/>
            <w:tcBorders>
              <w:top w:val="nil" w:sz="6" w:space="0" w:color="auto"/>
              <w:left w:val="single" w:sz="4" w:space="0" w:color="000000"/>
              <w:bottom w:val="single" w:sz="4" w:space="0" w:color="000000"/>
              <w:right w:val="single" w:sz="4" w:space="0" w:color="000000"/>
            </w:tcBorders>
            <w:shd w:val="clear" w:color="auto" w:fill="D2D2D2"/>
          </w:tcPr>
          <w:p>
            <w:pPr/>
          </w:p>
        </w:tc>
        <w:tc>
          <w:tcPr>
            <w:tcW w:w="3190" w:type="dxa"/>
            <w:vMerge/>
            <w:tcBorders>
              <w:left w:val="single" w:sz="4" w:space="0" w:color="000000"/>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按应纳税所得额计征</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16.50</w:t>
            </w:r>
            <w:r>
              <w:rPr>
                <w:rFonts w:ascii="宋体" w:hAnsi="宋体" w:cs="宋体" w:eastAsia="宋体" w:hint="default"/>
                <w:sz w:val="18"/>
                <w:szCs w:val="18"/>
              </w:rPr>
              <w:t>、</w:t>
            </w:r>
            <w:r>
              <w:rPr>
                <w:rFonts w:ascii="Times New Roman" w:hAnsi="Times New Roman" w:cs="Times New Roman" w:eastAsia="Times New Roman" w:hint="default"/>
                <w:sz w:val="18"/>
                <w:szCs w:val="18"/>
              </w:rPr>
              <w:t>25.00</w:t>
            </w:r>
          </w:p>
        </w:tc>
      </w:tr>
      <w:tr>
        <w:trPr>
          <w:trHeight w:val="71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94"/>
              <w:jc w:val="left"/>
              <w:rPr>
                <w:rFonts w:ascii="宋体" w:hAnsi="宋体" w:cs="宋体" w:eastAsia="宋体" w:hint="default"/>
                <w:sz w:val="18"/>
                <w:szCs w:val="18"/>
              </w:rPr>
            </w:pPr>
            <w:r>
              <w:rPr>
                <w:rFonts w:ascii="宋体" w:hAnsi="宋体" w:cs="宋体" w:eastAsia="宋体" w:hint="default"/>
                <w:sz w:val="18"/>
                <w:szCs w:val="18"/>
              </w:rPr>
              <w:t>按实际缴纳的营业税、增值税及消费税 计征</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3.00</w:t>
            </w:r>
          </w:p>
        </w:tc>
      </w:tr>
      <w:tr>
        <w:trPr>
          <w:trHeight w:val="715"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94"/>
              <w:jc w:val="left"/>
              <w:rPr>
                <w:rFonts w:ascii="宋体" w:hAnsi="宋体" w:cs="宋体" w:eastAsia="宋体" w:hint="default"/>
                <w:sz w:val="18"/>
                <w:szCs w:val="18"/>
              </w:rPr>
            </w:pPr>
            <w:r>
              <w:rPr>
                <w:rFonts w:ascii="宋体" w:hAnsi="宋体" w:cs="宋体" w:eastAsia="宋体" w:hint="default"/>
                <w:sz w:val="18"/>
                <w:szCs w:val="18"/>
              </w:rPr>
              <w:t>按实际缴纳的营业税、增值税及消费税 计征</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2.00</w:t>
            </w:r>
          </w:p>
        </w:tc>
      </w:tr>
    </w:tbl>
    <w:p>
      <w:pPr>
        <w:pStyle w:val="BodyText"/>
        <w:spacing w:line="240" w:lineRule="auto" w:before="49"/>
        <w:ind w:right="0"/>
        <w:jc w:val="left"/>
      </w:pPr>
      <w:r>
        <w:rPr/>
        <w:t>存在不同企业所得税税率纳税主体的，披露情况说明</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所得税税率（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25.00</w:t>
            </w:r>
          </w:p>
        </w:tc>
      </w:tr>
      <w:tr>
        <w:trPr>
          <w:trHeight w:val="404"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童乐乐玩具</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25.00</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群兴香港</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16.50</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西藏群兴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25.00</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歌乐宝</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25.00</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西藏蓝道</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25.00</w:t>
            </w:r>
          </w:p>
        </w:tc>
      </w:tr>
    </w:tbl>
    <w:p>
      <w:pPr>
        <w:spacing w:line="240" w:lineRule="auto" w:before="1"/>
        <w:rPr>
          <w:rFonts w:ascii="宋体" w:hAnsi="宋体" w:cs="宋体" w:eastAsia="宋体" w:hint="default"/>
          <w:sz w:val="18"/>
          <w:szCs w:val="18"/>
        </w:rPr>
      </w:pPr>
    </w:p>
    <w:p>
      <w:pPr>
        <w:pStyle w:val="Heading2"/>
        <w:spacing w:line="367" w:lineRule="exact"/>
        <w:ind w:right="0"/>
        <w:jc w:val="left"/>
        <w:rPr>
          <w:b w:val="0"/>
          <w:bCs w:val="0"/>
        </w:rPr>
      </w:pPr>
      <w:r>
        <w:rPr/>
        <w:t>七、合并财务报表项目注释</w:t>
      </w:r>
      <w:r>
        <w:rPr>
          <w:b w:val="0"/>
          <w:bCs w:val="0"/>
        </w:rPr>
      </w:r>
    </w:p>
    <w:p>
      <w:pPr>
        <w:spacing w:line="240" w:lineRule="auto" w:before="3"/>
        <w:rPr>
          <w:rFonts w:ascii="Microsoft JhengHei" w:hAnsi="Microsoft JhengHei" w:cs="Microsoft JhengHei" w:eastAsia="Microsoft JhengHei" w:hint="default"/>
          <w:b/>
          <w:bCs/>
          <w:sz w:val="13"/>
          <w:szCs w:val="13"/>
        </w:rPr>
      </w:pPr>
    </w:p>
    <w:p>
      <w:pPr>
        <w:pStyle w:val="Heading3"/>
        <w:spacing w:line="240" w:lineRule="auto"/>
        <w:ind w:right="0"/>
        <w:jc w:val="left"/>
        <w:rPr>
          <w:b w:val="0"/>
          <w:bCs w:val="0"/>
        </w:rPr>
      </w:pPr>
      <w:r>
        <w:rPr>
          <w:rFonts w:ascii="Times New Roman" w:hAnsi="Times New Roman" w:cs="Times New Roman" w:eastAsia="Times New Roman" w:hint="default"/>
        </w:rPr>
        <w:t>1</w:t>
      </w:r>
      <w:r>
        <w:rPr/>
        <w:t>、货币资金</w:t>
      </w:r>
      <w:r>
        <w:rPr>
          <w:b w:val="0"/>
          <w:bCs w:val="0"/>
        </w:rPr>
      </w:r>
    </w:p>
    <w:p>
      <w:pPr>
        <w:spacing w:line="240" w:lineRule="auto" w:before="14"/>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0"/>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877" w:footer="979" w:top="1100" w:bottom="1160" w:left="980" w:right="98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0"/>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78,366.81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228,825.90</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131,244,289.84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151,142,927.75</w:t>
            </w: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130,809.38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131,453,466.03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151,371,753.65</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宋体" w:hAnsi="宋体" w:cs="宋体" w:eastAsia="宋体" w:hint="default"/>
                <w:sz w:val="18"/>
                <w:szCs w:val="18"/>
              </w:rPr>
              <w:t>其中：存放在境外的款项总额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235,943.89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332,362.21</w:t>
            </w:r>
          </w:p>
        </w:tc>
      </w:tr>
    </w:tbl>
    <w:p>
      <w:pPr>
        <w:pStyle w:val="BodyText"/>
        <w:spacing w:line="240" w:lineRule="auto" w:before="49"/>
        <w:ind w:right="0"/>
        <w:jc w:val="left"/>
      </w:pPr>
      <w:r>
        <w:rPr/>
        <w:t>其他说明：本报告期末无因抵押、质押或冻结等对使用有限制，以及放在境外且资金汇回受到限制的货币资金。</w:t>
      </w:r>
    </w:p>
    <w:p>
      <w:pPr>
        <w:spacing w:line="240" w:lineRule="auto" w:before="12"/>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2</w:t>
      </w:r>
      <w:r>
        <w:rPr/>
        <w:t>、以公允价值计量且其变动计入当期损益的金融资产</w:t>
      </w:r>
      <w:r>
        <w:rPr>
          <w:b w:val="0"/>
          <w:bCs w:val="0"/>
        </w:rPr>
      </w:r>
    </w:p>
    <w:p>
      <w:pPr>
        <w:spacing w:line="240" w:lineRule="auto" w:before="14"/>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0"/>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6,675,575.00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权益工具投资</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6,675,575.00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6,675,575.00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bl>
    <w:p>
      <w:pPr>
        <w:pStyle w:val="BodyText"/>
        <w:spacing w:line="240" w:lineRule="auto" w:before="49"/>
        <w:ind w:right="0"/>
        <w:jc w:val="left"/>
      </w:pPr>
      <w:r>
        <w:rPr/>
        <w:t>其他说明：无。</w:t>
      </w:r>
    </w:p>
    <w:p>
      <w:pPr>
        <w:spacing w:line="240" w:lineRule="auto" w:before="12"/>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3</w:t>
      </w:r>
      <w:r>
        <w:rPr/>
        <w:t>、衍生金融资产</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4</w:t>
      </w:r>
      <w:r>
        <w:rPr/>
        <w:t>、应收账款</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）应收账款分类披露</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20" w:type="dxa"/>
        <w:tblLayout w:type="fixed"/>
        <w:tblCellMar>
          <w:top w:w="0" w:type="dxa"/>
          <w:left w:w="0" w:type="dxa"/>
          <w:bottom w:w="0" w:type="dxa"/>
          <w:right w:w="0" w:type="dxa"/>
        </w:tblCellMar>
        <w:tblLook w:val="01E0"/>
      </w:tblPr>
      <w:tblGrid>
        <w:gridCol w:w="614"/>
        <w:gridCol w:w="1092"/>
        <w:gridCol w:w="701"/>
        <w:gridCol w:w="1090"/>
        <w:gridCol w:w="703"/>
        <w:gridCol w:w="1090"/>
        <w:gridCol w:w="1092"/>
        <w:gridCol w:w="701"/>
        <w:gridCol w:w="1001"/>
        <w:gridCol w:w="521"/>
        <w:gridCol w:w="1092"/>
      </w:tblGrid>
      <w:tr>
        <w:trPr>
          <w:trHeight w:val="396" w:hRule="exact"/>
        </w:trPr>
        <w:tc>
          <w:tcPr>
            <w:tcW w:w="6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4"/>
              <w:ind w:left="121" w:right="0"/>
              <w:jc w:val="left"/>
              <w:rPr>
                <w:rFonts w:ascii="宋体" w:hAnsi="宋体" w:cs="宋体" w:eastAsia="宋体" w:hint="default"/>
                <w:sz w:val="18"/>
                <w:szCs w:val="18"/>
              </w:rPr>
            </w:pPr>
            <w:r>
              <w:rPr>
                <w:rFonts w:ascii="宋体" w:hAnsi="宋体" w:cs="宋体" w:eastAsia="宋体" w:hint="default"/>
                <w:sz w:val="18"/>
                <w:szCs w:val="18"/>
              </w:rPr>
              <w:t>类别</w:t>
            </w:r>
          </w:p>
        </w:tc>
        <w:tc>
          <w:tcPr>
            <w:tcW w:w="4676"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07"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8" w:hRule="exact"/>
        </w:trPr>
        <w:tc>
          <w:tcPr>
            <w:tcW w:w="614" w:type="dxa"/>
            <w:vMerge/>
            <w:tcBorders>
              <w:left w:val="single" w:sz="4" w:space="0" w:color="000000"/>
              <w:right w:val="single" w:sz="4" w:space="0" w:color="000000"/>
            </w:tcBorders>
            <w:shd w:val="clear" w:color="auto" w:fill="D2D2D2"/>
          </w:tcPr>
          <w:p>
            <w:pPr/>
          </w:p>
        </w:tc>
        <w:tc>
          <w:tcPr>
            <w:tcW w:w="179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3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9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3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0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7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79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3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9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0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8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3" w:hRule="exact"/>
        </w:trPr>
        <w:tc>
          <w:tcPr>
            <w:tcW w:w="614" w:type="dxa"/>
            <w:vMerge/>
            <w:tcBorders>
              <w:left w:val="single" w:sz="4" w:space="0" w:color="000000"/>
              <w:bottom w:val="single" w:sz="4" w:space="0" w:color="000000"/>
              <w:right w:val="single" w:sz="4" w:space="0" w:color="000000"/>
            </w:tcBorders>
            <w:shd w:val="clear" w:color="auto" w:fill="D2D2D2"/>
          </w:tcPr>
          <w:p>
            <w:pPr/>
          </w:p>
        </w:tc>
        <w:tc>
          <w:tcPr>
            <w:tcW w:w="10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0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6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59" w:right="72"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1090" w:type="dxa"/>
            <w:vMerge/>
            <w:tcBorders>
              <w:left w:val="single" w:sz="4" w:space="0" w:color="000000"/>
              <w:bottom w:val="single" w:sz="4" w:space="0" w:color="000000"/>
              <w:right w:val="single" w:sz="4" w:space="0" w:color="000000"/>
            </w:tcBorders>
            <w:shd w:val="clear" w:color="auto" w:fill="D2D2D2"/>
          </w:tcPr>
          <w:p>
            <w:pPr/>
          </w:p>
        </w:tc>
        <w:tc>
          <w:tcPr>
            <w:tcW w:w="10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59"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5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76" w:right="72"/>
              <w:jc w:val="left"/>
              <w:rPr>
                <w:rFonts w:ascii="宋体" w:hAnsi="宋体" w:cs="宋体" w:eastAsia="宋体" w:hint="default"/>
                <w:sz w:val="18"/>
                <w:szCs w:val="18"/>
              </w:rPr>
            </w:pPr>
            <w:r>
              <w:rPr>
                <w:rFonts w:ascii="宋体" w:hAnsi="宋体" w:cs="宋体" w:eastAsia="宋体" w:hint="default"/>
                <w:sz w:val="18"/>
                <w:szCs w:val="18"/>
              </w:rPr>
              <w:t>计提 比例</w:t>
            </w:r>
          </w:p>
        </w:tc>
        <w:tc>
          <w:tcPr>
            <w:tcW w:w="1092" w:type="dxa"/>
            <w:vMerge/>
            <w:tcBorders>
              <w:left w:val="single" w:sz="4" w:space="0" w:color="000000"/>
              <w:bottom w:val="single" w:sz="4" w:space="0" w:color="000000"/>
              <w:right w:val="single" w:sz="4" w:space="0" w:color="000000"/>
            </w:tcBorders>
            <w:shd w:val="clear" w:color="auto" w:fill="D2D2D2"/>
          </w:tcPr>
          <w:p>
            <w:pPr/>
          </w:p>
        </w:tc>
      </w:tr>
      <w:tr>
        <w:trPr>
          <w:trHeight w:val="2275" w:hRule="exact"/>
        </w:trPr>
        <w:tc>
          <w:tcPr>
            <w:tcW w:w="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39"/>
              <w:jc w:val="both"/>
              <w:rPr>
                <w:rFonts w:ascii="宋体" w:hAnsi="宋体" w:cs="宋体" w:eastAsia="宋体" w:hint="default"/>
                <w:sz w:val="18"/>
                <w:szCs w:val="18"/>
              </w:rPr>
            </w:pPr>
            <w:r>
              <w:rPr>
                <w:rFonts w:ascii="宋体" w:hAnsi="宋体" w:cs="宋体" w:eastAsia="宋体" w:hint="default"/>
                <w:sz w:val="18"/>
                <w:szCs w:val="18"/>
              </w:rPr>
              <w:t>单项金 额重大 并单独 计提坏 账准备 的应收 账款</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14,212,091.49</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15" w:right="0"/>
              <w:jc w:val="left"/>
              <w:rPr>
                <w:rFonts w:ascii="Times New Roman" w:hAnsi="Times New Roman" w:cs="Times New Roman" w:eastAsia="Times New Roman" w:hint="default"/>
                <w:sz w:val="18"/>
                <w:szCs w:val="18"/>
              </w:rPr>
            </w:pPr>
            <w:r>
              <w:rPr>
                <w:rFonts w:ascii="Times New Roman"/>
                <w:sz w:val="18"/>
              </w:rPr>
              <w:t>35.90%</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7,106,045.75</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50.00%</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7,106,045.74</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1299" w:hRule="exact"/>
        </w:trPr>
        <w:tc>
          <w:tcPr>
            <w:tcW w:w="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39"/>
              <w:jc w:val="both"/>
              <w:rPr>
                <w:rFonts w:ascii="宋体" w:hAnsi="宋体" w:cs="宋体" w:eastAsia="宋体" w:hint="default"/>
                <w:sz w:val="18"/>
                <w:szCs w:val="18"/>
              </w:rPr>
            </w:pPr>
            <w:r>
              <w:rPr>
                <w:rFonts w:ascii="宋体" w:hAnsi="宋体" w:cs="宋体" w:eastAsia="宋体" w:hint="default"/>
                <w:sz w:val="18"/>
                <w:szCs w:val="18"/>
              </w:rPr>
              <w:t>按信用 风险特 征组合 计提坏</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22,458,537.76</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left="115" w:right="0"/>
              <w:jc w:val="left"/>
              <w:rPr>
                <w:rFonts w:ascii="Times New Roman" w:hAnsi="Times New Roman" w:cs="Times New Roman" w:eastAsia="Times New Roman" w:hint="default"/>
                <w:sz w:val="18"/>
                <w:szCs w:val="18"/>
              </w:rPr>
            </w:pPr>
            <w:r>
              <w:rPr>
                <w:rFonts w:ascii="Times New Roman"/>
                <w:sz w:val="18"/>
              </w:rPr>
              <w:t>56.74%</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449,170.76</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22,009,367.00</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60,722,716.79</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1,717,007.49</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2.83%</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59,005,709.30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980"/>
        </w:sectPr>
      </w:pPr>
    </w:p>
    <w:p>
      <w:pPr>
        <w:spacing w:line="240" w:lineRule="auto" w:before="8"/>
        <w:rPr>
          <w:rFonts w:ascii="宋体" w:hAnsi="宋体" w:cs="宋体" w:eastAsia="宋体" w:hint="default"/>
          <w:sz w:val="24"/>
          <w:szCs w:val="24"/>
        </w:rPr>
      </w:pPr>
    </w:p>
    <w:tbl>
      <w:tblPr>
        <w:tblW w:w="0" w:type="auto"/>
        <w:jc w:val="left"/>
        <w:tblInd w:w="120" w:type="dxa"/>
        <w:tblLayout w:type="fixed"/>
        <w:tblCellMar>
          <w:top w:w="0" w:type="dxa"/>
          <w:left w:w="0" w:type="dxa"/>
          <w:bottom w:w="0" w:type="dxa"/>
          <w:right w:w="0" w:type="dxa"/>
        </w:tblCellMar>
        <w:tblLook w:val="01E0"/>
      </w:tblPr>
      <w:tblGrid>
        <w:gridCol w:w="614"/>
        <w:gridCol w:w="1092"/>
        <w:gridCol w:w="701"/>
        <w:gridCol w:w="1090"/>
        <w:gridCol w:w="703"/>
        <w:gridCol w:w="1090"/>
        <w:gridCol w:w="1092"/>
        <w:gridCol w:w="701"/>
        <w:gridCol w:w="1001"/>
        <w:gridCol w:w="521"/>
        <w:gridCol w:w="1092"/>
      </w:tblGrid>
      <w:tr>
        <w:trPr>
          <w:trHeight w:val="987" w:hRule="exact"/>
        </w:trPr>
        <w:tc>
          <w:tcPr>
            <w:tcW w:w="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22" w:right="39"/>
              <w:jc w:val="both"/>
              <w:rPr>
                <w:rFonts w:ascii="宋体" w:hAnsi="宋体" w:cs="宋体" w:eastAsia="宋体" w:hint="default"/>
                <w:sz w:val="18"/>
                <w:szCs w:val="18"/>
              </w:rPr>
            </w:pPr>
            <w:r>
              <w:rPr>
                <w:rFonts w:ascii="宋体" w:hAnsi="宋体" w:cs="宋体" w:eastAsia="宋体" w:hint="default"/>
                <w:sz w:val="18"/>
                <w:szCs w:val="18"/>
              </w:rPr>
              <w:t>账准备 的应收 账款</w:t>
            </w:r>
          </w:p>
        </w:tc>
        <w:tc>
          <w:tcPr>
            <w:tcW w:w="1092"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703"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521"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r>
      <w:tr>
        <w:trPr>
          <w:trHeight w:val="2273" w:hRule="exact"/>
        </w:trPr>
        <w:tc>
          <w:tcPr>
            <w:tcW w:w="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39"/>
              <w:jc w:val="both"/>
              <w:rPr>
                <w:rFonts w:ascii="宋体" w:hAnsi="宋体" w:cs="宋体" w:eastAsia="宋体" w:hint="default"/>
                <w:sz w:val="18"/>
                <w:szCs w:val="18"/>
              </w:rPr>
            </w:pPr>
            <w:r>
              <w:rPr>
                <w:rFonts w:ascii="宋体" w:hAnsi="宋体" w:cs="宋体" w:eastAsia="宋体" w:hint="default"/>
                <w:sz w:val="18"/>
                <w:szCs w:val="18"/>
              </w:rPr>
              <w:t>单项金 额不重 大但单 独计提 坏账准 备的应 收账款</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2,911,805.05</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7.36%</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2,911,805.05</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4" w:hRule="exact"/>
        </w:trPr>
        <w:tc>
          <w:tcPr>
            <w:tcW w:w="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39,582,434.30</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10,467,021.56</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26.44%</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29,115,412.74</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60,722,716.79</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1,717,007.49</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2.83%</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59,005,709.30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980"/>
        </w:sectPr>
      </w:pPr>
    </w:p>
    <w:p>
      <w:pPr>
        <w:pStyle w:val="BodyText"/>
        <w:spacing w:line="240" w:lineRule="auto" w:before="49"/>
        <w:ind w:right="-20"/>
        <w:jc w:val="left"/>
      </w:pPr>
      <w:r>
        <w:rPr/>
        <w:t>期末单项金额重大并单项计提坏账准备的应收账款：</w:t>
      </w:r>
    </w:p>
    <w:p>
      <w:pPr>
        <w:pStyle w:val="BodyText"/>
        <w:spacing w:line="240" w:lineRule="auto" w:before="115"/>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980"/>
          <w:cols w:num="2" w:equalWidth="0">
            <w:col w:w="4293" w:space="4536"/>
            <w:col w:w="1121"/>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120"/>
        <w:gridCol w:w="1709"/>
        <w:gridCol w:w="1916"/>
        <w:gridCol w:w="1356"/>
        <w:gridCol w:w="2473"/>
      </w:tblGrid>
      <w:tr>
        <w:trPr>
          <w:trHeight w:val="401" w:hRule="exact"/>
        </w:trPr>
        <w:tc>
          <w:tcPr>
            <w:tcW w:w="212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45" w:right="0"/>
              <w:jc w:val="left"/>
              <w:rPr>
                <w:rFonts w:ascii="宋体" w:hAnsi="宋体" w:cs="宋体" w:eastAsia="宋体" w:hint="default"/>
                <w:sz w:val="18"/>
                <w:szCs w:val="18"/>
              </w:rPr>
            </w:pPr>
            <w:r>
              <w:rPr>
                <w:rFonts w:ascii="宋体" w:hAnsi="宋体" w:cs="宋体" w:eastAsia="宋体" w:hint="default"/>
                <w:sz w:val="18"/>
                <w:szCs w:val="18"/>
              </w:rPr>
              <w:t>应收账款（按单位）</w:t>
            </w:r>
          </w:p>
        </w:tc>
        <w:tc>
          <w:tcPr>
            <w:tcW w:w="7454"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2120" w:type="dxa"/>
            <w:vMerge/>
            <w:tcBorders>
              <w:left w:val="single" w:sz="4" w:space="0" w:color="000000"/>
              <w:bottom w:val="single" w:sz="4" w:space="0" w:color="000000"/>
              <w:right w:val="single" w:sz="4" w:space="0" w:color="000000"/>
            </w:tcBorders>
            <w:shd w:val="clear" w:color="auto" w:fill="D2D2D2"/>
          </w:tcPr>
          <w:p>
            <w:pPr/>
          </w:p>
        </w:tc>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0"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4"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24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计提理由</w:t>
            </w:r>
          </w:p>
        </w:tc>
      </w:tr>
      <w:tr>
        <w:trPr>
          <w:trHeight w:val="401" w:hRule="exact"/>
        </w:trPr>
        <w:tc>
          <w:tcPr>
            <w:tcW w:w="212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某某有限公司</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8,842,911.55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4,421,455.78</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50.00%</w:t>
            </w:r>
          </w:p>
        </w:tc>
        <w:tc>
          <w:tcPr>
            <w:tcW w:w="247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right="53"/>
              <w:jc w:val="center"/>
              <w:rPr>
                <w:rFonts w:ascii="Times New Roman" w:hAnsi="Times New Roman" w:cs="Times New Roman" w:eastAsia="Times New Roman" w:hint="default"/>
                <w:sz w:val="18"/>
                <w:szCs w:val="18"/>
              </w:rPr>
            </w:pPr>
            <w:r>
              <w:rPr>
                <w:rFonts w:ascii="宋体" w:hAnsi="宋体" w:cs="宋体" w:eastAsia="宋体" w:hint="default"/>
                <w:sz w:val="18"/>
                <w:szCs w:val="18"/>
              </w:rPr>
              <w:t>对方折价销售，预计收回</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50%</w:t>
            </w:r>
          </w:p>
        </w:tc>
      </w:tr>
      <w:tr>
        <w:trPr>
          <w:trHeight w:val="403" w:hRule="exact"/>
        </w:trPr>
        <w:tc>
          <w:tcPr>
            <w:tcW w:w="212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某某有限公司</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5,369,179.94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2,684,589.97</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50.00%</w:t>
            </w:r>
          </w:p>
        </w:tc>
        <w:tc>
          <w:tcPr>
            <w:tcW w:w="247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right="53"/>
              <w:jc w:val="center"/>
              <w:rPr>
                <w:rFonts w:ascii="Times New Roman" w:hAnsi="Times New Roman" w:cs="Times New Roman" w:eastAsia="Times New Roman" w:hint="default"/>
                <w:sz w:val="18"/>
                <w:szCs w:val="18"/>
              </w:rPr>
            </w:pPr>
            <w:r>
              <w:rPr>
                <w:rFonts w:ascii="宋体" w:hAnsi="宋体" w:cs="宋体" w:eastAsia="宋体" w:hint="default"/>
                <w:sz w:val="18"/>
                <w:szCs w:val="18"/>
              </w:rPr>
              <w:t>对方折价销售，预计收回</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50%</w:t>
            </w:r>
          </w:p>
        </w:tc>
      </w:tr>
      <w:tr>
        <w:trPr>
          <w:trHeight w:val="401" w:hRule="exact"/>
        </w:trPr>
        <w:tc>
          <w:tcPr>
            <w:tcW w:w="21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14,212,091.49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7,106,045.75</w:t>
            </w:r>
          </w:p>
        </w:tc>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24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type w:val="continuous"/>
          <w:pgSz w:w="11910" w:h="16840"/>
          <w:pgMar w:top="1060" w:bottom="1160" w:left="980" w:right="980"/>
        </w:sectPr>
      </w:pPr>
    </w:p>
    <w:p>
      <w:pPr>
        <w:pStyle w:val="BodyText"/>
        <w:spacing w:line="240" w:lineRule="auto" w:before="49"/>
        <w:ind w:right="-20"/>
        <w:jc w:val="left"/>
      </w:pPr>
      <w:r>
        <w:rPr/>
        <w:t>组合中，按账龄分析法计提坏账准备的应收账款：</w:t>
      </w:r>
    </w:p>
    <w:p>
      <w:pPr>
        <w:pStyle w:val="BodyText"/>
        <w:spacing w:line="240" w:lineRule="auto" w:before="117"/>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980"/>
          <w:cols w:num="2" w:equalWidth="0">
            <w:col w:w="4113" w:space="4716"/>
            <w:col w:w="1121"/>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402" w:hRule="exact"/>
        </w:trPr>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717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93" w:type="dxa"/>
            <w:vMerge/>
            <w:tcBorders>
              <w:left w:val="single" w:sz="4" w:space="0" w:color="000000"/>
              <w:bottom w:val="single" w:sz="4" w:space="0" w:color="000000"/>
              <w:right w:val="single" w:sz="4" w:space="0" w:color="000000"/>
            </w:tcBorders>
            <w:shd w:val="clear" w:color="auto" w:fill="D2D2D2"/>
          </w:tcPr>
          <w:p>
            <w:pP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1" w:hRule="exact"/>
        </w:trPr>
        <w:tc>
          <w:tcPr>
            <w:tcW w:w="957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年以内分项</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22,458,537.76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449,170.76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2.00%</w:t>
            </w:r>
          </w:p>
        </w:tc>
      </w:tr>
      <w:tr>
        <w:trPr>
          <w:trHeight w:val="404"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年以内小计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22,458,537.76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449,170.76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2.00%</w:t>
            </w:r>
          </w:p>
        </w:tc>
      </w:tr>
    </w:tbl>
    <w:p>
      <w:pPr>
        <w:pStyle w:val="BodyText"/>
        <w:spacing w:line="357" w:lineRule="auto" w:before="49"/>
        <w:ind w:right="5454"/>
        <w:jc w:val="left"/>
      </w:pPr>
      <w:r>
        <w:rPr/>
        <w:t>确定该组合依据的说明：无。 组合中，采用余额百分比法计提坏账准备的应收账款：</w:t>
      </w:r>
    </w:p>
    <w:p>
      <w:pPr>
        <w:pStyle w:val="BodyText"/>
        <w:spacing w:line="348" w:lineRule="auto" w:before="29"/>
        <w:ind w:right="58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组合中，采用其他方法计提坏账准备的应收账款： 无。</w:t>
      </w:r>
    </w:p>
    <w:p>
      <w:pPr>
        <w:pStyle w:val="Heading4"/>
        <w:spacing w:line="240" w:lineRule="auto" w:before="51"/>
        <w:ind w:left="573" w:right="0" w:firstLine="0"/>
        <w:jc w:val="left"/>
      </w:pPr>
      <w:r>
        <w:rPr/>
        <w:t>期末单项金额不重大但单独计提坏账准备的应收账款：</w:t>
      </w:r>
    </w:p>
    <w:p>
      <w:pPr>
        <w:spacing w:line="240" w:lineRule="auto" w:before="11"/>
        <w:rPr>
          <w:rFonts w:ascii="宋体" w:hAnsi="宋体" w:cs="宋体" w:eastAsia="宋体" w:hint="default"/>
          <w:sz w:val="9"/>
          <w:szCs w:val="9"/>
        </w:rPr>
      </w:pPr>
    </w:p>
    <w:tbl>
      <w:tblPr>
        <w:tblW w:w="0" w:type="auto"/>
        <w:jc w:val="left"/>
        <w:tblInd w:w="138" w:type="dxa"/>
        <w:tblLayout w:type="fixed"/>
        <w:tblCellMar>
          <w:top w:w="0" w:type="dxa"/>
          <w:left w:w="0" w:type="dxa"/>
          <w:bottom w:w="0" w:type="dxa"/>
          <w:right w:w="0" w:type="dxa"/>
        </w:tblCellMar>
        <w:tblLook w:val="01E0"/>
      </w:tblPr>
      <w:tblGrid>
        <w:gridCol w:w="3486"/>
        <w:gridCol w:w="1805"/>
        <w:gridCol w:w="1682"/>
        <w:gridCol w:w="989"/>
        <w:gridCol w:w="1697"/>
      </w:tblGrid>
      <w:tr>
        <w:trPr>
          <w:trHeight w:val="341" w:hRule="exact"/>
        </w:trPr>
        <w:tc>
          <w:tcPr>
            <w:tcW w:w="3486" w:type="dxa"/>
            <w:vMerge w:val="restart"/>
            <w:tcBorders>
              <w:top w:val="single" w:sz="4" w:space="0" w:color="000000"/>
              <w:left w:val="single" w:sz="4" w:space="0" w:color="000000"/>
              <w:right w:val="single" w:sz="4" w:space="0" w:color="000000"/>
            </w:tcBorders>
          </w:tcPr>
          <w:p>
            <w:pPr>
              <w:pStyle w:val="TableParagraph"/>
              <w:spacing w:line="240" w:lineRule="auto" w:before="17"/>
              <w:ind w:left="926" w:right="0"/>
              <w:jc w:val="left"/>
              <w:rPr>
                <w:rFonts w:ascii="宋体" w:hAnsi="宋体" w:cs="宋体" w:eastAsia="宋体" w:hint="default"/>
                <w:sz w:val="18"/>
                <w:szCs w:val="18"/>
              </w:rPr>
            </w:pPr>
            <w:r>
              <w:rPr>
                <w:rFonts w:ascii="宋体" w:hAnsi="宋体" w:cs="宋体" w:eastAsia="宋体" w:hint="default"/>
                <w:sz w:val="18"/>
                <w:szCs w:val="18"/>
              </w:rPr>
              <w:t>应收账款（按单位）</w:t>
            </w:r>
          </w:p>
        </w:tc>
        <w:tc>
          <w:tcPr>
            <w:tcW w:w="6174"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656" w:hRule="exact"/>
        </w:trPr>
        <w:tc>
          <w:tcPr>
            <w:tcW w:w="3486" w:type="dxa"/>
            <w:vMerge/>
            <w:tcBorders>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537"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7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计提比例</w:t>
            </w:r>
          </w:p>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82" w:right="0"/>
              <w:jc w:val="left"/>
              <w:rPr>
                <w:rFonts w:ascii="宋体" w:hAnsi="宋体" w:cs="宋体" w:eastAsia="宋体" w:hint="default"/>
                <w:sz w:val="18"/>
                <w:szCs w:val="18"/>
              </w:rPr>
            </w:pPr>
            <w:r>
              <w:rPr>
                <w:rFonts w:ascii="宋体" w:hAnsi="宋体" w:cs="宋体" w:eastAsia="宋体" w:hint="default"/>
                <w:sz w:val="18"/>
                <w:szCs w:val="18"/>
              </w:rPr>
              <w:t>计提理由</w:t>
            </w:r>
          </w:p>
        </w:tc>
      </w:tr>
      <w:tr>
        <w:trPr>
          <w:trHeight w:val="341" w:hRule="exact"/>
        </w:trPr>
        <w:tc>
          <w:tcPr>
            <w:tcW w:w="3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A</w:t>
            </w:r>
            <w:r>
              <w:rPr>
                <w:rFonts w:ascii="宋体" w:hAnsi="宋体" w:cs="宋体" w:eastAsia="宋体" w:hint="default"/>
                <w:sz w:val="18"/>
                <w:szCs w:val="18"/>
              </w:rPr>
              <w:t>公司</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2,783,005.98</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2,783,005.98</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100.00</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343" w:hRule="exact"/>
        </w:trPr>
        <w:tc>
          <w:tcPr>
            <w:tcW w:w="3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B</w:t>
            </w:r>
            <w:r>
              <w:rPr>
                <w:rFonts w:ascii="宋体" w:hAnsi="宋体" w:cs="宋体" w:eastAsia="宋体" w:hint="default"/>
                <w:sz w:val="18"/>
                <w:szCs w:val="18"/>
              </w:rPr>
              <w:t>公司</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87,545.09</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87,545.09</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100.00</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预计无法收回</w:t>
            </w:r>
          </w:p>
        </w:tc>
      </w:tr>
    </w:tbl>
    <w:p>
      <w:pPr>
        <w:spacing w:after="0" w:line="240" w:lineRule="auto"/>
        <w:jc w:val="left"/>
        <w:rPr>
          <w:rFonts w:ascii="宋体" w:hAnsi="宋体" w:cs="宋体" w:eastAsia="宋体" w:hint="default"/>
          <w:sz w:val="18"/>
          <w:szCs w:val="18"/>
        </w:rPr>
        <w:sectPr>
          <w:type w:val="continuous"/>
          <w:pgSz w:w="11910" w:h="16840"/>
          <w:pgMar w:top="1060" w:bottom="1160" w:left="980" w:right="980"/>
        </w:sectPr>
      </w:pPr>
    </w:p>
    <w:p>
      <w:pPr>
        <w:spacing w:line="240" w:lineRule="auto" w:before="8"/>
        <w:rPr>
          <w:rFonts w:ascii="宋体" w:hAnsi="宋体" w:cs="宋体" w:eastAsia="宋体" w:hint="default"/>
          <w:sz w:val="24"/>
          <w:szCs w:val="24"/>
        </w:rPr>
      </w:pPr>
    </w:p>
    <w:tbl>
      <w:tblPr>
        <w:tblW w:w="0" w:type="auto"/>
        <w:jc w:val="left"/>
        <w:tblInd w:w="138" w:type="dxa"/>
        <w:tblLayout w:type="fixed"/>
        <w:tblCellMar>
          <w:top w:w="0" w:type="dxa"/>
          <w:left w:w="0" w:type="dxa"/>
          <w:bottom w:w="0" w:type="dxa"/>
          <w:right w:w="0" w:type="dxa"/>
        </w:tblCellMar>
        <w:tblLook w:val="01E0"/>
      </w:tblPr>
      <w:tblGrid>
        <w:gridCol w:w="3486"/>
        <w:gridCol w:w="1805"/>
        <w:gridCol w:w="1682"/>
        <w:gridCol w:w="989"/>
        <w:gridCol w:w="1697"/>
      </w:tblGrid>
      <w:tr>
        <w:trPr>
          <w:trHeight w:val="344" w:hRule="exact"/>
        </w:trPr>
        <w:tc>
          <w:tcPr>
            <w:tcW w:w="3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512" w:right="0"/>
              <w:jc w:val="left"/>
              <w:rPr>
                <w:rFonts w:ascii="宋体" w:hAnsi="宋体" w:cs="宋体" w:eastAsia="宋体" w:hint="default"/>
                <w:sz w:val="18"/>
                <w:szCs w:val="18"/>
              </w:rPr>
            </w:pPr>
            <w:r>
              <w:rPr>
                <w:rFonts w:ascii="宋体" w:hAnsi="宋体" w:cs="宋体" w:eastAsia="宋体" w:hint="default"/>
                <w:sz w:val="18"/>
                <w:szCs w:val="18"/>
              </w:rPr>
              <w:t>C</w:t>
            </w:r>
            <w:r>
              <w:rPr>
                <w:rFonts w:ascii="宋体" w:hAnsi="宋体" w:cs="宋体" w:eastAsia="宋体" w:hint="default"/>
                <w:sz w:val="18"/>
                <w:szCs w:val="18"/>
              </w:rPr>
              <w:t>公司</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41,253.98</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41,253.98</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100.00</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4" w:right="0"/>
              <w:jc w:val="lef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341" w:hRule="exact"/>
        </w:trPr>
        <w:tc>
          <w:tcPr>
            <w:tcW w:w="3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55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2,911,805.05</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2,911,805.05</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100.00</w:t>
            </w:r>
          </w:p>
        </w:tc>
        <w:tc>
          <w:tcPr>
            <w:tcW w:w="169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3"/>
          <w:szCs w:val="23"/>
        </w:rPr>
      </w:pPr>
    </w:p>
    <w:p>
      <w:pPr>
        <w:pStyle w:val="Heading3"/>
        <w:spacing w:line="335" w:lineRule="exact"/>
        <w:ind w:right="0"/>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0"/>
        <w:jc w:val="left"/>
      </w:pPr>
      <w:r>
        <w:rPr/>
        <w:t>本期计提坏账准备金额</w:t>
      </w:r>
      <w:r>
        <w:rPr>
          <w:spacing w:val="-46"/>
        </w:rPr>
        <w:t> </w:t>
      </w:r>
      <w:r>
        <w:rPr>
          <w:rFonts w:ascii="Times New Roman" w:hAnsi="Times New Roman" w:cs="Times New Roman" w:eastAsia="Times New Roman" w:hint="default"/>
        </w:rPr>
        <w:t>8,750,014.07</w:t>
      </w:r>
      <w:r>
        <w:rPr>
          <w:rFonts w:ascii="Times New Roman" w:hAnsi="Times New Roman" w:cs="Times New Roman" w:eastAsia="Times New Roman" w:hint="default"/>
          <w:spacing w:val="1"/>
        </w:rPr>
        <w:t> </w:t>
      </w:r>
      <w:r>
        <w:rPr/>
        <w:t>元；本期收回或转回坏账准备金额</w:t>
      </w:r>
      <w:r>
        <w:rPr>
          <w:spacing w:val="-47"/>
        </w:rPr>
        <w:t> </w:t>
      </w:r>
      <w:r>
        <w:rPr>
          <w:rFonts w:ascii="Times New Roman" w:hAnsi="Times New Roman" w:cs="Times New Roman" w:eastAsia="Times New Roman" w:hint="default"/>
        </w:rPr>
        <w:t>0.00 </w:t>
      </w:r>
      <w:r>
        <w:rPr/>
        <w:t>元。</w:t>
      </w:r>
    </w:p>
    <w:p>
      <w:pPr>
        <w:spacing w:line="240" w:lineRule="auto" w:before="11"/>
        <w:rPr>
          <w:rFonts w:ascii="宋体" w:hAnsi="宋体" w:cs="宋体" w:eastAsia="宋体" w:hint="default"/>
          <w:sz w:val="20"/>
          <w:szCs w:val="20"/>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0"/>
        <w:jc w:val="left"/>
      </w:pPr>
      <w:r>
        <w:rPr/>
        <w:t>本期无实际核销的应收账款情况。</w:t>
      </w:r>
    </w:p>
    <w:p>
      <w:pPr>
        <w:spacing w:line="240" w:lineRule="auto" w:before="1"/>
        <w:rPr>
          <w:rFonts w:ascii="宋体" w:hAnsi="宋体" w:cs="宋体" w:eastAsia="宋体" w:hint="default"/>
          <w:sz w:val="22"/>
          <w:szCs w:val="22"/>
        </w:rPr>
      </w:pPr>
    </w:p>
    <w:p>
      <w:pPr>
        <w:pStyle w:val="Heading3"/>
        <w:spacing w:line="240" w:lineRule="auto"/>
        <w:ind w:right="0"/>
        <w:jc w:val="left"/>
        <w:rPr>
          <w:b w:val="0"/>
          <w:bCs w:val="0"/>
        </w:rPr>
      </w:pP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15"/>
        <w:rPr>
          <w:rFonts w:ascii="Microsoft JhengHei" w:hAnsi="Microsoft JhengHei" w:cs="Microsoft JhengHei" w:eastAsia="Microsoft JhengHei" w:hint="default"/>
          <w:b/>
          <w:bCs/>
          <w:sz w:val="18"/>
          <w:szCs w:val="18"/>
        </w:rPr>
      </w:pPr>
    </w:p>
    <w:tbl>
      <w:tblPr>
        <w:tblW w:w="0" w:type="auto"/>
        <w:jc w:val="left"/>
        <w:tblInd w:w="138" w:type="dxa"/>
        <w:tblLayout w:type="fixed"/>
        <w:tblCellMar>
          <w:top w:w="0" w:type="dxa"/>
          <w:left w:w="0" w:type="dxa"/>
          <w:bottom w:w="0" w:type="dxa"/>
          <w:right w:w="0" w:type="dxa"/>
        </w:tblCellMar>
        <w:tblLook w:val="01E0"/>
      </w:tblPr>
      <w:tblGrid>
        <w:gridCol w:w="3834"/>
        <w:gridCol w:w="1764"/>
        <w:gridCol w:w="1978"/>
        <w:gridCol w:w="2083"/>
      </w:tblGrid>
      <w:tr>
        <w:trPr>
          <w:trHeight w:val="341" w:hRule="exact"/>
        </w:trPr>
        <w:tc>
          <w:tcPr>
            <w:tcW w:w="3834" w:type="dxa"/>
            <w:vMerge w:val="restart"/>
            <w:tcBorders>
              <w:top w:val="single" w:sz="4" w:space="0" w:color="000000"/>
              <w:left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582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655" w:hRule="exact"/>
        </w:trPr>
        <w:tc>
          <w:tcPr>
            <w:tcW w:w="3834" w:type="dxa"/>
            <w:vMerge/>
            <w:tcBorders>
              <w:left w:val="single" w:sz="4" w:space="0" w:color="000000"/>
              <w:bottom w:val="single" w:sz="4" w:space="0" w:color="000000"/>
              <w:right w:val="single" w:sz="4" w:space="0" w:color="000000"/>
            </w:tcBorders>
          </w:tcPr>
          <w:p>
            <w:pP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518"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638" w:right="82" w:hanging="555"/>
              <w:jc w:val="left"/>
              <w:rPr>
                <w:rFonts w:ascii="宋体" w:hAnsi="宋体" w:cs="宋体" w:eastAsia="宋体" w:hint="default"/>
                <w:sz w:val="18"/>
                <w:szCs w:val="18"/>
              </w:rPr>
            </w:pPr>
            <w:r>
              <w:rPr>
                <w:rFonts w:ascii="宋体" w:hAnsi="宋体" w:cs="宋体" w:eastAsia="宋体" w:hint="default"/>
                <w:sz w:val="18"/>
                <w:szCs w:val="18"/>
              </w:rPr>
              <w:t>占应收账款合计数的比 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0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676"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341" w:hRule="exact"/>
        </w:trPr>
        <w:tc>
          <w:tcPr>
            <w:tcW w:w="3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685" w:right="0"/>
              <w:jc w:val="left"/>
              <w:rPr>
                <w:rFonts w:ascii="宋体" w:hAnsi="宋体" w:cs="宋体" w:eastAsia="宋体" w:hint="default"/>
                <w:sz w:val="18"/>
                <w:szCs w:val="18"/>
              </w:rPr>
            </w:pPr>
            <w:r>
              <w:rPr>
                <w:rFonts w:ascii="宋体" w:hAnsi="宋体" w:cs="宋体" w:eastAsia="宋体" w:hint="default"/>
                <w:sz w:val="18"/>
                <w:szCs w:val="18"/>
              </w:rPr>
              <w:t>A</w:t>
            </w:r>
            <w:r>
              <w:rPr>
                <w:rFonts w:ascii="宋体" w:hAnsi="宋体" w:cs="宋体" w:eastAsia="宋体" w:hint="default"/>
                <w:sz w:val="18"/>
                <w:szCs w:val="18"/>
              </w:rPr>
              <w:t>公司</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8,842,911.55</w:t>
            </w:r>
          </w:p>
        </w:tc>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z w:val="18"/>
              </w:rPr>
              <w:t>22.34</w:t>
            </w:r>
          </w:p>
        </w:tc>
        <w:tc>
          <w:tcPr>
            <w:tcW w:w="20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4,421,455.78</w:t>
            </w:r>
          </w:p>
        </w:tc>
      </w:tr>
      <w:tr>
        <w:trPr>
          <w:trHeight w:val="343" w:hRule="exact"/>
        </w:trPr>
        <w:tc>
          <w:tcPr>
            <w:tcW w:w="3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685" w:right="0"/>
              <w:jc w:val="left"/>
              <w:rPr>
                <w:rFonts w:ascii="宋体" w:hAnsi="宋体" w:cs="宋体" w:eastAsia="宋体" w:hint="default"/>
                <w:sz w:val="18"/>
                <w:szCs w:val="18"/>
              </w:rPr>
            </w:pPr>
            <w:r>
              <w:rPr>
                <w:rFonts w:ascii="宋体" w:hAnsi="宋体" w:cs="宋体" w:eastAsia="宋体" w:hint="default"/>
                <w:sz w:val="18"/>
                <w:szCs w:val="18"/>
              </w:rPr>
              <w:t>B</w:t>
            </w:r>
            <w:r>
              <w:rPr>
                <w:rFonts w:ascii="宋体" w:hAnsi="宋体" w:cs="宋体" w:eastAsia="宋体" w:hint="default"/>
                <w:sz w:val="18"/>
                <w:szCs w:val="18"/>
              </w:rPr>
              <w:t>公司</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7,009,614.32</w:t>
            </w:r>
          </w:p>
        </w:tc>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z w:val="18"/>
              </w:rPr>
              <w:t>17.71</w:t>
            </w:r>
          </w:p>
        </w:tc>
        <w:tc>
          <w:tcPr>
            <w:tcW w:w="20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140,192.29</w:t>
            </w:r>
          </w:p>
        </w:tc>
      </w:tr>
      <w:tr>
        <w:trPr>
          <w:trHeight w:val="341" w:hRule="exact"/>
        </w:trPr>
        <w:tc>
          <w:tcPr>
            <w:tcW w:w="3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685" w:right="0"/>
              <w:jc w:val="left"/>
              <w:rPr>
                <w:rFonts w:ascii="宋体" w:hAnsi="宋体" w:cs="宋体" w:eastAsia="宋体" w:hint="default"/>
                <w:sz w:val="18"/>
                <w:szCs w:val="18"/>
              </w:rPr>
            </w:pPr>
            <w:r>
              <w:rPr>
                <w:rFonts w:ascii="宋体" w:hAnsi="宋体" w:cs="宋体" w:eastAsia="宋体" w:hint="default"/>
                <w:sz w:val="18"/>
                <w:szCs w:val="18"/>
              </w:rPr>
              <w:t>C</w:t>
            </w:r>
            <w:r>
              <w:rPr>
                <w:rFonts w:ascii="宋体" w:hAnsi="宋体" w:cs="宋体" w:eastAsia="宋体" w:hint="default"/>
                <w:sz w:val="18"/>
                <w:szCs w:val="18"/>
              </w:rPr>
              <w:t>公司</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6,024,896.84</w:t>
            </w:r>
          </w:p>
        </w:tc>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z w:val="18"/>
              </w:rPr>
              <w:t>15.22</w:t>
            </w:r>
          </w:p>
        </w:tc>
        <w:tc>
          <w:tcPr>
            <w:tcW w:w="20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120,497.94</w:t>
            </w:r>
          </w:p>
        </w:tc>
      </w:tr>
      <w:tr>
        <w:trPr>
          <w:trHeight w:val="344" w:hRule="exact"/>
        </w:trPr>
        <w:tc>
          <w:tcPr>
            <w:tcW w:w="3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685" w:right="0"/>
              <w:jc w:val="left"/>
              <w:rPr>
                <w:rFonts w:ascii="宋体" w:hAnsi="宋体" w:cs="宋体" w:eastAsia="宋体" w:hint="default"/>
                <w:sz w:val="18"/>
                <w:szCs w:val="18"/>
              </w:rPr>
            </w:pPr>
            <w:r>
              <w:rPr>
                <w:rFonts w:ascii="宋体" w:hAnsi="宋体" w:cs="宋体" w:eastAsia="宋体" w:hint="default"/>
                <w:sz w:val="18"/>
                <w:szCs w:val="18"/>
              </w:rPr>
              <w:t>D</w:t>
            </w:r>
            <w:r>
              <w:rPr>
                <w:rFonts w:ascii="宋体" w:hAnsi="宋体" w:cs="宋体" w:eastAsia="宋体" w:hint="default"/>
                <w:sz w:val="18"/>
                <w:szCs w:val="18"/>
              </w:rPr>
              <w:t>公司</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5,369,179.94</w:t>
            </w:r>
          </w:p>
        </w:tc>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z w:val="18"/>
              </w:rPr>
              <w:t>13.56</w:t>
            </w:r>
          </w:p>
        </w:tc>
        <w:tc>
          <w:tcPr>
            <w:tcW w:w="20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2,684,589.97</w:t>
            </w:r>
          </w:p>
        </w:tc>
      </w:tr>
      <w:tr>
        <w:trPr>
          <w:trHeight w:val="341" w:hRule="exact"/>
        </w:trPr>
        <w:tc>
          <w:tcPr>
            <w:tcW w:w="3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685" w:right="0"/>
              <w:jc w:val="left"/>
              <w:rPr>
                <w:rFonts w:ascii="宋体" w:hAnsi="宋体" w:cs="宋体" w:eastAsia="宋体" w:hint="default"/>
                <w:sz w:val="18"/>
                <w:szCs w:val="18"/>
              </w:rPr>
            </w:pPr>
            <w:r>
              <w:rPr>
                <w:rFonts w:ascii="宋体" w:hAnsi="宋体" w:cs="宋体" w:eastAsia="宋体" w:hint="default"/>
                <w:sz w:val="18"/>
                <w:szCs w:val="18"/>
              </w:rPr>
              <w:t>E</w:t>
            </w:r>
            <w:r>
              <w:rPr>
                <w:rFonts w:ascii="宋体" w:hAnsi="宋体" w:cs="宋体" w:eastAsia="宋体" w:hint="default"/>
                <w:sz w:val="18"/>
                <w:szCs w:val="18"/>
              </w:rPr>
              <w:t>公司</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3,823,829.21</w:t>
            </w:r>
          </w:p>
        </w:tc>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9.66</w:t>
            </w:r>
          </w:p>
        </w:tc>
        <w:tc>
          <w:tcPr>
            <w:tcW w:w="20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76,476.58</w:t>
            </w:r>
          </w:p>
        </w:tc>
      </w:tr>
      <w:tr>
        <w:trPr>
          <w:trHeight w:val="343" w:hRule="exact"/>
        </w:trPr>
        <w:tc>
          <w:tcPr>
            <w:tcW w:w="3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730"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31,070,431.86</w:t>
            </w:r>
          </w:p>
        </w:tc>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z w:val="18"/>
              </w:rPr>
              <w:t>78.49</w:t>
            </w:r>
          </w:p>
        </w:tc>
        <w:tc>
          <w:tcPr>
            <w:tcW w:w="20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7,443,212.56</w:t>
            </w:r>
          </w:p>
        </w:tc>
      </w:tr>
    </w:tbl>
    <w:p>
      <w:pPr>
        <w:spacing w:line="240" w:lineRule="auto" w:before="8"/>
        <w:rPr>
          <w:rFonts w:ascii="Microsoft JhengHei" w:hAnsi="Microsoft JhengHei" w:cs="Microsoft JhengHei" w:eastAsia="Microsoft JhengHei" w:hint="default"/>
          <w:b/>
          <w:bCs/>
          <w:sz w:val="14"/>
          <w:szCs w:val="14"/>
        </w:rPr>
      </w:pPr>
    </w:p>
    <w:p>
      <w:pPr>
        <w:pStyle w:val="Heading3"/>
        <w:spacing w:line="335" w:lineRule="exact"/>
        <w:ind w:right="0"/>
        <w:jc w:val="left"/>
        <w:rPr>
          <w:b w:val="0"/>
          <w:bCs w:val="0"/>
        </w:rPr>
      </w:pPr>
      <w:r>
        <w:rPr>
          <w:rFonts w:ascii="Times New Roman" w:hAnsi="Times New Roman" w:cs="Times New Roman" w:eastAsia="Times New Roman" w:hint="default"/>
        </w:rPr>
        <w:t>5</w:t>
      </w:r>
      <w:r>
        <w:rPr/>
        <w:t>、预付款项</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）预付款项按账龄列示</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3"/>
        <w:gridCol w:w="1916"/>
        <w:gridCol w:w="1915"/>
      </w:tblGrid>
      <w:tr>
        <w:trPr>
          <w:trHeight w:val="401" w:hRule="exact"/>
        </w:trPr>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w w:val="95"/>
                <w:sz w:val="18"/>
              </w:rPr>
              <w:t>11,154.87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36" w:right="0"/>
              <w:jc w:val="left"/>
              <w:rPr>
                <w:rFonts w:ascii="Times New Roman" w:hAnsi="Times New Roman" w:cs="Times New Roman" w:eastAsia="Times New Roman" w:hint="default"/>
                <w:sz w:val="18"/>
                <w:szCs w:val="18"/>
              </w:rPr>
            </w:pPr>
            <w:r>
              <w:rPr>
                <w:rFonts w:ascii="Times New Roman"/>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536,411.76</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38" w:right="0"/>
              <w:jc w:val="left"/>
              <w:rPr>
                <w:rFonts w:ascii="Times New Roman" w:hAnsi="Times New Roman" w:cs="Times New Roman" w:eastAsia="Times New Roman" w:hint="default"/>
                <w:sz w:val="18"/>
                <w:szCs w:val="18"/>
              </w:rPr>
            </w:pPr>
            <w:r>
              <w:rPr>
                <w:rFonts w:ascii="Times New Roman"/>
                <w:sz w:val="18"/>
              </w:rPr>
              <w:t>100.00%</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w w:val="95"/>
                <w:sz w:val="18"/>
              </w:rPr>
              <w:t>11,154.87</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536,411.76</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t>账龄超过</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年且金额重要的预付款项未及时结算原因的说明：无。</w:t>
      </w:r>
    </w:p>
    <w:p>
      <w:pPr>
        <w:spacing w:line="240" w:lineRule="auto" w:before="11"/>
        <w:rPr>
          <w:rFonts w:ascii="宋体" w:hAnsi="宋体" w:cs="宋体" w:eastAsia="宋体" w:hint="default"/>
          <w:sz w:val="20"/>
          <w:szCs w:val="20"/>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15"/>
        <w:rPr>
          <w:rFonts w:ascii="Microsoft JhengHei" w:hAnsi="Microsoft JhengHei" w:cs="Microsoft JhengHei" w:eastAsia="Microsoft JhengHei" w:hint="default"/>
          <w:b/>
          <w:bCs/>
          <w:sz w:val="18"/>
          <w:szCs w:val="18"/>
        </w:rPr>
      </w:pPr>
    </w:p>
    <w:tbl>
      <w:tblPr>
        <w:tblW w:w="0" w:type="auto"/>
        <w:jc w:val="left"/>
        <w:tblInd w:w="138" w:type="dxa"/>
        <w:tblLayout w:type="fixed"/>
        <w:tblCellMar>
          <w:top w:w="0" w:type="dxa"/>
          <w:left w:w="0" w:type="dxa"/>
          <w:bottom w:w="0" w:type="dxa"/>
          <w:right w:w="0" w:type="dxa"/>
        </w:tblCellMar>
        <w:tblLook w:val="01E0"/>
      </w:tblPr>
      <w:tblGrid>
        <w:gridCol w:w="4410"/>
        <w:gridCol w:w="2316"/>
        <w:gridCol w:w="2933"/>
      </w:tblGrid>
      <w:tr>
        <w:trPr>
          <w:trHeight w:val="656" w:hRule="exact"/>
        </w:trPr>
        <w:tc>
          <w:tcPr>
            <w:tcW w:w="4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预付对象</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93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7"/>
              <w:ind w:left="667" w:right="665" w:firstLine="74"/>
              <w:jc w:val="left"/>
              <w:rPr>
                <w:rFonts w:ascii="宋体" w:hAnsi="宋体" w:cs="宋体" w:eastAsia="宋体" w:hint="default"/>
                <w:sz w:val="18"/>
                <w:szCs w:val="18"/>
              </w:rPr>
            </w:pPr>
            <w:r>
              <w:rPr>
                <w:rFonts w:ascii="宋体" w:hAnsi="宋体" w:cs="宋体" w:eastAsia="宋体" w:hint="default"/>
                <w:sz w:val="18"/>
                <w:szCs w:val="18"/>
              </w:rPr>
              <w:t>占预付款期末余额 合计数的比例（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48" w:hRule="exact"/>
        </w:trPr>
        <w:tc>
          <w:tcPr>
            <w:tcW w:w="4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A</w:t>
            </w:r>
            <w:r>
              <w:rPr>
                <w:rFonts w:ascii="宋体" w:hAnsi="宋体" w:cs="宋体" w:eastAsia="宋体" w:hint="default"/>
                <w:spacing w:val="-44"/>
                <w:sz w:val="18"/>
                <w:szCs w:val="18"/>
              </w:rPr>
              <w:t> </w:t>
            </w:r>
            <w:r>
              <w:rPr>
                <w:rFonts w:ascii="宋体" w:hAnsi="宋体" w:cs="宋体" w:eastAsia="宋体" w:hint="default"/>
                <w:sz w:val="18"/>
                <w:szCs w:val="18"/>
              </w:rPr>
              <w:t>公司</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
              <w:jc w:val="right"/>
              <w:rPr>
                <w:rFonts w:ascii="Times New Roman" w:hAnsi="Times New Roman" w:cs="Times New Roman" w:eastAsia="Times New Roman" w:hint="default"/>
                <w:sz w:val="18"/>
                <w:szCs w:val="18"/>
              </w:rPr>
            </w:pPr>
            <w:r>
              <w:rPr>
                <w:rFonts w:ascii="Times New Roman"/>
                <w:w w:val="95"/>
                <w:sz w:val="18"/>
              </w:rPr>
              <w:t>5,709.00</w:t>
            </w:r>
          </w:p>
        </w:tc>
        <w:tc>
          <w:tcPr>
            <w:tcW w:w="2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
              <w:jc w:val="right"/>
              <w:rPr>
                <w:rFonts w:ascii="Times New Roman" w:hAnsi="Times New Roman" w:cs="Times New Roman" w:eastAsia="Times New Roman" w:hint="default"/>
                <w:sz w:val="18"/>
                <w:szCs w:val="18"/>
              </w:rPr>
            </w:pPr>
            <w:r>
              <w:rPr>
                <w:rFonts w:ascii="Times New Roman"/>
                <w:sz w:val="18"/>
              </w:rPr>
              <w:t>51.18</w:t>
            </w:r>
          </w:p>
        </w:tc>
      </w:tr>
      <w:tr>
        <w:trPr>
          <w:trHeight w:val="350" w:hRule="exact"/>
        </w:trPr>
        <w:tc>
          <w:tcPr>
            <w:tcW w:w="4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18"/>
                <w:szCs w:val="18"/>
              </w:rPr>
            </w:pPr>
            <w:r>
              <w:rPr>
                <w:rFonts w:ascii="宋体" w:hAnsi="宋体" w:cs="宋体" w:eastAsia="宋体" w:hint="default"/>
                <w:sz w:val="18"/>
                <w:szCs w:val="18"/>
              </w:rPr>
              <w:t>B</w:t>
            </w:r>
            <w:r>
              <w:rPr>
                <w:rFonts w:ascii="宋体" w:hAnsi="宋体" w:cs="宋体" w:eastAsia="宋体" w:hint="default"/>
                <w:spacing w:val="-44"/>
                <w:sz w:val="18"/>
                <w:szCs w:val="18"/>
              </w:rPr>
              <w:t> </w:t>
            </w:r>
            <w:r>
              <w:rPr>
                <w:rFonts w:ascii="宋体" w:hAnsi="宋体" w:cs="宋体" w:eastAsia="宋体" w:hint="default"/>
                <w:sz w:val="18"/>
                <w:szCs w:val="18"/>
              </w:rPr>
              <w:t>公司</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
              <w:jc w:val="right"/>
              <w:rPr>
                <w:rFonts w:ascii="Times New Roman" w:hAnsi="Times New Roman" w:cs="Times New Roman" w:eastAsia="Times New Roman" w:hint="default"/>
                <w:sz w:val="18"/>
                <w:szCs w:val="18"/>
              </w:rPr>
            </w:pPr>
            <w:r>
              <w:rPr>
                <w:rFonts w:ascii="Times New Roman"/>
                <w:w w:val="95"/>
                <w:sz w:val="18"/>
              </w:rPr>
              <w:t>5,445.87</w:t>
            </w:r>
          </w:p>
        </w:tc>
        <w:tc>
          <w:tcPr>
            <w:tcW w:w="2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
              <w:jc w:val="right"/>
              <w:rPr>
                <w:rFonts w:ascii="Times New Roman" w:hAnsi="Times New Roman" w:cs="Times New Roman" w:eastAsia="Times New Roman" w:hint="default"/>
                <w:sz w:val="18"/>
                <w:szCs w:val="18"/>
              </w:rPr>
            </w:pPr>
            <w:r>
              <w:rPr>
                <w:rFonts w:ascii="Times New Roman"/>
                <w:sz w:val="18"/>
              </w:rPr>
              <w:t>48.82</w:t>
            </w:r>
          </w:p>
        </w:tc>
      </w:tr>
      <w:tr>
        <w:trPr>
          <w:trHeight w:val="343" w:hRule="exact"/>
        </w:trPr>
        <w:tc>
          <w:tcPr>
            <w:tcW w:w="4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11,154.87</w:t>
            </w:r>
          </w:p>
        </w:tc>
        <w:tc>
          <w:tcPr>
            <w:tcW w:w="2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100.00</w:t>
            </w:r>
          </w:p>
        </w:tc>
      </w:tr>
    </w:tbl>
    <w:p>
      <w:pPr>
        <w:spacing w:after="0" w:line="240" w:lineRule="auto"/>
        <w:jc w:val="right"/>
        <w:rPr>
          <w:rFonts w:ascii="Times New Roman" w:hAnsi="Times New Roman" w:cs="Times New Roman" w:eastAsia="Times New Roman" w:hint="default"/>
          <w:sz w:val="18"/>
          <w:szCs w:val="18"/>
        </w:rPr>
        <w:sectPr>
          <w:footerReference w:type="default" r:id="rId25"/>
          <w:pgSz w:w="11910" w:h="16840"/>
          <w:pgMar w:footer="979" w:header="877" w:top="1100" w:bottom="1160" w:left="980" w:right="980"/>
          <w:pgNumType w:start="110"/>
        </w:sectPr>
      </w:pPr>
    </w:p>
    <w:p>
      <w:pPr>
        <w:spacing w:line="240" w:lineRule="auto" w:before="0"/>
        <w:rPr>
          <w:rFonts w:ascii="Microsoft JhengHei" w:hAnsi="Microsoft JhengHei" w:cs="Microsoft JhengHei" w:eastAsia="Microsoft JhengHei" w:hint="default"/>
          <w:b/>
          <w:bCs/>
          <w:sz w:val="20"/>
          <w:szCs w:val="20"/>
        </w:rPr>
      </w:pPr>
    </w:p>
    <w:p>
      <w:pPr>
        <w:spacing w:line="240" w:lineRule="auto" w:before="12"/>
        <w:rPr>
          <w:rFonts w:ascii="Microsoft JhengHei" w:hAnsi="Microsoft JhengHei" w:cs="Microsoft JhengHei" w:eastAsia="Microsoft JhengHei" w:hint="default"/>
          <w:b/>
          <w:bCs/>
          <w:sz w:val="16"/>
          <w:szCs w:val="16"/>
        </w:rPr>
      </w:pPr>
    </w:p>
    <w:p>
      <w:pPr>
        <w:pStyle w:val="BodyText"/>
        <w:spacing w:line="240" w:lineRule="auto" w:before="44"/>
        <w:ind w:right="0"/>
        <w:jc w:val="left"/>
      </w:pPr>
      <w:r>
        <w:rPr/>
        <w:t>其他说明：无。</w:t>
      </w:r>
    </w:p>
    <w:p>
      <w:pPr>
        <w:spacing w:line="240" w:lineRule="auto" w:before="12"/>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6</w:t>
      </w:r>
      <w:r>
        <w:rPr/>
        <w:t>、其他应收款</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）其他应收款分类披露</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19" w:type="dxa"/>
        <w:tblLayout w:type="fixed"/>
        <w:tblCellMar>
          <w:top w:w="0" w:type="dxa"/>
          <w:left w:w="0" w:type="dxa"/>
          <w:bottom w:w="0" w:type="dxa"/>
          <w:right w:w="0" w:type="dxa"/>
        </w:tblCellMar>
        <w:tblLook w:val="01E0"/>
      </w:tblPr>
      <w:tblGrid>
        <w:gridCol w:w="1476"/>
        <w:gridCol w:w="864"/>
        <w:gridCol w:w="701"/>
        <w:gridCol w:w="778"/>
        <w:gridCol w:w="521"/>
        <w:gridCol w:w="867"/>
        <w:gridCol w:w="1090"/>
        <w:gridCol w:w="701"/>
        <w:gridCol w:w="997"/>
        <w:gridCol w:w="612"/>
        <w:gridCol w:w="1092"/>
      </w:tblGrid>
      <w:tr>
        <w:trPr>
          <w:trHeight w:val="397" w:hRule="exact"/>
        </w:trPr>
        <w:tc>
          <w:tcPr>
            <w:tcW w:w="147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6"/>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373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9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7" w:hRule="exact"/>
        </w:trPr>
        <w:tc>
          <w:tcPr>
            <w:tcW w:w="1476" w:type="dxa"/>
            <w:vMerge/>
            <w:tcBorders>
              <w:left w:val="single" w:sz="4" w:space="0" w:color="000000"/>
              <w:right w:val="single" w:sz="4" w:space="0" w:color="000000"/>
            </w:tcBorders>
            <w:shd w:val="clear" w:color="auto" w:fill="D2D2D2"/>
          </w:tcPr>
          <w:p>
            <w:pPr/>
          </w:p>
        </w:tc>
        <w:tc>
          <w:tcPr>
            <w:tcW w:w="156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29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8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8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79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3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60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39"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0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8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4" w:hRule="exact"/>
        </w:trPr>
        <w:tc>
          <w:tcPr>
            <w:tcW w:w="1476" w:type="dxa"/>
            <w:vMerge/>
            <w:tcBorders>
              <w:left w:val="single" w:sz="4" w:space="0" w:color="000000"/>
              <w:bottom w:val="single" w:sz="4" w:space="0" w:color="000000"/>
              <w:right w:val="single" w:sz="4" w:space="0" w:color="000000"/>
            </w:tcBorders>
            <w:shd w:val="clear" w:color="auto" w:fill="D2D2D2"/>
          </w:tcPr>
          <w:p>
            <w:pPr/>
          </w:p>
        </w:tc>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5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76" w:right="72"/>
              <w:jc w:val="left"/>
              <w:rPr>
                <w:rFonts w:ascii="宋体" w:hAnsi="宋体" w:cs="宋体" w:eastAsia="宋体" w:hint="default"/>
                <w:sz w:val="18"/>
                <w:szCs w:val="18"/>
              </w:rPr>
            </w:pPr>
            <w:r>
              <w:rPr>
                <w:rFonts w:ascii="宋体" w:hAnsi="宋体" w:cs="宋体" w:eastAsia="宋体" w:hint="default"/>
                <w:sz w:val="18"/>
                <w:szCs w:val="18"/>
              </w:rPr>
              <w:t>计提 比例</w:t>
            </w:r>
          </w:p>
        </w:tc>
        <w:tc>
          <w:tcPr>
            <w:tcW w:w="867" w:type="dxa"/>
            <w:vMerge/>
            <w:tcBorders>
              <w:left w:val="single" w:sz="4" w:space="0" w:color="000000"/>
              <w:bottom w:val="single" w:sz="4" w:space="0" w:color="000000"/>
              <w:right w:val="single" w:sz="4" w:space="0" w:color="000000"/>
            </w:tcBorders>
            <w:shd w:val="clear" w:color="auto" w:fill="D2D2D2"/>
          </w:tcPr>
          <w:p>
            <w:pPr/>
          </w:p>
        </w:tc>
        <w:tc>
          <w:tcPr>
            <w:tcW w:w="10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9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211" w:right="29"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1092" w:type="dxa"/>
            <w:vMerge/>
            <w:tcBorders>
              <w:left w:val="single" w:sz="4" w:space="0" w:color="000000"/>
              <w:bottom w:val="single" w:sz="4" w:space="0" w:color="000000"/>
              <w:right w:val="single" w:sz="4" w:space="0" w:color="000000"/>
            </w:tcBorders>
            <w:shd w:val="clear" w:color="auto" w:fill="D2D2D2"/>
          </w:tcPr>
          <w:p>
            <w:pPr/>
          </w:p>
        </w:tc>
      </w:tr>
      <w:tr>
        <w:trPr>
          <w:trHeight w:val="1025" w:hRule="exact"/>
        </w:trPr>
        <w:tc>
          <w:tcPr>
            <w:tcW w:w="1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80"/>
              <w:jc w:val="both"/>
              <w:rPr>
                <w:rFonts w:ascii="宋体" w:hAnsi="宋体" w:cs="宋体" w:eastAsia="宋体" w:hint="default"/>
                <w:sz w:val="18"/>
                <w:szCs w:val="18"/>
              </w:rPr>
            </w:pPr>
            <w:r>
              <w:rPr>
                <w:rFonts w:ascii="宋体" w:hAnsi="宋体" w:cs="宋体" w:eastAsia="宋体" w:hint="default"/>
                <w:sz w:val="18"/>
                <w:szCs w:val="18"/>
              </w:rPr>
              <w:t>按信用风险特征 组合计提坏账准 备的其他应收款</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 w:right="0"/>
              <w:jc w:val="center"/>
              <w:rPr>
                <w:rFonts w:ascii="Times New Roman" w:hAnsi="Times New Roman" w:cs="Times New Roman" w:eastAsia="Times New Roman" w:hint="default"/>
                <w:sz w:val="18"/>
                <w:szCs w:val="18"/>
              </w:rPr>
            </w:pPr>
            <w:r>
              <w:rPr>
                <w:rFonts w:ascii="Times New Roman"/>
                <w:sz w:val="18"/>
              </w:rPr>
              <w:t>488,658.84</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100.00%</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 w:right="0"/>
              <w:jc w:val="center"/>
              <w:rPr>
                <w:rFonts w:ascii="Times New Roman" w:hAnsi="Times New Roman" w:cs="Times New Roman" w:eastAsia="Times New Roman" w:hint="default"/>
                <w:sz w:val="18"/>
                <w:szCs w:val="18"/>
              </w:rPr>
            </w:pPr>
            <w:r>
              <w:rPr>
                <w:rFonts w:ascii="Times New Roman"/>
                <w:sz w:val="18"/>
              </w:rPr>
              <w:t>15,242.18</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3.12%</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473,416.66</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80,375,664.39</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100.00%</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1,615,523.11</w:t>
            </w:r>
          </w:p>
        </w:tc>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2.01%</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78,760,141.28</w:t>
            </w:r>
          </w:p>
        </w:tc>
      </w:tr>
      <w:tr>
        <w:trPr>
          <w:trHeight w:val="403" w:hRule="exact"/>
        </w:trPr>
        <w:tc>
          <w:tcPr>
            <w:tcW w:w="1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 w:right="0"/>
              <w:jc w:val="center"/>
              <w:rPr>
                <w:rFonts w:ascii="Times New Roman" w:hAnsi="Times New Roman" w:cs="Times New Roman" w:eastAsia="Times New Roman" w:hint="default"/>
                <w:sz w:val="18"/>
                <w:szCs w:val="18"/>
              </w:rPr>
            </w:pPr>
            <w:r>
              <w:rPr>
                <w:rFonts w:ascii="Times New Roman"/>
                <w:sz w:val="18"/>
              </w:rPr>
              <w:t>488,658.84</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100.00%</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 w:right="0"/>
              <w:jc w:val="center"/>
              <w:rPr>
                <w:rFonts w:ascii="Times New Roman" w:hAnsi="Times New Roman" w:cs="Times New Roman" w:eastAsia="Times New Roman" w:hint="default"/>
                <w:sz w:val="18"/>
                <w:szCs w:val="18"/>
              </w:rPr>
            </w:pPr>
            <w:r>
              <w:rPr>
                <w:rFonts w:ascii="Times New Roman"/>
                <w:sz w:val="18"/>
              </w:rPr>
              <w:t>15,242.18</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 w:right="0"/>
              <w:jc w:val="center"/>
              <w:rPr>
                <w:rFonts w:ascii="Times New Roman" w:hAnsi="Times New Roman" w:cs="Times New Roman" w:eastAsia="Times New Roman" w:hint="default"/>
                <w:sz w:val="18"/>
                <w:szCs w:val="18"/>
              </w:rPr>
            </w:pPr>
            <w:r>
              <w:rPr>
                <w:rFonts w:ascii="Times New Roman"/>
                <w:sz w:val="18"/>
              </w:rPr>
              <w:t>3.12%</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473,416.66</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80,375,664.39</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100.00%</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1,615,523.11</w:t>
            </w:r>
          </w:p>
        </w:tc>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2.01%</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78,760,141.28</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980"/>
        </w:sectPr>
      </w:pPr>
    </w:p>
    <w:p>
      <w:pPr>
        <w:pStyle w:val="BodyText"/>
        <w:spacing w:line="240" w:lineRule="auto" w:before="49"/>
        <w:ind w:right="-20"/>
        <w:jc w:val="left"/>
      </w:pPr>
      <w:r>
        <w:rPr/>
        <w:t>期末单项金额重大并单项计提坏账准备的其他应收款：</w:t>
      </w:r>
    </w:p>
    <w:p>
      <w:pPr>
        <w:pStyle w:val="BodyText"/>
        <w:spacing w:line="340" w:lineRule="auto" w:before="115"/>
        <w:ind w:right="1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组合中，按账龄分析法计提坏账准备的其他应收款：</w:t>
      </w:r>
    </w:p>
    <w:p>
      <w:pPr>
        <w:pStyle w:val="BodyText"/>
        <w:spacing w:line="240" w:lineRule="auto" w:before="41"/>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980"/>
          <w:cols w:num="2" w:equalWidth="0">
            <w:col w:w="4473" w:space="4356"/>
            <w:col w:w="1121"/>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1"/>
        <w:gridCol w:w="2393"/>
        <w:gridCol w:w="2393"/>
        <w:gridCol w:w="2393"/>
      </w:tblGrid>
      <w:tr>
        <w:trPr>
          <w:trHeight w:val="403" w:hRule="exact"/>
        </w:trPr>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18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2391" w:type="dxa"/>
            <w:vMerge/>
            <w:tcBorders>
              <w:left w:val="single" w:sz="4" w:space="0" w:color="000000"/>
              <w:bottom w:val="single" w:sz="4" w:space="0" w:color="000000"/>
              <w:right w:val="single" w:sz="4" w:space="0" w:color="000000"/>
            </w:tcBorders>
            <w:shd w:val="clear" w:color="auto" w:fill="D2D2D2"/>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3" w:hRule="exact"/>
        </w:trPr>
        <w:tc>
          <w:tcPr>
            <w:tcW w:w="957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年以内分项</w:t>
            </w:r>
          </w:p>
        </w:tc>
      </w:tr>
      <w:tr>
        <w:trPr>
          <w:trHeight w:val="401"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464,608.84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9,292.18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2.00%</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464,608.84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9,292.18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2.00%</w:t>
            </w:r>
          </w:p>
        </w:tc>
      </w:tr>
      <w:tr>
        <w:trPr>
          <w:trHeight w:val="401"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9"/>
              <w:jc w:val="right"/>
              <w:rPr>
                <w:rFonts w:ascii="Times New Roman" w:hAnsi="Times New Roman" w:cs="Times New Roman" w:eastAsia="Times New Roman" w:hint="default"/>
                <w:sz w:val="18"/>
                <w:szCs w:val="18"/>
              </w:rPr>
            </w:pPr>
            <w:r>
              <w:rPr>
                <w:rFonts w:ascii="Times New Roman"/>
                <w:spacing w:val="-1"/>
                <w:sz w:val="18"/>
              </w:rPr>
              <w:t>20,250.00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1"/>
              <w:jc w:val="right"/>
              <w:rPr>
                <w:rFonts w:ascii="Times New Roman" w:hAnsi="Times New Roman" w:cs="Times New Roman" w:eastAsia="Times New Roman" w:hint="default"/>
                <w:sz w:val="18"/>
                <w:szCs w:val="18"/>
              </w:rPr>
            </w:pPr>
            <w:r>
              <w:rPr>
                <w:rFonts w:ascii="Times New Roman"/>
                <w:w w:val="95"/>
                <w:sz w:val="18"/>
              </w:rPr>
              <w:t>4,050.00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8"/>
              <w:jc w:val="right"/>
              <w:rPr>
                <w:rFonts w:ascii="Times New Roman" w:hAnsi="Times New Roman" w:cs="Times New Roman" w:eastAsia="Times New Roman" w:hint="default"/>
                <w:sz w:val="18"/>
                <w:szCs w:val="18"/>
              </w:rPr>
            </w:pPr>
            <w:r>
              <w:rPr>
                <w:rFonts w:ascii="Times New Roman"/>
                <w:sz w:val="18"/>
              </w:rPr>
              <w:t>20.00%</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9"/>
              <w:jc w:val="right"/>
              <w:rPr>
                <w:rFonts w:ascii="Times New Roman" w:hAnsi="Times New Roman" w:cs="Times New Roman" w:eastAsia="Times New Roman" w:hint="default"/>
                <w:sz w:val="18"/>
                <w:szCs w:val="18"/>
              </w:rPr>
            </w:pPr>
            <w:r>
              <w:rPr>
                <w:rFonts w:ascii="Times New Roman"/>
                <w:w w:val="95"/>
                <w:sz w:val="18"/>
              </w:rPr>
              <w:t>3,800.00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1"/>
              <w:jc w:val="right"/>
              <w:rPr>
                <w:rFonts w:ascii="Times New Roman" w:hAnsi="Times New Roman" w:cs="Times New Roman" w:eastAsia="Times New Roman" w:hint="default"/>
                <w:sz w:val="18"/>
                <w:szCs w:val="18"/>
              </w:rPr>
            </w:pPr>
            <w:r>
              <w:rPr>
                <w:rFonts w:ascii="Times New Roman"/>
                <w:w w:val="95"/>
                <w:sz w:val="18"/>
              </w:rPr>
              <w:t>1,900.00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8"/>
              <w:jc w:val="right"/>
              <w:rPr>
                <w:rFonts w:ascii="Times New Roman" w:hAnsi="Times New Roman" w:cs="Times New Roman" w:eastAsia="Times New Roman" w:hint="default"/>
                <w:sz w:val="18"/>
                <w:szCs w:val="18"/>
              </w:rPr>
            </w:pPr>
            <w:r>
              <w:rPr>
                <w:rFonts w:ascii="Times New Roman"/>
                <w:sz w:val="18"/>
              </w:rPr>
              <w:t>50.00%</w:t>
            </w:r>
          </w:p>
        </w:tc>
      </w:tr>
      <w:tr>
        <w:trPr>
          <w:trHeight w:val="401"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9"/>
              <w:jc w:val="right"/>
              <w:rPr>
                <w:rFonts w:ascii="Times New Roman" w:hAnsi="Times New Roman" w:cs="Times New Roman" w:eastAsia="Times New Roman" w:hint="default"/>
                <w:sz w:val="18"/>
                <w:szCs w:val="18"/>
              </w:rPr>
            </w:pPr>
            <w:r>
              <w:rPr>
                <w:rFonts w:ascii="Times New Roman"/>
                <w:spacing w:val="-1"/>
                <w:sz w:val="18"/>
              </w:rPr>
              <w:t>488,658.84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1"/>
              <w:jc w:val="right"/>
              <w:rPr>
                <w:rFonts w:ascii="Times New Roman" w:hAnsi="Times New Roman" w:cs="Times New Roman" w:eastAsia="Times New Roman" w:hint="default"/>
                <w:sz w:val="18"/>
                <w:szCs w:val="18"/>
              </w:rPr>
            </w:pPr>
            <w:r>
              <w:rPr>
                <w:rFonts w:ascii="Times New Roman"/>
                <w:spacing w:val="-1"/>
                <w:sz w:val="18"/>
              </w:rPr>
              <w:t>15,242.18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0"/>
              <w:jc w:val="right"/>
              <w:rPr>
                <w:rFonts w:ascii="Times New Roman" w:hAnsi="Times New Roman" w:cs="Times New Roman" w:eastAsia="Times New Roman" w:hint="default"/>
                <w:sz w:val="18"/>
                <w:szCs w:val="18"/>
              </w:rPr>
            </w:pPr>
            <w:r>
              <w:rPr>
                <w:rFonts w:ascii="Times New Roman"/>
                <w:sz w:val="18"/>
              </w:rPr>
              <w:t>3.12%</w:t>
            </w:r>
          </w:p>
        </w:tc>
      </w:tr>
    </w:tbl>
    <w:p>
      <w:pPr>
        <w:pStyle w:val="BodyText"/>
        <w:spacing w:line="360" w:lineRule="auto" w:before="49"/>
        <w:ind w:right="5274"/>
        <w:jc w:val="left"/>
      </w:pPr>
      <w:r>
        <w:rPr/>
        <w:t>确定该组合依据的说明：无。 组合中，采用余额百分比法计提坏账准备的其他应收款：</w:t>
      </w:r>
    </w:p>
    <w:p>
      <w:pPr>
        <w:pStyle w:val="BodyText"/>
        <w:spacing w:line="340" w:lineRule="auto" w:before="25"/>
        <w:ind w:right="56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组合中，采用其他方法计提坏账准备的其他应收款：</w:t>
      </w:r>
    </w:p>
    <w:p>
      <w:pPr>
        <w:pStyle w:val="BodyText"/>
        <w:spacing w:line="240" w:lineRule="auto" w:before="41"/>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2"/>
        <w:rPr>
          <w:rFonts w:ascii="宋体" w:hAnsi="宋体" w:cs="宋体" w:eastAsia="宋体" w:hint="default"/>
          <w:sz w:val="20"/>
          <w:szCs w:val="20"/>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0"/>
        <w:jc w:val="left"/>
      </w:pPr>
      <w:r>
        <w:rPr/>
        <w:t>本期计提坏账准备金额</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元；本期收回或转回坏账准备金额</w:t>
      </w:r>
      <w:r>
        <w:rPr>
          <w:spacing w:val="-47"/>
        </w:rPr>
        <w:t> </w:t>
      </w:r>
      <w:r>
        <w:rPr>
          <w:rFonts w:ascii="Times New Roman" w:hAnsi="Times New Roman" w:cs="Times New Roman" w:eastAsia="Times New Roman" w:hint="default"/>
        </w:rPr>
        <w:t>1,600,280.93 </w:t>
      </w:r>
      <w:r>
        <w:rPr/>
        <w:t>元。</w:t>
      </w:r>
    </w:p>
    <w:p>
      <w:pPr>
        <w:spacing w:after="0" w:line="240" w:lineRule="auto"/>
        <w:jc w:val="left"/>
        <w:sectPr>
          <w:type w:val="continuous"/>
          <w:pgSz w:w="11910" w:h="16840"/>
          <w:pgMar w:top="1060" w:bottom="1160" w:left="980" w:right="980"/>
        </w:sectPr>
      </w:pPr>
    </w:p>
    <w:p>
      <w:pPr>
        <w:spacing w:line="240" w:lineRule="auto" w:before="12"/>
        <w:rPr>
          <w:rFonts w:ascii="宋体" w:hAnsi="宋体" w:cs="宋体" w:eastAsia="宋体" w:hint="default"/>
          <w:sz w:val="20"/>
          <w:szCs w:val="20"/>
        </w:rPr>
      </w:pPr>
    </w:p>
    <w:p>
      <w:pPr>
        <w:pStyle w:val="Heading3"/>
        <w:spacing w:line="335" w:lineRule="exact"/>
        <w:ind w:right="0"/>
        <w:jc w:val="left"/>
        <w:rPr>
          <w:b w:val="0"/>
          <w:bCs w:val="0"/>
        </w:rPr>
      </w:pPr>
      <w:r>
        <w:rPr/>
        <w:t>（</w:t>
      </w:r>
      <w:r>
        <w:rPr>
          <w:rFonts w:ascii="Times New Roman" w:hAnsi="Times New Roman" w:cs="Times New Roman" w:eastAsia="Times New Roman" w:hint="default"/>
        </w:rPr>
        <w:t>3</w:t>
      </w:r>
      <w:r>
        <w:rPr/>
        <w:t>）本期实际核销的其他应收款情况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0"/>
        <w:jc w:val="left"/>
      </w:pPr>
      <w:r>
        <w:rPr/>
        <w:t>本期无实际核销的其他应收款情况。</w:t>
      </w:r>
    </w:p>
    <w:p>
      <w:pPr>
        <w:spacing w:line="240" w:lineRule="auto" w:before="12"/>
        <w:rPr>
          <w:rFonts w:ascii="宋体" w:hAnsi="宋体" w:cs="宋体" w:eastAsia="宋体" w:hint="default"/>
          <w:sz w:val="21"/>
          <w:szCs w:val="21"/>
        </w:rPr>
      </w:pPr>
    </w:p>
    <w:p>
      <w:pPr>
        <w:pStyle w:val="Heading3"/>
        <w:spacing w:line="240" w:lineRule="auto"/>
        <w:ind w:right="0"/>
        <w:jc w:val="left"/>
        <w:rPr>
          <w:b w:val="0"/>
          <w:bCs w:val="0"/>
        </w:rPr>
      </w:pPr>
      <w:r>
        <w:rPr/>
        <w:t>（</w:t>
      </w:r>
      <w:r>
        <w:rPr>
          <w:rFonts w:ascii="Times New Roman" w:hAnsi="Times New Roman" w:cs="Times New Roman" w:eastAsia="Times New Roman" w:hint="default"/>
        </w:rPr>
        <w:t>4</w:t>
      </w:r>
      <w:r>
        <w:rPr/>
        <w:t>）其他应收款按款项性质分类情况</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10,833.33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79,823,943.18</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押金和保证金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459,800.00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467,100.00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出口退税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18,025.51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84,621.21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488,658.84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80,375,664.39</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4"/>
        <w:gridCol w:w="1594"/>
        <w:gridCol w:w="1596"/>
        <w:gridCol w:w="1594"/>
        <w:gridCol w:w="1594"/>
        <w:gridCol w:w="1596"/>
      </w:tblGrid>
      <w:tr>
        <w:trPr>
          <w:trHeight w:val="716"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72" w:right="70"/>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72"/>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3"/>
              <w:jc w:val="left"/>
              <w:rPr>
                <w:rFonts w:ascii="宋体" w:hAnsi="宋体" w:cs="宋体" w:eastAsia="宋体" w:hint="default"/>
                <w:sz w:val="18"/>
                <w:szCs w:val="18"/>
              </w:rPr>
            </w:pPr>
            <w:r>
              <w:rPr>
                <w:rFonts w:ascii="宋体" w:hAnsi="宋体" w:cs="宋体" w:eastAsia="宋体" w:hint="default"/>
                <w:spacing w:val="14"/>
                <w:sz w:val="18"/>
                <w:szCs w:val="18"/>
              </w:rPr>
              <w:t>西单大悦城有限公 </w:t>
            </w:r>
            <w:r>
              <w:rPr>
                <w:rFonts w:ascii="宋体" w:hAnsi="宋体" w:cs="宋体" w:eastAsia="宋体" w:hint="default"/>
                <w:sz w:val="18"/>
                <w:szCs w:val="18"/>
              </w:rPr>
              <w:t>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442,800.00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90.62%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8,856.00</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兰淑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押金及租金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12,833.33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8"/>
              <w:jc w:val="right"/>
              <w:rPr>
                <w:rFonts w:ascii="Times New Roman" w:hAnsi="Times New Roman" w:cs="Times New Roman" w:eastAsia="Times New Roman" w:hint="default"/>
                <w:sz w:val="18"/>
                <w:szCs w:val="18"/>
              </w:rPr>
            </w:pPr>
            <w:r>
              <w:rPr>
                <w:rFonts w:ascii="Times New Roman"/>
                <w:sz w:val="18"/>
              </w:rPr>
              <w:t>2.63%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1"/>
              <w:jc w:val="right"/>
              <w:rPr>
                <w:rFonts w:ascii="Times New Roman" w:hAnsi="Times New Roman" w:cs="Times New Roman" w:eastAsia="Times New Roman" w:hint="default"/>
                <w:sz w:val="18"/>
                <w:szCs w:val="18"/>
              </w:rPr>
            </w:pPr>
            <w:r>
              <w:rPr>
                <w:rFonts w:ascii="Times New Roman"/>
                <w:spacing w:val="-1"/>
                <w:sz w:val="18"/>
              </w:rPr>
              <w:t>256.67</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金泰租赁有限公司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8"/>
              <w:jc w:val="right"/>
              <w:rPr>
                <w:rFonts w:ascii="Times New Roman" w:hAnsi="Times New Roman" w:cs="Times New Roman" w:eastAsia="Times New Roman" w:hint="default"/>
                <w:sz w:val="18"/>
                <w:szCs w:val="18"/>
              </w:rPr>
            </w:pPr>
            <w:r>
              <w:rPr>
                <w:rFonts w:ascii="Times New Roman"/>
                <w:sz w:val="18"/>
              </w:rPr>
              <w:t>2.05%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1"/>
              <w:jc w:val="right"/>
              <w:rPr>
                <w:rFonts w:ascii="Times New Roman" w:hAnsi="Times New Roman" w:cs="Times New Roman" w:eastAsia="Times New Roman" w:hint="default"/>
                <w:sz w:val="18"/>
                <w:szCs w:val="18"/>
              </w:rPr>
            </w:pPr>
            <w:r>
              <w:rPr>
                <w:rFonts w:ascii="Times New Roman"/>
                <w:w w:val="95"/>
                <w:sz w:val="18"/>
              </w:rPr>
              <w:t>2,000.00</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聂梦建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8"/>
              <w:jc w:val="right"/>
              <w:rPr>
                <w:rFonts w:ascii="Times New Roman" w:hAnsi="Times New Roman" w:cs="Times New Roman" w:eastAsia="Times New Roman" w:hint="default"/>
                <w:sz w:val="18"/>
                <w:szCs w:val="18"/>
              </w:rPr>
            </w:pPr>
            <w:r>
              <w:rPr>
                <w:rFonts w:ascii="Times New Roman"/>
                <w:sz w:val="18"/>
              </w:rPr>
              <w:t>2.05%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1"/>
              <w:jc w:val="right"/>
              <w:rPr>
                <w:rFonts w:ascii="Times New Roman" w:hAnsi="Times New Roman" w:cs="Times New Roman" w:eastAsia="Times New Roman" w:hint="default"/>
                <w:sz w:val="18"/>
                <w:szCs w:val="18"/>
              </w:rPr>
            </w:pPr>
            <w:r>
              <w:rPr>
                <w:rFonts w:ascii="Times New Roman"/>
                <w:w w:val="95"/>
                <w:sz w:val="18"/>
              </w:rPr>
              <w:t>2,000.00</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员工社保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社保</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8,025.51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8"/>
              <w:jc w:val="right"/>
              <w:rPr>
                <w:rFonts w:ascii="Times New Roman" w:hAnsi="Times New Roman" w:cs="Times New Roman" w:eastAsia="Times New Roman" w:hint="default"/>
                <w:sz w:val="18"/>
                <w:szCs w:val="18"/>
              </w:rPr>
            </w:pPr>
            <w:r>
              <w:rPr>
                <w:rFonts w:ascii="Times New Roman"/>
                <w:sz w:val="18"/>
              </w:rPr>
              <w:t>1.64%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1"/>
              <w:jc w:val="right"/>
              <w:rPr>
                <w:rFonts w:ascii="Times New Roman" w:hAnsi="Times New Roman" w:cs="Times New Roman" w:eastAsia="Times New Roman" w:hint="default"/>
                <w:sz w:val="18"/>
                <w:szCs w:val="18"/>
              </w:rPr>
            </w:pPr>
            <w:r>
              <w:rPr>
                <w:rFonts w:ascii="Times New Roman"/>
                <w:spacing w:val="-1"/>
                <w:sz w:val="18"/>
              </w:rPr>
              <w:t>160.51</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1"/>
              <w:jc w:val="right"/>
              <w:rPr>
                <w:rFonts w:ascii="Times New Roman" w:hAnsi="Times New Roman" w:cs="Times New Roman" w:eastAsia="Times New Roman" w:hint="default"/>
                <w:sz w:val="18"/>
                <w:szCs w:val="18"/>
              </w:rPr>
            </w:pPr>
            <w:r>
              <w:rPr>
                <w:rFonts w:ascii="Times New Roman"/>
                <w:spacing w:val="-1"/>
                <w:sz w:val="18"/>
              </w:rPr>
              <w:t>483,658.84</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98.99%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1"/>
              <w:jc w:val="right"/>
              <w:rPr>
                <w:rFonts w:ascii="Times New Roman" w:hAnsi="Times New Roman" w:cs="Times New Roman" w:eastAsia="Times New Roman" w:hint="default"/>
                <w:sz w:val="18"/>
                <w:szCs w:val="18"/>
              </w:rPr>
            </w:pPr>
            <w:r>
              <w:rPr>
                <w:rFonts w:ascii="Times New Roman"/>
                <w:spacing w:val="-1"/>
                <w:sz w:val="18"/>
              </w:rPr>
              <w:t>13,273.18</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6</w:t>
      </w:r>
      <w:r>
        <w:rPr/>
        <w:t>）因金融资产转移而终止确认的其他应收款</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240" w:lineRule="auto"/>
        <w:ind w:right="0"/>
        <w:jc w:val="left"/>
      </w:pPr>
      <w:r>
        <w:rPr/>
        <w:t>本期无因金融资产转移而终止确认的其他应收款。</w:t>
      </w:r>
    </w:p>
    <w:p>
      <w:pPr>
        <w:spacing w:line="240" w:lineRule="auto" w:before="1"/>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7</w:t>
      </w:r>
      <w:r>
        <w:rPr/>
        <w:t>、存货</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0"/>
        <w:jc w:val="left"/>
      </w:pPr>
      <w:r>
        <w:rPr/>
        <w:t>公司是否需要遵守房地产行业的披露要求：否</w:t>
      </w:r>
    </w:p>
    <w:p>
      <w:pPr>
        <w:spacing w:line="240" w:lineRule="auto" w:before="1"/>
        <w:rPr>
          <w:rFonts w:ascii="宋体" w:hAnsi="宋体" w:cs="宋体" w:eastAsia="宋体" w:hint="default"/>
          <w:sz w:val="22"/>
          <w:szCs w:val="22"/>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）存货分类</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8"/>
        <w:gridCol w:w="1366"/>
        <w:gridCol w:w="1368"/>
        <w:gridCol w:w="1366"/>
        <w:gridCol w:w="1368"/>
      </w:tblGrid>
      <w:tr>
        <w:trPr>
          <w:trHeight w:val="403" w:hRule="exact"/>
        </w:trPr>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367"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after="0" w:line="240" w:lineRule="auto"/>
        <w:jc w:val="left"/>
        <w:rPr>
          <w:rFonts w:ascii="宋体" w:hAnsi="宋体" w:cs="宋体" w:eastAsia="宋体" w:hint="default"/>
          <w:sz w:val="18"/>
          <w:szCs w:val="18"/>
        </w:rPr>
        <w:sectPr>
          <w:pgSz w:w="11910" w:h="16840"/>
          <w:pgMar w:header="877" w:footer="979" w:top="1100" w:bottom="1160" w:left="980" w:right="98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5,948,259.47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5,948,259.47</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4,170,443.29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4,170,443.29</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39,002,815.64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39,002,815.64</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587,862.02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587,862.02</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包装物</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70,277.28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70,277.28</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委托加工物资</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109,617.42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109,617.42</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49,889,275.12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49,889,275.12</w:t>
            </w:r>
          </w:p>
        </w:tc>
      </w:tr>
    </w:tbl>
    <w:p>
      <w:pPr>
        <w:pStyle w:val="BodyText"/>
        <w:spacing w:line="338" w:lineRule="auto" w:before="49"/>
        <w:ind w:right="1496"/>
        <w:jc w:val="left"/>
      </w:pPr>
      <w:r>
        <w:rPr/>
        <w:t>公司是否需遵守《深圳证券交易所行业信息披露指引第</w:t>
      </w:r>
      <w:r>
        <w:rPr>
          <w:spacing w:val="-46"/>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上市公司从事种业、种植业务》的披露要求 否</w:t>
      </w:r>
    </w:p>
    <w:p>
      <w:pPr>
        <w:spacing w:line="240" w:lineRule="auto" w:before="6"/>
        <w:rPr>
          <w:rFonts w:ascii="宋体" w:hAnsi="宋体" w:cs="宋体" w:eastAsia="宋体" w:hint="default"/>
          <w:sz w:val="16"/>
          <w:szCs w:val="16"/>
        </w:rPr>
      </w:pPr>
    </w:p>
    <w:p>
      <w:pPr>
        <w:pStyle w:val="Heading4"/>
        <w:spacing w:line="496" w:lineRule="auto" w:before="0"/>
        <w:ind w:left="573" w:right="0" w:hanging="421"/>
        <w:jc w:val="left"/>
      </w:pPr>
      <w:r>
        <w:rPr>
          <w:rFonts w:ascii="Microsoft JhengHei" w:hAnsi="Microsoft JhengHei" w:cs="Microsoft JhengHei" w:eastAsia="Microsoft JhengHei" w:hint="default"/>
          <w:b/>
          <w:bCs/>
        </w:rPr>
        <w:t>（</w:t>
      </w:r>
      <w:r>
        <w:rPr>
          <w:rFonts w:ascii="Times New Roman" w:hAnsi="Times New Roman" w:cs="Times New Roman" w:eastAsia="Times New Roman" w:hint="default"/>
          <w:b/>
          <w:bCs/>
        </w:rPr>
        <w:t>2</w:t>
      </w:r>
      <w:r>
        <w:rPr>
          <w:rFonts w:ascii="Microsoft JhengHei" w:hAnsi="Microsoft JhengHei" w:cs="Microsoft JhengHei" w:eastAsia="Microsoft JhengHei" w:hint="default"/>
          <w:b/>
          <w:bCs/>
        </w:rPr>
        <w:t>）存货跌价准备</w:t>
      </w:r>
      <w:r>
        <w:rPr>
          <w:rFonts w:ascii="Microsoft JhengHei" w:hAnsi="Microsoft JhengHei" w:cs="Microsoft JhengHei" w:eastAsia="Microsoft JhengHei" w:hint="default"/>
          <w:b/>
          <w:bCs/>
          <w:spacing w:val="-44"/>
        </w:rPr>
        <w:t> </w:t>
      </w:r>
      <w:r>
        <w:rPr>
          <w:spacing w:val="-2"/>
        </w:rPr>
        <w:t>截止</w:t>
      </w:r>
      <w:r>
        <w:rPr>
          <w:rFonts w:ascii="宋体" w:hAnsi="宋体" w:cs="宋体" w:eastAsia="宋体" w:hint="default"/>
          <w:spacing w:val="-2"/>
        </w:rPr>
        <w:t>2017</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日，未发现存货可收回金额低于其账面价值的情况，故未计提存货跌价准备。</w:t>
      </w:r>
    </w:p>
    <w:p>
      <w:pPr>
        <w:spacing w:line="496" w:lineRule="auto" w:before="125"/>
        <w:ind w:left="573" w:right="1674" w:hanging="421"/>
        <w:jc w:val="left"/>
        <w:rPr>
          <w:rFonts w:ascii="宋体" w:hAnsi="宋体" w:cs="宋体" w:eastAsia="宋体" w:hint="default"/>
          <w:sz w:val="21"/>
          <w:szCs w:val="21"/>
        </w:rPr>
      </w:pPr>
      <w:r>
        <w:rPr>
          <w:rFonts w:ascii="Microsoft JhengHei" w:hAnsi="Microsoft JhengHei" w:cs="Microsoft JhengHei" w:eastAsia="Microsoft JhengHei" w:hint="default"/>
          <w:b/>
          <w:bCs/>
          <w:spacing w:val="-1"/>
          <w:sz w:val="21"/>
          <w:szCs w:val="21"/>
        </w:rPr>
        <w:t>（</w:t>
      </w:r>
      <w:r>
        <w:rPr>
          <w:rFonts w:ascii="Times New Roman" w:hAnsi="Times New Roman" w:cs="Times New Roman" w:eastAsia="Times New Roman" w:hint="default"/>
          <w:b/>
          <w:bCs/>
          <w:spacing w:val="-1"/>
          <w:sz w:val="21"/>
          <w:szCs w:val="21"/>
        </w:rPr>
        <w:t>3</w:t>
      </w:r>
      <w:r>
        <w:rPr>
          <w:rFonts w:ascii="Microsoft JhengHei" w:hAnsi="Microsoft JhengHei" w:cs="Microsoft JhengHei" w:eastAsia="Microsoft JhengHei" w:hint="default"/>
          <w:b/>
          <w:bCs/>
          <w:spacing w:val="-1"/>
          <w:sz w:val="21"/>
          <w:szCs w:val="21"/>
        </w:rPr>
        <w:t>）存货期末余额含有借款费用资本化金额的说明</w:t>
      </w:r>
      <w:r>
        <w:rPr>
          <w:rFonts w:ascii="Microsoft JhengHei" w:hAnsi="Microsoft JhengHei" w:cs="Microsoft JhengHei" w:eastAsia="Microsoft JhengHei" w:hint="default"/>
          <w:b/>
          <w:bCs/>
          <w:spacing w:val="-13"/>
          <w:sz w:val="21"/>
          <w:szCs w:val="21"/>
        </w:rPr>
        <w:t> </w:t>
      </w:r>
      <w:r>
        <w:rPr>
          <w:rFonts w:ascii="Microsoft JhengHei" w:hAnsi="Microsoft JhengHei" w:cs="Microsoft JhengHei" w:eastAsia="Microsoft JhengHei" w:hint="default"/>
          <w:b/>
          <w:bCs/>
          <w:spacing w:val="-13"/>
          <w:sz w:val="21"/>
          <w:szCs w:val="21"/>
        </w:rPr>
      </w:r>
      <w:r>
        <w:rPr>
          <w:rFonts w:ascii="宋体" w:hAnsi="宋体" w:cs="宋体" w:eastAsia="宋体" w:hint="default"/>
          <w:sz w:val="21"/>
          <w:szCs w:val="21"/>
        </w:rPr>
        <w:t>本期无计入存货的借款费用资本化金额。</w:t>
      </w:r>
    </w:p>
    <w:p>
      <w:pPr>
        <w:spacing w:line="496" w:lineRule="auto" w:before="125"/>
        <w:ind w:left="573" w:right="1674" w:hanging="421"/>
        <w:jc w:val="left"/>
        <w:rPr>
          <w:rFonts w:ascii="宋体" w:hAnsi="宋体" w:cs="宋体" w:eastAsia="宋体"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4</w:t>
      </w:r>
      <w:r>
        <w:rPr>
          <w:rFonts w:ascii="Microsoft JhengHei" w:hAnsi="Microsoft JhengHei" w:cs="Microsoft JhengHei" w:eastAsia="Microsoft JhengHei" w:hint="default"/>
          <w:b/>
          <w:bCs/>
          <w:sz w:val="21"/>
          <w:szCs w:val="21"/>
        </w:rPr>
        <w:t>）期末建造合同形成的已完工未结算资产情况</w:t>
      </w:r>
      <w:r>
        <w:rPr>
          <w:rFonts w:ascii="Microsoft JhengHei" w:hAnsi="Microsoft JhengHei" w:cs="Microsoft JhengHei" w:eastAsia="Microsoft JhengHei" w:hint="default"/>
          <w:b/>
          <w:bCs/>
          <w:spacing w:val="-37"/>
          <w:sz w:val="21"/>
          <w:szCs w:val="21"/>
        </w:rPr>
        <w:t> </w:t>
      </w:r>
      <w:r>
        <w:rPr>
          <w:rFonts w:ascii="Microsoft JhengHei" w:hAnsi="Microsoft JhengHei" w:cs="Microsoft JhengHei" w:eastAsia="Microsoft JhengHei" w:hint="default"/>
          <w:b/>
          <w:bCs/>
          <w:spacing w:val="-37"/>
          <w:sz w:val="21"/>
          <w:szCs w:val="21"/>
        </w:rPr>
      </w:r>
      <w:r>
        <w:rPr>
          <w:rFonts w:ascii="宋体" w:hAnsi="宋体" w:cs="宋体" w:eastAsia="宋体" w:hint="default"/>
          <w:spacing w:val="-2"/>
          <w:sz w:val="21"/>
          <w:szCs w:val="21"/>
        </w:rPr>
        <w:t>本期无建造合同形成的已完工未结算资产情况。</w:t>
      </w:r>
    </w:p>
    <w:p>
      <w:pPr>
        <w:pStyle w:val="Heading3"/>
        <w:spacing w:line="240" w:lineRule="auto" w:before="125"/>
        <w:ind w:right="0"/>
        <w:jc w:val="left"/>
        <w:rPr>
          <w:b w:val="0"/>
          <w:bCs w:val="0"/>
        </w:rPr>
      </w:pPr>
      <w:r>
        <w:rPr>
          <w:rFonts w:ascii="Times New Roman" w:hAnsi="Times New Roman" w:cs="Times New Roman" w:eastAsia="Times New Roman" w:hint="default"/>
        </w:rPr>
        <w:t>8</w:t>
      </w:r>
      <w:r>
        <w:rPr/>
        <w:t>、其他流动资产</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240" w:lineRule="auto"/>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待抵扣税金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125,093.72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1,660,999.53</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70,000,000.00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国债逆回购</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71,400,000.00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141,525,093.72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1,660,999.53</w:t>
            </w:r>
          </w:p>
        </w:tc>
      </w:tr>
    </w:tbl>
    <w:p>
      <w:pPr>
        <w:pStyle w:val="BodyText"/>
        <w:spacing w:line="240" w:lineRule="auto" w:before="49"/>
        <w:ind w:right="0"/>
        <w:jc w:val="left"/>
      </w:pPr>
      <w:r>
        <w:rPr/>
        <w:t>其他说明：无。</w:t>
      </w:r>
    </w:p>
    <w:p>
      <w:pPr>
        <w:spacing w:line="240" w:lineRule="auto" w:before="1"/>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9</w:t>
      </w:r>
      <w:r>
        <w:rPr/>
        <w:t>、长期股权投资</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20" w:type="dxa"/>
        <w:tblLayout w:type="fixed"/>
        <w:tblCellMar>
          <w:top w:w="0" w:type="dxa"/>
          <w:left w:w="0" w:type="dxa"/>
          <w:bottom w:w="0" w:type="dxa"/>
          <w:right w:w="0" w:type="dxa"/>
        </w:tblCellMar>
        <w:tblLook w:val="01E0"/>
      </w:tblPr>
      <w:tblGrid>
        <w:gridCol w:w="642"/>
        <w:gridCol w:w="1181"/>
        <w:gridCol w:w="643"/>
        <w:gridCol w:w="646"/>
        <w:gridCol w:w="1085"/>
        <w:gridCol w:w="598"/>
        <w:gridCol w:w="646"/>
        <w:gridCol w:w="643"/>
        <w:gridCol w:w="648"/>
        <w:gridCol w:w="1133"/>
        <w:gridCol w:w="1183"/>
        <w:gridCol w:w="648"/>
      </w:tblGrid>
      <w:tr>
        <w:trPr>
          <w:trHeight w:val="402" w:hRule="exact"/>
        </w:trPr>
        <w:tc>
          <w:tcPr>
            <w:tcW w:w="64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316" w:lineRule="auto"/>
              <w:ind w:left="136" w:right="44" w:hanging="90"/>
              <w:jc w:val="left"/>
              <w:rPr>
                <w:rFonts w:ascii="宋体" w:hAnsi="宋体" w:cs="宋体" w:eastAsia="宋体" w:hint="default"/>
                <w:sz w:val="18"/>
                <w:szCs w:val="18"/>
              </w:rPr>
            </w:pPr>
            <w:r>
              <w:rPr>
                <w:rFonts w:ascii="宋体" w:hAnsi="宋体" w:cs="宋体" w:eastAsia="宋体" w:hint="default"/>
                <w:sz w:val="18"/>
                <w:szCs w:val="18"/>
              </w:rPr>
              <w:t>被投资 单位</w:t>
            </w:r>
          </w:p>
        </w:tc>
        <w:tc>
          <w:tcPr>
            <w:tcW w:w="118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3"/>
                <w:szCs w:val="13"/>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042"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118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3"/>
                <w:szCs w:val="13"/>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64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50" w:right="47"/>
              <w:jc w:val="both"/>
              <w:rPr>
                <w:rFonts w:ascii="宋体" w:hAnsi="宋体" w:cs="宋体" w:eastAsia="宋体" w:hint="default"/>
                <w:sz w:val="18"/>
                <w:szCs w:val="18"/>
              </w:rPr>
            </w:pPr>
            <w:r>
              <w:rPr>
                <w:rFonts w:ascii="宋体" w:hAnsi="宋体" w:cs="宋体" w:eastAsia="宋体" w:hint="default"/>
                <w:sz w:val="18"/>
                <w:szCs w:val="18"/>
              </w:rPr>
              <w:t>减值准 备期末 余额</w:t>
            </w:r>
          </w:p>
        </w:tc>
      </w:tr>
      <w:tr>
        <w:trPr>
          <w:trHeight w:val="714" w:hRule="exact"/>
        </w:trPr>
        <w:tc>
          <w:tcPr>
            <w:tcW w:w="642" w:type="dxa"/>
            <w:vMerge/>
            <w:tcBorders>
              <w:left w:val="single" w:sz="4" w:space="0" w:color="000000"/>
              <w:bottom w:val="single" w:sz="4" w:space="0" w:color="000000"/>
              <w:right w:val="single" w:sz="4" w:space="0" w:color="000000"/>
            </w:tcBorders>
            <w:shd w:val="clear" w:color="auto" w:fill="D2D2D2"/>
          </w:tcPr>
          <w:p>
            <w:pPr/>
          </w:p>
        </w:tc>
        <w:tc>
          <w:tcPr>
            <w:tcW w:w="1181" w:type="dxa"/>
            <w:vMerge/>
            <w:tcBorders>
              <w:left w:val="single" w:sz="4" w:space="0" w:color="000000"/>
              <w:bottom w:val="single" w:sz="4" w:space="0" w:color="000000"/>
              <w:right w:val="single" w:sz="4" w:space="0" w:color="000000"/>
            </w:tcBorders>
            <w:shd w:val="clear" w:color="auto" w:fill="D2D2D2"/>
          </w:tcPr>
          <w:p>
            <w:pPr/>
          </w:p>
        </w:tc>
        <w:tc>
          <w:tcPr>
            <w:tcW w:w="6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7" w:right="43" w:hanging="180"/>
              <w:jc w:val="left"/>
              <w:rPr>
                <w:rFonts w:ascii="宋体" w:hAnsi="宋体" w:cs="宋体" w:eastAsia="宋体" w:hint="default"/>
                <w:sz w:val="18"/>
                <w:szCs w:val="18"/>
              </w:rPr>
            </w:pPr>
            <w:r>
              <w:rPr>
                <w:rFonts w:ascii="宋体" w:hAnsi="宋体" w:cs="宋体" w:eastAsia="宋体" w:hint="default"/>
                <w:sz w:val="18"/>
                <w:szCs w:val="18"/>
              </w:rPr>
              <w:t>追加投 资</w:t>
            </w:r>
          </w:p>
        </w:tc>
        <w:tc>
          <w:tcPr>
            <w:tcW w:w="6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8" w:right="47" w:hanging="180"/>
              <w:jc w:val="left"/>
              <w:rPr>
                <w:rFonts w:ascii="宋体" w:hAnsi="宋体" w:cs="宋体" w:eastAsia="宋体" w:hint="default"/>
                <w:sz w:val="18"/>
                <w:szCs w:val="18"/>
              </w:rPr>
            </w:pPr>
            <w:r>
              <w:rPr>
                <w:rFonts w:ascii="宋体" w:hAnsi="宋体" w:cs="宋体" w:eastAsia="宋体" w:hint="default"/>
                <w:sz w:val="18"/>
                <w:szCs w:val="18"/>
              </w:rPr>
              <w:t>减少投 资</w:t>
            </w:r>
          </w:p>
        </w:tc>
        <w:tc>
          <w:tcPr>
            <w:tcW w:w="10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8"/>
              <w:ind w:left="88" w:right="84"/>
              <w:jc w:val="left"/>
              <w:rPr>
                <w:rFonts w:ascii="宋体" w:hAnsi="宋体" w:cs="宋体" w:eastAsia="宋体" w:hint="default"/>
                <w:sz w:val="18"/>
                <w:szCs w:val="18"/>
              </w:rPr>
            </w:pPr>
            <w:r>
              <w:rPr>
                <w:rFonts w:ascii="宋体" w:hAnsi="宋体" w:cs="宋体" w:eastAsia="宋体" w:hint="default"/>
                <w:sz w:val="18"/>
                <w:szCs w:val="18"/>
              </w:rPr>
              <w:t>权益法下确 认的投资损</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8"/>
              <w:ind w:left="23" w:right="23"/>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7" w:right="46"/>
              <w:jc w:val="left"/>
              <w:rPr>
                <w:rFonts w:ascii="宋体" w:hAnsi="宋体" w:cs="宋体" w:eastAsia="宋体" w:hint="default"/>
                <w:sz w:val="18"/>
                <w:szCs w:val="18"/>
              </w:rPr>
            </w:pPr>
            <w:r>
              <w:rPr>
                <w:rFonts w:ascii="宋体" w:hAnsi="宋体" w:cs="宋体" w:eastAsia="宋体" w:hint="default"/>
                <w:sz w:val="18"/>
                <w:szCs w:val="18"/>
              </w:rPr>
              <w:t>其他权 益变动</w:t>
            </w:r>
          </w:p>
        </w:tc>
        <w:tc>
          <w:tcPr>
            <w:tcW w:w="6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8"/>
              <w:ind w:left="47" w:right="43"/>
              <w:jc w:val="left"/>
              <w:rPr>
                <w:rFonts w:ascii="宋体" w:hAnsi="宋体" w:cs="宋体" w:eastAsia="宋体" w:hint="default"/>
                <w:sz w:val="18"/>
                <w:szCs w:val="18"/>
              </w:rPr>
            </w:pPr>
            <w:r>
              <w:rPr>
                <w:rFonts w:ascii="宋体" w:hAnsi="宋体" w:cs="宋体" w:eastAsia="宋体" w:hint="default"/>
                <w:sz w:val="18"/>
                <w:szCs w:val="18"/>
              </w:rPr>
              <w:t>宣告发 放现金</w:t>
            </w:r>
          </w:p>
        </w:tc>
        <w:tc>
          <w:tcPr>
            <w:tcW w:w="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7" w:right="48"/>
              <w:jc w:val="left"/>
              <w:rPr>
                <w:rFonts w:ascii="宋体" w:hAnsi="宋体" w:cs="宋体" w:eastAsia="宋体" w:hint="default"/>
                <w:sz w:val="18"/>
                <w:szCs w:val="18"/>
              </w:rPr>
            </w:pPr>
            <w:r>
              <w:rPr>
                <w:rFonts w:ascii="宋体" w:hAnsi="宋体" w:cs="宋体" w:eastAsia="宋体" w:hint="default"/>
                <w:sz w:val="18"/>
                <w:szCs w:val="18"/>
              </w:rPr>
              <w:t>计提减 值准备</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83" w:type="dxa"/>
            <w:vMerge/>
            <w:tcBorders>
              <w:left w:val="single" w:sz="4" w:space="0" w:color="000000"/>
              <w:bottom w:val="single" w:sz="4" w:space="0" w:color="000000"/>
              <w:right w:val="single" w:sz="4" w:space="0" w:color="000000"/>
            </w:tcBorders>
            <w:shd w:val="clear" w:color="auto" w:fill="D2D2D2"/>
          </w:tcPr>
          <w:p>
            <w:pPr/>
          </w:p>
        </w:tc>
        <w:tc>
          <w:tcPr>
            <w:tcW w:w="648"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877" w:footer="979" w:top="1100" w:bottom="1160" w:left="980" w:right="980"/>
        </w:sectPr>
      </w:pPr>
    </w:p>
    <w:p>
      <w:pPr>
        <w:spacing w:line="240" w:lineRule="auto" w:before="8"/>
        <w:rPr>
          <w:rFonts w:ascii="宋体" w:hAnsi="宋体" w:cs="宋体" w:eastAsia="宋体" w:hint="default"/>
          <w:sz w:val="24"/>
          <w:szCs w:val="24"/>
        </w:rPr>
      </w:pPr>
    </w:p>
    <w:tbl>
      <w:tblPr>
        <w:tblW w:w="0" w:type="auto"/>
        <w:jc w:val="left"/>
        <w:tblInd w:w="119" w:type="dxa"/>
        <w:tblLayout w:type="fixed"/>
        <w:tblCellMar>
          <w:top w:w="0" w:type="dxa"/>
          <w:left w:w="0" w:type="dxa"/>
          <w:bottom w:w="0" w:type="dxa"/>
          <w:right w:w="0" w:type="dxa"/>
        </w:tblCellMar>
        <w:tblLook w:val="01E0"/>
      </w:tblPr>
      <w:tblGrid>
        <w:gridCol w:w="644"/>
        <w:gridCol w:w="1181"/>
        <w:gridCol w:w="643"/>
        <w:gridCol w:w="646"/>
        <w:gridCol w:w="1085"/>
        <w:gridCol w:w="598"/>
        <w:gridCol w:w="646"/>
        <w:gridCol w:w="643"/>
        <w:gridCol w:w="648"/>
        <w:gridCol w:w="1133"/>
        <w:gridCol w:w="1183"/>
        <w:gridCol w:w="648"/>
      </w:tblGrid>
      <w:tr>
        <w:trPr>
          <w:trHeight w:val="675" w:hRule="exact"/>
        </w:trPr>
        <w:tc>
          <w:tcPr>
            <w:tcW w:w="64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4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4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益</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12" w:right="0"/>
              <w:jc w:val="left"/>
              <w:rPr>
                <w:rFonts w:ascii="宋体" w:hAnsi="宋体" w:cs="宋体" w:eastAsia="宋体" w:hint="default"/>
                <w:sz w:val="18"/>
                <w:szCs w:val="18"/>
              </w:rPr>
            </w:pPr>
            <w:r>
              <w:rPr>
                <w:rFonts w:ascii="宋体" w:hAnsi="宋体" w:cs="宋体" w:eastAsia="宋体" w:hint="default"/>
                <w:sz w:val="18"/>
                <w:szCs w:val="18"/>
              </w:rPr>
              <w:t>调整</w:t>
            </w:r>
          </w:p>
        </w:tc>
        <w:tc>
          <w:tcPr>
            <w:tcW w:w="64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136" w:right="43" w:hanging="89"/>
              <w:jc w:val="left"/>
              <w:rPr>
                <w:rFonts w:ascii="宋体" w:hAnsi="宋体" w:cs="宋体" w:eastAsia="宋体" w:hint="default"/>
                <w:sz w:val="18"/>
                <w:szCs w:val="18"/>
              </w:rPr>
            </w:pPr>
            <w:r>
              <w:rPr>
                <w:rFonts w:ascii="宋体" w:hAnsi="宋体" w:cs="宋体" w:eastAsia="宋体" w:hint="default"/>
                <w:sz w:val="18"/>
                <w:szCs w:val="18"/>
              </w:rPr>
              <w:t>股利或 利润</w:t>
            </w:r>
          </w:p>
        </w:tc>
        <w:tc>
          <w:tcPr>
            <w:tcW w:w="64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8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4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9698"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3" w:hRule="exact"/>
        </w:trPr>
        <w:tc>
          <w:tcPr>
            <w:tcW w:w="9698"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649" w:hRule="exact"/>
        </w:trPr>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68"/>
              <w:jc w:val="both"/>
              <w:rPr>
                <w:rFonts w:ascii="宋体" w:hAnsi="宋体" w:cs="宋体" w:eastAsia="宋体" w:hint="default"/>
                <w:sz w:val="18"/>
                <w:szCs w:val="18"/>
              </w:rPr>
            </w:pPr>
            <w:r>
              <w:rPr>
                <w:rFonts w:ascii="宋体" w:hAnsi="宋体" w:cs="宋体" w:eastAsia="宋体" w:hint="default"/>
                <w:sz w:val="18"/>
                <w:szCs w:val="18"/>
              </w:rPr>
              <w:t>广东粤 科融资 租赁有 限公司</w:t>
            </w:r>
          </w:p>
          <w:p>
            <w:pPr>
              <w:pStyle w:val="TableParagraph"/>
              <w:spacing w:line="240" w:lineRule="auto" w:before="61"/>
              <w:ind w:left="24" w:right="0"/>
              <w:jc w:val="both"/>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149,520,743.79</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11,283,582.48</w:t>
            </w:r>
          </w:p>
        </w:tc>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160,804,326.27</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4" w:hRule="exact"/>
        </w:trPr>
        <w:tc>
          <w:tcPr>
            <w:tcW w:w="6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149,520,743.79</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11,283,582.48</w:t>
            </w:r>
          </w:p>
        </w:tc>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160,804,326.27</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6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149,520,743.79</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11,283,582.48</w:t>
            </w:r>
          </w:p>
        </w:tc>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160,804,326.27</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bl>
    <w:p>
      <w:pPr>
        <w:pStyle w:val="BodyText"/>
        <w:spacing w:line="240" w:lineRule="auto" w:before="49"/>
        <w:ind w:right="94"/>
        <w:jc w:val="left"/>
      </w:pPr>
      <w:r>
        <w:rPr/>
        <w:t>其他说明</w:t>
      </w:r>
    </w:p>
    <w:p>
      <w:pPr>
        <w:spacing w:line="240" w:lineRule="auto" w:before="3"/>
        <w:rPr>
          <w:rFonts w:ascii="宋体" w:hAnsi="宋体" w:cs="宋体" w:eastAsia="宋体" w:hint="default"/>
          <w:sz w:val="13"/>
          <w:szCs w:val="13"/>
        </w:rPr>
      </w:pPr>
    </w:p>
    <w:p>
      <w:pPr>
        <w:pStyle w:val="Heading4"/>
        <w:spacing w:line="408" w:lineRule="auto" w:before="0"/>
        <w:ind w:right="94"/>
        <w:jc w:val="left"/>
      </w:pPr>
      <w:r>
        <w:rPr>
          <w:rFonts w:ascii="宋体" w:hAnsi="宋体" w:cs="宋体" w:eastAsia="宋体" w:hint="default"/>
          <w:spacing w:val="-2"/>
        </w:rPr>
        <w:t>*</w:t>
      </w:r>
      <w:r>
        <w:rPr>
          <w:spacing w:val="-2"/>
        </w:rPr>
        <w:t>广东粤科融资租赁有限公司（以下简称“粤科租赁”）成立于</w:t>
      </w:r>
      <w:r>
        <w:rPr>
          <w:rFonts w:ascii="宋体" w:hAnsi="宋体" w:cs="宋体" w:eastAsia="宋体" w:hint="default"/>
          <w:spacing w:val="-2"/>
        </w:rPr>
        <w:t>2014</w:t>
      </w:r>
      <w:r>
        <w:rPr>
          <w:spacing w:val="-2"/>
        </w:rPr>
        <w:t>年</w:t>
      </w:r>
      <w:r>
        <w:rPr>
          <w:rFonts w:ascii="宋体" w:hAnsi="宋体" w:cs="宋体" w:eastAsia="宋体" w:hint="default"/>
          <w:spacing w:val="-2"/>
        </w:rPr>
        <w:t>3</w:t>
      </w:r>
      <w:r>
        <w:rPr>
          <w:spacing w:val="-2"/>
        </w:rPr>
        <w:t>月</w:t>
      </w:r>
      <w:r>
        <w:rPr>
          <w:rFonts w:ascii="宋体" w:hAnsi="宋体" w:cs="宋体" w:eastAsia="宋体" w:hint="default"/>
          <w:spacing w:val="-2"/>
        </w:rPr>
        <w:t>17</w:t>
      </w:r>
      <w:r>
        <w:rPr>
          <w:spacing w:val="-2"/>
        </w:rPr>
        <w:t>日，注册资本为人民币</w:t>
      </w:r>
      <w:r>
        <w:rPr>
          <w:w w:val="100"/>
        </w:rPr>
        <w:t> </w:t>
      </w:r>
      <w:r>
        <w:rPr>
          <w:rFonts w:ascii="宋体" w:hAnsi="宋体" w:cs="宋体" w:eastAsia="宋体" w:hint="default"/>
        </w:rPr>
        <w:t>62,000.00</w:t>
      </w:r>
      <w:r>
        <w:rPr/>
        <w:t>万元，本公司出资人民币</w:t>
      </w:r>
      <w:r>
        <w:rPr>
          <w:rFonts w:ascii="宋体" w:hAnsi="宋体" w:cs="宋体" w:eastAsia="宋体" w:hint="default"/>
        </w:rPr>
        <w:t>12,400.00</w:t>
      </w:r>
      <w:r>
        <w:rPr/>
        <w:t>万元，占注册资本的</w:t>
      </w:r>
      <w:r>
        <w:rPr>
          <w:rFonts w:ascii="宋体" w:hAnsi="宋体" w:cs="宋体" w:eastAsia="宋体" w:hint="default"/>
        </w:rPr>
        <w:t>20.00%</w:t>
      </w:r>
      <w:r>
        <w:rPr/>
        <w:t>。</w:t>
      </w:r>
    </w:p>
    <w:p>
      <w:pPr>
        <w:spacing w:line="240" w:lineRule="auto" w:before="6"/>
        <w:rPr>
          <w:rFonts w:ascii="宋体" w:hAnsi="宋体" w:cs="宋体" w:eastAsia="宋体" w:hint="default"/>
          <w:sz w:val="15"/>
          <w:szCs w:val="15"/>
        </w:rPr>
      </w:pPr>
    </w:p>
    <w:p>
      <w:pPr>
        <w:pStyle w:val="Heading3"/>
        <w:spacing w:line="240" w:lineRule="auto"/>
        <w:ind w:right="94"/>
        <w:jc w:val="left"/>
        <w:rPr>
          <w:b w:val="0"/>
          <w:bCs w:val="0"/>
        </w:rPr>
      </w:pPr>
      <w:r>
        <w:rPr>
          <w:rFonts w:ascii="Times New Roman" w:hAnsi="Times New Roman" w:cs="Times New Roman" w:eastAsia="Times New Roman" w:hint="default"/>
        </w:rPr>
        <w:t>10</w:t>
      </w:r>
      <w:r>
        <w:rPr/>
        <w:t>、投资性房地产</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3"/>
        <w:spacing w:line="240" w:lineRule="auto"/>
        <w:ind w:right="94"/>
        <w:jc w:val="left"/>
        <w:rPr>
          <w:b w:val="0"/>
          <w:bCs w:val="0"/>
        </w:rPr>
      </w:pPr>
      <w:r>
        <w:rPr/>
        <w:t>（</w:t>
      </w:r>
      <w:r>
        <w:rPr>
          <w:rFonts w:ascii="Times New Roman" w:hAnsi="Times New Roman" w:cs="Times New Roman" w:eastAsia="Times New Roman" w:hint="default"/>
        </w:rPr>
        <w:t>1</w:t>
      </w:r>
      <w:r>
        <w:rPr/>
        <w:t>）采用成本计量模式的投资性房地产</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
        <w:rPr>
          <w:rFonts w:ascii="宋体" w:hAnsi="宋体" w:cs="宋体" w:eastAsia="宋体" w:hint="default"/>
          <w:sz w:val="21"/>
          <w:szCs w:val="21"/>
        </w:rPr>
      </w:pPr>
    </w:p>
    <w:p>
      <w:pPr>
        <w:pStyle w:val="Heading3"/>
        <w:spacing w:line="240" w:lineRule="auto"/>
        <w:ind w:right="94"/>
        <w:jc w:val="left"/>
        <w:rPr>
          <w:b w:val="0"/>
          <w:bCs w:val="0"/>
        </w:rPr>
      </w:pPr>
      <w:r>
        <w:rPr/>
        <w:t>（</w:t>
      </w:r>
      <w:r>
        <w:rPr>
          <w:rFonts w:ascii="Times New Roman" w:hAnsi="Times New Roman" w:cs="Times New Roman" w:eastAsia="Times New Roman" w:hint="default"/>
        </w:rPr>
        <w:t>2</w:t>
      </w:r>
      <w:r>
        <w:rPr/>
        <w:t>）采用公允价值计量模式的投资性房地产</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right="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3"/>
        <w:ind w:left="0" w:right="19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5"/>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2"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一、期初余额</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二、本期变动</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336,598,281.14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336,598,281.14</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加：外购</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存货</w:t>
            </w:r>
            <w:r>
              <w:rPr>
                <w:rFonts w:ascii="Times New Roman" w:hAnsi="Times New Roman" w:cs="Times New Roman" w:eastAsia="Times New Roman" w:hint="default"/>
                <w:sz w:val="18"/>
                <w:szCs w:val="18"/>
              </w:rPr>
              <w:t>\</w:t>
            </w:r>
            <w:r>
              <w:rPr>
                <w:rFonts w:ascii="宋体" w:hAnsi="宋体" w:cs="宋体" w:eastAsia="宋体" w:hint="default"/>
                <w:sz w:val="18"/>
                <w:szCs w:val="18"/>
              </w:rPr>
              <w:t>固定资产</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在建工程转入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289,015,334.51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43,864,765.49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332,880,100.00</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企业合并增加</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减：处置</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其他转出</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公允价值变动</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3,718,181.14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3,718,181.14</w:t>
            </w:r>
          </w:p>
        </w:tc>
      </w:tr>
      <w:tr>
        <w:trPr>
          <w:trHeight w:val="404"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三、期末余额</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336,598,281.14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336,598,281.14</w:t>
            </w:r>
          </w:p>
        </w:tc>
      </w:tr>
    </w:tbl>
    <w:p>
      <w:pPr>
        <w:pStyle w:val="BodyText"/>
        <w:spacing w:line="316" w:lineRule="auto" w:before="49"/>
        <w:ind w:right="94"/>
        <w:jc w:val="left"/>
      </w:pPr>
      <w:r>
        <w:rPr>
          <w:spacing w:val="-4"/>
        </w:rPr>
        <w:t>（说明：因评估是以土地及地上建筑物作为一个整体进行评估，从而无法将公允价值在土地使用权及房屋建筑物中分开核算，</w:t>
      </w:r>
      <w:r>
        <w:rPr>
          <w:spacing w:val="-44"/>
        </w:rPr>
        <w:t> </w:t>
      </w:r>
      <w:r>
        <w:rPr>
          <w:spacing w:val="-44"/>
        </w:rPr>
      </w:r>
      <w:r>
        <w:rPr/>
        <w:t>故将公允价值变动全部在房屋、建筑物项下进行列示。）</w:t>
      </w:r>
    </w:p>
    <w:p>
      <w:pPr>
        <w:spacing w:after="0" w:line="316" w:lineRule="auto"/>
        <w:jc w:val="left"/>
        <w:sectPr>
          <w:pgSz w:w="11910" w:h="16840"/>
          <w:pgMar w:header="877" w:footer="979" w:top="1100" w:bottom="1160" w:left="980" w:right="940"/>
        </w:sectPr>
      </w:pPr>
    </w:p>
    <w:p>
      <w:pPr>
        <w:spacing w:line="240" w:lineRule="auto" w:before="12"/>
        <w:rPr>
          <w:rFonts w:ascii="宋体" w:hAnsi="宋体" w:cs="宋体" w:eastAsia="宋体" w:hint="default"/>
          <w:sz w:val="20"/>
          <w:szCs w:val="20"/>
        </w:rPr>
      </w:pPr>
    </w:p>
    <w:p>
      <w:pPr>
        <w:pStyle w:val="Heading3"/>
        <w:spacing w:line="335" w:lineRule="exact"/>
        <w:ind w:right="0"/>
        <w:jc w:val="left"/>
        <w:rPr>
          <w:b w:val="0"/>
          <w:bCs w:val="0"/>
        </w:rPr>
      </w:pPr>
      <w:r>
        <w:rPr>
          <w:rFonts w:ascii="Times New Roman" w:hAnsi="Times New Roman" w:cs="Times New Roman" w:eastAsia="Times New Roman" w:hint="default"/>
        </w:rPr>
        <w:t>11</w:t>
      </w:r>
      <w:r>
        <w:rPr/>
        <w:t>、固定资产</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）固定资产情况</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4"/>
        <w:gridCol w:w="1594"/>
        <w:gridCol w:w="1596"/>
        <w:gridCol w:w="1594"/>
        <w:gridCol w:w="1594"/>
        <w:gridCol w:w="1594"/>
      </w:tblGrid>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297"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59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477"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477"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208" w:right="0"/>
              <w:jc w:val="left"/>
              <w:rPr>
                <w:rFonts w:ascii="宋体" w:hAnsi="宋体" w:cs="宋体" w:eastAsia="宋体" w:hint="default"/>
                <w:sz w:val="18"/>
                <w:szCs w:val="18"/>
              </w:rPr>
            </w:pPr>
            <w:r>
              <w:rPr>
                <w:rFonts w:ascii="宋体" w:hAnsi="宋体" w:cs="宋体" w:eastAsia="宋体" w:hint="default"/>
                <w:sz w:val="18"/>
                <w:szCs w:val="18"/>
              </w:rPr>
              <w:t>电子及其他设备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322,075,741.69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39,120,027.41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14,514,020.36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2,320,059.39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378,029,848.85</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61"/>
              <w:jc w:val="righ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）在建工程</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转入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增加</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61"/>
              <w:jc w:val="righ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320,323,975.37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39,120,027.41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3,536,430.00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1,196,822.39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364,177,255.17</w:t>
            </w: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废</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39,120,027.41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3,536,430.00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1,196,822.39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43,853,279.80</w:t>
            </w:r>
          </w:p>
        </w:tc>
      </w:tr>
      <w:tr>
        <w:trPr>
          <w:trHeight w:val="404"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320,323,975.37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320,323,975.37</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1,751,766.32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10,977,590.36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1,123,237.00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13,852,593.68</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35,116,668.81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19,706,197.22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11,060,416.41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1,388,471.21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67,271,753.65</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61"/>
              <w:jc w:val="righ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1,531,969.84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431,287.42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1,534,887.13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229,439.22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3,727,583.61</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1,531,969.84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431,287.42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1,534,887.13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229,439.22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3,727,583.61</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61"/>
              <w:jc w:val="righ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36,540,771.43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20,137,484.64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3,350,223.36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717,824.46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60,746,303.89</w:t>
            </w: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废</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20,137,484.64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3,350,223.36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717,824.46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24,205,532.46</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36,540,771.43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36,540,771.43</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107,867.22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9,245,080.18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900,085.97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10,253,033.37</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1,857,319.83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1,857,319.83</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61"/>
              <w:jc w:val="righ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6,833,398.20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123,631.79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6,957,029.99</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6,833,398.20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123,631.79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6,957,029.99</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61"/>
              <w:jc w:val="righ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8,690,718.03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123,631.79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8,814,349.82</w:t>
            </w: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废</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8,690,718.03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123,631.79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8,814,349.82</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5" w:right="0"/>
              <w:jc w:val="lef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979" w:top="1100" w:bottom="1160" w:left="980" w:right="98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593"/>
        <w:gridCol w:w="1594"/>
        <w:gridCol w:w="1596"/>
        <w:gridCol w:w="1594"/>
        <w:gridCol w:w="1594"/>
        <w:gridCol w:w="1594"/>
      </w:tblGrid>
      <w:tr>
        <w:trPr>
          <w:trHeight w:val="401"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1"/>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1,643,899.10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1,732,510.18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223,151.03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3,599,560.31</w:t>
            </w:r>
          </w:p>
        </w:tc>
      </w:tr>
      <w:tr>
        <w:trPr>
          <w:trHeight w:val="403"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61"/>
              <w:jc w:val="righ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286,959,072.88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17,556,510.36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3,453,603.95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931,588.18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308,900,775.37</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rFonts w:ascii="Times New Roman" w:hAnsi="Times New Roman" w:cs="Times New Roman" w:eastAsia="Times New Roman" w:hint="default"/>
        </w:rPr>
        <w:t>12</w:t>
      </w:r>
      <w:r>
        <w:rPr/>
        <w:t>、在建工程</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）在建工程情况</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10"/>
        <w:gridCol w:w="1227"/>
        <w:gridCol w:w="1368"/>
        <w:gridCol w:w="1366"/>
        <w:gridCol w:w="1368"/>
        <w:gridCol w:w="1366"/>
        <w:gridCol w:w="1368"/>
      </w:tblGrid>
      <w:tr>
        <w:trPr>
          <w:trHeight w:val="403" w:hRule="exact"/>
        </w:trPr>
        <w:tc>
          <w:tcPr>
            <w:tcW w:w="151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96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510" w:type="dxa"/>
            <w:vMerge/>
            <w:tcBorders>
              <w:left w:val="single" w:sz="4" w:space="0" w:color="000000"/>
              <w:bottom w:val="single" w:sz="4" w:space="0" w:color="000000"/>
              <w:right w:val="single" w:sz="4" w:space="0" w:color="000000"/>
            </w:tcBorders>
            <w:shd w:val="clear" w:color="auto" w:fill="D2D2D2"/>
          </w:tcPr>
          <w:p>
            <w:pPr/>
          </w:p>
        </w:tc>
        <w:tc>
          <w:tcPr>
            <w:tcW w:w="12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3" w:hRule="exact"/>
        </w:trPr>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岭海工业区宿舍楼</w:t>
            </w: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23,932,647.20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00" w:right="0"/>
              <w:jc w:val="left"/>
              <w:rPr>
                <w:rFonts w:ascii="Times New Roman" w:hAnsi="Times New Roman" w:cs="Times New Roman" w:eastAsia="Times New Roman" w:hint="default"/>
                <w:sz w:val="18"/>
                <w:szCs w:val="18"/>
              </w:rPr>
            </w:pPr>
            <w:r>
              <w:rPr>
                <w:rFonts w:ascii="Times New Roman"/>
                <w:sz w:val="18"/>
              </w:rPr>
              <w:t>23,932,647.20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99" w:right="0"/>
              <w:jc w:val="left"/>
              <w:rPr>
                <w:rFonts w:ascii="Times New Roman" w:hAnsi="Times New Roman" w:cs="Times New Roman" w:eastAsia="Times New Roman" w:hint="default"/>
                <w:sz w:val="18"/>
                <w:szCs w:val="18"/>
              </w:rPr>
            </w:pPr>
            <w:r>
              <w:rPr>
                <w:rFonts w:ascii="Times New Roman"/>
                <w:sz w:val="18"/>
              </w:rPr>
              <w:t>10,170,041.00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99" w:right="0"/>
              <w:jc w:val="left"/>
              <w:rPr>
                <w:rFonts w:ascii="Times New Roman" w:hAnsi="Times New Roman" w:cs="Times New Roman" w:eastAsia="Times New Roman" w:hint="default"/>
                <w:sz w:val="18"/>
                <w:szCs w:val="18"/>
              </w:rPr>
            </w:pPr>
            <w:r>
              <w:rPr>
                <w:rFonts w:ascii="Times New Roman"/>
                <w:sz w:val="18"/>
              </w:rPr>
              <w:t>10,170,041.00</w:t>
            </w:r>
          </w:p>
        </w:tc>
      </w:tr>
      <w:tr>
        <w:trPr>
          <w:trHeight w:val="403" w:hRule="exact"/>
        </w:trPr>
        <w:tc>
          <w:tcPr>
            <w:tcW w:w="15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23,932,647.20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0" w:right="0"/>
              <w:jc w:val="left"/>
              <w:rPr>
                <w:rFonts w:ascii="Times New Roman" w:hAnsi="Times New Roman" w:cs="Times New Roman" w:eastAsia="Times New Roman" w:hint="default"/>
                <w:sz w:val="18"/>
                <w:szCs w:val="18"/>
              </w:rPr>
            </w:pPr>
            <w:r>
              <w:rPr>
                <w:rFonts w:ascii="Times New Roman"/>
                <w:sz w:val="18"/>
              </w:rPr>
              <w:t>23,932,647.20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9" w:right="0"/>
              <w:jc w:val="left"/>
              <w:rPr>
                <w:rFonts w:ascii="Times New Roman" w:hAnsi="Times New Roman" w:cs="Times New Roman" w:eastAsia="Times New Roman" w:hint="default"/>
                <w:sz w:val="18"/>
                <w:szCs w:val="18"/>
              </w:rPr>
            </w:pPr>
            <w:r>
              <w:rPr>
                <w:rFonts w:ascii="Times New Roman"/>
                <w:sz w:val="18"/>
              </w:rPr>
              <w:t>10,170,041.00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9" w:right="0"/>
              <w:jc w:val="left"/>
              <w:rPr>
                <w:rFonts w:ascii="Times New Roman" w:hAnsi="Times New Roman" w:cs="Times New Roman" w:eastAsia="Times New Roman" w:hint="default"/>
                <w:sz w:val="18"/>
                <w:szCs w:val="18"/>
              </w:rPr>
            </w:pPr>
            <w:r>
              <w:rPr>
                <w:rFonts w:ascii="Times New Roman"/>
                <w:sz w:val="18"/>
              </w:rPr>
              <w:t>10,170,041.00</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2</w:t>
      </w:r>
      <w:r>
        <w:rPr/>
        <w:t>）重要在建工程项目本期变动情况</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19" w:type="dxa"/>
        <w:tblLayout w:type="fixed"/>
        <w:tblCellMar>
          <w:top w:w="0" w:type="dxa"/>
          <w:left w:w="0" w:type="dxa"/>
          <w:bottom w:w="0" w:type="dxa"/>
          <w:right w:w="0" w:type="dxa"/>
        </w:tblCellMar>
        <w:tblLook w:val="01E0"/>
      </w:tblPr>
      <w:tblGrid>
        <w:gridCol w:w="591"/>
        <w:gridCol w:w="1092"/>
        <w:gridCol w:w="1090"/>
        <w:gridCol w:w="1092"/>
        <w:gridCol w:w="593"/>
        <w:gridCol w:w="593"/>
        <w:gridCol w:w="1092"/>
        <w:gridCol w:w="610"/>
        <w:gridCol w:w="613"/>
        <w:gridCol w:w="557"/>
        <w:gridCol w:w="593"/>
        <w:gridCol w:w="593"/>
        <w:gridCol w:w="590"/>
      </w:tblGrid>
      <w:tr>
        <w:trPr>
          <w:trHeight w:val="1961" w:hRule="exact"/>
        </w:trPr>
        <w:tc>
          <w:tcPr>
            <w:tcW w:w="5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110" w:right="108"/>
              <w:jc w:val="left"/>
              <w:rPr>
                <w:rFonts w:ascii="宋体" w:hAnsi="宋体" w:cs="宋体" w:eastAsia="宋体" w:hint="default"/>
                <w:sz w:val="18"/>
                <w:szCs w:val="18"/>
              </w:rPr>
            </w:pPr>
            <w:r>
              <w:rPr>
                <w:rFonts w:ascii="宋体" w:hAnsi="宋体" w:cs="宋体" w:eastAsia="宋体" w:hint="default"/>
                <w:sz w:val="18"/>
                <w:szCs w:val="18"/>
              </w:rPr>
              <w:t>项目 名称</w:t>
            </w:r>
          </w:p>
        </w:tc>
        <w:tc>
          <w:tcPr>
            <w:tcW w:w="10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right="0"/>
              <w:jc w:val="center"/>
              <w:rPr>
                <w:rFonts w:ascii="宋体" w:hAnsi="宋体" w:cs="宋体" w:eastAsia="宋体" w:hint="default"/>
                <w:sz w:val="18"/>
                <w:szCs w:val="18"/>
              </w:rPr>
            </w:pPr>
            <w:r>
              <w:rPr>
                <w:rFonts w:ascii="宋体" w:hAnsi="宋体" w:cs="宋体" w:eastAsia="宋体" w:hint="default"/>
                <w:sz w:val="18"/>
                <w:szCs w:val="18"/>
              </w:rPr>
              <w:t>预算数</w:t>
            </w:r>
          </w:p>
        </w:tc>
        <w:tc>
          <w:tcPr>
            <w:tcW w:w="10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10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451" w:right="89" w:hanging="360"/>
              <w:jc w:val="left"/>
              <w:rPr>
                <w:rFonts w:ascii="宋体" w:hAnsi="宋体" w:cs="宋体" w:eastAsia="宋体" w:hint="default"/>
                <w:sz w:val="18"/>
                <w:szCs w:val="18"/>
              </w:rPr>
            </w:pPr>
            <w:r>
              <w:rPr>
                <w:rFonts w:ascii="宋体" w:hAnsi="宋体" w:cs="宋体" w:eastAsia="宋体" w:hint="default"/>
                <w:sz w:val="18"/>
                <w:szCs w:val="18"/>
              </w:rPr>
              <w:t>本期增加金 额</w:t>
            </w:r>
          </w:p>
        </w:tc>
        <w:tc>
          <w:tcPr>
            <w:tcW w:w="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112" w:right="108"/>
              <w:jc w:val="both"/>
              <w:rPr>
                <w:rFonts w:ascii="宋体" w:hAnsi="宋体" w:cs="宋体" w:eastAsia="宋体" w:hint="default"/>
                <w:sz w:val="18"/>
                <w:szCs w:val="18"/>
              </w:rPr>
            </w:pPr>
            <w:r>
              <w:rPr>
                <w:rFonts w:ascii="宋体" w:hAnsi="宋体" w:cs="宋体" w:eastAsia="宋体" w:hint="default"/>
                <w:sz w:val="18"/>
                <w:szCs w:val="18"/>
              </w:rPr>
              <w:t>本期 转入 固定 资产 金额</w:t>
            </w:r>
          </w:p>
        </w:tc>
        <w:tc>
          <w:tcPr>
            <w:tcW w:w="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112" w:right="108"/>
              <w:jc w:val="both"/>
              <w:rPr>
                <w:rFonts w:ascii="宋体" w:hAnsi="宋体" w:cs="宋体" w:eastAsia="宋体" w:hint="default"/>
                <w:sz w:val="18"/>
                <w:szCs w:val="18"/>
              </w:rPr>
            </w:pPr>
            <w:r>
              <w:rPr>
                <w:rFonts w:ascii="宋体" w:hAnsi="宋体" w:cs="宋体" w:eastAsia="宋体" w:hint="default"/>
                <w:sz w:val="18"/>
                <w:szCs w:val="18"/>
              </w:rPr>
              <w:t>本期 其他 减少 金额</w:t>
            </w:r>
          </w:p>
        </w:tc>
        <w:tc>
          <w:tcPr>
            <w:tcW w:w="10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6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31" w:right="26"/>
              <w:jc w:val="both"/>
              <w:rPr>
                <w:rFonts w:ascii="宋体" w:hAnsi="宋体" w:cs="宋体" w:eastAsia="宋体" w:hint="default"/>
                <w:sz w:val="18"/>
                <w:szCs w:val="18"/>
              </w:rPr>
            </w:pPr>
            <w:r>
              <w:rPr>
                <w:rFonts w:ascii="宋体" w:hAnsi="宋体" w:cs="宋体" w:eastAsia="宋体" w:hint="default"/>
                <w:sz w:val="18"/>
                <w:szCs w:val="18"/>
              </w:rPr>
              <w:t>工程累 计投入 占预算 比例</w:t>
            </w:r>
          </w:p>
        </w:tc>
        <w:tc>
          <w:tcPr>
            <w:tcW w:w="6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211" w:right="29" w:hanging="180"/>
              <w:jc w:val="left"/>
              <w:rPr>
                <w:rFonts w:ascii="宋体" w:hAnsi="宋体" w:cs="宋体" w:eastAsia="宋体" w:hint="default"/>
                <w:sz w:val="18"/>
                <w:szCs w:val="18"/>
              </w:rPr>
            </w:pPr>
            <w:r>
              <w:rPr>
                <w:rFonts w:ascii="宋体" w:hAnsi="宋体" w:cs="宋体" w:eastAsia="宋体" w:hint="default"/>
                <w:sz w:val="18"/>
                <w:szCs w:val="18"/>
              </w:rPr>
              <w:t>工程进 度</w:t>
            </w:r>
          </w:p>
        </w:tc>
        <w:tc>
          <w:tcPr>
            <w:tcW w:w="5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93" w:right="91"/>
              <w:jc w:val="both"/>
              <w:rPr>
                <w:rFonts w:ascii="宋体" w:hAnsi="宋体" w:cs="宋体" w:eastAsia="宋体" w:hint="default"/>
                <w:sz w:val="18"/>
                <w:szCs w:val="18"/>
              </w:rPr>
            </w:pPr>
            <w:r>
              <w:rPr>
                <w:rFonts w:ascii="宋体" w:hAnsi="宋体" w:cs="宋体" w:eastAsia="宋体" w:hint="default"/>
                <w:sz w:val="18"/>
                <w:szCs w:val="18"/>
              </w:rPr>
              <w:t>利息 资本 化累 计金 额</w:t>
            </w:r>
          </w:p>
        </w:tc>
        <w:tc>
          <w:tcPr>
            <w:tcW w:w="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12" w:right="17" w:hanging="89"/>
              <w:jc w:val="left"/>
              <w:rPr>
                <w:rFonts w:ascii="宋体" w:hAnsi="宋体" w:cs="宋体" w:eastAsia="宋体" w:hint="default"/>
                <w:sz w:val="18"/>
                <w:szCs w:val="18"/>
              </w:rPr>
            </w:pPr>
            <w:r>
              <w:rPr>
                <w:rFonts w:ascii="宋体" w:hAnsi="宋体" w:cs="宋体" w:eastAsia="宋体" w:hint="default"/>
                <w:sz w:val="18"/>
                <w:szCs w:val="18"/>
              </w:rPr>
              <w:t>其中： 本期 利息 资本 化金 额</w:t>
            </w:r>
          </w:p>
        </w:tc>
        <w:tc>
          <w:tcPr>
            <w:tcW w:w="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112" w:right="108"/>
              <w:jc w:val="both"/>
              <w:rPr>
                <w:rFonts w:ascii="宋体" w:hAnsi="宋体" w:cs="宋体" w:eastAsia="宋体" w:hint="default"/>
                <w:sz w:val="18"/>
                <w:szCs w:val="18"/>
              </w:rPr>
            </w:pPr>
            <w:r>
              <w:rPr>
                <w:rFonts w:ascii="宋体" w:hAnsi="宋体" w:cs="宋体" w:eastAsia="宋体" w:hint="default"/>
                <w:sz w:val="18"/>
                <w:szCs w:val="18"/>
              </w:rPr>
              <w:t>本期 利息 资本 化率</w:t>
            </w:r>
          </w:p>
        </w:tc>
        <w:tc>
          <w:tcPr>
            <w:tcW w:w="5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110" w:right="108"/>
              <w:jc w:val="left"/>
              <w:rPr>
                <w:rFonts w:ascii="宋体" w:hAnsi="宋体" w:cs="宋体" w:eastAsia="宋体" w:hint="default"/>
                <w:sz w:val="18"/>
                <w:szCs w:val="18"/>
              </w:rPr>
            </w:pPr>
            <w:r>
              <w:rPr>
                <w:rFonts w:ascii="宋体" w:hAnsi="宋体" w:cs="宋体" w:eastAsia="宋体" w:hint="default"/>
                <w:sz w:val="18"/>
                <w:szCs w:val="18"/>
              </w:rPr>
              <w:t>资金 来源</w:t>
            </w:r>
          </w:p>
        </w:tc>
      </w:tr>
      <w:tr>
        <w:trPr>
          <w:trHeight w:val="1339" w:hRule="exact"/>
        </w:trPr>
        <w:tc>
          <w:tcPr>
            <w:tcW w:w="5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5"/>
              <w:jc w:val="both"/>
              <w:rPr>
                <w:rFonts w:ascii="宋体" w:hAnsi="宋体" w:cs="宋体" w:eastAsia="宋体" w:hint="default"/>
                <w:sz w:val="18"/>
                <w:szCs w:val="18"/>
              </w:rPr>
            </w:pPr>
            <w:r>
              <w:rPr>
                <w:rFonts w:ascii="宋体" w:hAnsi="宋体" w:cs="宋体" w:eastAsia="宋体" w:hint="default"/>
                <w:sz w:val="18"/>
                <w:szCs w:val="18"/>
              </w:rPr>
              <w:t>岭海 工业 区宿 舍楼</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25,583,996.00</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10,170,041.00</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13,762,606.20</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23,932,647.20</w:t>
            </w:r>
          </w:p>
        </w:tc>
        <w:tc>
          <w:tcPr>
            <w:tcW w:w="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5" w:right="0"/>
              <w:jc w:val="center"/>
              <w:rPr>
                <w:rFonts w:ascii="Times New Roman" w:hAnsi="Times New Roman" w:cs="Times New Roman" w:eastAsia="Times New Roman" w:hint="default"/>
                <w:sz w:val="18"/>
                <w:szCs w:val="18"/>
              </w:rPr>
            </w:pPr>
            <w:r>
              <w:rPr>
                <w:rFonts w:ascii="Times New Roman"/>
                <w:sz w:val="18"/>
              </w:rPr>
              <w:t>93.55%</w:t>
            </w:r>
          </w:p>
        </w:tc>
        <w:tc>
          <w:tcPr>
            <w:tcW w:w="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93.55%</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194"/>
              <w:jc w:val="left"/>
              <w:rPr>
                <w:rFonts w:ascii="宋体" w:hAnsi="宋体" w:cs="宋体" w:eastAsia="宋体" w:hint="default"/>
                <w:sz w:val="18"/>
                <w:szCs w:val="18"/>
              </w:rPr>
            </w:pPr>
            <w:r>
              <w:rPr>
                <w:rFonts w:ascii="宋体" w:hAnsi="宋体" w:cs="宋体" w:eastAsia="宋体" w:hint="default"/>
                <w:sz w:val="18"/>
                <w:szCs w:val="18"/>
              </w:rPr>
              <w:t>自有 资金</w:t>
            </w:r>
          </w:p>
        </w:tc>
      </w:tr>
      <w:tr>
        <w:trPr>
          <w:trHeight w:val="401" w:hRule="exact"/>
        </w:trPr>
        <w:tc>
          <w:tcPr>
            <w:tcW w:w="5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25,583,996.00</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10,170,041.00</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13,762,606.20</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23,932,647.20</w:t>
            </w:r>
          </w:p>
        </w:tc>
        <w:tc>
          <w:tcPr>
            <w:tcW w:w="6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6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
              <w:jc w:val="center"/>
              <w:rPr>
                <w:rFonts w:ascii="Times New Roman" w:hAnsi="Times New Roman" w:cs="Times New Roman" w:eastAsia="Times New Roman" w:hint="default"/>
                <w:sz w:val="18"/>
                <w:szCs w:val="18"/>
              </w:rPr>
            </w:pPr>
            <w:r>
              <w:rPr>
                <w:rFonts w:ascii="Times New Roman"/>
                <w:sz w:val="18"/>
              </w:rPr>
              <w:t>--</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rFonts w:ascii="Times New Roman" w:hAnsi="Times New Roman" w:cs="Times New Roman" w:eastAsia="Times New Roman" w:hint="default"/>
        </w:rPr>
        <w:t>13</w:t>
      </w:r>
      <w:r>
        <w:rPr/>
        <w:t>、无形资产</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）无形资产情况</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4"/>
        <w:gridCol w:w="1594"/>
        <w:gridCol w:w="1596"/>
        <w:gridCol w:w="1594"/>
        <w:gridCol w:w="1594"/>
        <w:gridCol w:w="1594"/>
      </w:tblGrid>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3"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3"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3"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90" w:right="0"/>
              <w:jc w:val="center"/>
              <w:rPr>
                <w:rFonts w:ascii="宋体" w:hAnsi="宋体" w:cs="宋体" w:eastAsia="宋体" w:hint="default"/>
                <w:sz w:val="18"/>
                <w:szCs w:val="18"/>
              </w:rPr>
            </w:pPr>
            <w:r>
              <w:rPr>
                <w:rFonts w:ascii="宋体" w:hAnsi="宋体" w:cs="宋体" w:eastAsia="宋体" w:hint="default"/>
                <w:sz w:val="18"/>
                <w:szCs w:val="18"/>
              </w:rPr>
              <w:t>软件</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123,162,359.35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1,397,232.66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124,559,592.01</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98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1594"/>
        <w:gridCol w:w="1594"/>
        <w:gridCol w:w="1596"/>
        <w:gridCol w:w="1594"/>
        <w:gridCol w:w="1594"/>
        <w:gridCol w:w="1594"/>
      </w:tblGrid>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）内部研发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）企业合并增加</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49,382,563.67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900,822.40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50,283,386.07</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900,822.40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900,822.40</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49,382,563.67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49,382,563.67</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73,779,795.68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496,410.26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74,276,205.94</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10,092,768.67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592,003.74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10,684,772.41</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1,684,640.94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63,669.16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1,748,310.10</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1,684,640.94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63,669.16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1,748,310.10</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5,517,798.18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471,986.20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5,989,784.38</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471,986.20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471,986.20</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5,517,798.18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5,517,798.18</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6,259,611.43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183,686.70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6,443,298.13</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67,520,184.25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312,723.56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67,832,907.81</w:t>
            </w:r>
          </w:p>
        </w:tc>
      </w:tr>
      <w:tr>
        <w:trPr>
          <w:trHeight w:val="40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113,069,590.68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805,228.92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113,874,819.60</w:t>
            </w:r>
          </w:p>
        </w:tc>
      </w:tr>
    </w:tbl>
    <w:p>
      <w:pPr>
        <w:pStyle w:val="BodyText"/>
        <w:spacing w:line="240" w:lineRule="auto" w:before="49"/>
        <w:ind w:right="0"/>
        <w:jc w:val="left"/>
      </w:pPr>
      <w:r>
        <w:rPr/>
        <w:t>本期末通过公司内部研发形成的无形资产占无形资产余额的比例</w:t>
      </w:r>
      <w:r>
        <w:rPr>
          <w:spacing w:val="-44"/>
        </w:rPr>
        <w:t> </w:t>
      </w:r>
      <w:r>
        <w:rPr>
          <w:rFonts w:ascii="Times New Roman" w:hAnsi="Times New Roman" w:cs="Times New Roman" w:eastAsia="Times New Roman" w:hint="default"/>
        </w:rPr>
        <w:t>0.00%</w:t>
      </w:r>
      <w:r>
        <w:rPr/>
        <w:t>。</w:t>
      </w:r>
    </w:p>
    <w:p>
      <w:pPr>
        <w:spacing w:after="0" w:line="240" w:lineRule="auto"/>
        <w:jc w:val="left"/>
        <w:sectPr>
          <w:pgSz w:w="11910" w:h="16840"/>
          <w:pgMar w:header="877" w:footer="979" w:top="1100" w:bottom="1160" w:left="980" w:right="980"/>
        </w:sectPr>
      </w:pPr>
    </w:p>
    <w:p>
      <w:pPr>
        <w:spacing w:line="240" w:lineRule="auto" w:before="12"/>
        <w:rPr>
          <w:rFonts w:ascii="宋体" w:hAnsi="宋体" w:cs="宋体" w:eastAsia="宋体" w:hint="default"/>
          <w:sz w:val="20"/>
          <w:szCs w:val="20"/>
        </w:rPr>
      </w:pPr>
    </w:p>
    <w:p>
      <w:pPr>
        <w:pStyle w:val="Heading3"/>
        <w:spacing w:line="335" w:lineRule="exact"/>
        <w:ind w:right="0"/>
        <w:jc w:val="left"/>
        <w:rPr>
          <w:b w:val="0"/>
          <w:bCs w:val="0"/>
        </w:rPr>
      </w:pPr>
      <w:r>
        <w:rPr>
          <w:rFonts w:ascii="Times New Roman" w:hAnsi="Times New Roman" w:cs="Times New Roman" w:eastAsia="Times New Roman" w:hint="default"/>
        </w:rPr>
        <w:t>14</w:t>
      </w:r>
      <w:r>
        <w:rPr/>
        <w:t>、商誉</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）商誉账面原值</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6"/>
        <w:gridCol w:w="1368"/>
        <w:gridCol w:w="1366"/>
        <w:gridCol w:w="1368"/>
        <w:gridCol w:w="1369"/>
        <w:gridCol w:w="1366"/>
      </w:tblGrid>
      <w:tr>
        <w:trPr>
          <w:trHeight w:val="1025"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8" w:right="48"/>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童乐乐玩具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1,038,345.12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1,038,345.12</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1,038,345.12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1,038,345.12</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2</w:t>
      </w:r>
      <w:r>
        <w:rPr/>
        <w:t>）商誉减值准备</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6"/>
        <w:gridCol w:w="1368"/>
        <w:gridCol w:w="1366"/>
        <w:gridCol w:w="1368"/>
        <w:gridCol w:w="1369"/>
        <w:gridCol w:w="1366"/>
      </w:tblGrid>
      <w:tr>
        <w:trPr>
          <w:trHeight w:val="1025"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8" w:right="48"/>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童乐乐玩具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1,038,345.12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1,038,345.12</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1,038,345.12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1,038,345.12</w:t>
            </w:r>
          </w:p>
        </w:tc>
      </w:tr>
    </w:tbl>
    <w:p>
      <w:pPr>
        <w:pStyle w:val="BodyText"/>
        <w:spacing w:line="360" w:lineRule="auto" w:before="49"/>
        <w:ind w:left="513" w:right="0" w:hanging="361"/>
        <w:jc w:val="left"/>
      </w:pPr>
      <w:r>
        <w:rPr/>
        <w:t>说明商誉减值测试过程、参数及商誉减值损失的确认方法： </w:t>
      </w:r>
      <w:r>
        <w:rPr>
          <w:spacing w:val="-2"/>
        </w:rPr>
        <w:t>根据公司总经理（总裁）办公会议纪要，公司认为对童乐乐超额投资部分的经济价值没有得到体现，对其确认的商誉全</w:t>
      </w:r>
    </w:p>
    <w:p>
      <w:pPr>
        <w:pStyle w:val="BodyText"/>
        <w:spacing w:line="222" w:lineRule="exact"/>
        <w:ind w:right="0"/>
        <w:jc w:val="left"/>
      </w:pPr>
      <w:r>
        <w:rPr/>
        <w:t>额计提减值准备。</w:t>
      </w:r>
    </w:p>
    <w:p>
      <w:pPr>
        <w:pStyle w:val="BodyText"/>
        <w:spacing w:line="240" w:lineRule="auto" w:before="115"/>
        <w:ind w:right="0"/>
        <w:jc w:val="left"/>
      </w:pPr>
      <w:r>
        <w:rPr/>
        <w:t>其他说明：无。</w:t>
      </w:r>
    </w:p>
    <w:p>
      <w:pPr>
        <w:spacing w:line="240" w:lineRule="auto" w:before="1"/>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15</w:t>
      </w:r>
      <w:r>
        <w:rPr/>
        <w:t>、长期待摊费用</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left="0" w:right="15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4"/>
        <w:gridCol w:w="1597"/>
        <w:gridCol w:w="1594"/>
        <w:gridCol w:w="1596"/>
        <w:gridCol w:w="1594"/>
        <w:gridCol w:w="1594"/>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51"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52"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51"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装修费</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339,470.59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140,470.56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199,000.03</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339,470.59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140,470.56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199,000.03</w:t>
            </w:r>
          </w:p>
        </w:tc>
      </w:tr>
    </w:tbl>
    <w:p>
      <w:pPr>
        <w:pStyle w:val="BodyText"/>
        <w:spacing w:line="240" w:lineRule="auto" w:before="49"/>
        <w:ind w:right="0"/>
        <w:jc w:val="left"/>
      </w:pPr>
      <w:r>
        <w:rPr/>
        <w:t>其他说明：无。</w:t>
      </w:r>
    </w:p>
    <w:p>
      <w:pPr>
        <w:spacing w:line="240" w:lineRule="auto" w:before="12"/>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16</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3"/>
        <w:gridCol w:w="1915"/>
      </w:tblGrid>
      <w:tr>
        <w:trPr>
          <w:trHeight w:val="401"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5" w:right="0"/>
              <w:jc w:val="left"/>
              <w:rPr>
                <w:rFonts w:ascii="Times New Roman" w:hAnsi="Times New Roman" w:cs="Times New Roman" w:eastAsia="Times New Roman" w:hint="default"/>
                <w:sz w:val="18"/>
                <w:szCs w:val="18"/>
              </w:rPr>
            </w:pPr>
            <w:r>
              <w:rPr>
                <w:rFonts w:ascii="Times New Roman"/>
                <w:sz w:val="18"/>
              </w:rPr>
              <w:t>5,189,850.43</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70" w:right="0"/>
              <w:jc w:val="left"/>
              <w:rPr>
                <w:rFonts w:ascii="Times New Roman" w:hAnsi="Times New Roman" w:cs="Times New Roman" w:eastAsia="Times New Roman" w:hint="default"/>
                <w:sz w:val="18"/>
                <w:szCs w:val="18"/>
              </w:rPr>
            </w:pPr>
            <w:r>
              <w:rPr>
                <w:rFonts w:ascii="Times New Roman"/>
                <w:sz w:val="18"/>
              </w:rPr>
              <w:t>778,720.98</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979" w:top="1100" w:bottom="1160" w:left="980" w:right="98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5"/>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1,764,448.86</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264,667.33</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6,954,299.29</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1,043,388.31</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2</w:t>
      </w:r>
      <w:r>
        <w:rPr/>
        <w:t>）以抵销后净额列示的递延所得税资产或负债</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98"/>
        <w:gridCol w:w="2281"/>
        <w:gridCol w:w="2064"/>
        <w:gridCol w:w="1913"/>
        <w:gridCol w:w="1915"/>
      </w:tblGrid>
      <w:tr>
        <w:trPr>
          <w:trHeight w:val="714" w:hRule="exact"/>
        </w:trPr>
        <w:tc>
          <w:tcPr>
            <w:tcW w:w="1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775" w:right="53" w:hanging="720"/>
              <w:jc w:val="left"/>
              <w:rPr>
                <w:rFonts w:ascii="宋体" w:hAnsi="宋体" w:cs="宋体" w:eastAsia="宋体" w:hint="default"/>
                <w:sz w:val="18"/>
                <w:szCs w:val="18"/>
              </w:rPr>
            </w:pPr>
            <w:r>
              <w:rPr>
                <w:rFonts w:ascii="宋体" w:hAnsi="宋体" w:cs="宋体" w:eastAsia="宋体" w:hint="default"/>
                <w:sz w:val="18"/>
                <w:szCs w:val="18"/>
              </w:rPr>
              <w:t>递延所得税资产和负债期末 互抵金额</w:t>
            </w:r>
          </w:p>
        </w:tc>
        <w:tc>
          <w:tcPr>
            <w:tcW w:w="2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487" w:right="36" w:hanging="452"/>
              <w:jc w:val="left"/>
              <w:rPr>
                <w:rFonts w:ascii="宋体" w:hAnsi="宋体" w:cs="宋体" w:eastAsia="宋体" w:hint="default"/>
                <w:sz w:val="18"/>
                <w:szCs w:val="18"/>
              </w:rPr>
            </w:pPr>
            <w:r>
              <w:rPr>
                <w:rFonts w:ascii="宋体" w:hAnsi="宋体" w:cs="宋体" w:eastAsia="宋体" w:hint="default"/>
                <w:sz w:val="18"/>
                <w:szCs w:val="18"/>
              </w:rPr>
              <w:t>抵销后递延所得税资产或 负债期末余额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412" w:right="50"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期初互抵金额</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321" w:right="50" w:hanging="269"/>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或负债期初余额</w:t>
            </w:r>
          </w:p>
        </w:tc>
      </w:tr>
      <w:tr>
        <w:trPr>
          <w:trHeight w:val="403" w:hRule="exact"/>
        </w:trPr>
        <w:tc>
          <w:tcPr>
            <w:tcW w:w="1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81"/>
              <w:jc w:val="center"/>
              <w:rPr>
                <w:rFonts w:ascii="宋体" w:hAnsi="宋体" w:cs="宋体" w:eastAsia="宋体" w:hint="default"/>
                <w:sz w:val="18"/>
                <w:szCs w:val="18"/>
              </w:rPr>
            </w:pPr>
            <w:r>
              <w:rPr>
                <w:rFonts w:ascii="宋体" w:hAnsi="宋体" w:cs="宋体" w:eastAsia="宋体" w:hint="default"/>
                <w:sz w:val="18"/>
                <w:szCs w:val="18"/>
              </w:rPr>
              <w:t>递延所得税资产</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5" w:right="0"/>
              <w:jc w:val="left"/>
              <w:rPr>
                <w:rFonts w:ascii="Times New Roman" w:hAnsi="Times New Roman" w:cs="Times New Roman" w:eastAsia="Times New Roman" w:hint="default"/>
                <w:sz w:val="18"/>
                <w:szCs w:val="18"/>
              </w:rPr>
            </w:pPr>
            <w:r>
              <w:rPr>
                <w:rFonts w:ascii="Times New Roman"/>
                <w:sz w:val="18"/>
              </w:rPr>
              <w:t>1,043,388.31</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3</w:t>
      </w:r>
      <w:r>
        <w:rPr/>
        <w:t>）未确认递延所得税资产明细</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9"/>
              <w:jc w:val="right"/>
              <w:rPr>
                <w:rFonts w:ascii="Times New Roman" w:hAnsi="Times New Roman" w:cs="Times New Roman" w:eastAsia="Times New Roman" w:hint="default"/>
                <w:sz w:val="18"/>
                <w:szCs w:val="18"/>
              </w:rPr>
            </w:pPr>
            <w:r>
              <w:rPr>
                <w:rFonts w:ascii="Times New Roman"/>
                <w:spacing w:val="-1"/>
                <w:sz w:val="18"/>
              </w:rPr>
              <w:t>35,143,900.83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2"/>
              <w:jc w:val="right"/>
              <w:rPr>
                <w:rFonts w:ascii="Times New Roman" w:hAnsi="Times New Roman" w:cs="Times New Roman" w:eastAsia="Times New Roman" w:hint="default"/>
                <w:sz w:val="18"/>
                <w:szCs w:val="18"/>
              </w:rPr>
            </w:pPr>
            <w:r>
              <w:rPr>
                <w:rFonts w:ascii="Times New Roman"/>
                <w:spacing w:val="-1"/>
                <w:sz w:val="18"/>
              </w:rPr>
              <w:t>18,681,495.36</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9"/>
              <w:jc w:val="right"/>
              <w:rPr>
                <w:rFonts w:ascii="Times New Roman" w:hAnsi="Times New Roman" w:cs="Times New Roman" w:eastAsia="Times New Roman" w:hint="default"/>
                <w:sz w:val="18"/>
                <w:szCs w:val="18"/>
              </w:rPr>
            </w:pPr>
            <w:r>
              <w:rPr>
                <w:rFonts w:ascii="Times New Roman"/>
                <w:spacing w:val="-1"/>
                <w:sz w:val="18"/>
              </w:rPr>
              <w:t>10,482,263.74</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9"/>
              <w:jc w:val="right"/>
              <w:rPr>
                <w:rFonts w:ascii="Times New Roman" w:hAnsi="Times New Roman" w:cs="Times New Roman" w:eastAsia="Times New Roman" w:hint="default"/>
                <w:sz w:val="18"/>
                <w:szCs w:val="18"/>
              </w:rPr>
            </w:pPr>
            <w:r>
              <w:rPr>
                <w:rFonts w:ascii="Times New Roman"/>
                <w:spacing w:val="-1"/>
                <w:sz w:val="18"/>
              </w:rPr>
              <w:t>45,626,164.57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2"/>
              <w:jc w:val="right"/>
              <w:rPr>
                <w:rFonts w:ascii="Times New Roman" w:hAnsi="Times New Roman" w:cs="Times New Roman" w:eastAsia="Times New Roman" w:hint="default"/>
                <w:sz w:val="18"/>
                <w:szCs w:val="18"/>
              </w:rPr>
            </w:pPr>
            <w:r>
              <w:rPr>
                <w:rFonts w:ascii="Times New Roman"/>
                <w:spacing w:val="-1"/>
                <w:sz w:val="18"/>
              </w:rPr>
              <w:t>18,681,495.36</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4</w:t>
      </w:r>
      <w:r>
        <w:rPr/>
        <w:t>）未确认递延所得税资产的可抵扣亏损将于以下年度到期</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88"/>
        <w:gridCol w:w="2396"/>
        <w:gridCol w:w="2393"/>
        <w:gridCol w:w="2393"/>
      </w:tblGrid>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2018</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7"/>
              <w:jc w:val="right"/>
              <w:rPr>
                <w:rFonts w:ascii="Times New Roman" w:hAnsi="Times New Roman" w:cs="Times New Roman" w:eastAsia="Times New Roman" w:hint="default"/>
                <w:sz w:val="18"/>
                <w:szCs w:val="18"/>
              </w:rPr>
            </w:pPr>
            <w:r>
              <w:rPr>
                <w:rFonts w:ascii="Times New Roman"/>
                <w:spacing w:val="-1"/>
                <w:sz w:val="18"/>
              </w:rPr>
              <w:t>4,490,617.90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1"/>
              <w:jc w:val="right"/>
              <w:rPr>
                <w:rFonts w:ascii="Times New Roman" w:hAnsi="Times New Roman" w:cs="Times New Roman" w:eastAsia="Times New Roman" w:hint="default"/>
                <w:sz w:val="18"/>
                <w:szCs w:val="18"/>
              </w:rPr>
            </w:pPr>
            <w:r>
              <w:rPr>
                <w:rFonts w:ascii="Times New Roman"/>
                <w:spacing w:val="-1"/>
                <w:sz w:val="18"/>
              </w:rPr>
              <w:t>4,490,617.90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2019</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7"/>
              <w:jc w:val="right"/>
              <w:rPr>
                <w:rFonts w:ascii="Times New Roman" w:hAnsi="Times New Roman" w:cs="Times New Roman" w:eastAsia="Times New Roman" w:hint="default"/>
                <w:sz w:val="18"/>
                <w:szCs w:val="18"/>
              </w:rPr>
            </w:pPr>
            <w:r>
              <w:rPr>
                <w:rFonts w:ascii="Times New Roman"/>
                <w:spacing w:val="-1"/>
                <w:sz w:val="18"/>
              </w:rPr>
              <w:t>4,530,648.53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1"/>
              <w:jc w:val="right"/>
              <w:rPr>
                <w:rFonts w:ascii="Times New Roman" w:hAnsi="Times New Roman" w:cs="Times New Roman" w:eastAsia="Times New Roman" w:hint="default"/>
                <w:sz w:val="18"/>
                <w:szCs w:val="18"/>
              </w:rPr>
            </w:pPr>
            <w:r>
              <w:rPr>
                <w:rFonts w:ascii="Times New Roman"/>
                <w:spacing w:val="-1"/>
                <w:sz w:val="18"/>
              </w:rPr>
              <w:t>4,530,648.53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2020</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7"/>
              <w:jc w:val="right"/>
              <w:rPr>
                <w:rFonts w:ascii="Times New Roman" w:hAnsi="Times New Roman" w:cs="Times New Roman" w:eastAsia="Times New Roman" w:hint="default"/>
                <w:sz w:val="18"/>
                <w:szCs w:val="18"/>
              </w:rPr>
            </w:pPr>
            <w:r>
              <w:rPr>
                <w:rFonts w:ascii="Times New Roman"/>
                <w:spacing w:val="-1"/>
                <w:sz w:val="18"/>
              </w:rPr>
              <w:t>4,549,985.48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1"/>
              <w:jc w:val="right"/>
              <w:rPr>
                <w:rFonts w:ascii="Times New Roman" w:hAnsi="Times New Roman" w:cs="Times New Roman" w:eastAsia="Times New Roman" w:hint="default"/>
                <w:sz w:val="18"/>
                <w:szCs w:val="18"/>
              </w:rPr>
            </w:pPr>
            <w:r>
              <w:rPr>
                <w:rFonts w:ascii="Times New Roman"/>
                <w:spacing w:val="-1"/>
                <w:sz w:val="18"/>
              </w:rPr>
              <w:t>4,549,985.48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2021</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7"/>
              <w:jc w:val="right"/>
              <w:rPr>
                <w:rFonts w:ascii="Times New Roman" w:hAnsi="Times New Roman" w:cs="Times New Roman" w:eastAsia="Times New Roman" w:hint="default"/>
                <w:sz w:val="18"/>
                <w:szCs w:val="18"/>
              </w:rPr>
            </w:pPr>
            <w:r>
              <w:rPr>
                <w:rFonts w:ascii="Times New Roman"/>
                <w:spacing w:val="-1"/>
                <w:sz w:val="18"/>
              </w:rPr>
              <w:t>5,110,243.45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1"/>
              <w:jc w:val="right"/>
              <w:rPr>
                <w:rFonts w:ascii="Times New Roman" w:hAnsi="Times New Roman" w:cs="Times New Roman" w:eastAsia="Times New Roman" w:hint="default"/>
                <w:sz w:val="18"/>
                <w:szCs w:val="18"/>
              </w:rPr>
            </w:pPr>
            <w:r>
              <w:rPr>
                <w:rFonts w:ascii="Times New Roman"/>
                <w:spacing w:val="-1"/>
                <w:sz w:val="18"/>
              </w:rPr>
              <w:t>5,110,243.45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2022</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7"/>
              <w:jc w:val="right"/>
              <w:rPr>
                <w:rFonts w:ascii="Times New Roman" w:hAnsi="Times New Roman" w:cs="Times New Roman" w:eastAsia="Times New Roman" w:hint="default"/>
                <w:sz w:val="18"/>
                <w:szCs w:val="18"/>
              </w:rPr>
            </w:pPr>
            <w:r>
              <w:rPr>
                <w:rFonts w:ascii="Times New Roman"/>
                <w:spacing w:val="-1"/>
                <w:sz w:val="18"/>
              </w:rPr>
              <w:t>16,462,405.47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7"/>
              <w:jc w:val="right"/>
              <w:rPr>
                <w:rFonts w:ascii="Times New Roman" w:hAnsi="Times New Roman" w:cs="Times New Roman" w:eastAsia="Times New Roman" w:hint="default"/>
                <w:sz w:val="18"/>
                <w:szCs w:val="18"/>
              </w:rPr>
            </w:pPr>
            <w:r>
              <w:rPr>
                <w:rFonts w:ascii="Times New Roman"/>
                <w:spacing w:val="-1"/>
                <w:sz w:val="18"/>
              </w:rPr>
              <w:t>35,143,900.83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2"/>
              <w:jc w:val="right"/>
              <w:rPr>
                <w:rFonts w:ascii="Times New Roman" w:hAnsi="Times New Roman" w:cs="Times New Roman" w:eastAsia="Times New Roman" w:hint="default"/>
                <w:sz w:val="18"/>
                <w:szCs w:val="18"/>
              </w:rPr>
            </w:pPr>
            <w:r>
              <w:rPr>
                <w:rFonts w:ascii="Times New Roman"/>
                <w:spacing w:val="-1"/>
                <w:sz w:val="18"/>
              </w:rPr>
              <w:t>18,681,495.36</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t>其他说明：无。</w:t>
      </w:r>
    </w:p>
    <w:p>
      <w:pPr>
        <w:spacing w:line="240" w:lineRule="auto" w:before="12"/>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17</w:t>
      </w:r>
      <w:r>
        <w:rPr/>
        <w:t>、衍生金融负债</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18</w:t>
      </w:r>
      <w:r>
        <w:rPr/>
        <w:t>、应付账款</w:t>
      </w:r>
      <w:r>
        <w:rPr>
          <w:b w:val="0"/>
          <w:bCs w:val="0"/>
        </w:rPr>
      </w:r>
    </w:p>
    <w:p>
      <w:pPr>
        <w:spacing w:line="240" w:lineRule="auto" w:before="6"/>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）应付账款列示</w:t>
      </w:r>
      <w:r>
        <w:rPr>
          <w:b w:val="0"/>
          <w:bCs w:val="0"/>
        </w:rPr>
      </w:r>
    </w:p>
    <w:p>
      <w:pPr>
        <w:spacing w:after="0" w:line="240" w:lineRule="auto"/>
        <w:jc w:val="left"/>
        <w:sectPr>
          <w:pgSz w:w="11910" w:h="16840"/>
          <w:pgMar w:header="877" w:footer="979" w:top="1100" w:bottom="1160" w:left="980" w:right="980"/>
        </w:sectPr>
      </w:pPr>
    </w:p>
    <w:p>
      <w:pPr>
        <w:spacing w:line="240" w:lineRule="auto" w:before="7"/>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1,290,544.79</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31,530.91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1,288,550.00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264,543.00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217,293.00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296,073.91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2,796,387.79</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rFonts w:ascii="Times New Roman" w:hAnsi="Times New Roman" w:cs="Times New Roman" w:eastAsia="Times New Roman" w:hint="default"/>
        </w:rPr>
        <w:t>19</w:t>
      </w:r>
      <w:r>
        <w:rPr/>
        <w:t>、预收款项</w:t>
      </w:r>
      <w:r>
        <w:rPr>
          <w:b w:val="0"/>
          <w:bCs w:val="0"/>
        </w:rPr>
      </w:r>
    </w:p>
    <w:p>
      <w:pPr>
        <w:spacing w:line="240" w:lineRule="auto" w:before="6"/>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）预收款项列示</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692,364.44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175,263.51</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867,627.95</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rFonts w:ascii="Times New Roman" w:hAnsi="Times New Roman" w:cs="Times New Roman" w:eastAsia="Times New Roman" w:hint="default"/>
        </w:rPr>
        <w:t>20</w:t>
      </w:r>
      <w:r>
        <w:rPr/>
        <w:t>、应付职工薪酬</w:t>
      </w:r>
      <w:r>
        <w:rPr>
          <w:b w:val="0"/>
          <w:bCs w:val="0"/>
        </w:rPr>
      </w:r>
    </w:p>
    <w:p>
      <w:pPr>
        <w:spacing w:line="240" w:lineRule="auto" w:before="6"/>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）应付职工薪酬列示</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5"/>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1,722,471.57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6,755,286.35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6,040,935.54</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2,436,822.38</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23"/>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 存计划</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4,221.16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323,586.08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323,586.08</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4,221.16</w:t>
            </w:r>
          </w:p>
        </w:tc>
      </w:tr>
      <w:tr>
        <w:trPr>
          <w:trHeight w:val="404"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三、辞退福利</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2,157,360.00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3,297,300.00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5,454,660.00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3,884,052.73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10,376,172.43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11,819,181.62</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2,441,043.54</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2</w:t>
      </w:r>
      <w:r>
        <w:rPr/>
        <w:t>）短期薪酬列示</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249"/>
        <w:gridCol w:w="1580"/>
        <w:gridCol w:w="1916"/>
        <w:gridCol w:w="1913"/>
        <w:gridCol w:w="1915"/>
      </w:tblGrid>
      <w:tr>
        <w:trPr>
          <w:trHeight w:val="401" w:hRule="exact"/>
        </w:trPr>
        <w:tc>
          <w:tcPr>
            <w:tcW w:w="22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2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22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、工资、奖金、津贴和补贴</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1,716,049.42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5,998,971.22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5,284,620.41</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2,430,400.23</w:t>
            </w:r>
          </w:p>
        </w:tc>
      </w:tr>
      <w:tr>
        <w:trPr>
          <w:trHeight w:val="401" w:hRule="exact"/>
        </w:trPr>
        <w:tc>
          <w:tcPr>
            <w:tcW w:w="22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583,591.99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583,591.99</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4" w:hRule="exact"/>
        </w:trPr>
        <w:tc>
          <w:tcPr>
            <w:tcW w:w="22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w w:val="95"/>
                <w:sz w:val="18"/>
              </w:rPr>
              <w:t>2,217.15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120,476.14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120,476.14</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w w:val="95"/>
                <w:sz w:val="18"/>
              </w:rPr>
              <w:t>2,217.15</w:t>
            </w:r>
          </w:p>
        </w:tc>
      </w:tr>
      <w:tr>
        <w:trPr>
          <w:trHeight w:val="401" w:hRule="exact"/>
        </w:trPr>
        <w:tc>
          <w:tcPr>
            <w:tcW w:w="22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其中：医疗保险费</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2,021.70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95,320.02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95,320.02</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2,021.70</w:t>
            </w:r>
          </w:p>
        </w:tc>
      </w:tr>
      <w:tr>
        <w:trPr>
          <w:trHeight w:val="403" w:hRule="exact"/>
        </w:trPr>
        <w:tc>
          <w:tcPr>
            <w:tcW w:w="22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4" w:right="0"/>
              <w:jc w:val="left"/>
              <w:rPr>
                <w:rFonts w:ascii="宋体" w:hAnsi="宋体" w:cs="宋体" w:eastAsia="宋体" w:hint="default"/>
                <w:sz w:val="18"/>
                <w:szCs w:val="18"/>
              </w:rPr>
            </w:pPr>
            <w:r>
              <w:rPr>
                <w:rFonts w:ascii="宋体" w:hAnsi="宋体" w:cs="宋体" w:eastAsia="宋体" w:hint="default"/>
                <w:sz w:val="18"/>
                <w:szCs w:val="18"/>
              </w:rPr>
              <w:t>工伤保险费</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72.15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7,705.75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7,705.75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72.15</w:t>
            </w:r>
          </w:p>
        </w:tc>
      </w:tr>
    </w:tbl>
    <w:p>
      <w:pPr>
        <w:spacing w:after="0" w:line="240" w:lineRule="auto"/>
        <w:jc w:val="right"/>
        <w:rPr>
          <w:rFonts w:ascii="Times New Roman" w:hAnsi="Times New Roman" w:cs="Times New Roman" w:eastAsia="Times New Roman" w:hint="default"/>
          <w:sz w:val="18"/>
          <w:szCs w:val="18"/>
        </w:rPr>
        <w:sectPr>
          <w:footerReference w:type="default" r:id="rId26"/>
          <w:pgSz w:w="11910" w:h="16840"/>
          <w:pgMar w:footer="979" w:header="877" w:top="1100" w:bottom="1160" w:left="980" w:right="980"/>
          <w:pgNumType w:start="12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2248"/>
        <w:gridCol w:w="1580"/>
        <w:gridCol w:w="1916"/>
        <w:gridCol w:w="1913"/>
        <w:gridCol w:w="1915"/>
      </w:tblGrid>
      <w:tr>
        <w:trPr>
          <w:trHeight w:val="401" w:hRule="exact"/>
        </w:trPr>
        <w:tc>
          <w:tcPr>
            <w:tcW w:w="22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生育保险费</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123.30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17,450.37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17,450.37</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123.30</w:t>
            </w:r>
          </w:p>
        </w:tc>
      </w:tr>
      <w:tr>
        <w:trPr>
          <w:trHeight w:val="403" w:hRule="exact"/>
        </w:trPr>
        <w:tc>
          <w:tcPr>
            <w:tcW w:w="22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4,205.00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47,497.00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47,497.00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4,205.00</w:t>
            </w:r>
          </w:p>
        </w:tc>
      </w:tr>
      <w:tr>
        <w:trPr>
          <w:trHeight w:val="401" w:hRule="exact"/>
        </w:trPr>
        <w:tc>
          <w:tcPr>
            <w:tcW w:w="22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5</w:t>
            </w:r>
            <w:r>
              <w:rPr>
                <w:rFonts w:ascii="宋体" w:hAnsi="宋体" w:cs="宋体" w:eastAsia="宋体" w:hint="default"/>
                <w:spacing w:val="-5"/>
                <w:sz w:val="18"/>
                <w:szCs w:val="18"/>
              </w:rPr>
              <w:t>、工会经费和职工教育经费</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4,750.00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4,750.00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2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1,722,471.57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6,755,286.35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6,040,935.54</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2,436,822.38</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3</w:t>
      </w:r>
      <w:r>
        <w:rPr/>
        <w:t>）设定提存计划列示</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5"/>
      </w:tblGrid>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3,841.48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307,940.50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307,940.50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3,841.48</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379.68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15,645.58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15,645.58</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379.68</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4,221.16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323,586.08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323,586.08</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4,221.16</w:t>
            </w:r>
          </w:p>
        </w:tc>
      </w:tr>
    </w:tbl>
    <w:p>
      <w:pPr>
        <w:pStyle w:val="BodyText"/>
        <w:spacing w:line="357" w:lineRule="auto" w:before="49"/>
        <w:ind w:right="8874"/>
        <w:jc w:val="left"/>
      </w:pPr>
      <w:r>
        <w:rPr/>
        <w:t>其他说明： 无。</w:t>
      </w:r>
    </w:p>
    <w:p>
      <w:pPr>
        <w:spacing w:line="240" w:lineRule="auto" w:before="5"/>
        <w:rPr>
          <w:rFonts w:ascii="宋体" w:hAnsi="宋体" w:cs="宋体" w:eastAsia="宋体" w:hint="default"/>
          <w:sz w:val="15"/>
          <w:szCs w:val="15"/>
        </w:rPr>
      </w:pPr>
    </w:p>
    <w:p>
      <w:pPr>
        <w:pStyle w:val="Heading3"/>
        <w:spacing w:line="240" w:lineRule="auto"/>
        <w:ind w:right="0"/>
        <w:jc w:val="left"/>
        <w:rPr>
          <w:b w:val="0"/>
          <w:bCs w:val="0"/>
        </w:rPr>
      </w:pPr>
      <w:r>
        <w:rPr>
          <w:rFonts w:ascii="Times New Roman" w:hAnsi="Times New Roman" w:cs="Times New Roman" w:eastAsia="Times New Roman" w:hint="default"/>
        </w:rPr>
        <w:t>21</w:t>
      </w:r>
      <w:r>
        <w:rPr/>
        <w:t>、应交税费</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5"/>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1,168,571.24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5,020.78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21,857.44</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1,273,218.33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1,278,258.33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72,000.00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545,664.98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549,264.98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70,609.74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70,609.74</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244,400.00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244,400.00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81,288.00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1,033.71</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2,220,201.83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3,405,995.44</w:t>
            </w:r>
          </w:p>
        </w:tc>
      </w:tr>
    </w:tbl>
    <w:p>
      <w:pPr>
        <w:pStyle w:val="BodyText"/>
        <w:spacing w:line="240" w:lineRule="auto" w:before="49"/>
        <w:ind w:right="0"/>
        <w:jc w:val="left"/>
      </w:pPr>
      <w:r>
        <w:rPr/>
        <w:t>其他说明：无。</w:t>
      </w:r>
    </w:p>
    <w:p>
      <w:pPr>
        <w:spacing w:line="240" w:lineRule="auto" w:before="1"/>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22</w:t>
      </w:r>
      <w:r>
        <w:rPr/>
        <w:t>、其他应付款</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）按款项性质列示其他应付款</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个人往来</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596,493.07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480,494.26</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非关联方公司往来</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1,378,487.44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281,138.85</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98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3,040.00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18,255.82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1,978,020.51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779,888.93</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rFonts w:ascii="Times New Roman" w:hAnsi="Times New Roman" w:cs="Times New Roman" w:eastAsia="Times New Roman" w:hint="default"/>
        </w:rPr>
        <w:t>23</w:t>
      </w:r>
      <w:r>
        <w:rPr/>
        <w:t>、递延收益</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4"/>
        <w:gridCol w:w="1597"/>
        <w:gridCol w:w="1594"/>
        <w:gridCol w:w="1596"/>
        <w:gridCol w:w="1594"/>
        <w:gridCol w:w="1594"/>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1,764,448.86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1,764,448.86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9"/>
              <w:jc w:val="left"/>
              <w:rPr>
                <w:rFonts w:ascii="宋体" w:hAnsi="宋体" w:cs="宋体" w:eastAsia="宋体" w:hint="default"/>
                <w:sz w:val="18"/>
                <w:szCs w:val="18"/>
              </w:rPr>
            </w:pPr>
            <w:r>
              <w:rPr>
                <w:rFonts w:ascii="宋体" w:hAnsi="宋体" w:cs="宋体" w:eastAsia="宋体" w:hint="default"/>
                <w:sz w:val="18"/>
                <w:szCs w:val="18"/>
              </w:rPr>
              <w:t>玩具产业升级技术 改造</w:t>
            </w:r>
          </w:p>
        </w:tc>
      </w:tr>
      <w:tr>
        <w:trPr>
          <w:trHeight w:val="40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1,764,448.86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1,764,448.86</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t>涉及政府补助的项目：</w:t>
      </w:r>
    </w:p>
    <w:p>
      <w:pPr>
        <w:pStyle w:val="BodyText"/>
        <w:spacing w:line="240" w:lineRule="auto" w:before="115"/>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87" w:right="48" w:hanging="540"/>
              <w:jc w:val="left"/>
              <w:rPr>
                <w:rFonts w:ascii="宋体" w:hAnsi="宋体" w:cs="宋体" w:eastAsia="宋体" w:hint="default"/>
                <w:sz w:val="18"/>
                <w:szCs w:val="18"/>
              </w:rPr>
            </w:pPr>
            <w:r>
              <w:rPr>
                <w:rFonts w:ascii="宋体" w:hAnsi="宋体" w:cs="宋体" w:eastAsia="宋体" w:hint="default"/>
                <w:sz w:val="18"/>
                <w:szCs w:val="18"/>
              </w:rPr>
              <w:t>本期新增补助金 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19" w:right="46" w:hanging="272"/>
              <w:jc w:val="left"/>
              <w:rPr>
                <w:rFonts w:ascii="宋体" w:hAnsi="宋体" w:cs="宋体" w:eastAsia="宋体" w:hint="default"/>
                <w:sz w:val="18"/>
                <w:szCs w:val="18"/>
              </w:rPr>
            </w:pPr>
            <w:r>
              <w:rPr>
                <w:rFonts w:ascii="宋体" w:hAnsi="宋体" w:cs="宋体" w:eastAsia="宋体" w:hint="default"/>
                <w:sz w:val="18"/>
                <w:szCs w:val="18"/>
              </w:rPr>
              <w:t>本期计入营业外 收入金额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407" w:right="23" w:hanging="384"/>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w:t>
            </w:r>
            <w:r>
              <w:rPr>
                <w:rFonts w:ascii="宋体" w:hAnsi="宋体" w:cs="宋体" w:eastAsia="宋体" w:hint="default"/>
                <w:sz w:val="18"/>
                <w:szCs w:val="18"/>
              </w:rPr>
              <w:t>与收 益相关</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玩具产业升级技 术改造</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1,764,448.86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1,764,448.86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1,764,448.86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1,764,448.86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t>其他说明：无。</w:t>
      </w:r>
    </w:p>
    <w:p>
      <w:pPr>
        <w:spacing w:line="240" w:lineRule="auto" w:before="12"/>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24</w:t>
      </w:r>
      <w:r>
        <w:rPr/>
        <w:t>、其他非流动负债</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粮食补贴款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3,875,760.00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3,968,040.00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3,875,760.00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3,968,040.00</w:t>
            </w:r>
          </w:p>
        </w:tc>
      </w:tr>
    </w:tbl>
    <w:p>
      <w:pPr>
        <w:pStyle w:val="BodyText"/>
        <w:spacing w:line="240" w:lineRule="auto" w:before="49"/>
        <w:ind w:right="0"/>
        <w:jc w:val="left"/>
      </w:pPr>
      <w:r>
        <w:rPr/>
        <w:t>其他说明：无。</w:t>
      </w:r>
    </w:p>
    <w:p>
      <w:pPr>
        <w:spacing w:line="240" w:lineRule="auto" w:before="2"/>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25</w:t>
      </w:r>
      <w:r>
        <w:rPr/>
        <w:t>、股本</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194"/>
        <w:gridCol w:w="1198"/>
        <w:gridCol w:w="1196"/>
        <w:gridCol w:w="1195"/>
        <w:gridCol w:w="1198"/>
        <w:gridCol w:w="1195"/>
        <w:gridCol w:w="1197"/>
        <w:gridCol w:w="1196"/>
      </w:tblGrid>
      <w:tr>
        <w:trPr>
          <w:trHeight w:val="403" w:hRule="exact"/>
        </w:trPr>
        <w:tc>
          <w:tcPr>
            <w:tcW w:w="1194" w:type="dxa"/>
            <w:vMerge w:val="restart"/>
            <w:tcBorders>
              <w:top w:val="single" w:sz="4" w:space="0" w:color="000000"/>
              <w:left w:val="single" w:sz="4" w:space="0" w:color="000000"/>
              <w:right w:val="single" w:sz="4" w:space="0" w:color="000000"/>
            </w:tcBorders>
            <w:shd w:val="clear" w:color="auto" w:fill="D2D2D2"/>
          </w:tcPr>
          <w:p>
            <w:pPr/>
          </w:p>
        </w:tc>
        <w:tc>
          <w:tcPr>
            <w:tcW w:w="11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8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194" w:type="dxa"/>
            <w:vMerge/>
            <w:tcBorders>
              <w:left w:val="single" w:sz="4" w:space="0" w:color="000000"/>
              <w:bottom w:val="single" w:sz="4" w:space="0" w:color="000000"/>
              <w:right w:val="single" w:sz="4" w:space="0" w:color="000000"/>
            </w:tcBorders>
            <w:shd w:val="clear" w:color="auto" w:fill="D2D2D2"/>
          </w:tcPr>
          <w:p>
            <w:pPr/>
          </w:p>
        </w:tc>
        <w:tc>
          <w:tcPr>
            <w:tcW w:w="1198"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3"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4"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196"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588,720,000.00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588,720,000.00</w:t>
            </w:r>
          </w:p>
        </w:tc>
      </w:tr>
    </w:tbl>
    <w:p>
      <w:pPr>
        <w:pStyle w:val="BodyText"/>
        <w:spacing w:line="240" w:lineRule="auto" w:before="49"/>
        <w:ind w:right="0"/>
        <w:jc w:val="left"/>
      </w:pPr>
      <w:r>
        <w:rPr/>
        <w:t>其他说明：无。</w:t>
      </w:r>
    </w:p>
    <w:p>
      <w:pPr>
        <w:spacing w:line="240" w:lineRule="auto" w:before="12"/>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26</w:t>
      </w:r>
      <w:r>
        <w:rPr/>
        <w:t>、资本公积</w:t>
      </w:r>
      <w:r>
        <w:rPr>
          <w:b w:val="0"/>
          <w:bCs w:val="0"/>
        </w:rPr>
      </w:r>
    </w:p>
    <w:p>
      <w:pPr>
        <w:spacing w:after="0" w:line="240" w:lineRule="auto"/>
        <w:jc w:val="left"/>
        <w:sectPr>
          <w:pgSz w:w="11910" w:h="16840"/>
          <w:pgMar w:header="877" w:footer="979" w:top="1100" w:bottom="1160" w:left="980" w:right="980"/>
        </w:sectPr>
      </w:pPr>
    </w:p>
    <w:p>
      <w:pPr>
        <w:spacing w:line="240" w:lineRule="auto" w:before="7"/>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3"/>
        <w:gridCol w:w="1915"/>
      </w:tblGrid>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153,717,414.13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153,717,414.13</w:t>
            </w:r>
          </w:p>
        </w:tc>
      </w:tr>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153,717,414.13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153,717,414.13</w:t>
            </w:r>
          </w:p>
        </w:tc>
      </w:tr>
    </w:tbl>
    <w:p>
      <w:pPr>
        <w:pStyle w:val="BodyText"/>
        <w:spacing w:line="240" w:lineRule="auto" w:before="49"/>
        <w:ind w:right="0"/>
        <w:jc w:val="left"/>
      </w:pPr>
      <w:r>
        <w:rPr/>
        <w:t>其他说明，包括本期增减变动情况、变动原因说明：无。</w:t>
      </w:r>
    </w:p>
    <w:p>
      <w:pPr>
        <w:spacing w:line="240" w:lineRule="auto" w:before="1"/>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27</w:t>
      </w:r>
      <w:r>
        <w:rPr/>
        <w:t>、其他综合收益</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19" w:type="dxa"/>
        <w:tblLayout w:type="fixed"/>
        <w:tblCellMar>
          <w:top w:w="0" w:type="dxa"/>
          <w:left w:w="0" w:type="dxa"/>
          <w:bottom w:w="0" w:type="dxa"/>
          <w:right w:w="0" w:type="dxa"/>
        </w:tblCellMar>
        <w:tblLook w:val="01E0"/>
      </w:tblPr>
      <w:tblGrid>
        <w:gridCol w:w="2867"/>
        <w:gridCol w:w="900"/>
        <w:gridCol w:w="1032"/>
        <w:gridCol w:w="1229"/>
        <w:gridCol w:w="766"/>
        <w:gridCol w:w="1133"/>
        <w:gridCol w:w="756"/>
        <w:gridCol w:w="1003"/>
      </w:tblGrid>
      <w:tr>
        <w:trPr>
          <w:trHeight w:val="404" w:hRule="exact"/>
        </w:trPr>
        <w:tc>
          <w:tcPr>
            <w:tcW w:w="2867" w:type="dxa"/>
            <w:vMerge w:val="restart"/>
            <w:tcBorders>
              <w:top w:val="single" w:sz="4" w:space="0" w:color="000000"/>
              <w:left w:val="single" w:sz="13" w:space="0" w:color="FFFFFF"/>
              <w:right w:val="single" w:sz="4" w:space="0" w:color="000000"/>
            </w:tcBorders>
            <w:shd w:val="clear" w:color="auto" w:fill="D2D2D2"/>
          </w:tcPr>
          <w:p>
            <w:pPr/>
          </w:p>
        </w:tc>
        <w:tc>
          <w:tcPr>
            <w:tcW w:w="9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5"/>
                <w:szCs w:val="25"/>
              </w:rPr>
            </w:pPr>
          </w:p>
          <w:p>
            <w:pPr>
              <w:pStyle w:val="TableParagraph"/>
              <w:spacing w:line="240" w:lineRule="auto"/>
              <w:ind w:left="86"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4916"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100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5"/>
                <w:szCs w:val="25"/>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15" w:hRule="exact"/>
        </w:trPr>
        <w:tc>
          <w:tcPr>
            <w:tcW w:w="2867" w:type="dxa"/>
            <w:vMerge/>
            <w:tcBorders>
              <w:left w:val="single" w:sz="13" w:space="0" w:color="FFFFFF"/>
              <w:bottom w:val="nil" w:sz="6" w:space="0" w:color="auto"/>
              <w:right w:val="single" w:sz="4" w:space="0" w:color="000000"/>
            </w:tcBorders>
            <w:shd w:val="clear" w:color="auto" w:fill="D2D2D2"/>
          </w:tcPr>
          <w:p>
            <w:pPr/>
          </w:p>
        </w:tc>
        <w:tc>
          <w:tcPr>
            <w:tcW w:w="900" w:type="dxa"/>
            <w:vMerge/>
            <w:tcBorders>
              <w:left w:val="single" w:sz="4" w:space="0" w:color="000000"/>
              <w:right w:val="single" w:sz="4" w:space="0" w:color="000000"/>
            </w:tcBorders>
            <w:shd w:val="clear" w:color="auto" w:fill="D2D2D2"/>
          </w:tcPr>
          <w:p>
            <w:pPr/>
          </w:p>
        </w:tc>
        <w:tc>
          <w:tcPr>
            <w:tcW w:w="103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51" w:right="59" w:hanging="89"/>
              <w:jc w:val="left"/>
              <w:rPr>
                <w:rFonts w:ascii="宋体" w:hAnsi="宋体" w:cs="宋体" w:eastAsia="宋体" w:hint="default"/>
                <w:sz w:val="18"/>
                <w:szCs w:val="18"/>
              </w:rPr>
            </w:pPr>
            <w:r>
              <w:rPr>
                <w:rFonts w:ascii="宋体" w:hAnsi="宋体" w:cs="宋体" w:eastAsia="宋体" w:hint="default"/>
                <w:sz w:val="18"/>
                <w:szCs w:val="18"/>
              </w:rPr>
              <w:t>本期所得税 前发生额</w:t>
            </w:r>
          </w:p>
        </w:tc>
        <w:tc>
          <w:tcPr>
            <w:tcW w:w="1229"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69" w:right="22" w:hanging="46"/>
              <w:jc w:val="both"/>
              <w:rPr>
                <w:rFonts w:ascii="宋体" w:hAnsi="宋体" w:cs="宋体" w:eastAsia="宋体" w:hint="default"/>
                <w:sz w:val="18"/>
                <w:szCs w:val="18"/>
              </w:rPr>
            </w:pPr>
            <w:r>
              <w:rPr>
                <w:rFonts w:ascii="宋体" w:hAnsi="宋体" w:cs="宋体" w:eastAsia="宋体" w:hint="default"/>
                <w:spacing w:val="-13"/>
                <w:sz w:val="18"/>
                <w:szCs w:val="18"/>
              </w:rPr>
              <w:t>减：前期计入其</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他综合收益当 期转入损益</w:t>
            </w:r>
          </w:p>
        </w:tc>
        <w:tc>
          <w:tcPr>
            <w:tcW w:w="7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07" w:right="19" w:hanging="84"/>
              <w:jc w:val="left"/>
              <w:rPr>
                <w:rFonts w:ascii="宋体" w:hAnsi="宋体" w:cs="宋体" w:eastAsia="宋体" w:hint="default"/>
                <w:sz w:val="18"/>
                <w:szCs w:val="18"/>
              </w:rPr>
            </w:pPr>
            <w:r>
              <w:rPr>
                <w:rFonts w:ascii="宋体" w:hAnsi="宋体" w:cs="宋体" w:eastAsia="宋体" w:hint="default"/>
                <w:spacing w:val="-3"/>
                <w:sz w:val="18"/>
                <w:szCs w:val="18"/>
              </w:rPr>
              <w:t>减：所得</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税费用</w:t>
            </w:r>
          </w:p>
        </w:tc>
        <w:tc>
          <w:tcPr>
            <w:tcW w:w="113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92" w:right="110" w:hanging="180"/>
              <w:jc w:val="left"/>
              <w:rPr>
                <w:rFonts w:ascii="宋体" w:hAnsi="宋体" w:cs="宋体" w:eastAsia="宋体" w:hint="default"/>
                <w:sz w:val="18"/>
                <w:szCs w:val="18"/>
              </w:rPr>
            </w:pPr>
            <w:r>
              <w:rPr>
                <w:rFonts w:ascii="宋体" w:hAnsi="宋体" w:cs="宋体" w:eastAsia="宋体" w:hint="default"/>
                <w:sz w:val="18"/>
                <w:szCs w:val="18"/>
              </w:rPr>
              <w:t>税后归属于 母公司</w:t>
            </w:r>
          </w:p>
        </w:tc>
        <w:tc>
          <w:tcPr>
            <w:tcW w:w="75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105" w:right="98"/>
              <w:jc w:val="both"/>
              <w:rPr>
                <w:rFonts w:ascii="宋体" w:hAnsi="宋体" w:cs="宋体" w:eastAsia="宋体" w:hint="default"/>
                <w:sz w:val="18"/>
                <w:szCs w:val="18"/>
              </w:rPr>
            </w:pPr>
            <w:r>
              <w:rPr>
                <w:rFonts w:ascii="宋体" w:hAnsi="宋体" w:cs="宋体" w:eastAsia="宋体" w:hint="default"/>
                <w:sz w:val="18"/>
                <w:szCs w:val="18"/>
              </w:rPr>
              <w:t>税后归 属于少 数股东</w:t>
            </w:r>
          </w:p>
        </w:tc>
        <w:tc>
          <w:tcPr>
            <w:tcW w:w="1003" w:type="dxa"/>
            <w:vMerge/>
            <w:tcBorders>
              <w:left w:val="single" w:sz="4" w:space="0" w:color="000000"/>
              <w:right w:val="single" w:sz="4" w:space="0" w:color="000000"/>
            </w:tcBorders>
            <w:shd w:val="clear" w:color="auto" w:fill="D2D2D2"/>
          </w:tcPr>
          <w:p>
            <w:pPr/>
          </w:p>
        </w:tc>
      </w:tr>
      <w:tr>
        <w:trPr>
          <w:trHeight w:val="391" w:hRule="exact"/>
        </w:trPr>
        <w:tc>
          <w:tcPr>
            <w:tcW w:w="2867" w:type="dxa"/>
            <w:tcBorders>
              <w:top w:val="nil" w:sz="6" w:space="0" w:color="auto"/>
              <w:left w:val="single" w:sz="13" w:space="0" w:color="FFFFFF"/>
              <w:bottom w:val="nil" w:sz="6" w:space="0" w:color="auto"/>
              <w:right w:val="single" w:sz="4" w:space="0" w:color="000000"/>
            </w:tcBorders>
            <w:shd w:val="clear" w:color="auto" w:fill="D2D2D2"/>
          </w:tcPr>
          <w:p>
            <w:pPr>
              <w:pStyle w:val="TableParagraph"/>
              <w:spacing w:line="240" w:lineRule="auto" w:before="49"/>
              <w:ind w:right="24"/>
              <w:jc w:val="center"/>
              <w:rPr>
                <w:rFonts w:ascii="宋体" w:hAnsi="宋体" w:cs="宋体" w:eastAsia="宋体" w:hint="default"/>
                <w:sz w:val="18"/>
                <w:szCs w:val="18"/>
              </w:rPr>
            </w:pPr>
            <w:r>
              <w:rPr>
                <w:rFonts w:ascii="宋体" w:hAnsi="宋体" w:cs="宋体" w:eastAsia="宋体" w:hint="default"/>
                <w:sz w:val="18"/>
                <w:szCs w:val="18"/>
              </w:rPr>
              <w:t>项目</w:t>
            </w:r>
          </w:p>
        </w:tc>
        <w:tc>
          <w:tcPr>
            <w:tcW w:w="900" w:type="dxa"/>
            <w:vMerge/>
            <w:tcBorders>
              <w:left w:val="single" w:sz="4" w:space="0" w:color="000000"/>
              <w:right w:val="single" w:sz="4" w:space="0" w:color="000000"/>
            </w:tcBorders>
            <w:shd w:val="clear" w:color="auto" w:fill="D2D2D2"/>
          </w:tcPr>
          <w:p>
            <w:pPr/>
          </w:p>
        </w:tc>
        <w:tc>
          <w:tcPr>
            <w:tcW w:w="1032" w:type="dxa"/>
            <w:vMerge/>
            <w:tcBorders>
              <w:left w:val="single" w:sz="4" w:space="0" w:color="000000"/>
              <w:right w:val="single" w:sz="4" w:space="0" w:color="000000"/>
            </w:tcBorders>
            <w:shd w:val="clear" w:color="auto" w:fill="D2D2D2"/>
          </w:tcPr>
          <w:p>
            <w:pPr/>
          </w:p>
        </w:tc>
        <w:tc>
          <w:tcPr>
            <w:tcW w:w="1229" w:type="dxa"/>
            <w:vMerge/>
            <w:tcBorders>
              <w:left w:val="single" w:sz="4" w:space="0" w:color="000000"/>
              <w:right w:val="single" w:sz="4" w:space="0" w:color="000000"/>
            </w:tcBorders>
            <w:shd w:val="clear" w:color="auto" w:fill="D2D2D2"/>
          </w:tcPr>
          <w:p>
            <w:pPr/>
          </w:p>
        </w:tc>
        <w:tc>
          <w:tcPr>
            <w:tcW w:w="766" w:type="dxa"/>
            <w:vMerge/>
            <w:tcBorders>
              <w:left w:val="single" w:sz="4" w:space="0" w:color="000000"/>
              <w:right w:val="single" w:sz="4" w:space="0" w:color="000000"/>
            </w:tcBorders>
            <w:shd w:val="clear" w:color="auto" w:fill="D2D2D2"/>
          </w:tcPr>
          <w:p>
            <w:pPr/>
          </w:p>
        </w:tc>
        <w:tc>
          <w:tcPr>
            <w:tcW w:w="1133" w:type="dxa"/>
            <w:vMerge/>
            <w:tcBorders>
              <w:left w:val="single" w:sz="4" w:space="0" w:color="000000"/>
              <w:right w:val="single" w:sz="4" w:space="0" w:color="000000"/>
            </w:tcBorders>
            <w:shd w:val="clear" w:color="auto" w:fill="D2D2D2"/>
          </w:tcPr>
          <w:p>
            <w:pPr/>
          </w:p>
        </w:tc>
        <w:tc>
          <w:tcPr>
            <w:tcW w:w="756" w:type="dxa"/>
            <w:vMerge/>
            <w:tcBorders>
              <w:left w:val="single" w:sz="4" w:space="0" w:color="000000"/>
              <w:right w:val="single" w:sz="4" w:space="0" w:color="000000"/>
            </w:tcBorders>
            <w:shd w:val="clear" w:color="auto" w:fill="D2D2D2"/>
          </w:tcPr>
          <w:p>
            <w:pPr/>
          </w:p>
        </w:tc>
        <w:tc>
          <w:tcPr>
            <w:tcW w:w="1003" w:type="dxa"/>
            <w:vMerge/>
            <w:tcBorders>
              <w:left w:val="single" w:sz="4" w:space="0" w:color="000000"/>
              <w:right w:val="single" w:sz="4" w:space="0" w:color="000000"/>
            </w:tcBorders>
            <w:shd w:val="clear" w:color="auto" w:fill="D2D2D2"/>
          </w:tcPr>
          <w:p>
            <w:pPr/>
          </w:p>
        </w:tc>
      </w:tr>
      <w:tr>
        <w:trPr>
          <w:trHeight w:val="518" w:hRule="exact"/>
        </w:trPr>
        <w:tc>
          <w:tcPr>
            <w:tcW w:w="2867" w:type="dxa"/>
            <w:tcBorders>
              <w:top w:val="nil" w:sz="6" w:space="0" w:color="auto"/>
              <w:left w:val="single" w:sz="13" w:space="0" w:color="FFFFFF"/>
              <w:bottom w:val="single" w:sz="4" w:space="0" w:color="000000"/>
              <w:right w:val="single" w:sz="4" w:space="0" w:color="000000"/>
            </w:tcBorders>
            <w:shd w:val="clear" w:color="auto" w:fill="D2D2D2"/>
          </w:tcPr>
          <w:p>
            <w:pPr/>
          </w:p>
        </w:tc>
        <w:tc>
          <w:tcPr>
            <w:tcW w:w="900" w:type="dxa"/>
            <w:vMerge/>
            <w:tcBorders>
              <w:left w:val="single" w:sz="4" w:space="0" w:color="000000"/>
              <w:bottom w:val="single" w:sz="4" w:space="0" w:color="000000"/>
              <w:right w:val="single" w:sz="4" w:space="0" w:color="000000"/>
            </w:tcBorders>
            <w:shd w:val="clear" w:color="auto" w:fill="D2D2D2"/>
          </w:tcPr>
          <w:p>
            <w:pPr/>
          </w:p>
        </w:tc>
        <w:tc>
          <w:tcPr>
            <w:tcW w:w="1032" w:type="dxa"/>
            <w:vMerge/>
            <w:tcBorders>
              <w:left w:val="single" w:sz="4" w:space="0" w:color="000000"/>
              <w:bottom w:val="single" w:sz="4" w:space="0" w:color="000000"/>
              <w:right w:val="single" w:sz="4" w:space="0" w:color="000000"/>
            </w:tcBorders>
            <w:shd w:val="clear" w:color="auto" w:fill="D2D2D2"/>
          </w:tcPr>
          <w:p>
            <w:pPr/>
          </w:p>
        </w:tc>
        <w:tc>
          <w:tcPr>
            <w:tcW w:w="1229" w:type="dxa"/>
            <w:vMerge/>
            <w:tcBorders>
              <w:left w:val="single" w:sz="4" w:space="0" w:color="000000"/>
              <w:bottom w:val="single" w:sz="4" w:space="0" w:color="000000"/>
              <w:right w:val="single" w:sz="4" w:space="0" w:color="000000"/>
            </w:tcBorders>
            <w:shd w:val="clear" w:color="auto" w:fill="D2D2D2"/>
          </w:tcPr>
          <w:p>
            <w:pPr/>
          </w:p>
        </w:tc>
        <w:tc>
          <w:tcPr>
            <w:tcW w:w="766" w:type="dxa"/>
            <w:vMerge/>
            <w:tcBorders>
              <w:left w:val="single" w:sz="4" w:space="0" w:color="000000"/>
              <w:bottom w:val="single" w:sz="4" w:space="0" w:color="000000"/>
              <w:right w:val="single" w:sz="4" w:space="0" w:color="000000"/>
            </w:tcBorders>
            <w:shd w:val="clear" w:color="auto" w:fill="D2D2D2"/>
          </w:tcPr>
          <w:p>
            <w:pPr/>
          </w:p>
        </w:tc>
        <w:tc>
          <w:tcPr>
            <w:tcW w:w="1133" w:type="dxa"/>
            <w:vMerge/>
            <w:tcBorders>
              <w:left w:val="single" w:sz="4" w:space="0" w:color="000000"/>
              <w:bottom w:val="single" w:sz="4" w:space="0" w:color="000000"/>
              <w:right w:val="single" w:sz="4" w:space="0" w:color="000000"/>
            </w:tcBorders>
            <w:shd w:val="clear" w:color="auto" w:fill="D2D2D2"/>
          </w:tcPr>
          <w:p>
            <w:pPr/>
          </w:p>
        </w:tc>
        <w:tc>
          <w:tcPr>
            <w:tcW w:w="756" w:type="dxa"/>
            <w:vMerge/>
            <w:tcBorders>
              <w:left w:val="single" w:sz="4" w:space="0" w:color="000000"/>
              <w:bottom w:val="single" w:sz="4" w:space="0" w:color="000000"/>
              <w:right w:val="single" w:sz="4" w:space="0" w:color="000000"/>
            </w:tcBorders>
            <w:shd w:val="clear" w:color="auto" w:fill="D2D2D2"/>
          </w:tcPr>
          <w:p>
            <w:pPr/>
          </w:p>
        </w:tc>
        <w:tc>
          <w:tcPr>
            <w:tcW w:w="1003" w:type="dxa"/>
            <w:vMerge/>
            <w:tcBorders>
              <w:left w:val="single" w:sz="4" w:space="0" w:color="000000"/>
              <w:bottom w:val="single" w:sz="4" w:space="0" w:color="000000"/>
              <w:right w:val="single" w:sz="4" w:space="0" w:color="000000"/>
            </w:tcBorders>
            <w:shd w:val="clear" w:color="auto" w:fill="D2D2D2"/>
          </w:tcPr>
          <w:p>
            <w:pPr/>
          </w:p>
        </w:tc>
      </w:tr>
      <w:tr>
        <w:trPr>
          <w:trHeight w:val="715" w:hRule="exact"/>
        </w:trPr>
        <w:tc>
          <w:tcPr>
            <w:tcW w:w="2867" w:type="dxa"/>
            <w:tcBorders>
              <w:top w:val="single" w:sz="4" w:space="0" w:color="000000"/>
              <w:left w:val="single" w:sz="13" w:space="0" w:color="FFFFFF"/>
              <w:bottom w:val="single" w:sz="4" w:space="0" w:color="000000"/>
              <w:right w:val="single" w:sz="4" w:space="0" w:color="000000"/>
            </w:tcBorders>
            <w:shd w:val="clear" w:color="auto" w:fill="D2D2D2"/>
          </w:tcPr>
          <w:p>
            <w:pPr>
              <w:pStyle w:val="TableParagraph"/>
              <w:spacing w:line="316" w:lineRule="auto" w:before="49"/>
              <w:ind w:right="22"/>
              <w:jc w:val="left"/>
              <w:rPr>
                <w:rFonts w:ascii="宋体" w:hAnsi="宋体" w:cs="宋体" w:eastAsia="宋体" w:hint="default"/>
                <w:sz w:val="18"/>
                <w:szCs w:val="18"/>
              </w:rPr>
            </w:pPr>
            <w:r>
              <w:rPr>
                <w:rFonts w:ascii="宋体" w:hAnsi="宋体" w:cs="宋体" w:eastAsia="宋体" w:hint="default"/>
                <w:spacing w:val="-4"/>
                <w:sz w:val="18"/>
                <w:szCs w:val="18"/>
              </w:rPr>
              <w:t>二、以后将重分类进损益的其他综合</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收益</w:t>
            </w:r>
          </w:p>
        </w:tc>
        <w:tc>
          <w:tcPr>
            <w:tcW w:w="90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103,735.94</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5,215,433.86</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5,215,433.86</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5,319,169.80</w:t>
            </w:r>
          </w:p>
        </w:tc>
      </w:tr>
      <w:tr>
        <w:trPr>
          <w:trHeight w:val="401" w:hRule="exact"/>
        </w:trPr>
        <w:tc>
          <w:tcPr>
            <w:tcW w:w="2867" w:type="dxa"/>
            <w:tcBorders>
              <w:top w:val="single" w:sz="4" w:space="0" w:color="000000"/>
              <w:left w:val="single" w:sz="13" w:space="0" w:color="FFFFFF"/>
              <w:bottom w:val="single" w:sz="4" w:space="0" w:color="000000"/>
              <w:right w:val="single" w:sz="4" w:space="0" w:color="000000"/>
            </w:tcBorders>
            <w:shd w:val="clear" w:color="auto" w:fill="D2D2D2"/>
          </w:tcPr>
          <w:p>
            <w:pPr>
              <w:pStyle w:val="TableParagraph"/>
              <w:spacing w:line="240" w:lineRule="auto" w:before="49"/>
              <w:ind w:left="540" w:right="0"/>
              <w:jc w:val="left"/>
              <w:rPr>
                <w:rFonts w:ascii="宋体" w:hAnsi="宋体" w:cs="宋体" w:eastAsia="宋体" w:hint="default"/>
                <w:sz w:val="18"/>
                <w:szCs w:val="18"/>
              </w:rPr>
            </w:pPr>
            <w:r>
              <w:rPr>
                <w:rFonts w:ascii="宋体" w:hAnsi="宋体" w:cs="宋体" w:eastAsia="宋体" w:hint="default"/>
                <w:sz w:val="18"/>
                <w:szCs w:val="18"/>
              </w:rPr>
              <w:t>外币财务报表折算差额</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103,735.94</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-16,696.71</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-16,696.71</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87,039.23</w:t>
            </w:r>
          </w:p>
        </w:tc>
      </w:tr>
      <w:tr>
        <w:trPr>
          <w:trHeight w:val="1028" w:hRule="exact"/>
        </w:trPr>
        <w:tc>
          <w:tcPr>
            <w:tcW w:w="2867" w:type="dxa"/>
            <w:tcBorders>
              <w:top w:val="single" w:sz="4" w:space="0" w:color="000000"/>
              <w:left w:val="single" w:sz="13" w:space="0" w:color="FFFFFF"/>
              <w:bottom w:val="single" w:sz="4" w:space="0" w:color="000000"/>
              <w:right w:val="single" w:sz="4" w:space="0" w:color="000000"/>
            </w:tcBorders>
          </w:tcPr>
          <w:p>
            <w:pPr>
              <w:pStyle w:val="TableParagraph"/>
              <w:spacing w:line="319" w:lineRule="auto" w:before="49"/>
              <w:ind w:right="144"/>
              <w:jc w:val="both"/>
              <w:rPr>
                <w:rFonts w:ascii="宋体" w:hAnsi="宋体" w:cs="宋体" w:eastAsia="宋体" w:hint="default"/>
                <w:sz w:val="18"/>
                <w:szCs w:val="18"/>
              </w:rPr>
            </w:pPr>
            <w:r>
              <w:rPr>
                <w:rFonts w:ascii="宋体" w:hAnsi="宋体" w:cs="宋体" w:eastAsia="宋体" w:hint="default"/>
                <w:sz w:val="18"/>
                <w:szCs w:val="18"/>
              </w:rPr>
              <w:t>自用房地产转换为采用公允价值模 式计量的投资性房地产形成的利得 和损失</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5,232,130.57</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5,232,130.57</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5,232,130.57</w:t>
            </w:r>
          </w:p>
        </w:tc>
      </w:tr>
      <w:tr>
        <w:trPr>
          <w:trHeight w:val="401" w:hRule="exact"/>
        </w:trPr>
        <w:tc>
          <w:tcPr>
            <w:tcW w:w="2867" w:type="dxa"/>
            <w:tcBorders>
              <w:top w:val="single" w:sz="4" w:space="0" w:color="000000"/>
              <w:left w:val="single" w:sz="13" w:space="0" w:color="FFFFFF"/>
              <w:bottom w:val="single" w:sz="4" w:space="0" w:color="000000"/>
              <w:right w:val="single" w:sz="4" w:space="0" w:color="000000"/>
            </w:tcBorders>
            <w:shd w:val="clear" w:color="auto" w:fill="D2D2D2"/>
          </w:tcPr>
          <w:p>
            <w:pPr>
              <w:pStyle w:val="TableParagraph"/>
              <w:spacing w:line="240" w:lineRule="auto" w:before="49"/>
              <w:ind w:right="0"/>
              <w:jc w:val="left"/>
              <w:rPr>
                <w:rFonts w:ascii="宋体" w:hAnsi="宋体" w:cs="宋体" w:eastAsia="宋体" w:hint="default"/>
                <w:sz w:val="18"/>
                <w:szCs w:val="18"/>
              </w:rPr>
            </w:pPr>
            <w:r>
              <w:rPr>
                <w:rFonts w:ascii="宋体" w:hAnsi="宋体" w:cs="宋体" w:eastAsia="宋体" w:hint="default"/>
                <w:sz w:val="18"/>
                <w:szCs w:val="18"/>
              </w:rPr>
              <w:t>其他综合收益合计</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103,735.94</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5,215,433.86</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5,215,433.86</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5,319,169.80</w:t>
            </w:r>
          </w:p>
        </w:tc>
      </w:tr>
    </w:tbl>
    <w:p>
      <w:pPr>
        <w:pStyle w:val="BodyText"/>
        <w:spacing w:line="240" w:lineRule="auto" w:before="49"/>
        <w:ind w:right="0"/>
        <w:jc w:val="left"/>
      </w:pPr>
      <w:r>
        <w:rPr/>
        <w:t>其他说明，包括对现金流量套期损益的有效部分转为被套期项目初始确认金额调整：无。</w:t>
      </w:r>
    </w:p>
    <w:p>
      <w:pPr>
        <w:spacing w:line="240" w:lineRule="auto" w:before="1"/>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28</w:t>
      </w:r>
      <w:r>
        <w:rPr/>
        <w:t>、盈余公积</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5"/>
      </w:tblGrid>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29,195,887.54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29,195,887.54</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29,195,887.54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29,195,887.54</w:t>
            </w:r>
          </w:p>
        </w:tc>
      </w:tr>
    </w:tbl>
    <w:p>
      <w:pPr>
        <w:pStyle w:val="BodyText"/>
        <w:spacing w:line="240" w:lineRule="auto" w:before="49"/>
        <w:ind w:right="0"/>
        <w:jc w:val="left"/>
      </w:pPr>
      <w:r>
        <w:rPr/>
        <w:t>盈余公积说明，包括本期增减变动情况、变动原因说明：无。</w:t>
      </w:r>
    </w:p>
    <w:p>
      <w:pPr>
        <w:spacing w:line="240" w:lineRule="auto" w:before="12"/>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29</w:t>
      </w:r>
      <w:r>
        <w:rPr/>
        <w:t>、未分配利润</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726"/>
        <w:gridCol w:w="2924"/>
        <w:gridCol w:w="2919"/>
      </w:tblGrid>
      <w:tr>
        <w:trPr>
          <w:trHeight w:val="401" w:hRule="exact"/>
        </w:trPr>
        <w:tc>
          <w:tcPr>
            <w:tcW w:w="3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3" w:hRule="exact"/>
        </w:trPr>
        <w:tc>
          <w:tcPr>
            <w:tcW w:w="3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135,870,049.99</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125,394,197.17</w:t>
            </w:r>
          </w:p>
        </w:tc>
      </w:tr>
      <w:tr>
        <w:trPr>
          <w:trHeight w:val="401" w:hRule="exact"/>
        </w:trPr>
        <w:tc>
          <w:tcPr>
            <w:tcW w:w="3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135,870,049.99</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125,394,197.17</w:t>
            </w:r>
          </w:p>
        </w:tc>
      </w:tr>
      <w:tr>
        <w:trPr>
          <w:trHeight w:val="403" w:hRule="exact"/>
        </w:trPr>
        <w:tc>
          <w:tcPr>
            <w:tcW w:w="3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-21,412,779.47</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12,764,280.64</w:t>
            </w:r>
          </w:p>
        </w:tc>
      </w:tr>
      <w:tr>
        <w:trPr>
          <w:trHeight w:val="401" w:hRule="exact"/>
        </w:trPr>
        <w:tc>
          <w:tcPr>
            <w:tcW w:w="3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2,288,427.82</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98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725"/>
        <w:gridCol w:w="2924"/>
        <w:gridCol w:w="2919"/>
      </w:tblGrid>
      <w:tr>
        <w:trPr>
          <w:trHeight w:val="404"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73" w:right="0"/>
              <w:jc w:val="left"/>
              <w:rPr>
                <w:rFonts w:ascii="Times New Roman" w:hAnsi="Times New Roman" w:cs="Times New Roman" w:eastAsia="Times New Roman" w:hint="default"/>
                <w:sz w:val="18"/>
                <w:szCs w:val="18"/>
              </w:rPr>
            </w:pPr>
            <w:r>
              <w:rPr>
                <w:rFonts w:ascii="Times New Roman"/>
                <w:sz w:val="18"/>
              </w:rPr>
              <w:t>114,457,270.52</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64" w:right="0"/>
              <w:jc w:val="left"/>
              <w:rPr>
                <w:rFonts w:ascii="Times New Roman" w:hAnsi="Times New Roman" w:cs="Times New Roman" w:eastAsia="Times New Roman" w:hint="default"/>
                <w:sz w:val="18"/>
                <w:szCs w:val="18"/>
              </w:rPr>
            </w:pPr>
            <w:r>
              <w:rPr>
                <w:rFonts w:ascii="Times New Roman"/>
                <w:sz w:val="18"/>
              </w:rPr>
              <w:t>135,870,049.99</w:t>
            </w:r>
          </w:p>
        </w:tc>
      </w:tr>
    </w:tbl>
    <w:p>
      <w:pPr>
        <w:pStyle w:val="BodyText"/>
        <w:spacing w:line="240" w:lineRule="auto" w:before="49"/>
        <w:ind w:right="0"/>
        <w:jc w:val="left"/>
      </w:pPr>
      <w:r>
        <w:rPr/>
        <w:t>调整期初未分配利润明细：</w:t>
      </w:r>
    </w:p>
    <w:p>
      <w:pPr>
        <w:pStyle w:val="BodyText"/>
        <w:spacing w:line="240" w:lineRule="auto" w:before="115"/>
        <w:ind w:right="0"/>
        <w:jc w:val="left"/>
      </w:pPr>
      <w:r>
        <w:rPr>
          <w:rFonts w:ascii="Times New Roman" w:hAnsi="Times New Roman" w:cs="Times New Roman" w:eastAsia="Times New Roman" w:hint="default"/>
        </w:rPr>
        <w:t>1</w:t>
      </w:r>
      <w:r>
        <w:rPr/>
        <w:t>）由于《企业会计准则》及其相关新规定进行追溯调整，影响期初未分配利润</w:t>
      </w:r>
      <w:r>
        <w:rPr>
          <w:spacing w:val="-44"/>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w:t>
      </w:r>
    </w:p>
    <w:p>
      <w:pPr>
        <w:pStyle w:val="BodyText"/>
        <w:spacing w:line="240" w:lineRule="auto" w:before="103"/>
        <w:ind w:right="0"/>
        <w:jc w:val="left"/>
      </w:pPr>
      <w:r>
        <w:rPr>
          <w:rFonts w:ascii="Times New Roman" w:hAnsi="Times New Roman" w:cs="Times New Roman" w:eastAsia="Times New Roman" w:hint="default"/>
        </w:rPr>
        <w:t>2</w:t>
      </w:r>
      <w:r>
        <w:rPr/>
        <w:t>）由于会计政策变更，影响期初未分配利润</w:t>
      </w:r>
      <w:r>
        <w:rPr>
          <w:spacing w:val="-44"/>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w:t>
      </w:r>
    </w:p>
    <w:p>
      <w:pPr>
        <w:pStyle w:val="BodyText"/>
        <w:spacing w:line="240" w:lineRule="auto" w:before="101"/>
        <w:ind w:right="0"/>
        <w:jc w:val="left"/>
      </w:pPr>
      <w:r>
        <w:rPr>
          <w:rFonts w:ascii="Times New Roman" w:hAnsi="Times New Roman" w:cs="Times New Roman" w:eastAsia="Times New Roman" w:hint="default"/>
        </w:rPr>
        <w:t>3</w:t>
      </w:r>
      <w:r>
        <w:rPr/>
        <w:t>）由于重大会计差错更正，影响期初未分配利润</w:t>
      </w:r>
      <w:r>
        <w:rPr>
          <w:spacing w:val="-44"/>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w:t>
      </w:r>
    </w:p>
    <w:p>
      <w:pPr>
        <w:pStyle w:val="BodyText"/>
        <w:spacing w:line="240" w:lineRule="auto" w:before="103"/>
        <w:ind w:right="0"/>
        <w:jc w:val="left"/>
      </w:pPr>
      <w:r>
        <w:rPr>
          <w:rFonts w:ascii="Times New Roman" w:hAnsi="Times New Roman" w:cs="Times New Roman" w:eastAsia="Times New Roman" w:hint="default"/>
        </w:rPr>
        <w:t>4</w:t>
      </w:r>
      <w:r>
        <w:rPr/>
        <w:t>）由于同一控制导致的合并范围变更，影响期初未分配利润</w:t>
      </w:r>
      <w:r>
        <w:rPr>
          <w:spacing w:val="-44"/>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w:t>
      </w:r>
    </w:p>
    <w:p>
      <w:pPr>
        <w:pStyle w:val="BodyText"/>
        <w:spacing w:line="240" w:lineRule="auto" w:before="103"/>
        <w:ind w:right="0"/>
        <w:jc w:val="left"/>
      </w:pPr>
      <w:r>
        <w:rPr>
          <w:rFonts w:ascii="Times New Roman" w:hAnsi="Times New Roman" w:cs="Times New Roman" w:eastAsia="Times New Roman" w:hint="default"/>
        </w:rPr>
        <w:t>5</w:t>
      </w:r>
      <w:r>
        <w:rPr/>
        <w:t>）其他调整合计影响期初未分配利润</w:t>
      </w:r>
      <w:r>
        <w:rPr>
          <w:spacing w:val="-44"/>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w:t>
      </w:r>
    </w:p>
    <w:p>
      <w:pPr>
        <w:spacing w:line="240" w:lineRule="auto" w:before="11"/>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30</w:t>
      </w:r>
      <w:r>
        <w:rPr/>
        <w:t>、营业收入和营业成本</w:t>
      </w:r>
      <w:r>
        <w:rPr>
          <w:b w:val="0"/>
          <w:bCs w:val="0"/>
        </w:rPr>
      </w:r>
    </w:p>
    <w:p>
      <w:pPr>
        <w:spacing w:line="240" w:lineRule="auto" w:before="14"/>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5"/>
      </w:tblGrid>
      <w:tr>
        <w:trPr>
          <w:trHeight w:val="402" w:hRule="exact"/>
        </w:trPr>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50,034,173.55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45,884,866.68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250,074,665.47</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192,673,827.70</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3,901,645.31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5,370,500.06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628,398.99</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898,657.77</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53,935,818.86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51,255,366.74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250,703,064.46</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193,572,485.47</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rFonts w:ascii="Times New Roman" w:hAnsi="Times New Roman" w:cs="Times New Roman" w:eastAsia="Times New Roman" w:hint="default"/>
        </w:rPr>
        <w:t>31</w:t>
      </w:r>
      <w:r>
        <w:rPr/>
        <w:t>、税金及附加</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429,364.27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1,087,238.32</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184,013.26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465,959.29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2,800,872.26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2,221,766.31</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315,040.54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385,510.40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车船使用税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10,527.04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23,190.72</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39,841.80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79,356.74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122,675.50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310,639.54</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堤围费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210,018.51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3,902,334.67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4,783,679.83</w:t>
            </w:r>
          </w:p>
        </w:tc>
      </w:tr>
    </w:tbl>
    <w:p>
      <w:pPr>
        <w:pStyle w:val="BodyText"/>
        <w:spacing w:line="240" w:lineRule="auto" w:before="49"/>
        <w:ind w:right="0"/>
        <w:jc w:val="left"/>
      </w:pPr>
      <w:r>
        <w:rPr/>
        <w:t>其他说明：无。</w:t>
      </w:r>
    </w:p>
    <w:p>
      <w:pPr>
        <w:spacing w:line="240" w:lineRule="auto" w:before="12"/>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32</w:t>
      </w:r>
      <w:r>
        <w:rPr/>
        <w:t>、销售费用</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授权费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242,797.92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2,611,294.49</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运费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255,478.28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2,475,055.91</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98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工资</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57,079.00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2,279,474.00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广告费和业务宣传费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3,800.00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1,481,926.73</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参展费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89,882.89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1,240,336.27</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汽车费用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159,090.89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775,610.96</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38,089.09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700,648.40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报关费用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23,715.00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138,491.00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43,319.72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870,426.82</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913,252.79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12,573,264.58</w:t>
            </w:r>
          </w:p>
        </w:tc>
      </w:tr>
    </w:tbl>
    <w:p>
      <w:pPr>
        <w:pStyle w:val="BodyText"/>
        <w:spacing w:line="240" w:lineRule="auto" w:before="49"/>
        <w:ind w:right="0"/>
        <w:jc w:val="left"/>
      </w:pPr>
      <w:r>
        <w:rPr/>
        <w:t>其他说明：无。</w:t>
      </w:r>
    </w:p>
    <w:p>
      <w:pPr>
        <w:spacing w:line="240" w:lineRule="auto" w:before="12"/>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33</w:t>
      </w:r>
      <w:r>
        <w:rPr/>
        <w:t>、管理费用</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2,077,517.68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4,082,364.08</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薪酬及五险一金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6,595,504.90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11,789,301.21</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折旧与摊销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4,921,678.66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11,505,572.17</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研发支出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10,880,721.77</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保险费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77,601.08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2,156,338.26</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1,127,320.13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2,329,634.62</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802,108.34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1,875,187.02</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租金及水电费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1,913,791.61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3,244,306.52</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中介机构费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1,947,234.67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4,860,264.74</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装修费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288,458.43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669,808.48</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2,231,132.45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3,484,281.38</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辞退福利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3,297,300.00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2,157,360.00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25,279,647.95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59,035,140.25</w:t>
            </w:r>
          </w:p>
        </w:tc>
      </w:tr>
    </w:tbl>
    <w:p>
      <w:pPr>
        <w:pStyle w:val="BodyText"/>
        <w:spacing w:line="240" w:lineRule="auto" w:before="49"/>
        <w:ind w:right="0"/>
        <w:jc w:val="left"/>
      </w:pPr>
      <w:r>
        <w:rPr/>
        <w:t>其他说明：无。</w:t>
      </w:r>
    </w:p>
    <w:p>
      <w:pPr>
        <w:spacing w:line="240" w:lineRule="auto" w:before="1"/>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34</w:t>
      </w:r>
      <w:r>
        <w:rPr/>
        <w:t>、财务费用</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878,743.56</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1,009,846.35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1,293,072.28</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汇兑损益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34,421.79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-1,740,188.50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98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35,338.68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45,604.72</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-940,085.88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-2,108,912.50</w:t>
            </w:r>
          </w:p>
        </w:tc>
      </w:tr>
    </w:tbl>
    <w:p>
      <w:pPr>
        <w:pStyle w:val="BodyText"/>
        <w:spacing w:line="240" w:lineRule="auto" w:before="49"/>
        <w:ind w:right="0"/>
        <w:jc w:val="left"/>
      </w:pPr>
      <w:r>
        <w:rPr/>
        <w:t>其他说明：无。</w:t>
      </w:r>
    </w:p>
    <w:p>
      <w:pPr>
        <w:spacing w:line="240" w:lineRule="auto" w:before="12"/>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35</w:t>
      </w:r>
      <w:r>
        <w:rPr/>
        <w:t>、资产减值损失</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7,149,733.14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1,143,185.25</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二、存货跌价损失</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2,137,754.00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七、固定资产减值损失</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6,957,029.99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1,857,319.83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十三、商誉减值损失</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1,038,345.12</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14,106,763.13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6,176,604.20</w:t>
            </w:r>
          </w:p>
        </w:tc>
      </w:tr>
    </w:tbl>
    <w:p>
      <w:pPr>
        <w:pStyle w:val="BodyText"/>
        <w:spacing w:line="240" w:lineRule="auto" w:before="49"/>
        <w:ind w:right="0"/>
        <w:jc w:val="left"/>
      </w:pPr>
      <w:r>
        <w:rPr/>
        <w:t>其他说明：无。</w:t>
      </w:r>
    </w:p>
    <w:p>
      <w:pPr>
        <w:spacing w:line="240" w:lineRule="auto" w:before="1"/>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36</w:t>
      </w:r>
      <w:r>
        <w:rPr/>
        <w:t>、公允价值变动收益</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5"/>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20" w:right="0"/>
              <w:jc w:val="left"/>
              <w:rPr>
                <w:rFonts w:ascii="宋体" w:hAnsi="宋体" w:cs="宋体" w:eastAsia="宋体" w:hint="default"/>
                <w:sz w:val="18"/>
                <w:szCs w:val="18"/>
              </w:rPr>
            </w:pPr>
            <w:r>
              <w:rPr>
                <w:rFonts w:ascii="宋体" w:hAnsi="宋体" w:cs="宋体" w:eastAsia="宋体" w:hint="default"/>
                <w:sz w:val="18"/>
                <w:szCs w:val="18"/>
              </w:rPr>
              <w:t>产生公允价值变动收益的来源</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4" w:right="92"/>
              <w:jc w:val="left"/>
              <w:rPr>
                <w:rFonts w:ascii="宋体" w:hAnsi="宋体" w:cs="宋体" w:eastAsia="宋体" w:hint="default"/>
                <w:sz w:val="18"/>
                <w:szCs w:val="18"/>
              </w:rPr>
            </w:pPr>
            <w:r>
              <w:rPr>
                <w:rFonts w:ascii="宋体" w:hAnsi="宋体" w:cs="宋体" w:eastAsia="宋体" w:hint="default"/>
                <w:sz w:val="18"/>
                <w:szCs w:val="18"/>
              </w:rPr>
              <w:t>以公允价值计量的且其变动计入当期损 益的金融资产</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-1,427,905.00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5"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92" w:firstLine="360"/>
              <w:jc w:val="left"/>
              <w:rPr>
                <w:rFonts w:ascii="宋体" w:hAnsi="宋体" w:cs="宋体" w:eastAsia="宋体" w:hint="default"/>
                <w:sz w:val="18"/>
                <w:szCs w:val="18"/>
              </w:rPr>
            </w:pPr>
            <w:r>
              <w:rPr>
                <w:rFonts w:ascii="宋体" w:hAnsi="宋体" w:cs="宋体" w:eastAsia="宋体" w:hint="default"/>
                <w:sz w:val="18"/>
                <w:szCs w:val="18"/>
              </w:rPr>
              <w:t>其中：衍生金融工具产生的公允价 值变动收益</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-1,427,905.00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按公允价值计量的投资性房地产</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3,718,181.14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2,290,276.14</w:t>
            </w:r>
          </w:p>
        </w:tc>
        <w:tc>
          <w:tcPr>
            <w:tcW w:w="31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0"/>
        <w:jc w:val="left"/>
      </w:pPr>
      <w:r>
        <w:rPr/>
        <w:t>其他说明：无。</w:t>
      </w:r>
    </w:p>
    <w:p>
      <w:pPr>
        <w:spacing w:line="240" w:lineRule="auto" w:before="12"/>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37</w:t>
      </w:r>
      <w:r>
        <w:rPr/>
        <w:t>、投资收益</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6001"/>
        <w:gridCol w:w="1949"/>
        <w:gridCol w:w="1620"/>
      </w:tblGrid>
      <w:tr>
        <w:trPr>
          <w:trHeight w:val="401" w:hRule="exact"/>
        </w:trPr>
        <w:tc>
          <w:tcPr>
            <w:tcW w:w="6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55"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6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11,283,582.48</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10,851,931.76</w:t>
            </w:r>
          </w:p>
        </w:tc>
      </w:tr>
      <w:tr>
        <w:trPr>
          <w:trHeight w:val="401" w:hRule="exact"/>
        </w:trPr>
        <w:tc>
          <w:tcPr>
            <w:tcW w:w="6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12,616,871.50</w:t>
            </w:r>
          </w:p>
        </w:tc>
      </w:tr>
      <w:tr>
        <w:trPr>
          <w:trHeight w:val="403" w:hRule="exact"/>
        </w:trPr>
        <w:tc>
          <w:tcPr>
            <w:tcW w:w="6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处置以公允价值计量且其变动计入当期损益的金融资产取得的投资收益</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96,168.12</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6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理财产品收益</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3,138,153.30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6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国债逆回购收益</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2,233,718.03</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6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南方现金增利货币</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E</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基金收益</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291,724.08</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6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17,043,346.01</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23,468,803.26</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980"/>
        </w:sectPr>
      </w:pPr>
    </w:p>
    <w:p>
      <w:pPr>
        <w:spacing w:line="240" w:lineRule="auto" w:before="11"/>
        <w:rPr>
          <w:rFonts w:ascii="宋体" w:hAnsi="宋体" w:cs="宋体" w:eastAsia="宋体" w:hint="default"/>
          <w:sz w:val="21"/>
          <w:szCs w:val="21"/>
        </w:rPr>
      </w:pPr>
    </w:p>
    <w:p>
      <w:pPr>
        <w:pStyle w:val="BodyText"/>
        <w:spacing w:line="240" w:lineRule="auto" w:before="44"/>
        <w:ind w:right="0"/>
        <w:jc w:val="left"/>
      </w:pPr>
      <w:r>
        <w:rPr/>
        <w:t>其他说明：无。</w:t>
      </w:r>
    </w:p>
    <w:p>
      <w:pPr>
        <w:spacing w:line="240" w:lineRule="auto" w:before="1"/>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38</w:t>
      </w:r>
      <w:r>
        <w:rPr/>
        <w:t>、资产处置收益</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80" w:right="0"/>
              <w:jc w:val="left"/>
              <w:rPr>
                <w:rFonts w:ascii="宋体" w:hAnsi="宋体" w:cs="宋体" w:eastAsia="宋体" w:hint="default"/>
                <w:sz w:val="18"/>
                <w:szCs w:val="18"/>
              </w:rPr>
            </w:pPr>
            <w:r>
              <w:rPr>
                <w:rFonts w:ascii="宋体" w:hAnsi="宋体" w:cs="宋体" w:eastAsia="宋体" w:hint="default"/>
                <w:sz w:val="18"/>
                <w:szCs w:val="18"/>
              </w:rPr>
              <w:t>资产处置收益的来源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固定资产处置利得</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77,218.52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-644,949.63</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无形资产处置利得</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-428,836.20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13,380,823.42</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-351,617.68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12,735,873.79</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rFonts w:ascii="Times New Roman" w:hAnsi="Times New Roman" w:cs="Times New Roman" w:eastAsia="Times New Roman" w:hint="default"/>
        </w:rPr>
        <w:t>39</w:t>
      </w:r>
      <w:r>
        <w:rPr/>
        <w:t>、营业外收入</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88"/>
        <w:gridCol w:w="2396"/>
        <w:gridCol w:w="2393"/>
        <w:gridCol w:w="2393"/>
      </w:tblGrid>
      <w:tr>
        <w:trPr>
          <w:trHeight w:val="161" w:hRule="exact"/>
        </w:trPr>
        <w:tc>
          <w:tcPr>
            <w:tcW w:w="23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4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3"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49"/>
              <w:ind w:left="1102" w:right="111" w:hanging="992"/>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1" w:hRule="exact"/>
        </w:trPr>
        <w:tc>
          <w:tcPr>
            <w:tcW w:w="2388" w:type="dxa"/>
            <w:vMerge/>
            <w:tcBorders>
              <w:left w:val="single" w:sz="4" w:space="0" w:color="000000"/>
              <w:right w:val="single" w:sz="4" w:space="0" w:color="000000"/>
            </w:tcBorders>
            <w:shd w:val="clear" w:color="auto" w:fill="D2D2D2"/>
          </w:tcPr>
          <w:p>
            <w:pPr/>
          </w:p>
        </w:tc>
        <w:tc>
          <w:tcPr>
            <w:tcW w:w="2396" w:type="dxa"/>
            <w:vMerge/>
            <w:tcBorders>
              <w:left w:val="single" w:sz="4" w:space="0" w:color="000000"/>
              <w:right w:val="single" w:sz="4" w:space="0" w:color="000000"/>
            </w:tcBorders>
            <w:shd w:val="clear" w:color="auto" w:fill="D2D2D2"/>
          </w:tcPr>
          <w:p>
            <w:pPr/>
          </w:p>
        </w:tc>
        <w:tc>
          <w:tcPr>
            <w:tcW w:w="239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74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3" w:type="dxa"/>
            <w:vMerge/>
            <w:tcBorders>
              <w:left w:val="single" w:sz="4" w:space="0" w:color="000000"/>
              <w:right w:val="single" w:sz="4" w:space="0" w:color="000000"/>
            </w:tcBorders>
            <w:shd w:val="clear" w:color="auto" w:fill="D2D2D2"/>
          </w:tcPr>
          <w:p>
            <w:pPr/>
          </w:p>
        </w:tc>
      </w:tr>
      <w:tr>
        <w:trPr>
          <w:trHeight w:val="161" w:hRule="exact"/>
        </w:trPr>
        <w:tc>
          <w:tcPr>
            <w:tcW w:w="2388" w:type="dxa"/>
            <w:vMerge/>
            <w:tcBorders>
              <w:left w:val="single" w:sz="4" w:space="0" w:color="000000"/>
              <w:bottom w:val="single" w:sz="4" w:space="0" w:color="000000"/>
              <w:right w:val="single" w:sz="4" w:space="0" w:color="000000"/>
            </w:tcBorders>
            <w:shd w:val="clear" w:color="auto" w:fill="D2D2D2"/>
          </w:tcPr>
          <w:p>
            <w:pPr/>
          </w:p>
        </w:tc>
        <w:tc>
          <w:tcPr>
            <w:tcW w:w="2396" w:type="dxa"/>
            <w:vMerge/>
            <w:tcBorders>
              <w:left w:val="single" w:sz="4" w:space="0" w:color="000000"/>
              <w:bottom w:val="single" w:sz="4" w:space="0" w:color="000000"/>
              <w:right w:val="single" w:sz="4" w:space="0" w:color="000000"/>
            </w:tcBorders>
            <w:shd w:val="clear" w:color="auto" w:fill="D2D2D2"/>
          </w:tcPr>
          <w:p>
            <w:pPr/>
          </w:p>
        </w:tc>
        <w:tc>
          <w:tcPr>
            <w:tcW w:w="2393"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3,201,563.10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2,244,951.48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3,201,563.10</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w w:val="95"/>
                <w:sz w:val="18"/>
              </w:rPr>
              <w:t>26,113.52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6,180.93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26,113.52</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3,227,676.62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2,251,132.41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3,227,676.62</w:t>
            </w:r>
          </w:p>
        </w:tc>
      </w:tr>
    </w:tbl>
    <w:p>
      <w:pPr>
        <w:pStyle w:val="BodyText"/>
        <w:spacing w:line="240" w:lineRule="auto" w:before="49"/>
        <w:ind w:right="0"/>
        <w:jc w:val="left"/>
      </w:pPr>
      <w:r>
        <w:rPr/>
        <w:t>计入当期损益的政府补助：</w:t>
      </w:r>
    </w:p>
    <w:p>
      <w:pPr>
        <w:pStyle w:val="BodyText"/>
        <w:spacing w:line="240" w:lineRule="auto" w:before="115"/>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066"/>
        <w:gridCol w:w="1063"/>
        <w:gridCol w:w="1064"/>
        <w:gridCol w:w="1063"/>
        <w:gridCol w:w="1061"/>
        <w:gridCol w:w="1063"/>
        <w:gridCol w:w="1064"/>
        <w:gridCol w:w="1063"/>
        <w:gridCol w:w="1063"/>
      </w:tblGrid>
      <w:tr>
        <w:trPr>
          <w:trHeight w:val="713"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8" w:right="0"/>
              <w:jc w:val="left"/>
              <w:rPr>
                <w:rFonts w:ascii="宋体" w:hAnsi="宋体" w:cs="宋体" w:eastAsia="宋体" w:hint="default"/>
                <w:sz w:val="18"/>
                <w:szCs w:val="18"/>
              </w:rPr>
            </w:pPr>
            <w:r>
              <w:rPr>
                <w:rFonts w:ascii="宋体" w:hAnsi="宋体" w:cs="宋体" w:eastAsia="宋体" w:hint="default"/>
                <w:sz w:val="18"/>
                <w:szCs w:val="18"/>
              </w:rPr>
              <w:t>补助项目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发放主体</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发放原因</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性质类型</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6" w:right="72"/>
              <w:jc w:val="left"/>
              <w:rPr>
                <w:rFonts w:ascii="宋体" w:hAnsi="宋体" w:cs="宋体" w:eastAsia="宋体" w:hint="default"/>
                <w:sz w:val="18"/>
                <w:szCs w:val="18"/>
              </w:rPr>
            </w:pPr>
            <w:r>
              <w:rPr>
                <w:rFonts w:ascii="宋体" w:hAnsi="宋体" w:cs="宋体" w:eastAsia="宋体" w:hint="default"/>
                <w:sz w:val="18"/>
                <w:szCs w:val="18"/>
              </w:rPr>
              <w:t>补贴是否影 响当年盈亏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39" w:right="72" w:hanging="360"/>
              <w:jc w:val="left"/>
              <w:rPr>
                <w:rFonts w:ascii="宋体" w:hAnsi="宋体" w:cs="宋体" w:eastAsia="宋体" w:hint="default"/>
                <w:sz w:val="18"/>
                <w:szCs w:val="18"/>
              </w:rPr>
            </w:pPr>
            <w:r>
              <w:rPr>
                <w:rFonts w:ascii="宋体" w:hAnsi="宋体" w:cs="宋体" w:eastAsia="宋体" w:hint="default"/>
                <w:sz w:val="18"/>
                <w:szCs w:val="18"/>
              </w:rPr>
              <w:t>是否特殊补 贴</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36" w:right="75" w:hanging="360"/>
              <w:jc w:val="left"/>
              <w:rPr>
                <w:rFonts w:ascii="宋体" w:hAnsi="宋体" w:cs="宋体" w:eastAsia="宋体" w:hint="default"/>
                <w:sz w:val="18"/>
                <w:szCs w:val="18"/>
              </w:rPr>
            </w:pPr>
            <w:r>
              <w:rPr>
                <w:rFonts w:ascii="宋体" w:hAnsi="宋体" w:cs="宋体" w:eastAsia="宋体" w:hint="default"/>
                <w:sz w:val="18"/>
                <w:szCs w:val="18"/>
              </w:rPr>
              <w:t>本期发生金 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36" w:right="74" w:hanging="360"/>
              <w:jc w:val="left"/>
              <w:rPr>
                <w:rFonts w:ascii="宋体" w:hAnsi="宋体" w:cs="宋体" w:eastAsia="宋体" w:hint="default"/>
                <w:sz w:val="18"/>
                <w:szCs w:val="18"/>
              </w:rPr>
            </w:pPr>
            <w:r>
              <w:rPr>
                <w:rFonts w:ascii="宋体" w:hAnsi="宋体" w:cs="宋体" w:eastAsia="宋体" w:hint="default"/>
                <w:sz w:val="18"/>
                <w:szCs w:val="18"/>
              </w:rPr>
              <w:t>上期发生金 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76" w:right="48" w:hanging="24"/>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r>
        <w:trPr>
          <w:trHeight w:val="1027"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30"/>
              <w:jc w:val="both"/>
              <w:rPr>
                <w:rFonts w:ascii="Times New Roman" w:hAnsi="Times New Roman" w:cs="Times New Roman" w:eastAsia="Times New Roman" w:hint="default"/>
                <w:sz w:val="18"/>
                <w:szCs w:val="18"/>
              </w:rPr>
            </w:pPr>
            <w:r>
              <w:rPr>
                <w:rFonts w:ascii="宋体" w:hAnsi="宋体" w:cs="宋体" w:eastAsia="宋体" w:hint="default"/>
                <w:sz w:val="18"/>
                <w:szCs w:val="18"/>
              </w:rPr>
              <w:t>玩具产业升 级技术改造 </w:t>
            </w:r>
            <w:r>
              <w:rPr>
                <w:rFonts w:ascii="宋体" w:hAnsi="宋体" w:cs="宋体" w:eastAsia="宋体" w:hint="default"/>
                <w:spacing w:val="-3"/>
                <w:sz w:val="18"/>
                <w:szCs w:val="18"/>
              </w:rPr>
              <w:t>资金</w:t>
            </w:r>
            <w:r>
              <w:rPr>
                <w:rFonts w:ascii="Times New Roman" w:hAnsi="Times New Roman" w:cs="Times New Roman" w:eastAsia="Times New Roman" w:hint="default"/>
                <w:spacing w:val="-3"/>
                <w:sz w:val="18"/>
                <w:szCs w:val="18"/>
              </w:rPr>
              <w:t>*1</w:t>
            </w:r>
            <w:r>
              <w:rPr>
                <w:rFonts w:ascii="Times New Roman" w:hAnsi="Times New Roman" w:cs="Times New Roman" w:eastAsia="Times New Roman" w:hint="default"/>
                <w:sz w:val="18"/>
                <w:szCs w:val="18"/>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1,764,448.86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136,602.48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5"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81"/>
              <w:jc w:val="both"/>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年稳增 长调结构专 项资金</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7"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81"/>
              <w:jc w:val="both"/>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年外经 贸发展专项 资金</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46,834.00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3"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30"/>
              <w:jc w:val="left"/>
              <w:rPr>
                <w:rFonts w:ascii="宋体" w:hAnsi="宋体" w:cs="宋体" w:eastAsia="宋体" w:hint="default"/>
                <w:sz w:val="18"/>
                <w:szCs w:val="18"/>
              </w:rPr>
            </w:pPr>
            <w:r>
              <w:rPr>
                <w:rFonts w:ascii="宋体" w:hAnsi="宋体" w:cs="宋体" w:eastAsia="宋体" w:hint="default"/>
                <w:sz w:val="18"/>
                <w:szCs w:val="18"/>
              </w:rPr>
              <w:t>电机能效提 升补贴</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181,630.00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7"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81"/>
              <w:jc w:val="both"/>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年科技 计划项目经 费</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987"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81"/>
              <w:jc w:val="both"/>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年省级 工业与信息 化发展专项</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9"/>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9"/>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9"/>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9"/>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9"/>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9"/>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9"/>
              <w:ind w:right="19"/>
              <w:jc w:val="right"/>
              <w:rPr>
                <w:rFonts w:ascii="Times New Roman" w:hAnsi="Times New Roman" w:cs="Times New Roman" w:eastAsia="Times New Roman" w:hint="default"/>
                <w:sz w:val="18"/>
                <w:szCs w:val="18"/>
              </w:rPr>
            </w:pPr>
            <w:r>
              <w:rPr>
                <w:rFonts w:ascii="Times New Roman"/>
                <w:spacing w:val="-1"/>
                <w:sz w:val="18"/>
              </w:rPr>
              <w:t>1,000,000.00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877" w:footer="979" w:top="1100" w:bottom="1160" w:left="980" w:right="98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1066"/>
        <w:gridCol w:w="1063"/>
        <w:gridCol w:w="1064"/>
        <w:gridCol w:w="1063"/>
        <w:gridCol w:w="1061"/>
        <w:gridCol w:w="1063"/>
        <w:gridCol w:w="1064"/>
        <w:gridCol w:w="1063"/>
        <w:gridCol w:w="1063"/>
      </w:tblGrid>
      <w:tr>
        <w:trPr>
          <w:trHeight w:val="363"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资金</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30"/>
              <w:jc w:val="left"/>
              <w:rPr>
                <w:rFonts w:ascii="宋体" w:hAnsi="宋体" w:cs="宋体" w:eastAsia="宋体" w:hint="default"/>
                <w:sz w:val="18"/>
                <w:szCs w:val="18"/>
              </w:rPr>
            </w:pPr>
            <w:r>
              <w:rPr>
                <w:rFonts w:ascii="宋体" w:hAnsi="宋体" w:cs="宋体" w:eastAsia="宋体" w:hint="default"/>
                <w:sz w:val="18"/>
                <w:szCs w:val="18"/>
              </w:rPr>
              <w:t>电机能效提 升项目补贴</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44,000.00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5"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30"/>
              <w:jc w:val="left"/>
              <w:rPr>
                <w:rFonts w:ascii="宋体" w:hAnsi="宋体" w:cs="宋体" w:eastAsia="宋体" w:hint="default"/>
                <w:sz w:val="18"/>
                <w:szCs w:val="18"/>
              </w:rPr>
            </w:pPr>
            <w:r>
              <w:rPr>
                <w:rFonts w:ascii="宋体" w:hAnsi="宋体" w:cs="宋体" w:eastAsia="宋体" w:hint="default"/>
                <w:sz w:val="18"/>
                <w:szCs w:val="18"/>
              </w:rPr>
              <w:t>专利申请项 目资助经费</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5,885.00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7"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30"/>
              <w:jc w:val="both"/>
              <w:rPr>
                <w:rFonts w:ascii="Times New Roman" w:hAnsi="Times New Roman" w:cs="Times New Roman" w:eastAsia="Times New Roman" w:hint="default"/>
                <w:sz w:val="18"/>
                <w:szCs w:val="18"/>
              </w:rPr>
            </w:pPr>
            <w:r>
              <w:rPr>
                <w:rFonts w:ascii="宋体" w:hAnsi="宋体" w:cs="宋体" w:eastAsia="宋体" w:hint="default"/>
                <w:sz w:val="18"/>
                <w:szCs w:val="18"/>
              </w:rPr>
              <w:t>广东省企业 研究开发省 级财政补助 </w:t>
            </w:r>
            <w:r>
              <w:rPr>
                <w:rFonts w:ascii="宋体" w:hAnsi="宋体" w:cs="宋体" w:eastAsia="宋体" w:hint="default"/>
                <w:spacing w:val="-3"/>
                <w:sz w:val="18"/>
                <w:szCs w:val="18"/>
              </w:rPr>
              <w:t>项目</w:t>
            </w:r>
            <w:r>
              <w:rPr>
                <w:rFonts w:ascii="Times New Roman" w:hAnsi="Times New Roman" w:cs="Times New Roman" w:eastAsia="Times New Roman" w:hint="default"/>
                <w:spacing w:val="-3"/>
                <w:sz w:val="18"/>
                <w:szCs w:val="18"/>
              </w:rPr>
              <w:t>*2</w:t>
            </w:r>
            <w:r>
              <w:rPr>
                <w:rFonts w:ascii="Times New Roman" w:hAnsi="Times New Roman" w:cs="Times New Roman" w:eastAsia="Times New Roman" w:hint="default"/>
                <w:sz w:val="18"/>
                <w:szCs w:val="18"/>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814,500.00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30"/>
              <w:jc w:val="both"/>
              <w:rPr>
                <w:rFonts w:ascii="Times New Roman" w:hAnsi="Times New Roman" w:cs="Times New Roman" w:eastAsia="Times New Roman" w:hint="default"/>
                <w:sz w:val="18"/>
                <w:szCs w:val="18"/>
              </w:rPr>
            </w:pPr>
            <w:r>
              <w:rPr>
                <w:rFonts w:ascii="宋体" w:hAnsi="宋体" w:cs="宋体" w:eastAsia="宋体" w:hint="default"/>
                <w:sz w:val="18"/>
                <w:szCs w:val="18"/>
              </w:rPr>
              <w:t>内外贸发展 与口岸建设 专项资金</w:t>
            </w:r>
            <w:r>
              <w:rPr>
                <w:rFonts w:ascii="Times New Roman" w:hAnsi="Times New Roman" w:cs="Times New Roman" w:eastAsia="Times New Roman" w:hint="default"/>
                <w:sz w:val="18"/>
                <w:szCs w:val="18"/>
              </w:rPr>
              <w:t>*3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7"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30"/>
              <w:jc w:val="both"/>
              <w:rPr>
                <w:rFonts w:ascii="Times New Roman" w:hAnsi="Times New Roman" w:cs="Times New Roman" w:eastAsia="Times New Roman" w:hint="default"/>
                <w:sz w:val="18"/>
                <w:szCs w:val="18"/>
              </w:rPr>
            </w:pPr>
            <w:r>
              <w:rPr>
                <w:rFonts w:ascii="宋体" w:hAnsi="宋体" w:cs="宋体" w:eastAsia="宋体" w:hint="default"/>
                <w:sz w:val="18"/>
                <w:szCs w:val="18"/>
              </w:rPr>
              <w:t>外贸发展专 项资金企业 品牌培育项 </w:t>
            </w:r>
            <w:r>
              <w:rPr>
                <w:rFonts w:ascii="宋体" w:hAnsi="宋体" w:cs="宋体" w:eastAsia="宋体" w:hint="default"/>
                <w:spacing w:val="-4"/>
                <w:sz w:val="18"/>
                <w:szCs w:val="18"/>
              </w:rPr>
              <w:t>目</w:t>
            </w:r>
            <w:r>
              <w:rPr>
                <w:rFonts w:ascii="Times New Roman" w:hAnsi="Times New Roman" w:cs="Times New Roman" w:eastAsia="Times New Roman" w:hint="default"/>
                <w:spacing w:val="-4"/>
                <w:sz w:val="18"/>
                <w:szCs w:val="18"/>
              </w:rPr>
              <w:t>*4</w:t>
            </w:r>
            <w:r>
              <w:rPr>
                <w:rFonts w:ascii="Times New Roman" w:hAnsi="Times New Roman" w:cs="Times New Roman" w:eastAsia="Times New Roman" w:hint="default"/>
                <w:sz w:val="18"/>
                <w:szCs w:val="18"/>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2"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30"/>
              <w:jc w:val="both"/>
              <w:rPr>
                <w:rFonts w:ascii="Times New Roman" w:hAnsi="Times New Roman" w:cs="Times New Roman" w:eastAsia="Times New Roman" w:hint="default"/>
                <w:sz w:val="18"/>
                <w:szCs w:val="18"/>
              </w:rPr>
            </w:pPr>
            <w:r>
              <w:rPr>
                <w:rFonts w:ascii="宋体" w:hAnsi="宋体" w:cs="宋体" w:eastAsia="宋体" w:hint="default"/>
                <w:sz w:val="18"/>
                <w:szCs w:val="18"/>
              </w:rPr>
              <w:t>外经贸发展 专项资金外 贸中小企业 开拓市场项 </w:t>
            </w:r>
            <w:r>
              <w:rPr>
                <w:rFonts w:ascii="宋体" w:hAnsi="宋体" w:cs="宋体" w:eastAsia="宋体" w:hint="default"/>
                <w:spacing w:val="-4"/>
                <w:sz w:val="18"/>
                <w:szCs w:val="18"/>
              </w:rPr>
              <w:t>目</w:t>
            </w:r>
            <w:r>
              <w:rPr>
                <w:rFonts w:ascii="Times New Roman" w:hAnsi="Times New Roman" w:cs="Times New Roman" w:eastAsia="Times New Roman" w:hint="default"/>
                <w:spacing w:val="-4"/>
                <w:sz w:val="18"/>
                <w:szCs w:val="18"/>
              </w:rPr>
              <w:t>*5</w:t>
            </w:r>
            <w:r>
              <w:rPr>
                <w:rFonts w:ascii="Times New Roman" w:hAnsi="Times New Roman" w:cs="Times New Roman" w:eastAsia="Times New Roman" w:hint="default"/>
                <w:sz w:val="18"/>
                <w:szCs w:val="18"/>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61,487.00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7"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4" w:right="22"/>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年区专 利申请（授 </w:t>
            </w:r>
            <w:r>
              <w:rPr>
                <w:rFonts w:ascii="宋体" w:hAnsi="宋体" w:cs="宋体" w:eastAsia="宋体" w:hint="default"/>
                <w:spacing w:val="-12"/>
                <w:sz w:val="18"/>
                <w:szCs w:val="18"/>
              </w:rPr>
              <w:t>权）资助项目</w:t>
            </w:r>
            <w:r>
              <w:rPr>
                <w:rFonts w:ascii="宋体" w:hAnsi="宋体" w:cs="宋体" w:eastAsia="宋体" w:hint="default"/>
                <w:sz w:val="18"/>
                <w:szCs w:val="18"/>
              </w:rPr>
              <w:t> </w:t>
            </w:r>
            <w:r>
              <w:rPr>
                <w:rFonts w:ascii="宋体" w:hAnsi="宋体" w:cs="宋体" w:eastAsia="宋体" w:hint="default"/>
                <w:spacing w:val="-3"/>
                <w:sz w:val="18"/>
                <w:szCs w:val="18"/>
              </w:rPr>
              <w:t>经费</w:t>
            </w:r>
            <w:r>
              <w:rPr>
                <w:rFonts w:ascii="Times New Roman" w:hAnsi="Times New Roman" w:cs="Times New Roman" w:eastAsia="Times New Roman" w:hint="default"/>
                <w:spacing w:val="-3"/>
                <w:sz w:val="18"/>
                <w:szCs w:val="18"/>
              </w:rPr>
              <w:t>*6</w:t>
            </w:r>
            <w:r>
              <w:rPr>
                <w:rFonts w:ascii="Times New Roman" w:hAnsi="Times New Roman" w:cs="Times New Roman" w:eastAsia="Times New Roman" w:hint="default"/>
                <w:sz w:val="18"/>
                <w:szCs w:val="18"/>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10,165.00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5"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81"/>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年稳岗 补贴</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962.24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1"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3,201,563.10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2,244,951.48</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t>其他说明：</w:t>
      </w:r>
    </w:p>
    <w:p>
      <w:pPr>
        <w:spacing w:line="240" w:lineRule="auto" w:before="0"/>
        <w:rPr>
          <w:rFonts w:ascii="宋体" w:hAnsi="宋体" w:cs="宋体" w:eastAsia="宋体" w:hint="default"/>
          <w:sz w:val="15"/>
          <w:szCs w:val="15"/>
        </w:rPr>
      </w:pPr>
    </w:p>
    <w:p>
      <w:pPr>
        <w:pStyle w:val="BodyText"/>
        <w:spacing w:line="477" w:lineRule="auto"/>
        <w:ind w:right="150" w:firstLine="360"/>
        <w:jc w:val="both"/>
      </w:pPr>
      <w:r>
        <w:rPr>
          <w:rFonts w:ascii="宋体" w:hAnsi="宋体" w:cs="宋体" w:eastAsia="宋体" w:hint="default"/>
        </w:rPr>
        <w:t>*1</w:t>
      </w:r>
      <w:r>
        <w:rPr/>
        <w:t>根据国家发展和改革委员会、工业和信息化部发改投资【</w:t>
      </w:r>
      <w:r>
        <w:rPr>
          <w:rFonts w:ascii="宋体" w:hAnsi="宋体" w:cs="宋体" w:eastAsia="宋体" w:hint="default"/>
        </w:rPr>
        <w:t>2009</w:t>
      </w:r>
      <w:r>
        <w:rPr/>
        <w:t>】</w:t>
      </w:r>
      <w:r>
        <w:rPr>
          <w:rFonts w:ascii="宋体" w:hAnsi="宋体" w:cs="宋体" w:eastAsia="宋体" w:hint="default"/>
        </w:rPr>
        <w:t>2824</w:t>
      </w:r>
      <w:r>
        <w:rPr/>
        <w:t>号《关于下达工业中小企业技术改造项目</w:t>
      </w:r>
      <w:r>
        <w:rPr>
          <w:rFonts w:ascii="宋体" w:hAnsi="宋体" w:cs="宋体" w:eastAsia="宋体" w:hint="default"/>
        </w:rPr>
        <w:t>2009 </w:t>
      </w:r>
      <w:r>
        <w:rPr/>
        <w:t>年新增中央预算内投资计划的通知》、汕头市发展和改革局、汕头市经济贸易局汕市发改【</w:t>
      </w:r>
      <w:r>
        <w:rPr>
          <w:rFonts w:ascii="宋体" w:hAnsi="宋体" w:cs="宋体" w:eastAsia="宋体" w:hint="default"/>
        </w:rPr>
        <w:t>2009</w:t>
      </w:r>
      <w:r>
        <w:rPr/>
        <w:t>】</w:t>
      </w:r>
      <w:r>
        <w:rPr>
          <w:rFonts w:ascii="宋体" w:hAnsi="宋体" w:cs="宋体" w:eastAsia="宋体" w:hint="default"/>
        </w:rPr>
        <w:t>449</w:t>
      </w:r>
      <w:r>
        <w:rPr/>
        <w:t>号《关于转下达工业</w:t>
      </w:r>
      <w:r>
        <w:rPr>
          <w:spacing w:val="-84"/>
        </w:rPr>
        <w:t> </w:t>
      </w:r>
      <w:r>
        <w:rPr>
          <w:spacing w:val="-84"/>
        </w:rPr>
      </w:r>
      <w:r>
        <w:rPr/>
        <w:t>中小企业技术改造项目</w:t>
      </w:r>
      <w:r>
        <w:rPr>
          <w:rFonts w:ascii="宋体" w:hAnsi="宋体" w:cs="宋体" w:eastAsia="宋体" w:hint="default"/>
        </w:rPr>
        <w:t>2009</w:t>
      </w:r>
      <w:r>
        <w:rPr/>
        <w:t>年新增中央预算内投资计划的通知》、汕头市财政局汕市财工【</w:t>
      </w:r>
      <w:r>
        <w:rPr>
          <w:rFonts w:ascii="宋体" w:hAnsi="宋体" w:cs="宋体" w:eastAsia="宋体" w:hint="default"/>
        </w:rPr>
        <w:t>2009</w:t>
      </w:r>
      <w:r>
        <w:rPr/>
        <w:t>】</w:t>
      </w:r>
      <w:r>
        <w:rPr>
          <w:rFonts w:ascii="宋体" w:hAnsi="宋体" w:cs="宋体" w:eastAsia="宋体" w:hint="default"/>
        </w:rPr>
        <w:t>197</w:t>
      </w:r>
      <w:r>
        <w:rPr/>
        <w:t>号《关于下达</w:t>
      </w:r>
      <w:r>
        <w:rPr>
          <w:rFonts w:ascii="宋体" w:hAnsi="宋体" w:cs="宋体" w:eastAsia="宋体" w:hint="default"/>
        </w:rPr>
        <w:t>2009</w:t>
      </w:r>
      <w:r>
        <w:rPr/>
        <w:t>年</w:t>
      </w:r>
      <w:r>
        <w:rPr>
          <w:spacing w:val="-86"/>
        </w:rPr>
        <w:t> </w:t>
      </w:r>
      <w:r>
        <w:rPr>
          <w:spacing w:val="4"/>
        </w:rPr>
        <w:t>省财政挖潜改造资金切块和综合技术改造项目资金的通知》，本公司</w:t>
      </w:r>
      <w:r>
        <w:rPr>
          <w:rFonts w:ascii="宋体" w:hAnsi="宋体" w:cs="宋体" w:eastAsia="宋体" w:hint="default"/>
          <w:spacing w:val="4"/>
        </w:rPr>
        <w:t>2010</w:t>
      </w:r>
      <w:r>
        <w:rPr>
          <w:spacing w:val="4"/>
        </w:rPr>
        <w:t>年</w:t>
      </w:r>
      <w:r>
        <w:rPr>
          <w:rFonts w:ascii="宋体" w:hAnsi="宋体" w:cs="宋体" w:eastAsia="宋体" w:hint="default"/>
          <w:spacing w:val="4"/>
        </w:rPr>
        <w:t>2</w:t>
      </w:r>
      <w:r>
        <w:rPr>
          <w:spacing w:val="4"/>
        </w:rPr>
        <w:t>月及</w:t>
      </w:r>
      <w:r>
        <w:rPr>
          <w:rFonts w:ascii="宋体" w:hAnsi="宋体" w:cs="宋体" w:eastAsia="宋体" w:hint="default"/>
          <w:spacing w:val="4"/>
        </w:rPr>
        <w:t>3</w:t>
      </w:r>
      <w:r>
        <w:rPr>
          <w:spacing w:val="4"/>
        </w:rPr>
        <w:t>月共收到玩具产业升级技术改造资金</w:t>
      </w:r>
      <w:r>
        <w:rPr>
          <w:spacing w:val="-59"/>
        </w:rPr>
        <w:t> </w:t>
      </w:r>
      <w:r>
        <w:rPr>
          <w:spacing w:val="-59"/>
        </w:rPr>
      </w:r>
      <w:r>
        <w:rPr>
          <w:rFonts w:ascii="宋体" w:hAnsi="宋体" w:cs="宋体" w:eastAsia="宋体" w:hint="default"/>
        </w:rPr>
        <w:t>2,700,000.00</w:t>
      </w:r>
      <w:r>
        <w:rPr/>
        <w:t>元，本公司按所构建资产的收益期限在本期摊销</w:t>
      </w:r>
      <w:r>
        <w:rPr>
          <w:rFonts w:ascii="宋体" w:hAnsi="宋体" w:cs="宋体" w:eastAsia="宋体" w:hint="default"/>
        </w:rPr>
        <w:t>1,764,448.86</w:t>
      </w:r>
      <w:r>
        <w:rPr/>
        <w:t>元。</w:t>
      </w:r>
    </w:p>
    <w:p>
      <w:pPr>
        <w:pStyle w:val="BodyText"/>
        <w:spacing w:line="477" w:lineRule="auto" w:before="54"/>
        <w:ind w:right="153" w:firstLine="360"/>
        <w:jc w:val="both"/>
      </w:pPr>
      <w:r>
        <w:rPr>
          <w:rFonts w:ascii="宋体" w:hAnsi="宋体" w:cs="宋体" w:eastAsia="宋体" w:hint="default"/>
        </w:rPr>
        <w:t>*2</w:t>
      </w:r>
      <w:r>
        <w:rPr/>
        <w:t>根据汕头市科学技术局、汕头市财政局汕府科【</w:t>
      </w:r>
      <w:r>
        <w:rPr>
          <w:rFonts w:ascii="宋体" w:hAnsi="宋体" w:cs="宋体" w:eastAsia="宋体" w:hint="default"/>
        </w:rPr>
        <w:t>2017</w:t>
      </w:r>
      <w:r>
        <w:rPr/>
        <w:t>】</w:t>
      </w:r>
      <w:r>
        <w:rPr>
          <w:rFonts w:ascii="宋体" w:hAnsi="宋体" w:cs="宋体" w:eastAsia="宋体" w:hint="default"/>
        </w:rPr>
        <w:t>24</w:t>
      </w:r>
      <w:r>
        <w:rPr/>
        <w:t>号文件，本公司于</w:t>
      </w:r>
      <w:r>
        <w:rPr>
          <w:rFonts w:ascii="宋体" w:hAnsi="宋体" w:cs="宋体" w:eastAsia="宋体" w:hint="default"/>
        </w:rPr>
        <w:t>2017</w:t>
      </w:r>
      <w:r>
        <w:rPr/>
        <w:t>年</w:t>
      </w:r>
      <w:r>
        <w:rPr>
          <w:rFonts w:ascii="宋体" w:hAnsi="宋体" w:cs="宋体" w:eastAsia="宋体" w:hint="default"/>
        </w:rPr>
        <w:t>4</w:t>
      </w:r>
      <w:r>
        <w:rPr/>
        <w:t>月</w:t>
      </w:r>
      <w:r>
        <w:rPr>
          <w:rFonts w:ascii="宋体" w:hAnsi="宋体" w:cs="宋体" w:eastAsia="宋体" w:hint="default"/>
        </w:rPr>
        <w:t>17</w:t>
      </w:r>
      <w:r>
        <w:rPr/>
        <w:t>日收到汕头市澄海区国库支 付管理办公室发放的</w:t>
      </w:r>
      <w:r>
        <w:rPr>
          <w:rFonts w:ascii="宋体" w:hAnsi="宋体" w:cs="宋体" w:eastAsia="宋体" w:hint="default"/>
        </w:rPr>
        <w:t>2016</w:t>
      </w:r>
      <w:r>
        <w:rPr/>
        <w:t>年度广东省企业研究开发省级财政补助资金</w:t>
      </w:r>
      <w:r>
        <w:rPr>
          <w:rFonts w:ascii="宋体" w:hAnsi="宋体" w:cs="宋体" w:eastAsia="宋体" w:hint="default"/>
        </w:rPr>
        <w:t>814,500.00</w:t>
      </w:r>
      <w:r>
        <w:rPr/>
        <w:t>元。</w:t>
      </w:r>
    </w:p>
    <w:p>
      <w:pPr>
        <w:pStyle w:val="BodyText"/>
        <w:spacing w:line="240" w:lineRule="auto" w:before="54"/>
        <w:ind w:left="513" w:right="0"/>
        <w:jc w:val="left"/>
      </w:pPr>
      <w:r>
        <w:rPr>
          <w:rFonts w:ascii="宋体" w:hAnsi="宋体" w:cs="宋体" w:eastAsia="宋体" w:hint="default"/>
        </w:rPr>
        <w:t>*3</w:t>
      </w:r>
      <w:r>
        <w:rPr/>
        <w:t>本公司于</w:t>
      </w:r>
      <w:r>
        <w:rPr>
          <w:rFonts w:ascii="宋体" w:hAnsi="宋体" w:cs="宋体" w:eastAsia="宋体" w:hint="default"/>
        </w:rPr>
        <w:t>2017</w:t>
      </w:r>
      <w:r>
        <w:rPr/>
        <w:t>年</w:t>
      </w:r>
      <w:r>
        <w:rPr>
          <w:rFonts w:ascii="宋体" w:hAnsi="宋体" w:cs="宋体" w:eastAsia="宋体" w:hint="default"/>
        </w:rPr>
        <w:t>4</w:t>
      </w:r>
      <w:r>
        <w:rPr/>
        <w:t>月</w:t>
      </w:r>
      <w:r>
        <w:rPr>
          <w:rFonts w:ascii="宋体" w:hAnsi="宋体" w:cs="宋体" w:eastAsia="宋体" w:hint="default"/>
        </w:rPr>
        <w:t>27</w:t>
      </w:r>
      <w:r>
        <w:rPr/>
        <w:t>日收到汕头市澄海区国库支付管理办公室支付的汕头市</w:t>
      </w:r>
      <w:r>
        <w:rPr>
          <w:rFonts w:ascii="宋体" w:hAnsi="宋体" w:cs="宋体" w:eastAsia="宋体" w:hint="default"/>
        </w:rPr>
        <w:t>2016</w:t>
      </w:r>
      <w:r>
        <w:rPr/>
        <w:t>年省级内外贸发展与口岸建设专项</w:t>
      </w:r>
    </w:p>
    <w:p>
      <w:pPr>
        <w:spacing w:after="0" w:line="240" w:lineRule="auto"/>
        <w:jc w:val="left"/>
        <w:sectPr>
          <w:pgSz w:w="11910" w:h="16840"/>
          <w:pgMar w:header="877" w:footer="979" w:top="1100" w:bottom="1160" w:left="980" w:right="980"/>
        </w:sectPr>
      </w:pPr>
    </w:p>
    <w:p>
      <w:pPr>
        <w:spacing w:line="240" w:lineRule="auto" w:before="12"/>
        <w:rPr>
          <w:rFonts w:ascii="宋体" w:hAnsi="宋体" w:cs="宋体" w:eastAsia="宋体" w:hint="default"/>
          <w:sz w:val="27"/>
          <w:szCs w:val="27"/>
        </w:rPr>
      </w:pPr>
    </w:p>
    <w:p>
      <w:pPr>
        <w:pStyle w:val="BodyText"/>
        <w:spacing w:line="240" w:lineRule="auto" w:before="44"/>
        <w:ind w:right="0"/>
        <w:jc w:val="left"/>
      </w:pPr>
      <w:r>
        <w:rPr/>
        <w:t>资金</w:t>
      </w:r>
      <w:r>
        <w:rPr>
          <w:rFonts w:ascii="宋体" w:hAnsi="宋体" w:cs="宋体" w:eastAsia="宋体" w:hint="default"/>
        </w:rPr>
        <w:t>50,000.00</w:t>
      </w:r>
      <w:r>
        <w:rPr/>
        <w:t>元。</w:t>
      </w:r>
    </w:p>
    <w:p>
      <w:pPr>
        <w:spacing w:line="240" w:lineRule="auto" w:before="10"/>
        <w:rPr>
          <w:rFonts w:ascii="宋体" w:hAnsi="宋体" w:cs="宋体" w:eastAsia="宋体" w:hint="default"/>
          <w:sz w:val="17"/>
          <w:szCs w:val="17"/>
        </w:rPr>
      </w:pPr>
    </w:p>
    <w:p>
      <w:pPr>
        <w:pStyle w:val="BodyText"/>
        <w:spacing w:line="477" w:lineRule="auto"/>
        <w:ind w:right="144" w:firstLine="360"/>
        <w:jc w:val="left"/>
      </w:pPr>
      <w:r>
        <w:rPr>
          <w:rFonts w:ascii="宋体" w:hAnsi="宋体" w:cs="宋体" w:eastAsia="宋体" w:hint="default"/>
        </w:rPr>
        <w:t>*4</w:t>
      </w:r>
      <w:r>
        <w:rPr/>
        <w:t>本公司于</w:t>
      </w:r>
      <w:r>
        <w:rPr>
          <w:rFonts w:ascii="宋体" w:hAnsi="宋体" w:cs="宋体" w:eastAsia="宋体" w:hint="default"/>
        </w:rPr>
        <w:t>2017</w:t>
      </w:r>
      <w:r>
        <w:rPr/>
        <w:t>年</w:t>
      </w:r>
      <w:r>
        <w:rPr>
          <w:rFonts w:ascii="宋体" w:hAnsi="宋体" w:cs="宋体" w:eastAsia="宋体" w:hint="default"/>
        </w:rPr>
        <w:t>5</w:t>
      </w:r>
      <w:r>
        <w:rPr/>
        <w:t>月</w:t>
      </w:r>
      <w:r>
        <w:rPr>
          <w:rFonts w:ascii="宋体" w:hAnsi="宋体" w:cs="宋体" w:eastAsia="宋体" w:hint="default"/>
        </w:rPr>
        <w:t>15</w:t>
      </w:r>
      <w:r>
        <w:rPr/>
        <w:t>日收到汕头市澄海区国库支付管理办公室发放的中央财政</w:t>
      </w:r>
      <w:r>
        <w:rPr>
          <w:rFonts w:ascii="宋体" w:hAnsi="宋体" w:cs="宋体" w:eastAsia="宋体" w:hint="default"/>
        </w:rPr>
        <w:t>2016</w:t>
      </w:r>
      <w:r>
        <w:rPr/>
        <w:t>年度外贸发展专项资金（企业品 牌培育项目）</w:t>
      </w:r>
      <w:r>
        <w:rPr>
          <w:rFonts w:ascii="宋体" w:hAnsi="宋体" w:cs="宋体" w:eastAsia="宋体" w:hint="default"/>
        </w:rPr>
        <w:t>500,000.00</w:t>
      </w:r>
      <w:r>
        <w:rPr/>
        <w:t>元。</w:t>
      </w:r>
    </w:p>
    <w:p>
      <w:pPr>
        <w:pStyle w:val="BodyText"/>
        <w:spacing w:line="477" w:lineRule="auto" w:before="54"/>
        <w:ind w:right="144" w:firstLine="360"/>
        <w:jc w:val="left"/>
      </w:pPr>
      <w:r>
        <w:rPr>
          <w:rFonts w:ascii="宋体" w:hAnsi="宋体" w:cs="宋体" w:eastAsia="宋体" w:hint="default"/>
        </w:rPr>
        <w:t>*5</w:t>
      </w:r>
      <w:r>
        <w:rPr/>
        <w:t>本公司于</w:t>
      </w:r>
      <w:r>
        <w:rPr>
          <w:rFonts w:ascii="宋体" w:hAnsi="宋体" w:cs="宋体" w:eastAsia="宋体" w:hint="default"/>
        </w:rPr>
        <w:t>2017</w:t>
      </w:r>
      <w:r>
        <w:rPr/>
        <w:t>年</w:t>
      </w:r>
      <w:r>
        <w:rPr>
          <w:rFonts w:ascii="宋体" w:hAnsi="宋体" w:cs="宋体" w:eastAsia="宋体" w:hint="default"/>
        </w:rPr>
        <w:t>5</w:t>
      </w:r>
      <w:r>
        <w:rPr/>
        <w:t>月</w:t>
      </w:r>
      <w:r>
        <w:rPr>
          <w:rFonts w:ascii="宋体" w:hAnsi="宋体" w:cs="宋体" w:eastAsia="宋体" w:hint="default"/>
        </w:rPr>
        <w:t>26</w:t>
      </w:r>
      <w:r>
        <w:rPr/>
        <w:t>日收到汕头市澄海区国库支付管理办公室发放的中央财政</w:t>
      </w:r>
      <w:r>
        <w:rPr>
          <w:rFonts w:ascii="宋体" w:hAnsi="宋体" w:cs="宋体" w:eastAsia="宋体" w:hint="default"/>
        </w:rPr>
        <w:t>2016</w:t>
      </w:r>
      <w:r>
        <w:rPr/>
        <w:t>年度外经贸发展专项资金（外贸 中小企业开拓市场项目）</w:t>
      </w:r>
      <w:r>
        <w:rPr>
          <w:rFonts w:ascii="宋体" w:hAnsi="宋体" w:cs="宋体" w:eastAsia="宋体" w:hint="default"/>
        </w:rPr>
        <w:t>61,487.00</w:t>
      </w:r>
      <w:r>
        <w:rPr/>
        <w:t>元。</w:t>
      </w:r>
    </w:p>
    <w:p>
      <w:pPr>
        <w:pStyle w:val="BodyText"/>
        <w:spacing w:line="240" w:lineRule="auto" w:before="54"/>
        <w:ind w:left="513" w:right="0"/>
        <w:jc w:val="left"/>
      </w:pPr>
      <w:r>
        <w:rPr>
          <w:rFonts w:ascii="宋体" w:hAnsi="宋体" w:cs="宋体" w:eastAsia="宋体" w:hint="default"/>
        </w:rPr>
        <w:t>*6</w:t>
      </w:r>
      <w:r>
        <w:rPr>
          <w:rFonts w:ascii="宋体" w:hAnsi="宋体" w:cs="宋体" w:eastAsia="宋体" w:hint="default"/>
          <w:spacing w:val="-7"/>
        </w:rPr>
        <w:t> </w:t>
      </w:r>
      <w:r>
        <w:rPr/>
        <w:t>本公司于</w:t>
      </w:r>
      <w:r>
        <w:rPr>
          <w:rFonts w:ascii="宋体" w:hAnsi="宋体" w:cs="宋体" w:eastAsia="宋体" w:hint="default"/>
        </w:rPr>
        <w:t>2017</w:t>
      </w:r>
      <w:r>
        <w:rPr/>
        <w:t>年</w:t>
      </w:r>
      <w:r>
        <w:rPr>
          <w:rFonts w:ascii="宋体" w:hAnsi="宋体" w:cs="宋体" w:eastAsia="宋体" w:hint="default"/>
        </w:rPr>
        <w:t>12</w:t>
      </w:r>
      <w:r>
        <w:rPr/>
        <w:t>月</w:t>
      </w:r>
      <w:r>
        <w:rPr>
          <w:rFonts w:ascii="宋体" w:hAnsi="宋体" w:cs="宋体" w:eastAsia="宋体" w:hint="default"/>
        </w:rPr>
        <w:t>5</w:t>
      </w:r>
      <w:r>
        <w:rPr/>
        <w:t>日收到</w:t>
      </w:r>
      <w:r>
        <w:rPr>
          <w:rFonts w:ascii="宋体" w:hAnsi="宋体" w:cs="宋体" w:eastAsia="宋体" w:hint="default"/>
        </w:rPr>
        <w:t>2016</w:t>
      </w:r>
      <w:r>
        <w:rPr/>
        <w:t>年区专利申请（授权）资助项目经费</w:t>
      </w:r>
      <w:r>
        <w:rPr>
          <w:rFonts w:ascii="宋体" w:hAnsi="宋体" w:cs="宋体" w:eastAsia="宋体" w:hint="default"/>
        </w:rPr>
        <w:t>10,165.00</w:t>
      </w:r>
      <w:r>
        <w:rPr/>
        <w:t>元。</w:t>
      </w:r>
    </w:p>
    <w:p>
      <w:pPr>
        <w:spacing w:line="240" w:lineRule="auto" w:before="0"/>
        <w:rPr>
          <w:rFonts w:ascii="宋体" w:hAnsi="宋体" w:cs="宋体" w:eastAsia="宋体" w:hint="default"/>
          <w:sz w:val="18"/>
          <w:szCs w:val="18"/>
        </w:rPr>
      </w:pPr>
    </w:p>
    <w:p>
      <w:pPr>
        <w:pStyle w:val="Heading3"/>
        <w:spacing w:line="240" w:lineRule="auto" w:before="131"/>
        <w:ind w:right="0"/>
        <w:jc w:val="left"/>
        <w:rPr>
          <w:b w:val="0"/>
          <w:bCs w:val="0"/>
        </w:rPr>
      </w:pPr>
      <w:r>
        <w:rPr>
          <w:rFonts w:ascii="Times New Roman" w:hAnsi="Times New Roman" w:cs="Times New Roman" w:eastAsia="Times New Roman" w:hint="default"/>
        </w:rPr>
        <w:t>40</w:t>
      </w:r>
      <w:r>
        <w:rPr/>
        <w:t>、营业外支出</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88"/>
        <w:gridCol w:w="2396"/>
        <w:gridCol w:w="2393"/>
        <w:gridCol w:w="2393"/>
      </w:tblGrid>
      <w:tr>
        <w:trPr>
          <w:trHeight w:val="161" w:hRule="exact"/>
        </w:trPr>
        <w:tc>
          <w:tcPr>
            <w:tcW w:w="23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4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3"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1102" w:right="111" w:hanging="992"/>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4" w:hRule="exact"/>
        </w:trPr>
        <w:tc>
          <w:tcPr>
            <w:tcW w:w="2388" w:type="dxa"/>
            <w:vMerge/>
            <w:tcBorders>
              <w:left w:val="single" w:sz="4" w:space="0" w:color="000000"/>
              <w:right w:val="single" w:sz="4" w:space="0" w:color="000000"/>
            </w:tcBorders>
            <w:shd w:val="clear" w:color="auto" w:fill="D2D2D2"/>
          </w:tcPr>
          <w:p>
            <w:pPr/>
          </w:p>
        </w:tc>
        <w:tc>
          <w:tcPr>
            <w:tcW w:w="2396" w:type="dxa"/>
            <w:vMerge/>
            <w:tcBorders>
              <w:left w:val="single" w:sz="4" w:space="0" w:color="000000"/>
              <w:right w:val="single" w:sz="4" w:space="0" w:color="000000"/>
            </w:tcBorders>
            <w:shd w:val="clear" w:color="auto" w:fill="D2D2D2"/>
          </w:tcPr>
          <w:p>
            <w:pPr/>
          </w:p>
        </w:tc>
        <w:tc>
          <w:tcPr>
            <w:tcW w:w="239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74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3" w:type="dxa"/>
            <w:vMerge/>
            <w:tcBorders>
              <w:left w:val="single" w:sz="4" w:space="0" w:color="000000"/>
              <w:right w:val="single" w:sz="4" w:space="0" w:color="000000"/>
            </w:tcBorders>
            <w:shd w:val="clear" w:color="auto" w:fill="D2D2D2"/>
          </w:tcPr>
          <w:p>
            <w:pPr/>
          </w:p>
        </w:tc>
      </w:tr>
      <w:tr>
        <w:trPr>
          <w:trHeight w:val="161" w:hRule="exact"/>
        </w:trPr>
        <w:tc>
          <w:tcPr>
            <w:tcW w:w="2388" w:type="dxa"/>
            <w:vMerge/>
            <w:tcBorders>
              <w:left w:val="single" w:sz="4" w:space="0" w:color="000000"/>
              <w:bottom w:val="single" w:sz="4" w:space="0" w:color="000000"/>
              <w:right w:val="single" w:sz="4" w:space="0" w:color="000000"/>
            </w:tcBorders>
            <w:shd w:val="clear" w:color="auto" w:fill="D2D2D2"/>
          </w:tcPr>
          <w:p>
            <w:pPr/>
          </w:p>
        </w:tc>
        <w:tc>
          <w:tcPr>
            <w:tcW w:w="2396" w:type="dxa"/>
            <w:vMerge/>
            <w:tcBorders>
              <w:left w:val="single" w:sz="4" w:space="0" w:color="000000"/>
              <w:bottom w:val="single" w:sz="4" w:space="0" w:color="000000"/>
              <w:right w:val="single" w:sz="4" w:space="0" w:color="000000"/>
            </w:tcBorders>
            <w:shd w:val="clear" w:color="auto" w:fill="D2D2D2"/>
          </w:tcPr>
          <w:p>
            <w:pPr/>
          </w:p>
        </w:tc>
        <w:tc>
          <w:tcPr>
            <w:tcW w:w="2393"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2,000,000.00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2,000,000.00</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罚款</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2,000,200.00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2,000,200.00</w:t>
            </w:r>
          </w:p>
        </w:tc>
      </w:tr>
    </w:tbl>
    <w:p>
      <w:pPr>
        <w:pStyle w:val="BodyText"/>
        <w:spacing w:line="240" w:lineRule="auto" w:before="49"/>
        <w:ind w:right="0"/>
        <w:jc w:val="left"/>
      </w:pPr>
      <w:r>
        <w:rPr/>
        <w:t>其他说明：无。</w:t>
      </w:r>
    </w:p>
    <w:p>
      <w:pPr>
        <w:spacing w:line="240" w:lineRule="auto" w:before="2"/>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41</w:t>
      </w:r>
      <w:r>
        <w:rPr/>
        <w:t>、所得税费用</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）所得税费用表</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-2,588.29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1,792,160.26</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1,043,388.31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-429,828.81</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1,040,800.02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1,362,331.45</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779"/>
        <w:gridCol w:w="4791"/>
      </w:tblGrid>
      <w:tr>
        <w:trPr>
          <w:trHeight w:val="398"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6"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-20,371,979.45</w:t>
            </w:r>
          </w:p>
        </w:tc>
      </w:tr>
      <w:tr>
        <w:trPr>
          <w:trHeight w:val="403"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-2,588.29</w:t>
            </w:r>
          </w:p>
        </w:tc>
      </w:tr>
      <w:tr>
        <w:trPr>
          <w:trHeight w:val="401"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3,565,954.45</w:t>
            </w:r>
          </w:p>
        </w:tc>
      </w:tr>
      <w:tr>
        <w:trPr>
          <w:trHeight w:val="715"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63"/>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本期未确认递延所得税资产的可抵扣暂时性差异或可抵扣亏 损的影响</w:t>
            </w:r>
          </w:p>
        </w:tc>
        <w:tc>
          <w:tcPr>
            <w:tcW w:w="479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870,898.52</w:t>
            </w:r>
          </w:p>
        </w:tc>
      </w:tr>
      <w:tr>
        <w:trPr>
          <w:trHeight w:val="401" w:hRule="exact"/>
        </w:trPr>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调整对联营企业投资收益的影响</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-2,820,895.62</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98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4779"/>
        <w:gridCol w:w="4791"/>
      </w:tblGrid>
      <w:tr>
        <w:trPr>
          <w:trHeight w:val="401" w:hRule="exact"/>
        </w:trPr>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扣除公允价值变动损益的影响</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-572,569.04</w:t>
            </w:r>
          </w:p>
        </w:tc>
      </w:tr>
      <w:tr>
        <w:trPr>
          <w:trHeight w:val="403"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1,040,800.02</w:t>
            </w:r>
          </w:p>
        </w:tc>
      </w:tr>
    </w:tbl>
    <w:p>
      <w:pPr>
        <w:pStyle w:val="BodyText"/>
        <w:spacing w:line="240" w:lineRule="auto" w:before="49"/>
        <w:ind w:right="0"/>
        <w:jc w:val="left"/>
      </w:pPr>
      <w:r>
        <w:rPr/>
        <w:t>其他说明</w:t>
      </w:r>
      <w:r>
        <w:rPr>
          <w:rFonts w:ascii="Times New Roman" w:hAnsi="Times New Roman" w:cs="Times New Roman" w:eastAsia="Times New Roman" w:hint="default"/>
        </w:rPr>
        <w:t>:</w:t>
      </w:r>
      <w:r>
        <w:rPr/>
        <w:t>无。</w:t>
      </w:r>
    </w:p>
    <w:p>
      <w:pPr>
        <w:spacing w:line="240" w:lineRule="auto" w:before="11"/>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42</w:t>
      </w:r>
      <w:r>
        <w:rPr/>
        <w:t>、现金流量表项目</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收到往来款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2,976,187.56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1,367,491.58</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1,009,846.35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1,293,072.28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收到政府补助</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1,437,114.24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2,108,349.00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0.16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2,819.95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5,423,148.31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4,771,732.81</w:t>
            </w:r>
          </w:p>
        </w:tc>
      </w:tr>
    </w:tbl>
    <w:p>
      <w:pPr>
        <w:pStyle w:val="BodyText"/>
        <w:spacing w:line="240" w:lineRule="auto" w:before="49"/>
        <w:ind w:right="0"/>
        <w:jc w:val="left"/>
      </w:pPr>
      <w:r>
        <w:rPr/>
        <w:t>收到的其他与经营活动有关的现金说明：无。</w:t>
      </w:r>
    </w:p>
    <w:p>
      <w:pPr>
        <w:spacing w:line="240" w:lineRule="auto" w:before="12"/>
        <w:rPr>
          <w:rFonts w:ascii="宋体" w:hAnsi="宋体" w:cs="宋体" w:eastAsia="宋体" w:hint="default"/>
          <w:sz w:val="21"/>
          <w:szCs w:val="21"/>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14"/>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付现管理费用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10,603,200.01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27,449,663.47</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付现销售费用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856,173.79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10,293,790.58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捐赠</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支付往来款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2,067,820.15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2,225,919.91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66,037.88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47,307.36</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15,593,231.83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41,016,681.32</w:t>
            </w:r>
          </w:p>
        </w:tc>
      </w:tr>
    </w:tbl>
    <w:p>
      <w:pPr>
        <w:pStyle w:val="BodyText"/>
        <w:spacing w:line="240" w:lineRule="auto" w:before="49"/>
        <w:ind w:right="0"/>
        <w:jc w:val="left"/>
      </w:pPr>
      <w:r>
        <w:rPr/>
        <w:t>支付的其他与经营活动有关的现金说明：无。</w:t>
      </w:r>
    </w:p>
    <w:p>
      <w:pPr>
        <w:spacing w:line="240" w:lineRule="auto" w:before="1"/>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43</w:t>
      </w:r>
      <w:r>
        <w:rPr/>
        <w:t>、现金流量表补充资料</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）现金流量表补充资料</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327"/>
        <w:gridCol w:w="3058"/>
        <w:gridCol w:w="3185"/>
      </w:tblGrid>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4"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-21,412,779.47</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12,764,280.64</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14,106,763.13</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6,176,604.20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980"/>
        </w:sectPr>
      </w:pPr>
    </w:p>
    <w:p>
      <w:pPr>
        <w:spacing w:line="240" w:lineRule="auto" w:before="8"/>
        <w:rPr>
          <w:rFonts w:ascii="宋体" w:hAnsi="宋体" w:cs="宋体" w:eastAsia="宋体" w:hint="default"/>
          <w:sz w:val="24"/>
          <w:szCs w:val="24"/>
        </w:rPr>
      </w:pPr>
      <w:r>
        <w:rPr/>
        <w:pict>
          <v:shape style="position:absolute;margin-left:190.130005pt;margin-top:244.48999pt;width:185.55pt;height:19.6pt;mso-position-horizontal-relative:page;mso-position-vertical-relative:page;z-index:-700792" type="#_x0000_t202" filled="false" stroked="false">
            <v:textbox inset="0,0,0,0">
              <w:txbxContent>
                <w:p>
                  <w:pPr>
                    <w:pStyle w:val="BodyText"/>
                    <w:spacing w:line="240" w:lineRule="auto" w:before="49"/>
                    <w:ind w:left="0" w:right="0"/>
                    <w:jc w:val="left"/>
                  </w:pPr>
                  <w:r>
                    <w:rPr/>
                    <w:t>号填列）</w:t>
                  </w:r>
                </w:p>
              </w:txbxContent>
            </v:textbox>
            <w10:wrap type="none"/>
          </v:shape>
        </w:pict>
      </w:r>
    </w:p>
    <w:tbl>
      <w:tblPr>
        <w:tblW w:w="0" w:type="auto"/>
        <w:jc w:val="left"/>
        <w:tblInd w:w="148" w:type="dxa"/>
        <w:tblLayout w:type="fixed"/>
        <w:tblCellMar>
          <w:top w:w="0" w:type="dxa"/>
          <w:left w:w="0" w:type="dxa"/>
          <w:bottom w:w="0" w:type="dxa"/>
          <w:right w:w="0" w:type="dxa"/>
        </w:tblCellMar>
        <w:tblLook w:val="01E0"/>
      </w:tblPr>
      <w:tblGrid>
        <w:gridCol w:w="3327"/>
        <w:gridCol w:w="1073"/>
        <w:gridCol w:w="1985"/>
        <w:gridCol w:w="3185"/>
      </w:tblGrid>
      <w:tr>
        <w:trPr>
          <w:trHeight w:val="71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51"/>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 物资产折旧</w:t>
            </w:r>
          </w:p>
        </w:tc>
        <w:tc>
          <w:tcPr>
            <w:tcW w:w="3058"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3,727,583.61</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21,212,684.72</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1,748,310.10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2,890,151.56</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140,470.56</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904,081.79</w:t>
            </w:r>
          </w:p>
        </w:tc>
      </w:tr>
      <w:tr>
        <w:trPr>
          <w:trHeight w:val="715"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51"/>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 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58"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351,617.68</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-12,735,873.79</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公允价值变动损失（收益以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18" w:right="0"/>
              <w:jc w:val="left"/>
              <w:rPr>
                <w:rFonts w:ascii="Times New Roman" w:hAnsi="Times New Roman" w:cs="Times New Roman" w:eastAsia="Times New Roman" w:hint="default"/>
                <w:sz w:val="18"/>
                <w:szCs w:val="18"/>
              </w:rPr>
            </w:pPr>
            <w:r>
              <w:rPr>
                <w:rFonts w:ascii="Times New Roman"/>
                <w:sz w:val="18"/>
              </w:rPr>
              <w:t>-2,290,276.14</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878,743.56</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30" w:right="0"/>
              <w:jc w:val="left"/>
              <w:rPr>
                <w:rFonts w:ascii="Times New Roman" w:hAnsi="Times New Roman" w:cs="Times New Roman" w:eastAsia="Times New Roman" w:hint="default"/>
                <w:sz w:val="18"/>
                <w:szCs w:val="18"/>
              </w:rPr>
            </w:pPr>
            <w:r>
              <w:rPr>
                <w:rFonts w:ascii="Times New Roman"/>
                <w:sz w:val="18"/>
              </w:rPr>
              <w:t>-17,043,346.01</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-23,468,803.26</w:t>
            </w:r>
          </w:p>
        </w:tc>
      </w:tr>
      <w:tr>
        <w:trPr>
          <w:trHeight w:val="403" w:hRule="exact"/>
        </w:trPr>
        <w:tc>
          <w:tcPr>
            <w:tcW w:w="3327"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递延所得税资产减少（增加以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p>
        </w:tc>
        <w:tc>
          <w:tcPr>
            <w:tcW w:w="1073" w:type="dxa"/>
            <w:tcBorders>
              <w:top w:val="single" w:sz="4" w:space="0" w:color="000000"/>
              <w:left w:val="single" w:sz="13" w:space="0" w:color="FFFFFF"/>
              <w:bottom w:val="single" w:sz="4" w:space="0" w:color="000000"/>
              <w:right w:val="nil" w:sz="6" w:space="0" w:color="auto"/>
            </w:tcBorders>
          </w:tcPr>
          <w:p>
            <w:pPr/>
          </w:p>
        </w:tc>
        <w:tc>
          <w:tcPr>
            <w:tcW w:w="1985" w:type="dxa"/>
            <w:tcBorders>
              <w:top w:val="single" w:sz="4" w:space="0" w:color="000000"/>
              <w:left w:val="nil" w:sz="6" w:space="0" w:color="auto"/>
              <w:bottom w:val="single" w:sz="4" w:space="0" w:color="000000"/>
              <w:right w:val="single" w:sz="12" w:space="0" w:color="FFFFFF"/>
            </w:tcBorders>
          </w:tcPr>
          <w:p>
            <w:pPr>
              <w:pStyle w:val="TableParagraph"/>
              <w:spacing w:line="240" w:lineRule="auto" w:before="93"/>
              <w:ind w:left="1010" w:right="0"/>
              <w:jc w:val="left"/>
              <w:rPr>
                <w:rFonts w:ascii="Times New Roman" w:hAnsi="Times New Roman" w:cs="Times New Roman" w:eastAsia="Times New Roman" w:hint="default"/>
                <w:sz w:val="18"/>
                <w:szCs w:val="18"/>
              </w:rPr>
            </w:pPr>
            <w:r>
              <w:rPr>
                <w:rFonts w:ascii="Times New Roman"/>
                <w:sz w:val="18"/>
              </w:rPr>
              <w:t>1,043,388.31</w:t>
            </w:r>
          </w:p>
        </w:tc>
        <w:tc>
          <w:tcPr>
            <w:tcW w:w="3185" w:type="dxa"/>
            <w:tcBorders>
              <w:top w:val="single" w:sz="4" w:space="0" w:color="000000"/>
              <w:left w:val="single" w:sz="12" w:space="0" w:color="FFFFFF"/>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-429,828.81</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90" w:right="0"/>
              <w:jc w:val="left"/>
              <w:rPr>
                <w:rFonts w:ascii="Times New Roman" w:hAnsi="Times New Roman" w:cs="Times New Roman" w:eastAsia="Times New Roman" w:hint="default"/>
                <w:sz w:val="18"/>
                <w:szCs w:val="18"/>
              </w:rPr>
            </w:pPr>
            <w:r>
              <w:rPr>
                <w:rFonts w:ascii="Times New Roman"/>
                <w:sz w:val="18"/>
              </w:rPr>
              <w:t>49,889,275.12</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17,910,161.01</w:t>
            </w:r>
          </w:p>
        </w:tc>
      </w:tr>
      <w:tr>
        <w:trPr>
          <w:trHeight w:val="715"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4" w:right="72"/>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58"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982" w:right="0"/>
              <w:jc w:val="left"/>
              <w:rPr>
                <w:rFonts w:ascii="Times New Roman" w:hAnsi="Times New Roman" w:cs="Times New Roman" w:eastAsia="Times New Roman" w:hint="default"/>
                <w:sz w:val="18"/>
                <w:szCs w:val="18"/>
              </w:rPr>
            </w:pPr>
            <w:r>
              <w:rPr>
                <w:rFonts w:ascii="Times New Roman"/>
                <w:sz w:val="18"/>
              </w:rPr>
              <w:t>27,550,884.46</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45,573,346.05</w:t>
            </w:r>
          </w:p>
        </w:tc>
      </w:tr>
      <w:tr>
        <w:trPr>
          <w:trHeight w:val="71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58"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11" w:right="0"/>
              <w:jc w:val="left"/>
              <w:rPr>
                <w:rFonts w:ascii="Times New Roman" w:hAnsi="Times New Roman" w:cs="Times New Roman" w:eastAsia="Times New Roman" w:hint="default"/>
                <w:sz w:val="18"/>
                <w:szCs w:val="18"/>
              </w:rPr>
            </w:pPr>
            <w:r>
              <w:rPr>
                <w:rFonts w:ascii="Times New Roman"/>
                <w:sz w:val="18"/>
              </w:rPr>
              <w:t>-9,104,083.75</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-18,306,632.48</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0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018" w:right="0"/>
              <w:jc w:val="left"/>
              <w:rPr>
                <w:rFonts w:ascii="Times New Roman" w:hAnsi="Times New Roman" w:cs="Times New Roman" w:eastAsia="Times New Roman" w:hint="default"/>
                <w:sz w:val="18"/>
                <w:szCs w:val="18"/>
              </w:rPr>
            </w:pPr>
            <w:r>
              <w:rPr>
                <w:rFonts w:ascii="Times New Roman"/>
                <w:sz w:val="18"/>
              </w:rPr>
              <w:t>-1,764,448.86</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-136,602.48</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90" w:right="0"/>
              <w:jc w:val="left"/>
              <w:rPr>
                <w:rFonts w:ascii="Times New Roman" w:hAnsi="Times New Roman" w:cs="Times New Roman" w:eastAsia="Times New Roman" w:hint="default"/>
                <w:sz w:val="18"/>
                <w:szCs w:val="18"/>
              </w:rPr>
            </w:pPr>
            <w:r>
              <w:rPr>
                <w:rFonts w:ascii="Times New Roman"/>
                <w:sz w:val="18"/>
              </w:rPr>
              <w:t>46,943,358.74</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53,232,312.71</w:t>
            </w:r>
          </w:p>
        </w:tc>
      </w:tr>
      <w:tr>
        <w:trPr>
          <w:trHeight w:val="162" w:hRule="exact"/>
        </w:trPr>
        <w:tc>
          <w:tcPr>
            <w:tcW w:w="3327" w:type="dxa"/>
            <w:vMerge w:val="restart"/>
            <w:tcBorders>
              <w:top w:val="single" w:sz="4" w:space="0" w:color="000000"/>
              <w:left w:val="single" w:sz="4" w:space="0" w:color="000000"/>
              <w:right w:val="single" w:sz="4" w:space="0" w:color="000000"/>
            </w:tcBorders>
            <w:shd w:val="clear" w:color="auto" w:fill="D2D2D2"/>
          </w:tcPr>
          <w:p>
            <w:pPr>
              <w:pStyle w:val="TableParagraph"/>
              <w:spacing w:line="297" w:lineRule="auto" w:before="50"/>
              <w:ind w:left="24" w:right="14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 动：</w:t>
            </w:r>
          </w:p>
        </w:tc>
        <w:tc>
          <w:tcPr>
            <w:tcW w:w="3058"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318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3327" w:type="dxa"/>
            <w:vMerge/>
            <w:tcBorders>
              <w:left w:val="single" w:sz="4" w:space="0" w:color="000000"/>
              <w:right w:val="single" w:sz="4" w:space="0" w:color="000000"/>
            </w:tcBorders>
            <w:shd w:val="clear" w:color="auto" w:fill="D2D2D2"/>
          </w:tcPr>
          <w:p>
            <w:pPr/>
          </w:p>
        </w:tc>
        <w:tc>
          <w:tcPr>
            <w:tcW w:w="3058"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3327" w:type="dxa"/>
            <w:vMerge/>
            <w:tcBorders>
              <w:left w:val="single" w:sz="4" w:space="0" w:color="000000"/>
              <w:bottom w:val="single" w:sz="4" w:space="0" w:color="000000"/>
              <w:right w:val="single" w:sz="4" w:space="0" w:color="000000"/>
            </w:tcBorders>
            <w:shd w:val="clear" w:color="auto" w:fill="D2D2D2"/>
          </w:tcPr>
          <w:p>
            <w:pPr/>
          </w:p>
        </w:tc>
        <w:tc>
          <w:tcPr>
            <w:tcW w:w="3058"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318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305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0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898" w:right="0"/>
              <w:jc w:val="left"/>
              <w:rPr>
                <w:rFonts w:ascii="Times New Roman" w:hAnsi="Times New Roman" w:cs="Times New Roman" w:eastAsia="Times New Roman" w:hint="default"/>
                <w:sz w:val="18"/>
                <w:szCs w:val="18"/>
              </w:rPr>
            </w:pPr>
            <w:r>
              <w:rPr>
                <w:rFonts w:ascii="Times New Roman"/>
                <w:sz w:val="18"/>
              </w:rPr>
              <w:t>131,453,466.03</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151,371,753.65</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0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98" w:right="0"/>
              <w:jc w:val="left"/>
              <w:rPr>
                <w:rFonts w:ascii="Times New Roman" w:hAnsi="Times New Roman" w:cs="Times New Roman" w:eastAsia="Times New Roman" w:hint="default"/>
                <w:sz w:val="18"/>
                <w:szCs w:val="18"/>
              </w:rPr>
            </w:pPr>
            <w:r>
              <w:rPr>
                <w:rFonts w:ascii="Times New Roman"/>
                <w:sz w:val="18"/>
              </w:rPr>
              <w:t>151,371,753.65</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134,324,626.24</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930" w:right="0"/>
              <w:jc w:val="left"/>
              <w:rPr>
                <w:rFonts w:ascii="Times New Roman" w:hAnsi="Times New Roman" w:cs="Times New Roman" w:eastAsia="Times New Roman" w:hint="default"/>
                <w:sz w:val="18"/>
                <w:szCs w:val="18"/>
              </w:rPr>
            </w:pPr>
            <w:r>
              <w:rPr>
                <w:rFonts w:ascii="Times New Roman"/>
                <w:sz w:val="18"/>
              </w:rPr>
              <w:t>-19,918,287.62</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17,047,127.41</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2</w:t>
      </w:r>
      <w:r>
        <w:rPr/>
        <w:t>）现金和现金等价物的构成</w:t>
      </w:r>
      <w:r>
        <w:rPr>
          <w:b w:val="0"/>
          <w:bCs w:val="0"/>
        </w:rPr>
      </w:r>
    </w:p>
    <w:p>
      <w:pPr>
        <w:spacing w:line="240" w:lineRule="auto" w:before="14"/>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327"/>
        <w:gridCol w:w="3058"/>
        <w:gridCol w:w="3185"/>
      </w:tblGrid>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131,453,466.03</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151,371,753.65</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78,366.81</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228,825.90</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131,244,289.84</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151,142,927.75</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可随时用于支付的其他货币资金</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130,809.38</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131,453,466.03</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151,371,753.65</w:t>
            </w:r>
          </w:p>
        </w:tc>
      </w:tr>
    </w:tbl>
    <w:p>
      <w:pPr>
        <w:pStyle w:val="BodyText"/>
        <w:spacing w:line="240" w:lineRule="auto" w:before="49"/>
        <w:ind w:right="0"/>
        <w:jc w:val="left"/>
      </w:pPr>
      <w:r>
        <w:rPr/>
        <w:t>其他说明：无。</w:t>
      </w:r>
    </w:p>
    <w:p>
      <w:pPr>
        <w:spacing w:after="0" w:line="240" w:lineRule="auto"/>
        <w:jc w:val="left"/>
        <w:sectPr>
          <w:pgSz w:w="11910" w:h="16840"/>
          <w:pgMar w:header="877" w:footer="979" w:top="1100" w:bottom="1160" w:left="980" w:right="980"/>
        </w:sectPr>
      </w:pPr>
    </w:p>
    <w:p>
      <w:pPr>
        <w:spacing w:line="240" w:lineRule="auto" w:before="12"/>
        <w:rPr>
          <w:rFonts w:ascii="宋体" w:hAnsi="宋体" w:cs="宋体" w:eastAsia="宋体" w:hint="default"/>
          <w:sz w:val="20"/>
          <w:szCs w:val="20"/>
        </w:rPr>
      </w:pPr>
    </w:p>
    <w:p>
      <w:pPr>
        <w:pStyle w:val="Heading3"/>
        <w:spacing w:line="335" w:lineRule="exact"/>
        <w:ind w:right="94"/>
        <w:jc w:val="left"/>
        <w:rPr>
          <w:b w:val="0"/>
          <w:bCs w:val="0"/>
        </w:rPr>
      </w:pPr>
      <w:r>
        <w:rPr>
          <w:rFonts w:ascii="Times New Roman" w:hAnsi="Times New Roman" w:cs="Times New Roman" w:eastAsia="Times New Roman" w:hint="default"/>
        </w:rPr>
        <w:t>44</w:t>
      </w:r>
      <w:r>
        <w:rPr/>
        <w:t>、外币货币性项目</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94"/>
        <w:jc w:val="left"/>
        <w:rPr>
          <w:b w:val="0"/>
          <w:bCs w:val="0"/>
        </w:rPr>
      </w:pPr>
      <w:r>
        <w:rPr/>
        <w:t>（</w:t>
      </w:r>
      <w:r>
        <w:rPr>
          <w:rFonts w:ascii="Times New Roman" w:hAnsi="Times New Roman" w:cs="Times New Roman" w:eastAsia="Times New Roman" w:hint="default"/>
        </w:rPr>
        <w:t>1</w:t>
      </w:r>
      <w:r>
        <w:rPr/>
        <w:t>）外币货币性项目</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9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497"/>
        <w:gridCol w:w="2292"/>
        <w:gridCol w:w="2391"/>
        <w:gridCol w:w="2391"/>
      </w:tblGrid>
      <w:tr>
        <w:trPr>
          <w:trHeight w:val="401" w:hRule="exact"/>
        </w:trPr>
        <w:tc>
          <w:tcPr>
            <w:tcW w:w="2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2"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9"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r>
        <w:trPr>
          <w:trHeight w:val="403" w:hRule="exact"/>
        </w:trPr>
        <w:tc>
          <w:tcPr>
            <w:tcW w:w="2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2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236,028.34</w:t>
            </w:r>
          </w:p>
        </w:tc>
      </w:tr>
      <w:tr>
        <w:trPr>
          <w:trHeight w:val="401" w:hRule="exact"/>
        </w:trPr>
        <w:tc>
          <w:tcPr>
            <w:tcW w:w="2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27,462.63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6.5342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179,446.32</w:t>
            </w:r>
          </w:p>
        </w:tc>
      </w:tr>
      <w:tr>
        <w:trPr>
          <w:trHeight w:val="403" w:hRule="exact"/>
        </w:trPr>
        <w:tc>
          <w:tcPr>
            <w:tcW w:w="2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7.8023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0.23</w:t>
            </w:r>
          </w:p>
        </w:tc>
      </w:tr>
      <w:tr>
        <w:trPr>
          <w:trHeight w:val="401" w:hRule="exact"/>
        </w:trPr>
        <w:tc>
          <w:tcPr>
            <w:tcW w:w="2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67,688.85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0.83591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56,581.79</w:t>
            </w:r>
          </w:p>
        </w:tc>
      </w:tr>
    </w:tbl>
    <w:p>
      <w:pPr>
        <w:pStyle w:val="BodyText"/>
        <w:spacing w:line="240" w:lineRule="auto" w:before="49"/>
        <w:ind w:right="94"/>
        <w:jc w:val="left"/>
      </w:pPr>
      <w:r>
        <w:rPr/>
        <w:t>其他说明：无。</w:t>
      </w:r>
    </w:p>
    <w:p>
      <w:pPr>
        <w:spacing w:line="240" w:lineRule="auto" w:before="10"/>
        <w:rPr>
          <w:rFonts w:ascii="宋体" w:hAnsi="宋体" w:cs="宋体" w:eastAsia="宋体" w:hint="default"/>
          <w:sz w:val="26"/>
          <w:szCs w:val="26"/>
        </w:rPr>
      </w:pPr>
    </w:p>
    <w:p>
      <w:pPr>
        <w:pStyle w:val="Heading3"/>
        <w:spacing w:line="314" w:lineRule="exact"/>
        <w:ind w:right="94"/>
        <w:jc w:val="left"/>
        <w:rPr>
          <w:b w:val="0"/>
          <w:bCs w:val="0"/>
        </w:rPr>
      </w:pPr>
      <w:r>
        <w:rPr/>
        <w:t>（</w:t>
      </w:r>
      <w:r>
        <w:rPr>
          <w:rFonts w:ascii="Times New Roman" w:hAnsi="Times New Roman" w:cs="Times New Roman" w:eastAsia="Times New Roman" w:hint="default"/>
        </w:rPr>
        <w:t>2</w:t>
      </w:r>
      <w:r>
        <w:rPr/>
        <w:t>）境外经营实体说明，包括对于重要的境外经营实体，应披露其境外主要经营地、记账本位币及选择</w:t>
      </w:r>
      <w:r>
        <w:rPr>
          <w:spacing w:val="25"/>
        </w:rPr>
        <w:t> </w:t>
      </w:r>
      <w:r>
        <w:rPr>
          <w:spacing w:val="25"/>
        </w:rPr>
      </w:r>
      <w:r>
        <w:rPr/>
        <w:t>依据，记账本位币发生变化的还应披露原因。</w:t>
      </w:r>
      <w:r>
        <w:rPr>
          <w:b w:val="0"/>
          <w:bCs w:val="0"/>
        </w:rPr>
      </w:r>
    </w:p>
    <w:p>
      <w:pPr>
        <w:spacing w:line="240" w:lineRule="auto" w:before="11"/>
        <w:rPr>
          <w:rFonts w:ascii="Microsoft JhengHei" w:hAnsi="Microsoft JhengHei" w:cs="Microsoft JhengHei" w:eastAsia="Microsoft JhengHei" w:hint="default"/>
          <w:b/>
          <w:bCs/>
          <w:sz w:val="18"/>
          <w:szCs w:val="18"/>
        </w:rPr>
      </w:pPr>
    </w:p>
    <w:p>
      <w:pPr>
        <w:pStyle w:val="BodyText"/>
        <w:spacing w:line="240" w:lineRule="auto"/>
        <w:ind w:right="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5"/>
        <w:rPr>
          <w:rFonts w:ascii="宋体" w:hAnsi="宋体" w:cs="宋体" w:eastAsia="宋体" w:hint="default"/>
          <w:sz w:val="18"/>
          <w:szCs w:val="18"/>
        </w:rPr>
      </w:pPr>
    </w:p>
    <w:p>
      <w:pPr>
        <w:pStyle w:val="Heading2"/>
        <w:spacing w:line="240" w:lineRule="auto"/>
        <w:ind w:right="94"/>
        <w:jc w:val="left"/>
        <w:rPr>
          <w:b w:val="0"/>
          <w:bCs w:val="0"/>
        </w:rPr>
      </w:pPr>
      <w:r>
        <w:rPr/>
        <w:t>八、合并范围的变更</w:t>
      </w:r>
      <w:r>
        <w:rPr>
          <w:b w:val="0"/>
          <w:bCs w:val="0"/>
        </w:rPr>
      </w:r>
    </w:p>
    <w:p>
      <w:pPr>
        <w:spacing w:line="240" w:lineRule="auto" w:before="6"/>
        <w:rPr>
          <w:rFonts w:ascii="Microsoft JhengHei" w:hAnsi="Microsoft JhengHei" w:cs="Microsoft JhengHei" w:eastAsia="Microsoft JhengHei" w:hint="default"/>
          <w:b/>
          <w:bCs/>
          <w:sz w:val="13"/>
          <w:szCs w:val="13"/>
        </w:rPr>
      </w:pPr>
    </w:p>
    <w:p>
      <w:pPr>
        <w:pStyle w:val="Heading3"/>
        <w:spacing w:line="240" w:lineRule="auto"/>
        <w:ind w:right="94"/>
        <w:jc w:val="left"/>
        <w:rPr>
          <w:b w:val="0"/>
          <w:bCs w:val="0"/>
        </w:rPr>
      </w:pPr>
      <w:r>
        <w:rPr>
          <w:rFonts w:ascii="Times New Roman" w:hAnsi="Times New Roman" w:cs="Times New Roman" w:eastAsia="Times New Roman" w:hint="default"/>
        </w:rPr>
        <w:t>1</w:t>
      </w:r>
      <w:r>
        <w:rPr/>
        <w:t>、其他原因的合并范围变动</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240" w:lineRule="auto"/>
        <w:ind w:right="94"/>
        <w:jc w:val="left"/>
      </w:pPr>
      <w:r>
        <w:rPr/>
        <w:t>说明其他原因导致的合并范围变动（如，新设子公司、清算子公司等）及其相关情况：</w:t>
      </w:r>
    </w:p>
    <w:p>
      <w:pPr>
        <w:spacing w:line="240" w:lineRule="auto" w:before="0"/>
        <w:rPr>
          <w:rFonts w:ascii="宋体" w:hAnsi="宋体" w:cs="宋体" w:eastAsia="宋体" w:hint="default"/>
          <w:sz w:val="15"/>
          <w:szCs w:val="15"/>
        </w:rPr>
      </w:pPr>
    </w:p>
    <w:p>
      <w:pPr>
        <w:pStyle w:val="BodyText"/>
        <w:spacing w:line="477" w:lineRule="auto"/>
        <w:ind w:right="94" w:firstLine="360"/>
        <w:jc w:val="left"/>
      </w:pPr>
      <w:r>
        <w:rPr/>
        <w:t>（</w:t>
      </w:r>
      <w:r>
        <w:rPr>
          <w:rFonts w:ascii="宋体" w:hAnsi="宋体" w:cs="宋体" w:eastAsia="宋体" w:hint="default"/>
        </w:rPr>
        <w:t>1</w:t>
      </w:r>
      <w:r>
        <w:rPr/>
        <w:t>）本公司于</w:t>
      </w:r>
      <w:r>
        <w:rPr>
          <w:rFonts w:ascii="宋体" w:hAnsi="宋体" w:cs="宋体" w:eastAsia="宋体" w:hint="default"/>
        </w:rPr>
        <w:t>2017</w:t>
      </w:r>
      <w:r>
        <w:rPr/>
        <w:t>年</w:t>
      </w:r>
      <w:r>
        <w:rPr>
          <w:rFonts w:ascii="宋体" w:hAnsi="宋体" w:cs="宋体" w:eastAsia="宋体" w:hint="default"/>
        </w:rPr>
        <w:t>1</w:t>
      </w:r>
      <w:r>
        <w:rPr/>
        <w:t>月</w:t>
      </w:r>
      <w:r>
        <w:rPr>
          <w:rFonts w:ascii="宋体" w:hAnsi="宋体" w:cs="宋体" w:eastAsia="宋体" w:hint="default"/>
        </w:rPr>
        <w:t>22</w:t>
      </w:r>
      <w:r>
        <w:rPr/>
        <w:t>日以自有资金</w:t>
      </w:r>
      <w:r>
        <w:rPr>
          <w:rFonts w:ascii="宋体" w:hAnsi="宋体" w:cs="宋体" w:eastAsia="宋体" w:hint="default"/>
        </w:rPr>
        <w:t>1</w:t>
      </w:r>
      <w:r>
        <w:rPr/>
        <w:t>亿元人民币投资设立歌乐宝（汕头）网络科技有限公司，持股比例</w:t>
      </w:r>
      <w:r>
        <w:rPr>
          <w:rFonts w:ascii="宋体" w:hAnsi="宋体" w:cs="宋体" w:eastAsia="宋体" w:hint="default"/>
        </w:rPr>
        <w:t>100.00%</w:t>
      </w:r>
      <w:r>
        <w:rPr/>
        <w:t>。 截止</w:t>
      </w:r>
      <w:r>
        <w:rPr>
          <w:rFonts w:ascii="宋体" w:hAnsi="宋体" w:cs="宋体" w:eastAsia="宋体" w:hint="default"/>
        </w:rPr>
        <w:t>2017</w:t>
      </w:r>
      <w:r>
        <w:rPr/>
        <w:t>年</w:t>
      </w:r>
      <w:r>
        <w:rPr>
          <w:rFonts w:ascii="宋体" w:hAnsi="宋体" w:cs="宋体" w:eastAsia="宋体" w:hint="default"/>
        </w:rPr>
        <w:t>12</w:t>
      </w:r>
      <w:r>
        <w:rPr/>
        <w:t>月</w:t>
      </w:r>
      <w:r>
        <w:rPr>
          <w:rFonts w:ascii="宋体" w:hAnsi="宋体" w:cs="宋体" w:eastAsia="宋体" w:hint="default"/>
        </w:rPr>
        <w:t>31</w:t>
      </w:r>
      <w:r>
        <w:rPr/>
        <w:t>日，本公司实际出资</w:t>
      </w:r>
      <w:r>
        <w:rPr>
          <w:rFonts w:ascii="宋体" w:hAnsi="宋体" w:cs="宋体" w:eastAsia="宋体" w:hint="default"/>
        </w:rPr>
        <w:t>100.00</w:t>
      </w:r>
      <w:r>
        <w:rPr/>
        <w:t>万元人民币。</w:t>
      </w:r>
    </w:p>
    <w:p>
      <w:pPr>
        <w:pStyle w:val="BodyText"/>
        <w:spacing w:line="477" w:lineRule="auto" w:before="54"/>
        <w:ind w:right="184" w:firstLine="360"/>
        <w:jc w:val="left"/>
      </w:pPr>
      <w:r>
        <w:rPr/>
        <w:t>（</w:t>
      </w:r>
      <w:r>
        <w:rPr>
          <w:rFonts w:ascii="宋体" w:hAnsi="宋体" w:cs="宋体" w:eastAsia="宋体" w:hint="default"/>
        </w:rPr>
        <w:t>2</w:t>
      </w:r>
      <w:r>
        <w:rPr/>
        <w:t>）本公司于</w:t>
      </w:r>
      <w:r>
        <w:rPr>
          <w:rFonts w:ascii="宋体" w:hAnsi="宋体" w:cs="宋体" w:eastAsia="宋体" w:hint="default"/>
        </w:rPr>
        <w:t>2017</w:t>
      </w:r>
      <w:r>
        <w:rPr/>
        <w:t>年</w:t>
      </w:r>
      <w:r>
        <w:rPr>
          <w:rFonts w:ascii="宋体" w:hAnsi="宋体" w:cs="宋体" w:eastAsia="宋体" w:hint="default"/>
        </w:rPr>
        <w:t>5</w:t>
      </w:r>
      <w:r>
        <w:rPr/>
        <w:t>月</w:t>
      </w:r>
      <w:r>
        <w:rPr>
          <w:rFonts w:ascii="宋体" w:hAnsi="宋体" w:cs="宋体" w:eastAsia="宋体" w:hint="default"/>
        </w:rPr>
        <w:t>17</w:t>
      </w:r>
      <w:r>
        <w:rPr/>
        <w:t>日以自有资金</w:t>
      </w:r>
      <w:r>
        <w:rPr>
          <w:rFonts w:ascii="宋体" w:hAnsi="宋体" w:cs="宋体" w:eastAsia="宋体" w:hint="default"/>
        </w:rPr>
        <w:t>5000.00</w:t>
      </w:r>
      <w:r>
        <w:rPr/>
        <w:t>万元人民币投资设立西藏蓝道智能交通科技有限责任公司，持股比例 </w:t>
      </w:r>
      <w:r>
        <w:rPr>
          <w:rFonts w:ascii="宋体" w:hAnsi="宋体" w:cs="宋体" w:eastAsia="宋体" w:hint="default"/>
        </w:rPr>
        <w:t>100.00%</w:t>
      </w:r>
      <w:r>
        <w:rPr/>
        <w:t>。截止</w:t>
      </w:r>
      <w:r>
        <w:rPr>
          <w:rFonts w:ascii="宋体" w:hAnsi="宋体" w:cs="宋体" w:eastAsia="宋体" w:hint="default"/>
        </w:rPr>
        <w:t>2017</w:t>
      </w:r>
      <w:r>
        <w:rPr/>
        <w:t>年</w:t>
      </w:r>
      <w:r>
        <w:rPr>
          <w:rFonts w:ascii="宋体" w:hAnsi="宋体" w:cs="宋体" w:eastAsia="宋体" w:hint="default"/>
        </w:rPr>
        <w:t>12</w:t>
      </w:r>
      <w:r>
        <w:rPr/>
        <w:t>月</w:t>
      </w:r>
      <w:r>
        <w:rPr>
          <w:rFonts w:ascii="宋体" w:hAnsi="宋体" w:cs="宋体" w:eastAsia="宋体" w:hint="default"/>
        </w:rPr>
        <w:t>31</w:t>
      </w:r>
      <w:r>
        <w:rPr/>
        <w:t>日，本公司尚未实际出资。</w:t>
      </w:r>
    </w:p>
    <w:p>
      <w:pPr>
        <w:pStyle w:val="BodyText"/>
        <w:spacing w:line="477" w:lineRule="auto" w:before="54"/>
        <w:ind w:right="94" w:firstLine="360"/>
        <w:jc w:val="left"/>
      </w:pPr>
      <w:r>
        <w:rPr>
          <w:spacing w:val="-2"/>
        </w:rPr>
        <w:t>根据企业合并准则的相关规定，通过设立或投资等方式取得的子公司，本报告期合并财务报表的合并范围增加歌乐宝及</w:t>
      </w:r>
      <w:r>
        <w:rPr/>
        <w:t> 西藏蓝道。</w:t>
      </w:r>
    </w:p>
    <w:p>
      <w:pPr>
        <w:pStyle w:val="Heading2"/>
        <w:spacing w:line="240" w:lineRule="auto" w:before="152"/>
        <w:ind w:right="94"/>
        <w:jc w:val="left"/>
        <w:rPr>
          <w:b w:val="0"/>
          <w:bCs w:val="0"/>
        </w:rPr>
      </w:pPr>
      <w:r>
        <w:rPr/>
        <w:t>九、在其他主体中的权益</w:t>
      </w:r>
      <w:r>
        <w:rPr>
          <w:b w:val="0"/>
          <w:bCs w:val="0"/>
        </w:rPr>
      </w:r>
    </w:p>
    <w:p>
      <w:pPr>
        <w:spacing w:line="240" w:lineRule="auto" w:before="3"/>
        <w:rPr>
          <w:rFonts w:ascii="Microsoft JhengHei" w:hAnsi="Microsoft JhengHei" w:cs="Microsoft JhengHei" w:eastAsia="Microsoft JhengHei" w:hint="default"/>
          <w:b/>
          <w:bCs/>
          <w:sz w:val="13"/>
          <w:szCs w:val="13"/>
        </w:rPr>
      </w:pPr>
    </w:p>
    <w:p>
      <w:pPr>
        <w:pStyle w:val="Heading3"/>
        <w:spacing w:line="240" w:lineRule="auto"/>
        <w:ind w:right="94"/>
        <w:jc w:val="left"/>
        <w:rPr>
          <w:b w:val="0"/>
          <w:bCs w:val="0"/>
        </w:rPr>
      </w:pPr>
      <w:r>
        <w:rPr>
          <w:rFonts w:ascii="Times New Roman" w:hAnsi="Times New Roman" w:cs="Times New Roman" w:eastAsia="Times New Roman" w:hint="default"/>
        </w:rPr>
        <w:t>1</w:t>
      </w:r>
      <w:r>
        <w:rPr/>
        <w:t>、在子公司中的权益</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94"/>
        <w:jc w:val="left"/>
        <w:rPr>
          <w:b w:val="0"/>
          <w:bCs w:val="0"/>
        </w:rPr>
      </w:pPr>
      <w:r>
        <w:rPr/>
        <w:t>（</w:t>
      </w:r>
      <w:r>
        <w:rPr>
          <w:rFonts w:ascii="Times New Roman" w:hAnsi="Times New Roman" w:cs="Times New Roman" w:eastAsia="Times New Roman" w:hint="default"/>
        </w:rPr>
        <w:t>1</w:t>
      </w:r>
      <w:r>
        <w:rPr/>
        <w:t>）企业集团的构成</w:t>
      </w:r>
      <w:r>
        <w:rPr>
          <w:b w:val="0"/>
          <w:bCs w:val="0"/>
        </w:rPr>
      </w:r>
    </w:p>
    <w:p>
      <w:pPr>
        <w:spacing w:line="240" w:lineRule="auto" w:before="14"/>
        <w:rPr>
          <w:rFonts w:ascii="Microsoft JhengHei" w:hAnsi="Microsoft JhengHei" w:cs="Microsoft JhengHei" w:eastAsia="Microsoft JhengHei" w:hint="default"/>
          <w:b/>
          <w:bCs/>
          <w:sz w:val="18"/>
          <w:szCs w:val="18"/>
        </w:rPr>
      </w:pPr>
    </w:p>
    <w:tbl>
      <w:tblPr>
        <w:tblW w:w="0" w:type="auto"/>
        <w:jc w:val="left"/>
        <w:tblInd w:w="148" w:type="dxa"/>
        <w:tblLayout w:type="fixed"/>
        <w:tblCellMar>
          <w:top w:w="0" w:type="dxa"/>
          <w:left w:w="0" w:type="dxa"/>
          <w:bottom w:w="0" w:type="dxa"/>
          <w:right w:w="0" w:type="dxa"/>
        </w:tblCellMar>
        <w:tblLook w:val="01E0"/>
      </w:tblPr>
      <w:tblGrid>
        <w:gridCol w:w="1371"/>
        <w:gridCol w:w="1369"/>
        <w:gridCol w:w="1366"/>
        <w:gridCol w:w="1368"/>
        <w:gridCol w:w="1368"/>
        <w:gridCol w:w="1366"/>
        <w:gridCol w:w="1366"/>
      </w:tblGrid>
      <w:tr>
        <w:trPr>
          <w:trHeight w:val="402" w:hRule="exact"/>
        </w:trPr>
        <w:tc>
          <w:tcPr>
            <w:tcW w:w="137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1" w:hRule="exact"/>
        </w:trPr>
        <w:tc>
          <w:tcPr>
            <w:tcW w:w="1371"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群兴香港</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一般贸易</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童乐乐玩具</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汕头</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汕头</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商品流通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收购</w:t>
            </w:r>
          </w:p>
        </w:tc>
      </w:tr>
    </w:tbl>
    <w:p>
      <w:pPr>
        <w:spacing w:after="0" w:line="240" w:lineRule="auto"/>
        <w:jc w:val="left"/>
        <w:rPr>
          <w:rFonts w:ascii="宋体" w:hAnsi="宋体" w:cs="宋体" w:eastAsia="宋体" w:hint="default"/>
          <w:sz w:val="18"/>
          <w:szCs w:val="18"/>
        </w:rPr>
        <w:sectPr>
          <w:pgSz w:w="11910" w:h="16840"/>
          <w:pgMar w:header="877" w:footer="979" w:top="1100" w:bottom="1160" w:left="980" w:right="940"/>
        </w:sectPr>
      </w:pPr>
    </w:p>
    <w:p>
      <w:pPr>
        <w:spacing w:line="240" w:lineRule="auto" w:before="8"/>
        <w:rPr>
          <w:rFonts w:ascii="Microsoft JhengHei" w:hAnsi="Microsoft JhengHei" w:cs="Microsoft JhengHei" w:eastAsia="Microsoft JhengHei" w:hint="default"/>
          <w:b/>
          <w:bCs/>
          <w:sz w:val="18"/>
          <w:szCs w:val="18"/>
        </w:rPr>
      </w:pPr>
    </w:p>
    <w:tbl>
      <w:tblPr>
        <w:tblW w:w="0" w:type="auto"/>
        <w:jc w:val="left"/>
        <w:tblInd w:w="148" w:type="dxa"/>
        <w:tblLayout w:type="fixed"/>
        <w:tblCellMar>
          <w:top w:w="0" w:type="dxa"/>
          <w:left w:w="0" w:type="dxa"/>
          <w:bottom w:w="0" w:type="dxa"/>
          <w:right w:w="0" w:type="dxa"/>
        </w:tblCellMar>
        <w:tblLook w:val="01E0"/>
      </w:tblPr>
      <w:tblGrid>
        <w:gridCol w:w="1371"/>
        <w:gridCol w:w="1369"/>
        <w:gridCol w:w="1366"/>
        <w:gridCol w:w="1368"/>
        <w:gridCol w:w="1368"/>
        <w:gridCol w:w="1366"/>
        <w:gridCol w:w="1366"/>
      </w:tblGrid>
      <w:tr>
        <w:trPr>
          <w:trHeight w:val="401"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西藏群兴</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拉萨</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拉萨</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文化创意</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歌乐宝</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汕头</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汕头</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商品流通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西藏蓝道</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拉萨</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拉萨</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技术研发</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bl>
    <w:p>
      <w:pPr>
        <w:pStyle w:val="BodyText"/>
        <w:spacing w:line="357" w:lineRule="auto" w:before="49"/>
        <w:ind w:right="1494"/>
        <w:jc w:val="left"/>
      </w:pPr>
      <w:r>
        <w:rPr/>
        <w:t>在子公司的持股比例不同于表决权比例的说明：无。 持有半数或以下表决权但仍控制被投资单位、以及持有半数以上表决权但不控制被投资单位的依据：无。 对于纳入合并范围的重要的结构化主体，控制的依据：无。</w:t>
      </w:r>
    </w:p>
    <w:p>
      <w:pPr>
        <w:pStyle w:val="BodyText"/>
        <w:spacing w:line="360" w:lineRule="auto" w:before="26"/>
        <w:ind w:right="6354"/>
        <w:jc w:val="left"/>
      </w:pPr>
      <w:r>
        <w:rPr/>
        <w:t>确定公司是代理人还是委托人的依据：无。 其他说明：无。</w:t>
      </w:r>
    </w:p>
    <w:p>
      <w:pPr>
        <w:spacing w:line="240" w:lineRule="auto" w:before="3"/>
        <w:rPr>
          <w:rFonts w:ascii="宋体" w:hAnsi="宋体" w:cs="宋体" w:eastAsia="宋体" w:hint="default"/>
          <w:sz w:val="15"/>
          <w:szCs w:val="15"/>
        </w:rPr>
      </w:pPr>
    </w:p>
    <w:p>
      <w:pPr>
        <w:pStyle w:val="Heading3"/>
        <w:spacing w:line="240" w:lineRule="auto"/>
        <w:ind w:right="0"/>
        <w:jc w:val="left"/>
        <w:rPr>
          <w:b w:val="0"/>
          <w:bCs w:val="0"/>
        </w:rPr>
      </w:pPr>
      <w:r>
        <w:rPr>
          <w:rFonts w:ascii="Times New Roman" w:hAnsi="Times New Roman" w:cs="Times New Roman" w:eastAsia="Times New Roman" w:hint="default"/>
        </w:rPr>
        <w:t>2</w:t>
      </w:r>
      <w:r>
        <w:rPr/>
        <w:t>、在合营安排或联营企业中的权益</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）重要的合营企业或联营企业</w:t>
      </w:r>
      <w:r>
        <w:rPr>
          <w:b w:val="0"/>
          <w:bCs w:val="0"/>
        </w:rPr>
      </w:r>
    </w:p>
    <w:p>
      <w:pPr>
        <w:spacing w:line="240" w:lineRule="auto" w:before="12"/>
        <w:rPr>
          <w:rFonts w:ascii="Microsoft JhengHei" w:hAnsi="Microsoft JhengHei" w:cs="Microsoft JhengHei" w:eastAsia="Microsoft JhengHei" w:hint="default"/>
          <w:b/>
          <w:bCs/>
          <w:sz w:val="18"/>
          <w:szCs w:val="18"/>
        </w:rPr>
      </w:pPr>
    </w:p>
    <w:tbl>
      <w:tblPr>
        <w:tblW w:w="0" w:type="auto"/>
        <w:jc w:val="left"/>
        <w:tblInd w:w="149" w:type="dxa"/>
        <w:tblLayout w:type="fixed"/>
        <w:tblCellMar>
          <w:top w:w="0" w:type="dxa"/>
          <w:left w:w="0" w:type="dxa"/>
          <w:bottom w:w="0" w:type="dxa"/>
          <w:right w:w="0" w:type="dxa"/>
        </w:tblCellMar>
        <w:tblLook w:val="01E0"/>
      </w:tblPr>
      <w:tblGrid>
        <w:gridCol w:w="1370"/>
        <w:gridCol w:w="1369"/>
        <w:gridCol w:w="1366"/>
        <w:gridCol w:w="1368"/>
        <w:gridCol w:w="1368"/>
        <w:gridCol w:w="1366"/>
        <w:gridCol w:w="1366"/>
      </w:tblGrid>
      <w:tr>
        <w:trPr>
          <w:trHeight w:val="403" w:hRule="exact"/>
        </w:trPr>
        <w:tc>
          <w:tcPr>
            <w:tcW w:w="13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316" w:lineRule="auto"/>
              <w:ind w:left="320" w:right="48" w:hanging="272"/>
              <w:jc w:val="left"/>
              <w:rPr>
                <w:rFonts w:ascii="宋体" w:hAnsi="宋体" w:cs="宋体" w:eastAsia="宋体" w:hint="default"/>
                <w:sz w:val="18"/>
                <w:szCs w:val="18"/>
              </w:rPr>
            </w:pPr>
            <w:r>
              <w:rPr>
                <w:rFonts w:ascii="宋体" w:hAnsi="宋体" w:cs="宋体" w:eastAsia="宋体" w:hint="default"/>
                <w:sz w:val="18"/>
                <w:szCs w:val="18"/>
              </w:rPr>
              <w:t>合营企业或联营 企业名称</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47" w:right="47"/>
              <w:jc w:val="center"/>
              <w:rPr>
                <w:rFonts w:ascii="宋体" w:hAnsi="宋体" w:cs="宋体" w:eastAsia="宋体" w:hint="default"/>
                <w:sz w:val="18"/>
                <w:szCs w:val="18"/>
              </w:rPr>
            </w:pPr>
            <w:r>
              <w:rPr>
                <w:rFonts w:ascii="宋体" w:hAnsi="宋体" w:cs="宋体" w:eastAsia="宋体" w:hint="default"/>
                <w:sz w:val="18"/>
                <w:szCs w:val="18"/>
              </w:rPr>
              <w:t>对合营企业或联 营企业投资的会 计处理方法</w:t>
            </w:r>
          </w:p>
        </w:tc>
      </w:tr>
      <w:tr>
        <w:trPr>
          <w:trHeight w:val="624" w:hRule="exact"/>
        </w:trPr>
        <w:tc>
          <w:tcPr>
            <w:tcW w:w="1370"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9"/>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9"/>
              <w:ind w:left="3"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粤科租赁</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佛山</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融资租赁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79" w:right="0"/>
              <w:jc w:val="left"/>
              <w:rPr>
                <w:rFonts w:ascii="Times New Roman" w:hAnsi="Times New Roman" w:cs="Times New Roman" w:eastAsia="Times New Roman" w:hint="default"/>
                <w:sz w:val="18"/>
                <w:szCs w:val="18"/>
              </w:rPr>
            </w:pPr>
            <w:r>
              <w:rPr>
                <w:rFonts w:ascii="Times New Roman"/>
                <w:sz w:val="18"/>
              </w:rPr>
              <w:t>20.00%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权益法</w:t>
            </w:r>
          </w:p>
        </w:tc>
      </w:tr>
    </w:tbl>
    <w:p>
      <w:pPr>
        <w:pStyle w:val="BodyText"/>
        <w:spacing w:line="240" w:lineRule="auto" w:before="49"/>
        <w:ind w:right="0"/>
        <w:jc w:val="left"/>
      </w:pPr>
      <w:r>
        <w:rPr/>
        <w:t>在合营企业或联营企业的持股比例不同于表决权比例的说明：无。</w:t>
      </w:r>
    </w:p>
    <w:p>
      <w:pPr>
        <w:pStyle w:val="BodyText"/>
        <w:spacing w:line="240" w:lineRule="auto" w:before="117"/>
        <w:ind w:right="0"/>
        <w:jc w:val="left"/>
      </w:pPr>
      <w:r>
        <w:rPr/>
        <w:t>持有</w:t>
      </w:r>
      <w:r>
        <w:rPr>
          <w:spacing w:val="-47"/>
        </w:rPr>
        <w:t> </w:t>
      </w:r>
      <w:r>
        <w:rPr>
          <w:rFonts w:ascii="Times New Roman" w:hAnsi="Times New Roman" w:cs="Times New Roman" w:eastAsia="Times New Roman" w:hint="default"/>
        </w:rPr>
        <w:t>20%</w:t>
      </w:r>
      <w:r>
        <w:rPr/>
        <w:t>以下表决权但具有重大影响，或者持有</w:t>
      </w:r>
      <w:r>
        <w:rPr>
          <w:spacing w:val="-47"/>
        </w:rPr>
        <w:t> </w:t>
      </w:r>
      <w:r>
        <w:rPr>
          <w:rFonts w:ascii="Times New Roman" w:hAnsi="Times New Roman" w:cs="Times New Roman" w:eastAsia="Times New Roman" w:hint="default"/>
        </w:rPr>
        <w:t>20%</w:t>
      </w:r>
      <w:r>
        <w:rPr/>
        <w:t>或以上表决权但不具有重大影响的依据：无。</w:t>
      </w:r>
    </w:p>
    <w:p>
      <w:pPr>
        <w:spacing w:line="240" w:lineRule="auto" w:before="11"/>
        <w:rPr>
          <w:rFonts w:ascii="宋体" w:hAnsi="宋体" w:cs="宋体" w:eastAsia="宋体" w:hint="default"/>
          <w:sz w:val="20"/>
          <w:szCs w:val="20"/>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）重要联营企业的主要财务信息</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3"/>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5"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5"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993,599,643.01</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496,452,160.43</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3,019,602,065.24</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2,712,253,183.84</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4,013,201,708.25</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3,208,705,344.27</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1,000,554,792.58</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276,934,535.19</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2,064,179,543.59</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2,046,041,273.16</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3,064,734,336.17</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2,322,975,808.35</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144,445,740.73</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138,125,816.98</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归属于母公司股东权益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804,021,631.35</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747,603,718.94</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按持股比例计算的净资产份额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160,804,326.27</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149,520,743.79</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249,365,616.13</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179,610,941.12</w:t>
            </w: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65,169,245.15</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56,202,604.48</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-2,431,408.99</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1,263,985.41</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62,737,836.16</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57,466,589.89</w:t>
            </w:r>
          </w:p>
        </w:tc>
      </w:tr>
    </w:tbl>
    <w:p>
      <w:pPr>
        <w:pStyle w:val="BodyText"/>
        <w:spacing w:line="240" w:lineRule="auto" w:before="49"/>
        <w:ind w:right="0"/>
        <w:jc w:val="left"/>
      </w:pPr>
      <w:r>
        <w:rPr/>
        <w:t>其他说明：无。</w:t>
      </w:r>
    </w:p>
    <w:p>
      <w:pPr>
        <w:spacing w:after="0" w:line="240" w:lineRule="auto"/>
        <w:jc w:val="left"/>
        <w:sectPr>
          <w:pgSz w:w="11910" w:h="16840"/>
          <w:pgMar w:header="877" w:footer="979" w:top="1100" w:bottom="1160" w:left="980" w:right="980"/>
        </w:sectPr>
      </w:pPr>
    </w:p>
    <w:p>
      <w:pPr>
        <w:spacing w:line="240" w:lineRule="auto" w:before="10"/>
        <w:rPr>
          <w:rFonts w:ascii="宋体" w:hAnsi="宋体" w:cs="宋体" w:eastAsia="宋体" w:hint="default"/>
          <w:sz w:val="19"/>
          <w:szCs w:val="19"/>
        </w:rPr>
      </w:pPr>
    </w:p>
    <w:p>
      <w:pPr>
        <w:pStyle w:val="Heading2"/>
        <w:spacing w:line="367" w:lineRule="exact"/>
        <w:ind w:right="94"/>
        <w:jc w:val="left"/>
        <w:rPr>
          <w:b w:val="0"/>
          <w:bCs w:val="0"/>
        </w:rPr>
      </w:pPr>
      <w:r>
        <w:rPr/>
        <w:t>十、与金融工具相关的风险</w:t>
      </w:r>
      <w:r>
        <w:rPr>
          <w:b w:val="0"/>
          <w:bCs w:val="0"/>
        </w:rPr>
      </w:r>
    </w:p>
    <w:p>
      <w:pPr>
        <w:spacing w:line="240" w:lineRule="auto" w:before="15"/>
        <w:rPr>
          <w:rFonts w:ascii="Microsoft JhengHei" w:hAnsi="Microsoft JhengHei" w:cs="Microsoft JhengHei" w:eastAsia="Microsoft JhengHei" w:hint="default"/>
          <w:b/>
          <w:bCs/>
          <w:sz w:val="22"/>
          <w:szCs w:val="22"/>
        </w:rPr>
      </w:pPr>
    </w:p>
    <w:p>
      <w:pPr>
        <w:pStyle w:val="BodyText"/>
        <w:spacing w:line="477" w:lineRule="auto"/>
        <w:ind w:right="94" w:firstLine="360"/>
        <w:jc w:val="left"/>
      </w:pPr>
      <w:r>
        <w:rPr>
          <w:spacing w:val="-2"/>
        </w:rPr>
        <w:t>本公司在经营过程中面临各种金融风险：信用风险、市场风险和流动性风险。公司董事会全面负责风险管理目标和政策</w:t>
      </w:r>
      <w:r>
        <w:rPr/>
        <w:t> </w:t>
      </w:r>
      <w:r>
        <w:rPr>
          <w:spacing w:val="-2"/>
        </w:rPr>
        <w:t>的确定，并对风险管理目标和政策承担最终责任，但是董事会已授权本公司财务部门设计和实施能确保风险管理目标和政策</w:t>
      </w:r>
      <w:r>
        <w:rPr>
          <w:spacing w:val="-64"/>
        </w:rPr>
        <w:t> </w:t>
      </w:r>
      <w:r>
        <w:rPr>
          <w:spacing w:val="-64"/>
        </w:rPr>
      </w:r>
      <w:r>
        <w:rPr/>
        <w:t>得以有效执行的程序。董事会通过财务经理递交的月度报告来审查已执行程序的有效性以及风险管理目标和政策的合理性。 本公司的内部审计师也会审计风险管理的政策和程序，并且将有关发现汇报给审计委员会。</w:t>
      </w:r>
    </w:p>
    <w:p>
      <w:pPr>
        <w:pStyle w:val="BodyText"/>
        <w:spacing w:line="240" w:lineRule="auto" w:before="54"/>
        <w:ind w:left="513" w:right="94"/>
        <w:jc w:val="left"/>
      </w:pPr>
      <w:r>
        <w:rPr/>
        <w:t>本公司风险管理的总体目标是在不过度影响公司竞争力和应变力的情况下，制定尽可能降低风险的风险管理政策。</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3"/>
          <w:szCs w:val="23"/>
        </w:rPr>
      </w:pPr>
    </w:p>
    <w:p>
      <w:pPr>
        <w:pStyle w:val="BodyText"/>
        <w:spacing w:line="477" w:lineRule="auto"/>
        <w:ind w:left="513" w:right="94"/>
        <w:jc w:val="left"/>
      </w:pPr>
      <w:r>
        <w:rPr/>
        <w:t>（一）信用风险 </w:t>
      </w:r>
      <w:r>
        <w:rPr>
          <w:spacing w:val="-4"/>
        </w:rPr>
        <w:t>信用风险是指金融工具的一方不履行义务，造成另一方发生财务损失的风险。本公司主要面临赊销导致的客户信用风险。</w:t>
      </w:r>
    </w:p>
    <w:p>
      <w:pPr>
        <w:pStyle w:val="BodyText"/>
        <w:spacing w:line="477" w:lineRule="auto" w:before="54"/>
        <w:ind w:right="94"/>
        <w:jc w:val="left"/>
      </w:pPr>
      <w:r>
        <w:rPr>
          <w:spacing w:val="-2"/>
        </w:rPr>
        <w:t>在签订新合同之前，本公司会对新客户的信用风险进行评估，包括外部信用评级和在某些情况下的银行资信证明（当此信息</w:t>
      </w:r>
      <w:r>
        <w:rPr>
          <w:spacing w:val="-63"/>
        </w:rPr>
        <w:t> </w:t>
      </w:r>
      <w:r>
        <w:rPr>
          <w:spacing w:val="-63"/>
        </w:rPr>
      </w:r>
      <w:r>
        <w:rPr/>
        <w:t>可获取时）。公司对每一客户均设置了赊销限额，该限额为无需获得额外批准的最大额度。</w:t>
      </w:r>
    </w:p>
    <w:p>
      <w:pPr>
        <w:pStyle w:val="BodyText"/>
        <w:spacing w:line="477" w:lineRule="auto" w:before="54"/>
        <w:ind w:right="185" w:firstLine="360"/>
        <w:jc w:val="both"/>
      </w:pPr>
      <w:r>
        <w:rPr/>
        <w:t>公司通过对已有客户信用评级的季度监控以及应收账款账龄分析的月度审核来确保公司的整体信用风险在可控的范围</w:t>
      </w:r>
      <w:r>
        <w:rPr>
          <w:spacing w:val="2"/>
        </w:rPr>
        <w:t> </w:t>
      </w:r>
      <w:r>
        <w:rPr>
          <w:spacing w:val="-2"/>
        </w:rPr>
        <w:t>内。在监控客户的信用风险时，按照客户的信用特征对其分组。被评为“高风险”级别的客户会放在受限制客户名单里，并</w:t>
      </w:r>
      <w:r>
        <w:rPr>
          <w:spacing w:val="-68"/>
        </w:rPr>
        <w:t> </w:t>
      </w:r>
      <w:r>
        <w:rPr>
          <w:spacing w:val="-68"/>
        </w:rPr>
      </w:r>
      <w:r>
        <w:rPr/>
        <w:t>且只有在额外批准的前提下，公司才可在未来期间内对其赊销，否则必须要求其提前支付相应款项。</w:t>
      </w: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21"/>
          <w:szCs w:val="21"/>
        </w:rPr>
      </w:pPr>
    </w:p>
    <w:p>
      <w:pPr>
        <w:pStyle w:val="BodyText"/>
        <w:spacing w:line="475" w:lineRule="auto"/>
        <w:ind w:left="513" w:right="94"/>
        <w:jc w:val="left"/>
      </w:pPr>
      <w:r>
        <w:rPr/>
        <w:t>（二）市场风险 </w:t>
      </w:r>
      <w:r>
        <w:rPr>
          <w:spacing w:val="-2"/>
        </w:rPr>
        <w:t>金融工具的市场风险，是指金融工具的公允价值或未来现金流量因市场价格变动而发生波动的风险，包括外汇风险、利</w:t>
      </w:r>
    </w:p>
    <w:p>
      <w:pPr>
        <w:pStyle w:val="BodyText"/>
        <w:spacing w:line="240" w:lineRule="auto" w:before="56"/>
        <w:ind w:right="94"/>
        <w:jc w:val="left"/>
      </w:pPr>
      <w:r>
        <w:rPr/>
        <w:t>率风险和其他价格风险。</w:t>
      </w:r>
    </w:p>
    <w:p>
      <w:pPr>
        <w:spacing w:line="240" w:lineRule="auto" w:before="10"/>
        <w:rPr>
          <w:rFonts w:ascii="宋体" w:hAnsi="宋体" w:cs="宋体" w:eastAsia="宋体" w:hint="default"/>
          <w:sz w:val="17"/>
          <w:szCs w:val="17"/>
        </w:rPr>
      </w:pPr>
    </w:p>
    <w:p>
      <w:pPr>
        <w:pStyle w:val="BodyText"/>
        <w:spacing w:line="477" w:lineRule="auto"/>
        <w:ind w:left="513" w:right="94"/>
        <w:jc w:val="left"/>
      </w:pPr>
      <w:r>
        <w:rPr/>
        <w:t>（</w:t>
      </w:r>
      <w:r>
        <w:rPr>
          <w:rFonts w:ascii="宋体" w:hAnsi="宋体" w:cs="宋体" w:eastAsia="宋体" w:hint="default"/>
        </w:rPr>
        <w:t>1</w:t>
      </w:r>
      <w:r>
        <w:rPr/>
        <w:t>）利率风险 </w:t>
      </w:r>
      <w:r>
        <w:rPr>
          <w:spacing w:val="-2"/>
        </w:rPr>
        <w:t>利率风险，是指金融工具的公允价值或未来现金流量因市场利率变动而发生波动的风险。本公司面临的利率风险主要来</w:t>
      </w:r>
    </w:p>
    <w:p>
      <w:pPr>
        <w:pStyle w:val="BodyText"/>
        <w:spacing w:line="240" w:lineRule="auto" w:before="55"/>
        <w:ind w:right="94"/>
        <w:jc w:val="left"/>
      </w:pPr>
      <w:r>
        <w:rPr/>
        <w:t>源于银行短期借款。截至</w:t>
      </w:r>
      <w:r>
        <w:rPr>
          <w:rFonts w:ascii="宋体" w:hAnsi="宋体" w:cs="宋体" w:eastAsia="宋体" w:hint="default"/>
        </w:rPr>
        <w:t>2017</w:t>
      </w:r>
      <w:r>
        <w:rPr/>
        <w:t>年</w:t>
      </w:r>
      <w:r>
        <w:rPr>
          <w:rFonts w:ascii="宋体" w:hAnsi="宋体" w:cs="宋体" w:eastAsia="宋体" w:hint="default"/>
        </w:rPr>
        <w:t>12</w:t>
      </w:r>
      <w:r>
        <w:rPr/>
        <w:t>月</w:t>
      </w:r>
      <w:r>
        <w:rPr>
          <w:rFonts w:ascii="宋体" w:hAnsi="宋体" w:cs="宋体" w:eastAsia="宋体" w:hint="default"/>
        </w:rPr>
        <w:t>31</w:t>
      </w:r>
      <w:r>
        <w:rPr/>
        <w:t>日，本公司银行借款均已偿还。</w:t>
      </w:r>
    </w:p>
    <w:p>
      <w:pPr>
        <w:spacing w:line="240" w:lineRule="auto" w:before="10"/>
        <w:rPr>
          <w:rFonts w:ascii="宋体" w:hAnsi="宋体" w:cs="宋体" w:eastAsia="宋体" w:hint="default"/>
          <w:sz w:val="17"/>
          <w:szCs w:val="17"/>
        </w:rPr>
      </w:pPr>
    </w:p>
    <w:p>
      <w:pPr>
        <w:pStyle w:val="BodyText"/>
        <w:spacing w:line="477" w:lineRule="auto"/>
        <w:ind w:left="513" w:right="94"/>
        <w:jc w:val="left"/>
      </w:pPr>
      <w:r>
        <w:rPr/>
        <w:t>（</w:t>
      </w:r>
      <w:r>
        <w:rPr>
          <w:rFonts w:ascii="宋体" w:hAnsi="宋体" w:cs="宋体" w:eastAsia="宋体" w:hint="default"/>
        </w:rPr>
        <w:t>2</w:t>
      </w:r>
      <w:r>
        <w:rPr/>
        <w:t>）外汇风险 </w:t>
      </w:r>
      <w:r>
        <w:rPr>
          <w:spacing w:val="-2"/>
        </w:rPr>
        <w:t>外汇风险，是指金融工具的公允价值或未来现金流量因外汇汇率变动而发生波动的风险。本公司尽可能将外币收入与外</w:t>
      </w:r>
    </w:p>
    <w:p>
      <w:pPr>
        <w:pStyle w:val="BodyText"/>
        <w:spacing w:line="477" w:lineRule="auto" w:before="54"/>
        <w:ind w:right="94"/>
        <w:jc w:val="left"/>
      </w:pPr>
      <w:r>
        <w:rPr>
          <w:spacing w:val="-2"/>
        </w:rPr>
        <w:t>币支出相匹配以降低外汇风险。此外，公司还可能签署远期外汇合约或货币互换合约以达到规避外汇风险的目的。截至</w:t>
      </w:r>
      <w:r>
        <w:rPr>
          <w:rFonts w:ascii="宋体" w:hAnsi="宋体" w:cs="宋体" w:eastAsia="宋体" w:hint="default"/>
          <w:spacing w:val="-2"/>
        </w:rPr>
        <w:t>2017</w:t>
      </w:r>
      <w:r>
        <w:rPr>
          <w:rFonts w:ascii="宋体" w:hAnsi="宋体" w:cs="宋体" w:eastAsia="宋体" w:hint="default"/>
          <w:spacing w:val="-60"/>
        </w:rPr>
        <w:t> </w:t>
      </w:r>
      <w:r>
        <w:rPr>
          <w:rFonts w:ascii="宋体" w:hAnsi="宋体" w:cs="宋体" w:eastAsia="宋体" w:hint="default"/>
          <w:spacing w:val="-60"/>
        </w:rPr>
      </w:r>
      <w:r>
        <w:rPr/>
        <w:t>年</w:t>
      </w:r>
      <w:r>
        <w:rPr>
          <w:rFonts w:ascii="宋体" w:hAnsi="宋体" w:cs="宋体" w:eastAsia="宋体" w:hint="default"/>
        </w:rPr>
        <w:t>12</w:t>
      </w:r>
      <w:r>
        <w:rPr/>
        <w:t>月</w:t>
      </w:r>
      <w:r>
        <w:rPr>
          <w:rFonts w:ascii="宋体" w:hAnsi="宋体" w:cs="宋体" w:eastAsia="宋体" w:hint="default"/>
        </w:rPr>
        <w:t>31</w:t>
      </w:r>
      <w:r>
        <w:rPr/>
        <w:t>日，本公司无未到期的远期外汇合约安排。</w:t>
      </w:r>
    </w:p>
    <w:p>
      <w:pPr>
        <w:pStyle w:val="BodyText"/>
        <w:spacing w:line="240" w:lineRule="auto" w:before="54"/>
        <w:ind w:left="513" w:right="94"/>
        <w:jc w:val="left"/>
      </w:pPr>
      <w:r>
        <w:rPr/>
        <w:t>本公司面临的外汇风险主要来源于以美元计价的金融资产和金融负债</w:t>
      </w:r>
      <w:r>
        <w:rPr>
          <w:spacing w:val="-82"/>
        </w:rPr>
        <w:t>，</w:t>
      </w:r>
      <w:r>
        <w:rPr/>
        <w:t>金融资产和金融负债折算成人民币的金额列示如</w:t>
      </w:r>
    </w:p>
    <w:p>
      <w:pPr>
        <w:spacing w:line="240" w:lineRule="auto" w:before="10"/>
        <w:rPr>
          <w:rFonts w:ascii="宋体" w:hAnsi="宋体" w:cs="宋体" w:eastAsia="宋体" w:hint="default"/>
          <w:sz w:val="17"/>
          <w:szCs w:val="17"/>
        </w:rPr>
      </w:pPr>
    </w:p>
    <w:p>
      <w:pPr>
        <w:pStyle w:val="BodyText"/>
        <w:spacing w:line="240" w:lineRule="auto"/>
        <w:ind w:right="94"/>
        <w:jc w:val="left"/>
      </w:pPr>
      <w:r>
        <w:rPr/>
        <w:t>下：</w:t>
      </w:r>
    </w:p>
    <w:p>
      <w:pPr>
        <w:spacing w:after="0" w:line="240" w:lineRule="auto"/>
        <w:jc w:val="left"/>
        <w:sectPr>
          <w:pgSz w:w="11910" w:h="16840"/>
          <w:pgMar w:header="877" w:footer="979" w:top="1100" w:bottom="1160" w:left="980" w:right="9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0"/>
          <w:szCs w:val="20"/>
        </w:rPr>
      </w:pPr>
    </w:p>
    <w:tbl>
      <w:tblPr>
        <w:tblW w:w="0" w:type="auto"/>
        <w:jc w:val="left"/>
        <w:tblInd w:w="100" w:type="dxa"/>
        <w:tblLayout w:type="fixed"/>
        <w:tblCellMar>
          <w:top w:w="0" w:type="dxa"/>
          <w:left w:w="0" w:type="dxa"/>
          <w:bottom w:w="0" w:type="dxa"/>
          <w:right w:w="0" w:type="dxa"/>
        </w:tblCellMar>
        <w:tblLook w:val="01E0"/>
      </w:tblPr>
      <w:tblGrid>
        <w:gridCol w:w="1616"/>
        <w:gridCol w:w="1409"/>
        <w:gridCol w:w="1246"/>
        <w:gridCol w:w="1412"/>
        <w:gridCol w:w="1464"/>
        <w:gridCol w:w="1246"/>
        <w:gridCol w:w="1464"/>
      </w:tblGrid>
      <w:tr>
        <w:trPr>
          <w:trHeight w:val="350" w:hRule="exact"/>
        </w:trPr>
        <w:tc>
          <w:tcPr>
            <w:tcW w:w="1616" w:type="dxa"/>
            <w:vMerge w:val="restart"/>
            <w:tcBorders>
              <w:top w:val="single" w:sz="4" w:space="0" w:color="000000"/>
              <w:left w:val="single" w:sz="4" w:space="0" w:color="000000"/>
              <w:right w:val="single" w:sz="4" w:space="0" w:color="000000"/>
            </w:tcBorders>
            <w:shd w:val="clear" w:color="auto" w:fill="ADAAAA"/>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067" w:type="dxa"/>
            <w:gridSpan w:val="3"/>
            <w:tcBorders>
              <w:top w:val="single" w:sz="4" w:space="0" w:color="000000"/>
              <w:left w:val="single" w:sz="4" w:space="0" w:color="000000"/>
              <w:bottom w:val="single" w:sz="4" w:space="0" w:color="000000"/>
              <w:right w:val="single" w:sz="4" w:space="0" w:color="000000"/>
            </w:tcBorders>
            <w:shd w:val="clear" w:color="auto" w:fill="ADAAAA"/>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75" w:type="dxa"/>
            <w:gridSpan w:val="3"/>
            <w:tcBorders>
              <w:top w:val="single" w:sz="4" w:space="0" w:color="000000"/>
              <w:left w:val="single" w:sz="4" w:space="0" w:color="000000"/>
              <w:bottom w:val="single" w:sz="4" w:space="0" w:color="000000"/>
              <w:right w:val="single" w:sz="4" w:space="0" w:color="000000"/>
            </w:tcBorders>
            <w:shd w:val="clear" w:color="auto" w:fill="ADAAAA"/>
          </w:tcPr>
          <w:p>
            <w:pPr>
              <w:pStyle w:val="TableParagraph"/>
              <w:spacing w:line="240" w:lineRule="auto" w:before="22"/>
              <w:ind w:right="1"/>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350" w:hRule="exact"/>
        </w:trPr>
        <w:tc>
          <w:tcPr>
            <w:tcW w:w="1616" w:type="dxa"/>
            <w:vMerge/>
            <w:tcBorders>
              <w:left w:val="single" w:sz="4" w:space="0" w:color="000000"/>
              <w:bottom w:val="single" w:sz="4" w:space="0" w:color="000000"/>
              <w:right w:val="single" w:sz="4" w:space="0" w:color="000000"/>
            </w:tcBorders>
            <w:shd w:val="clear" w:color="auto" w:fill="ADAAAA"/>
          </w:tcPr>
          <w:p>
            <w:pPr/>
          </w:p>
        </w:tc>
        <w:tc>
          <w:tcPr>
            <w:tcW w:w="1409" w:type="dxa"/>
            <w:tcBorders>
              <w:top w:val="single" w:sz="4" w:space="0" w:color="000000"/>
              <w:left w:val="single" w:sz="4" w:space="0" w:color="000000"/>
              <w:bottom w:val="single" w:sz="4" w:space="0" w:color="000000"/>
              <w:right w:val="single" w:sz="4" w:space="0" w:color="000000"/>
            </w:tcBorders>
            <w:shd w:val="clear" w:color="auto" w:fill="ADAAAA"/>
          </w:tcPr>
          <w:p>
            <w:pPr>
              <w:pStyle w:val="TableParagraph"/>
              <w:spacing w:line="240" w:lineRule="auto" w:before="22"/>
              <w:ind w:right="1"/>
              <w:jc w:val="center"/>
              <w:rPr>
                <w:rFonts w:ascii="宋体" w:hAnsi="宋体" w:cs="宋体" w:eastAsia="宋体" w:hint="default"/>
                <w:sz w:val="18"/>
                <w:szCs w:val="18"/>
              </w:rPr>
            </w:pPr>
            <w:r>
              <w:rPr>
                <w:rFonts w:ascii="宋体" w:hAnsi="宋体" w:cs="宋体" w:eastAsia="宋体" w:hint="default"/>
                <w:sz w:val="18"/>
                <w:szCs w:val="18"/>
              </w:rPr>
              <w:t>美元</w:t>
            </w:r>
          </w:p>
        </w:tc>
        <w:tc>
          <w:tcPr>
            <w:tcW w:w="1246" w:type="dxa"/>
            <w:tcBorders>
              <w:top w:val="single" w:sz="4" w:space="0" w:color="000000"/>
              <w:left w:val="single" w:sz="4" w:space="0" w:color="000000"/>
              <w:bottom w:val="single" w:sz="4" w:space="0" w:color="000000"/>
              <w:right w:val="single" w:sz="4" w:space="0" w:color="000000"/>
            </w:tcBorders>
            <w:shd w:val="clear" w:color="auto" w:fill="ADAAAA"/>
          </w:tcPr>
          <w:p>
            <w:pPr>
              <w:pStyle w:val="TableParagraph"/>
              <w:spacing w:line="240" w:lineRule="auto" w:before="22"/>
              <w:ind w:left="256" w:right="0"/>
              <w:jc w:val="left"/>
              <w:rPr>
                <w:rFonts w:ascii="宋体" w:hAnsi="宋体" w:cs="宋体" w:eastAsia="宋体" w:hint="default"/>
                <w:sz w:val="18"/>
                <w:szCs w:val="18"/>
              </w:rPr>
            </w:pPr>
            <w:r>
              <w:rPr>
                <w:rFonts w:ascii="宋体" w:hAnsi="宋体" w:cs="宋体" w:eastAsia="宋体" w:hint="default"/>
                <w:sz w:val="18"/>
                <w:szCs w:val="18"/>
              </w:rPr>
              <w:t>其他外币</w:t>
            </w:r>
          </w:p>
        </w:tc>
        <w:tc>
          <w:tcPr>
            <w:tcW w:w="1412" w:type="dxa"/>
            <w:tcBorders>
              <w:top w:val="single" w:sz="4" w:space="0" w:color="000000"/>
              <w:left w:val="single" w:sz="4" w:space="0" w:color="000000"/>
              <w:bottom w:val="single" w:sz="4" w:space="0" w:color="000000"/>
              <w:right w:val="single" w:sz="4" w:space="0" w:color="000000"/>
            </w:tcBorders>
            <w:shd w:val="clear" w:color="auto" w:fill="ADAAAA"/>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64" w:type="dxa"/>
            <w:tcBorders>
              <w:top w:val="single" w:sz="4" w:space="0" w:color="000000"/>
              <w:left w:val="single" w:sz="4" w:space="0" w:color="000000"/>
              <w:bottom w:val="single" w:sz="4" w:space="0" w:color="000000"/>
              <w:right w:val="single" w:sz="4" w:space="0" w:color="000000"/>
            </w:tcBorders>
            <w:shd w:val="clear" w:color="auto" w:fill="ADAAAA"/>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美元</w:t>
            </w:r>
          </w:p>
        </w:tc>
        <w:tc>
          <w:tcPr>
            <w:tcW w:w="1246" w:type="dxa"/>
            <w:tcBorders>
              <w:top w:val="single" w:sz="4" w:space="0" w:color="000000"/>
              <w:left w:val="single" w:sz="4" w:space="0" w:color="000000"/>
              <w:bottom w:val="single" w:sz="4" w:space="0" w:color="000000"/>
              <w:right w:val="single" w:sz="4" w:space="0" w:color="000000"/>
            </w:tcBorders>
            <w:shd w:val="clear" w:color="auto" w:fill="ADAAAA"/>
          </w:tcPr>
          <w:p>
            <w:pPr>
              <w:pStyle w:val="TableParagraph"/>
              <w:spacing w:line="240" w:lineRule="auto" w:before="22"/>
              <w:ind w:left="256" w:right="0"/>
              <w:jc w:val="left"/>
              <w:rPr>
                <w:rFonts w:ascii="宋体" w:hAnsi="宋体" w:cs="宋体" w:eastAsia="宋体" w:hint="default"/>
                <w:sz w:val="18"/>
                <w:szCs w:val="18"/>
              </w:rPr>
            </w:pPr>
            <w:r>
              <w:rPr>
                <w:rFonts w:ascii="宋体" w:hAnsi="宋体" w:cs="宋体" w:eastAsia="宋体" w:hint="default"/>
                <w:sz w:val="18"/>
                <w:szCs w:val="18"/>
              </w:rPr>
              <w:t>其他外币</w:t>
            </w:r>
          </w:p>
        </w:tc>
        <w:tc>
          <w:tcPr>
            <w:tcW w:w="1464" w:type="dxa"/>
            <w:tcBorders>
              <w:top w:val="single" w:sz="4" w:space="0" w:color="000000"/>
              <w:left w:val="single" w:sz="4" w:space="0" w:color="000000"/>
              <w:bottom w:val="single" w:sz="4" w:space="0" w:color="000000"/>
              <w:right w:val="single" w:sz="4" w:space="0" w:color="000000"/>
            </w:tcBorders>
            <w:shd w:val="clear" w:color="auto" w:fill="ADAAAA"/>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348" w:hRule="exact"/>
        </w:trPr>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z w:val="18"/>
              </w:rPr>
              <w:t>179,446.32</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pacing w:val="-1"/>
                <w:sz w:val="18"/>
              </w:rPr>
              <w:t>56,582.02</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z w:val="18"/>
              </w:rPr>
              <w:t>236,028.34</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3,521,977.26</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pacing w:val="-1"/>
                <w:sz w:val="18"/>
              </w:rPr>
              <w:t>43,799.93</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3,565,777.19</w:t>
            </w:r>
          </w:p>
        </w:tc>
      </w:tr>
      <w:tr>
        <w:trPr>
          <w:trHeight w:val="350" w:hRule="exact"/>
        </w:trPr>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pacing w:val="-1"/>
                <w:sz w:val="18"/>
              </w:rPr>
              <w:t>0.00</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pacing w:val="-1"/>
                <w:sz w:val="18"/>
              </w:rPr>
              <w:t>0.00</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pacing w:val="-1"/>
                <w:sz w:val="18"/>
              </w:rPr>
              <w:t>0.00</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pacing w:val="-1"/>
                <w:sz w:val="18"/>
              </w:rPr>
              <w:t>3,139,677.11</w:t>
            </w:r>
          </w:p>
        </w:tc>
        <w:tc>
          <w:tcPr>
            <w:tcW w:w="1246" w:type="dxa"/>
            <w:tcBorders>
              <w:top w:val="single" w:sz="4" w:space="0" w:color="000000"/>
              <w:left w:val="single" w:sz="4" w:space="0" w:color="000000"/>
              <w:bottom w:val="single" w:sz="4" w:space="0" w:color="000000"/>
              <w:right w:val="single" w:sz="4" w:space="0" w:color="000000"/>
            </w:tcBorders>
          </w:tcPr>
          <w:p>
            <w:pP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3,139,677.11</w:t>
            </w:r>
          </w:p>
        </w:tc>
      </w:tr>
      <w:tr>
        <w:trPr>
          <w:trHeight w:val="350" w:hRule="exact"/>
        </w:trPr>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z w:val="18"/>
              </w:rPr>
              <w:t>179,446.32</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pacing w:val="-1"/>
                <w:sz w:val="18"/>
              </w:rPr>
              <w:t>56,582.02</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z w:val="18"/>
              </w:rPr>
              <w:t>236,028.34</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6,661,654.37</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pacing w:val="-1"/>
                <w:sz w:val="18"/>
              </w:rPr>
              <w:t>43,799.93</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6,705,454.30</w:t>
            </w:r>
          </w:p>
        </w:tc>
      </w:tr>
    </w:tbl>
    <w:p>
      <w:pPr>
        <w:pStyle w:val="BodyText"/>
        <w:spacing w:line="477" w:lineRule="auto" w:before="87"/>
        <w:ind w:left="212" w:right="228" w:firstLine="360"/>
        <w:jc w:val="both"/>
      </w:pPr>
      <w:r>
        <w:rPr>
          <w:spacing w:val="-2"/>
        </w:rPr>
        <w:t>于</w:t>
      </w:r>
      <w:r>
        <w:rPr>
          <w:rFonts w:ascii="宋体" w:hAnsi="宋体" w:cs="宋体" w:eastAsia="宋体" w:hint="default"/>
          <w:spacing w:val="-2"/>
        </w:rPr>
        <w:t>2017</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日，在所有其他变量保持不变的情况下，如果人民币对美元升值或贬值</w:t>
      </w:r>
      <w:r>
        <w:rPr>
          <w:rFonts w:ascii="宋体" w:hAnsi="宋体" w:cs="宋体" w:eastAsia="宋体" w:hint="default"/>
          <w:spacing w:val="-2"/>
        </w:rPr>
        <w:t>1%</w:t>
      </w:r>
      <w:r>
        <w:rPr>
          <w:spacing w:val="-2"/>
        </w:rPr>
        <w:t>，则公司将增加或减少净利润</w:t>
      </w:r>
      <w:r>
        <w:rPr/>
        <w:t> </w:t>
      </w:r>
      <w:r>
        <w:rPr>
          <w:rFonts w:ascii="宋体" w:hAnsi="宋体" w:cs="宋体" w:eastAsia="宋体" w:hint="default"/>
          <w:spacing w:val="-2"/>
        </w:rPr>
        <w:t>274.63</w:t>
      </w:r>
      <w:r>
        <w:rPr>
          <w:spacing w:val="-2"/>
        </w:rPr>
        <w:t>元，如果人民币对港币升值或贬值</w:t>
      </w:r>
      <w:r>
        <w:rPr>
          <w:rFonts w:ascii="宋体" w:hAnsi="宋体" w:cs="宋体" w:eastAsia="宋体" w:hint="default"/>
          <w:spacing w:val="-2"/>
        </w:rPr>
        <w:t>1%</w:t>
      </w:r>
      <w:r>
        <w:rPr>
          <w:spacing w:val="-2"/>
        </w:rPr>
        <w:t>，则公司将增加或减少净利润</w:t>
      </w:r>
      <w:r>
        <w:rPr>
          <w:rFonts w:ascii="宋体" w:hAnsi="宋体" w:cs="宋体" w:eastAsia="宋体" w:hint="default"/>
          <w:spacing w:val="-2"/>
        </w:rPr>
        <w:t>676.89</w:t>
      </w:r>
      <w:r>
        <w:rPr>
          <w:spacing w:val="-2"/>
        </w:rPr>
        <w:t>元，如果人民币对欧元升值或贬值</w:t>
      </w:r>
      <w:r>
        <w:rPr>
          <w:rFonts w:ascii="宋体" w:hAnsi="宋体" w:cs="宋体" w:eastAsia="宋体" w:hint="default"/>
          <w:spacing w:val="-2"/>
        </w:rPr>
        <w:t>1%</w:t>
      </w:r>
      <w:r>
        <w:rPr>
          <w:spacing w:val="-2"/>
        </w:rPr>
        <w:t>，则公</w:t>
      </w:r>
      <w:r>
        <w:rPr>
          <w:spacing w:val="-52"/>
        </w:rPr>
        <w:t> </w:t>
      </w:r>
      <w:r>
        <w:rPr>
          <w:spacing w:val="-52"/>
        </w:rPr>
      </w:r>
      <w:r>
        <w:rPr/>
        <w:t>司将增加或减少净利润</w:t>
      </w:r>
      <w:r>
        <w:rPr>
          <w:rFonts w:ascii="宋体" w:hAnsi="宋体" w:cs="宋体" w:eastAsia="宋体" w:hint="default"/>
        </w:rPr>
        <w:t>0.0003</w:t>
      </w:r>
      <w:r>
        <w:rPr/>
        <w:t>元。管理层认为</w:t>
      </w:r>
      <w:r>
        <w:rPr>
          <w:rFonts w:ascii="宋体" w:hAnsi="宋体" w:cs="宋体" w:eastAsia="宋体" w:hint="default"/>
        </w:rPr>
        <w:t>1%</w:t>
      </w:r>
      <w:r>
        <w:rPr/>
        <w:t>合理反映了下一年度人民币对美元可能发生变动的合理范围。</w:t>
      </w:r>
    </w:p>
    <w:p>
      <w:pPr>
        <w:pStyle w:val="BodyText"/>
        <w:spacing w:line="477" w:lineRule="auto" w:before="54"/>
        <w:ind w:left="573" w:right="1573"/>
        <w:jc w:val="left"/>
      </w:pPr>
      <w:r>
        <w:rPr/>
        <w:t>（</w:t>
      </w:r>
      <w:r>
        <w:rPr>
          <w:rFonts w:ascii="宋体" w:hAnsi="宋体" w:cs="宋体" w:eastAsia="宋体" w:hint="default"/>
        </w:rPr>
        <w:t>3</w:t>
      </w:r>
      <w:r>
        <w:rPr/>
        <w:t>）其他价格风险 本公司持有其他上市公司的权益投资，管理层认为这些投资活动面临的市场价格风险是可以接受的。</w:t>
      </w:r>
    </w:p>
    <w:p>
      <w:pPr>
        <w:spacing w:line="240" w:lineRule="auto" w:before="0"/>
        <w:rPr>
          <w:rFonts w:ascii="宋体" w:hAnsi="宋体" w:cs="宋体" w:eastAsia="宋体" w:hint="default"/>
          <w:sz w:val="18"/>
          <w:szCs w:val="18"/>
        </w:rPr>
      </w:pPr>
    </w:p>
    <w:p>
      <w:pPr>
        <w:pStyle w:val="BodyText"/>
        <w:spacing w:line="477" w:lineRule="auto" w:before="130"/>
        <w:ind w:left="573" w:right="0"/>
        <w:jc w:val="left"/>
      </w:pPr>
      <w:r>
        <w:rPr/>
        <w:t>（三）流动性风险 </w:t>
      </w:r>
      <w:r>
        <w:rPr>
          <w:spacing w:val="-2"/>
        </w:rPr>
        <w:t>流动风险，是指企业在履行以交付现金或其他金融资产的方式结算的义务时发生资金短缺的风险。本公司的政策是确保</w:t>
      </w:r>
    </w:p>
    <w:p>
      <w:pPr>
        <w:pStyle w:val="BodyText"/>
        <w:spacing w:line="477" w:lineRule="auto" w:before="54"/>
        <w:ind w:left="212" w:right="0"/>
        <w:jc w:val="left"/>
      </w:pPr>
      <w:r>
        <w:rPr>
          <w:spacing w:val="-2"/>
        </w:rPr>
        <w:t>拥有充足的现金以偿还到期债务。流动性风险由本公司的财务部门集中控制。财务部门通过监控现金余额、可随时变现的有</w:t>
      </w:r>
      <w:r>
        <w:rPr>
          <w:spacing w:val="-63"/>
        </w:rPr>
        <w:t> </w:t>
      </w:r>
      <w:r>
        <w:rPr>
          <w:spacing w:val="-63"/>
        </w:rPr>
      </w:r>
      <w:r>
        <w:rPr/>
        <w:t>价证券以及对未来</w:t>
      </w:r>
      <w:r>
        <w:rPr>
          <w:rFonts w:ascii="宋体" w:hAnsi="宋体" w:cs="宋体" w:eastAsia="宋体" w:hint="default"/>
        </w:rPr>
        <w:t>12</w:t>
      </w:r>
      <w:r>
        <w:rPr/>
        <w:t>个月现金流量的滚动预测，确保公司在所有合理预测的情况下拥有充足的资金偿还债务。</w:t>
      </w:r>
    </w:p>
    <w:p>
      <w:pPr>
        <w:pStyle w:val="BodyText"/>
        <w:spacing w:line="240" w:lineRule="auto" w:before="54"/>
        <w:ind w:left="573" w:right="0"/>
        <w:jc w:val="left"/>
      </w:pPr>
      <w:r>
        <w:rPr/>
        <w:t>本公司各项金融负债以未折现的合同现金流量按到期日列示如下：</w:t>
      </w:r>
    </w:p>
    <w:p>
      <w:pPr>
        <w:spacing w:line="240" w:lineRule="auto" w:before="1"/>
        <w:rPr>
          <w:rFonts w:ascii="宋体" w:hAnsi="宋体" w:cs="宋体" w:eastAsia="宋体" w:hint="default"/>
          <w:sz w:val="11"/>
          <w:szCs w:val="11"/>
        </w:rPr>
      </w:pPr>
    </w:p>
    <w:tbl>
      <w:tblPr>
        <w:tblW w:w="0" w:type="auto"/>
        <w:jc w:val="left"/>
        <w:tblInd w:w="198" w:type="dxa"/>
        <w:tblLayout w:type="fixed"/>
        <w:tblCellMar>
          <w:top w:w="0" w:type="dxa"/>
          <w:left w:w="0" w:type="dxa"/>
          <w:bottom w:w="0" w:type="dxa"/>
          <w:right w:w="0" w:type="dxa"/>
        </w:tblCellMar>
        <w:tblLook w:val="01E0"/>
      </w:tblPr>
      <w:tblGrid>
        <w:gridCol w:w="1337"/>
        <w:gridCol w:w="1258"/>
        <w:gridCol w:w="1548"/>
        <w:gridCol w:w="1251"/>
        <w:gridCol w:w="1363"/>
        <w:gridCol w:w="1352"/>
        <w:gridCol w:w="1550"/>
      </w:tblGrid>
      <w:tr>
        <w:trPr>
          <w:trHeight w:val="343" w:hRule="exact"/>
        </w:trPr>
        <w:tc>
          <w:tcPr>
            <w:tcW w:w="1337" w:type="dxa"/>
            <w:vMerge w:val="restart"/>
            <w:tcBorders>
              <w:top w:val="single" w:sz="4" w:space="0" w:color="000000"/>
              <w:left w:val="single" w:sz="4"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8322"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z w:val="18"/>
                <w:szCs w:val="18"/>
              </w:rPr>
              <w:t>年</w:t>
            </w:r>
            <w:r>
              <w:rPr>
                <w:rFonts w:ascii="宋体" w:hAnsi="宋体" w:cs="宋体" w:eastAsia="宋体" w:hint="default"/>
                <w:sz w:val="18"/>
                <w:szCs w:val="18"/>
              </w:rPr>
              <w:t>12</w:t>
            </w:r>
            <w:r>
              <w:rPr>
                <w:rFonts w:ascii="宋体" w:hAnsi="宋体" w:cs="宋体" w:eastAsia="宋体" w:hint="default"/>
                <w:sz w:val="18"/>
                <w:szCs w:val="18"/>
              </w:rPr>
              <w:t>月</w:t>
            </w:r>
            <w:r>
              <w:rPr>
                <w:rFonts w:ascii="宋体" w:hAnsi="宋体" w:cs="宋体" w:eastAsia="宋体" w:hint="default"/>
                <w:sz w:val="18"/>
                <w:szCs w:val="18"/>
              </w:rPr>
              <w:t>31</w:t>
            </w:r>
            <w:r>
              <w:rPr>
                <w:rFonts w:ascii="宋体" w:hAnsi="宋体" w:cs="宋体" w:eastAsia="宋体" w:hint="default"/>
                <w:sz w:val="18"/>
                <w:szCs w:val="18"/>
              </w:rPr>
              <w:t>日</w:t>
            </w:r>
          </w:p>
        </w:tc>
      </w:tr>
      <w:tr>
        <w:trPr>
          <w:trHeight w:val="341" w:hRule="exact"/>
        </w:trPr>
        <w:tc>
          <w:tcPr>
            <w:tcW w:w="1337" w:type="dxa"/>
            <w:vMerge/>
            <w:tcBorders>
              <w:left w:val="single" w:sz="4" w:space="0" w:color="000000"/>
              <w:bottom w:val="single" w:sz="4" w:space="0" w:color="000000"/>
              <w:right w:val="single" w:sz="4" w:space="0" w:color="000000"/>
            </w:tcBorders>
          </w:tcPr>
          <w:p>
            <w:pP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18" w:right="0"/>
              <w:jc w:val="left"/>
              <w:rPr>
                <w:rFonts w:ascii="宋体" w:hAnsi="宋体" w:cs="宋体" w:eastAsia="宋体" w:hint="default"/>
                <w:sz w:val="18"/>
                <w:szCs w:val="18"/>
              </w:rPr>
            </w:pPr>
            <w:r>
              <w:rPr>
                <w:rFonts w:ascii="宋体" w:hAnsi="宋体" w:cs="宋体" w:eastAsia="宋体" w:hint="default"/>
                <w:sz w:val="18"/>
                <w:szCs w:val="18"/>
              </w:rPr>
              <w:t>6</w:t>
            </w:r>
            <w:r>
              <w:rPr>
                <w:rFonts w:ascii="宋体" w:hAnsi="宋体" w:cs="宋体" w:eastAsia="宋体" w:hint="default"/>
                <w:sz w:val="18"/>
                <w:szCs w:val="18"/>
              </w:rPr>
              <w:t>个月以内</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362" w:right="0"/>
              <w:jc w:val="left"/>
              <w:rPr>
                <w:rFonts w:ascii="宋体" w:hAnsi="宋体" w:cs="宋体" w:eastAsia="宋体" w:hint="default"/>
                <w:sz w:val="18"/>
                <w:szCs w:val="18"/>
              </w:rPr>
            </w:pPr>
            <w:r>
              <w:rPr>
                <w:rFonts w:ascii="宋体" w:hAnsi="宋体" w:cs="宋体" w:eastAsia="宋体" w:hint="default"/>
                <w:sz w:val="18"/>
                <w:szCs w:val="18"/>
              </w:rPr>
              <w:t>6</w:t>
            </w:r>
            <w:r>
              <w:rPr>
                <w:rFonts w:ascii="宋体" w:hAnsi="宋体" w:cs="宋体" w:eastAsia="宋体" w:hint="default"/>
                <w:sz w:val="18"/>
                <w:szCs w:val="18"/>
              </w:rPr>
              <w:t>个月</w:t>
            </w:r>
            <w:r>
              <w:rPr>
                <w:rFonts w:ascii="宋体" w:hAnsi="宋体" w:cs="宋体" w:eastAsia="宋体" w:hint="default"/>
                <w:sz w:val="18"/>
                <w:szCs w:val="18"/>
              </w:rPr>
              <w:t>-1</w:t>
            </w:r>
            <w:r>
              <w:rPr>
                <w:rFonts w:ascii="宋体" w:hAnsi="宋体" w:cs="宋体" w:eastAsia="宋体" w:hint="default"/>
                <w:sz w:val="18"/>
                <w:szCs w:val="18"/>
              </w:rPr>
              <w:t>年</w:t>
            </w: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396"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z w:val="18"/>
                <w:szCs w:val="18"/>
              </w:rPr>
              <w:t>年</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53" w:right="0"/>
              <w:jc w:val="left"/>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z w:val="18"/>
                <w:szCs w:val="18"/>
              </w:rPr>
              <w:t>年</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355"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年以上</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350" w:hRule="exact"/>
        </w:trPr>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
              <w:jc w:val="right"/>
              <w:rPr>
                <w:rFonts w:ascii="宋体" w:hAnsi="宋体" w:cs="宋体" w:eastAsia="宋体" w:hint="default"/>
                <w:sz w:val="18"/>
                <w:szCs w:val="18"/>
              </w:rPr>
            </w:pPr>
            <w:r>
              <w:rPr>
                <w:rFonts w:ascii="宋体"/>
                <w:sz w:val="18"/>
              </w:rPr>
              <w:t>0.00</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2"/>
              <w:jc w:val="right"/>
              <w:rPr>
                <w:rFonts w:ascii="Times New Roman" w:hAnsi="Times New Roman" w:cs="Times New Roman" w:eastAsia="Times New Roman" w:hint="default"/>
                <w:sz w:val="18"/>
                <w:szCs w:val="18"/>
              </w:rPr>
            </w:pPr>
            <w:r>
              <w:rPr>
                <w:rFonts w:ascii="Times New Roman"/>
                <w:spacing w:val="-1"/>
                <w:sz w:val="18"/>
              </w:rPr>
              <w:t>0.00</w:t>
            </w: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0"/>
              <w:jc w:val="right"/>
              <w:rPr>
                <w:rFonts w:ascii="Times New Roman" w:hAnsi="Times New Roman" w:cs="Times New Roman" w:eastAsia="Times New Roman" w:hint="default"/>
                <w:sz w:val="18"/>
                <w:szCs w:val="18"/>
              </w:rPr>
            </w:pPr>
            <w:r>
              <w:rPr>
                <w:rFonts w:ascii="Times New Roman"/>
                <w:spacing w:val="-1"/>
                <w:sz w:val="18"/>
              </w:rPr>
              <w:t>31,530.91</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0"/>
              <w:jc w:val="right"/>
              <w:rPr>
                <w:rFonts w:ascii="Times New Roman" w:hAnsi="Times New Roman" w:cs="Times New Roman" w:eastAsia="Times New Roman" w:hint="default"/>
                <w:sz w:val="18"/>
                <w:szCs w:val="18"/>
              </w:rPr>
            </w:pPr>
            <w:r>
              <w:rPr>
                <w:rFonts w:ascii="Times New Roman"/>
                <w:spacing w:val="-1"/>
                <w:sz w:val="18"/>
              </w:rPr>
              <w:t>264,543.00</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2"/>
              <w:jc w:val="right"/>
              <w:rPr>
                <w:rFonts w:ascii="Times New Roman" w:hAnsi="Times New Roman" w:cs="Times New Roman" w:eastAsia="Times New Roman" w:hint="default"/>
                <w:sz w:val="18"/>
                <w:szCs w:val="18"/>
              </w:rPr>
            </w:pPr>
            <w:r>
              <w:rPr>
                <w:rFonts w:ascii="Times New Roman"/>
                <w:spacing w:val="-1"/>
                <w:sz w:val="18"/>
              </w:rPr>
              <w:t>0.00</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2"/>
              <w:jc w:val="right"/>
              <w:rPr>
                <w:rFonts w:ascii="Times New Roman" w:hAnsi="Times New Roman" w:cs="Times New Roman" w:eastAsia="Times New Roman" w:hint="default"/>
                <w:sz w:val="18"/>
                <w:szCs w:val="18"/>
              </w:rPr>
            </w:pPr>
            <w:r>
              <w:rPr>
                <w:rFonts w:ascii="Times New Roman"/>
                <w:spacing w:val="-1"/>
                <w:sz w:val="18"/>
              </w:rPr>
              <w:t>296,073.91</w:t>
            </w:r>
          </w:p>
        </w:tc>
      </w:tr>
      <w:tr>
        <w:trPr>
          <w:trHeight w:val="350" w:hRule="exact"/>
        </w:trPr>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
              <w:jc w:val="right"/>
              <w:rPr>
                <w:rFonts w:ascii="宋体" w:hAnsi="宋体" w:cs="宋体" w:eastAsia="宋体" w:hint="default"/>
                <w:sz w:val="18"/>
                <w:szCs w:val="18"/>
              </w:rPr>
            </w:pPr>
            <w:r>
              <w:rPr>
                <w:rFonts w:ascii="宋体"/>
                <w:sz w:val="18"/>
              </w:rPr>
              <w:t>0.00</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
              <w:jc w:val="right"/>
              <w:rPr>
                <w:rFonts w:ascii="Times New Roman" w:hAnsi="Times New Roman" w:cs="Times New Roman" w:eastAsia="Times New Roman" w:hint="default"/>
                <w:sz w:val="18"/>
                <w:szCs w:val="18"/>
              </w:rPr>
            </w:pPr>
            <w:r>
              <w:rPr>
                <w:rFonts w:ascii="Times New Roman"/>
                <w:spacing w:val="-1"/>
                <w:sz w:val="18"/>
              </w:rPr>
              <w:t>1,978,020.51</w:t>
            </w: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
              <w:jc w:val="right"/>
              <w:rPr>
                <w:rFonts w:ascii="Times New Roman" w:hAnsi="Times New Roman" w:cs="Times New Roman" w:eastAsia="Times New Roman" w:hint="default"/>
                <w:sz w:val="18"/>
                <w:szCs w:val="18"/>
              </w:rPr>
            </w:pPr>
            <w:r>
              <w:rPr>
                <w:rFonts w:ascii="Times New Roman"/>
                <w:spacing w:val="-1"/>
                <w:sz w:val="18"/>
              </w:rPr>
              <w:t>0.00</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
              <w:jc w:val="right"/>
              <w:rPr>
                <w:rFonts w:ascii="Times New Roman" w:hAnsi="Times New Roman" w:cs="Times New Roman" w:eastAsia="Times New Roman" w:hint="default"/>
                <w:sz w:val="18"/>
                <w:szCs w:val="18"/>
              </w:rPr>
            </w:pPr>
            <w:r>
              <w:rPr>
                <w:rFonts w:ascii="Times New Roman"/>
                <w:spacing w:val="-1"/>
                <w:sz w:val="18"/>
              </w:rPr>
              <w:t>0.00</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
              <w:jc w:val="right"/>
              <w:rPr>
                <w:rFonts w:ascii="Times New Roman" w:hAnsi="Times New Roman" w:cs="Times New Roman" w:eastAsia="Times New Roman" w:hint="default"/>
                <w:sz w:val="18"/>
                <w:szCs w:val="18"/>
              </w:rPr>
            </w:pPr>
            <w:r>
              <w:rPr>
                <w:rFonts w:ascii="Times New Roman"/>
                <w:spacing w:val="-1"/>
                <w:sz w:val="18"/>
              </w:rPr>
              <w:t>0.00</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
              <w:jc w:val="right"/>
              <w:rPr>
                <w:rFonts w:ascii="Times New Roman" w:hAnsi="Times New Roman" w:cs="Times New Roman" w:eastAsia="Times New Roman" w:hint="default"/>
                <w:sz w:val="18"/>
                <w:szCs w:val="18"/>
              </w:rPr>
            </w:pPr>
            <w:r>
              <w:rPr>
                <w:rFonts w:ascii="Times New Roman"/>
                <w:spacing w:val="-1"/>
                <w:sz w:val="18"/>
              </w:rPr>
              <w:t>1,978,020.51</w:t>
            </w:r>
          </w:p>
        </w:tc>
      </w:tr>
      <w:tr>
        <w:trPr>
          <w:trHeight w:val="422" w:hRule="exact"/>
        </w:trPr>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
              <w:jc w:val="right"/>
              <w:rPr>
                <w:rFonts w:ascii="宋体" w:hAnsi="宋体" w:cs="宋体" w:eastAsia="宋体" w:hint="default"/>
                <w:sz w:val="18"/>
                <w:szCs w:val="18"/>
              </w:rPr>
            </w:pPr>
            <w:r>
              <w:rPr>
                <w:rFonts w:ascii="宋体"/>
                <w:sz w:val="18"/>
              </w:rPr>
              <w:t>0.00</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
              <w:jc w:val="right"/>
              <w:rPr>
                <w:rFonts w:ascii="Times New Roman" w:hAnsi="Times New Roman" w:cs="Times New Roman" w:eastAsia="Times New Roman" w:hint="default"/>
                <w:sz w:val="18"/>
                <w:szCs w:val="18"/>
              </w:rPr>
            </w:pPr>
            <w:r>
              <w:rPr>
                <w:rFonts w:ascii="Times New Roman"/>
                <w:spacing w:val="-1"/>
                <w:sz w:val="18"/>
              </w:rPr>
              <w:t>1,978,020.51</w:t>
            </w: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0"/>
              <w:jc w:val="right"/>
              <w:rPr>
                <w:rFonts w:ascii="Times New Roman" w:hAnsi="Times New Roman" w:cs="Times New Roman" w:eastAsia="Times New Roman" w:hint="default"/>
                <w:sz w:val="18"/>
                <w:szCs w:val="18"/>
              </w:rPr>
            </w:pPr>
            <w:r>
              <w:rPr>
                <w:rFonts w:ascii="Times New Roman"/>
                <w:spacing w:val="-1"/>
                <w:sz w:val="18"/>
              </w:rPr>
              <w:t>31,530.91</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0"/>
              <w:jc w:val="right"/>
              <w:rPr>
                <w:rFonts w:ascii="Times New Roman" w:hAnsi="Times New Roman" w:cs="Times New Roman" w:eastAsia="Times New Roman" w:hint="default"/>
                <w:sz w:val="18"/>
                <w:szCs w:val="18"/>
              </w:rPr>
            </w:pPr>
            <w:r>
              <w:rPr>
                <w:rFonts w:ascii="Times New Roman"/>
                <w:spacing w:val="-1"/>
                <w:sz w:val="18"/>
              </w:rPr>
              <w:t>264,543.00</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
              <w:jc w:val="right"/>
              <w:rPr>
                <w:rFonts w:ascii="Times New Roman" w:hAnsi="Times New Roman" w:cs="Times New Roman" w:eastAsia="Times New Roman" w:hint="default"/>
                <w:sz w:val="18"/>
                <w:szCs w:val="18"/>
              </w:rPr>
            </w:pPr>
            <w:r>
              <w:rPr>
                <w:rFonts w:ascii="Times New Roman"/>
                <w:spacing w:val="-1"/>
                <w:sz w:val="18"/>
              </w:rPr>
              <w:t>0.00</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
              <w:jc w:val="right"/>
              <w:rPr>
                <w:rFonts w:ascii="Times New Roman" w:hAnsi="Times New Roman" w:cs="Times New Roman" w:eastAsia="Times New Roman" w:hint="default"/>
                <w:sz w:val="18"/>
                <w:szCs w:val="18"/>
              </w:rPr>
            </w:pPr>
            <w:r>
              <w:rPr>
                <w:rFonts w:ascii="Times New Roman"/>
                <w:spacing w:val="-1"/>
                <w:sz w:val="18"/>
              </w:rPr>
              <w:t>2,274,094.42</w:t>
            </w:r>
          </w:p>
        </w:tc>
      </w:tr>
    </w:tbl>
    <w:p>
      <w:pPr>
        <w:spacing w:line="240" w:lineRule="auto" w:before="1"/>
        <w:rPr>
          <w:rFonts w:ascii="宋体" w:hAnsi="宋体" w:cs="宋体" w:eastAsia="宋体" w:hint="default"/>
          <w:sz w:val="18"/>
          <w:szCs w:val="18"/>
        </w:rPr>
      </w:pPr>
    </w:p>
    <w:p>
      <w:pPr>
        <w:pStyle w:val="Heading2"/>
        <w:spacing w:line="367" w:lineRule="exact"/>
        <w:ind w:left="212" w:right="0"/>
        <w:jc w:val="left"/>
        <w:rPr>
          <w:b w:val="0"/>
          <w:bCs w:val="0"/>
        </w:rPr>
      </w:pPr>
      <w:r>
        <w:rPr/>
        <w:t>十一、关联方及关联交易</w:t>
      </w:r>
      <w:r>
        <w:rPr>
          <w:b w:val="0"/>
          <w:bCs w:val="0"/>
        </w:rPr>
      </w:r>
    </w:p>
    <w:p>
      <w:pPr>
        <w:spacing w:line="240" w:lineRule="auto" w:before="6"/>
        <w:rPr>
          <w:rFonts w:ascii="Microsoft JhengHei" w:hAnsi="Microsoft JhengHei" w:cs="Microsoft JhengHei" w:eastAsia="Microsoft JhengHei" w:hint="default"/>
          <w:b/>
          <w:bCs/>
          <w:sz w:val="13"/>
          <w:szCs w:val="13"/>
        </w:rPr>
      </w:pPr>
    </w:p>
    <w:p>
      <w:pPr>
        <w:pStyle w:val="Heading3"/>
        <w:spacing w:line="240" w:lineRule="auto"/>
        <w:ind w:left="212" w:right="0"/>
        <w:jc w:val="left"/>
        <w:rPr>
          <w:b w:val="0"/>
          <w:bCs w:val="0"/>
        </w:rPr>
      </w:pPr>
      <w:r>
        <w:rPr>
          <w:rFonts w:ascii="Times New Roman" w:hAnsi="Times New Roman" w:cs="Times New Roman" w:eastAsia="Times New Roman" w:hint="default"/>
        </w:rPr>
        <w:t>1</w:t>
      </w:r>
      <w:r>
        <w:rPr/>
        <w:t>、本企业的母公司情况</w:t>
      </w:r>
      <w:r>
        <w:rPr>
          <w:b w:val="0"/>
          <w:bCs w:val="0"/>
        </w:rPr>
      </w:r>
    </w:p>
    <w:p>
      <w:pPr>
        <w:spacing w:line="240" w:lineRule="auto" w:before="12"/>
        <w:rPr>
          <w:rFonts w:ascii="Microsoft JhengHei" w:hAnsi="Microsoft JhengHei" w:cs="Microsoft JhengHei" w:eastAsia="Microsoft JhengHei" w:hint="default"/>
          <w:b/>
          <w:bCs/>
          <w:sz w:val="18"/>
          <w:szCs w:val="18"/>
        </w:rPr>
      </w:pPr>
    </w:p>
    <w:tbl>
      <w:tblPr>
        <w:tblW w:w="0" w:type="auto"/>
        <w:jc w:val="left"/>
        <w:tblInd w:w="209" w:type="dxa"/>
        <w:tblLayout w:type="fixed"/>
        <w:tblCellMar>
          <w:top w:w="0" w:type="dxa"/>
          <w:left w:w="0" w:type="dxa"/>
          <w:bottom w:w="0" w:type="dxa"/>
          <w:right w:w="0" w:type="dxa"/>
        </w:tblCellMar>
        <w:tblLook w:val="01E0"/>
      </w:tblPr>
      <w:tblGrid>
        <w:gridCol w:w="1595"/>
        <w:gridCol w:w="1594"/>
        <w:gridCol w:w="1594"/>
        <w:gridCol w:w="1594"/>
        <w:gridCol w:w="1594"/>
        <w:gridCol w:w="1596"/>
      </w:tblGrid>
      <w:tr>
        <w:trPr>
          <w:trHeight w:val="715"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342" w:right="0"/>
              <w:jc w:val="left"/>
              <w:rPr>
                <w:rFonts w:ascii="宋体" w:hAnsi="宋体" w:cs="宋体" w:eastAsia="宋体" w:hint="default"/>
                <w:sz w:val="18"/>
                <w:szCs w:val="18"/>
              </w:rPr>
            </w:pPr>
            <w:r>
              <w:rPr>
                <w:rFonts w:ascii="宋体" w:hAnsi="宋体" w:cs="宋体" w:eastAsia="宋体" w:hint="default"/>
                <w:sz w:val="18"/>
                <w:szCs w:val="18"/>
              </w:rPr>
              <w:t>母公司名称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32" w:right="70" w:hanging="360"/>
              <w:jc w:val="left"/>
              <w:rPr>
                <w:rFonts w:ascii="宋体" w:hAnsi="宋体" w:cs="宋体" w:eastAsia="宋体" w:hint="default"/>
                <w:sz w:val="18"/>
                <w:szCs w:val="18"/>
              </w:rPr>
            </w:pPr>
            <w:r>
              <w:rPr>
                <w:rFonts w:ascii="宋体" w:hAnsi="宋体" w:cs="宋体" w:eastAsia="宋体" w:hint="default"/>
                <w:sz w:val="18"/>
                <w:szCs w:val="18"/>
              </w:rPr>
              <w:t>母公司对本企业的 持股比例</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43" w:right="72" w:hanging="272"/>
              <w:jc w:val="left"/>
              <w:rPr>
                <w:rFonts w:ascii="宋体" w:hAnsi="宋体" w:cs="宋体" w:eastAsia="宋体" w:hint="default"/>
                <w:sz w:val="18"/>
                <w:szCs w:val="18"/>
              </w:rPr>
            </w:pPr>
            <w:r>
              <w:rPr>
                <w:rFonts w:ascii="宋体" w:hAnsi="宋体" w:cs="宋体" w:eastAsia="宋体" w:hint="default"/>
                <w:sz w:val="18"/>
                <w:szCs w:val="18"/>
              </w:rPr>
              <w:t>母公司对本企业的 表决权比例</w:t>
            </w:r>
          </w:p>
        </w:tc>
      </w:tr>
      <w:tr>
        <w:trPr>
          <w:trHeight w:val="401"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群兴投资</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汕头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投资</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8" w:right="0"/>
              <w:jc w:val="left"/>
              <w:rPr>
                <w:rFonts w:ascii="Times New Roman" w:hAnsi="Times New Roman" w:cs="Times New Roman" w:eastAsia="Times New Roman" w:hint="default"/>
                <w:sz w:val="18"/>
                <w:szCs w:val="18"/>
              </w:rPr>
            </w:pPr>
            <w:r>
              <w:rPr>
                <w:rFonts w:ascii="Times New Roman"/>
                <w:sz w:val="18"/>
              </w:rPr>
              <w:t>44.85%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7" w:right="0"/>
              <w:jc w:val="left"/>
              <w:rPr>
                <w:rFonts w:ascii="Times New Roman" w:hAnsi="Times New Roman" w:cs="Times New Roman" w:eastAsia="Times New Roman" w:hint="default"/>
                <w:sz w:val="18"/>
                <w:szCs w:val="18"/>
              </w:rPr>
            </w:pPr>
            <w:r>
              <w:rPr>
                <w:rFonts w:ascii="Times New Roman"/>
                <w:sz w:val="18"/>
              </w:rPr>
              <w:t>44.85%</w:t>
            </w:r>
          </w:p>
        </w:tc>
      </w:tr>
    </w:tbl>
    <w:p>
      <w:pPr>
        <w:pStyle w:val="BodyText"/>
        <w:spacing w:line="357" w:lineRule="auto" w:before="49"/>
        <w:ind w:left="212" w:right="6794"/>
        <w:jc w:val="left"/>
      </w:pPr>
      <w:r>
        <w:rPr/>
        <w:t>本企业的母公司情况的说明：无。 本企业最终控制方是林伟章、黄仕群。 其他说明：无。</w:t>
      </w:r>
    </w:p>
    <w:p>
      <w:pPr>
        <w:spacing w:line="240" w:lineRule="auto" w:before="5"/>
        <w:rPr>
          <w:rFonts w:ascii="宋体" w:hAnsi="宋体" w:cs="宋体" w:eastAsia="宋体" w:hint="default"/>
          <w:sz w:val="15"/>
          <w:szCs w:val="15"/>
        </w:rPr>
      </w:pPr>
    </w:p>
    <w:p>
      <w:pPr>
        <w:pStyle w:val="Heading3"/>
        <w:spacing w:line="240" w:lineRule="auto"/>
        <w:ind w:left="212" w:right="0"/>
        <w:jc w:val="left"/>
        <w:rPr>
          <w:b w:val="0"/>
          <w:bCs w:val="0"/>
        </w:rPr>
      </w:pPr>
      <w:r>
        <w:rPr>
          <w:rFonts w:ascii="Times New Roman" w:hAnsi="Times New Roman" w:cs="Times New Roman" w:eastAsia="Times New Roman" w:hint="default"/>
        </w:rPr>
        <w:t>2</w:t>
      </w:r>
      <w:r>
        <w:rPr/>
        <w:t>、本企业的子公司情况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left="212" w:right="0"/>
        <w:jc w:val="left"/>
      </w:pPr>
      <w:r>
        <w:rPr/>
        <w:t>本企业子公司的情况详见附注九、在其他主体中的权益。</w:t>
      </w:r>
    </w:p>
    <w:p>
      <w:pPr>
        <w:spacing w:after="0" w:line="240" w:lineRule="auto"/>
        <w:jc w:val="left"/>
        <w:sectPr>
          <w:pgSz w:w="11910" w:h="16840"/>
          <w:pgMar w:header="877" w:footer="979" w:top="1100" w:bottom="1160" w:left="920" w:right="900"/>
        </w:sectPr>
      </w:pPr>
    </w:p>
    <w:p>
      <w:pPr>
        <w:spacing w:line="240" w:lineRule="auto" w:before="12"/>
        <w:rPr>
          <w:rFonts w:ascii="宋体" w:hAnsi="宋体" w:cs="宋体" w:eastAsia="宋体" w:hint="default"/>
          <w:sz w:val="20"/>
          <w:szCs w:val="20"/>
        </w:rPr>
      </w:pPr>
    </w:p>
    <w:p>
      <w:pPr>
        <w:pStyle w:val="Heading3"/>
        <w:spacing w:line="335" w:lineRule="exact"/>
        <w:ind w:right="0"/>
        <w:jc w:val="left"/>
        <w:rPr>
          <w:b w:val="0"/>
          <w:bCs w:val="0"/>
        </w:rPr>
      </w:pPr>
      <w:r>
        <w:rPr>
          <w:rFonts w:ascii="Times New Roman" w:hAnsi="Times New Roman" w:cs="Times New Roman" w:eastAsia="Times New Roman" w:hint="default"/>
        </w:rPr>
        <w:t>3</w:t>
      </w:r>
      <w:r>
        <w:rPr/>
        <w:t>、本企业合营和联营企业情况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57" w:lineRule="auto"/>
        <w:ind w:right="4554"/>
        <w:jc w:val="left"/>
      </w:pPr>
      <w:r>
        <w:rPr/>
        <w:t>本企业重要的合营或联营企业详见附注九、在其他主体中的权益。 其他说明：无。</w:t>
      </w:r>
    </w:p>
    <w:p>
      <w:pPr>
        <w:spacing w:line="240" w:lineRule="auto" w:before="5"/>
        <w:rPr>
          <w:rFonts w:ascii="宋体" w:hAnsi="宋体" w:cs="宋体" w:eastAsia="宋体" w:hint="default"/>
          <w:sz w:val="15"/>
          <w:szCs w:val="15"/>
        </w:rPr>
      </w:pPr>
    </w:p>
    <w:p>
      <w:pPr>
        <w:pStyle w:val="Heading3"/>
        <w:spacing w:line="240" w:lineRule="auto"/>
        <w:ind w:right="0"/>
        <w:jc w:val="left"/>
        <w:rPr>
          <w:b w:val="0"/>
          <w:bCs w:val="0"/>
        </w:rPr>
      </w:pPr>
      <w:r>
        <w:rPr>
          <w:rFonts w:ascii="Times New Roman" w:hAnsi="Times New Roman" w:cs="Times New Roman" w:eastAsia="Times New Roman" w:hint="default"/>
        </w:rPr>
        <w:t>4</w:t>
      </w:r>
      <w:r>
        <w:rPr/>
        <w:t>、其他关联方情况</w:t>
      </w:r>
      <w:r>
        <w:rPr>
          <w:b w:val="0"/>
          <w:bCs w:val="0"/>
        </w:rPr>
      </w:r>
    </w:p>
    <w:p>
      <w:pPr>
        <w:spacing w:line="240" w:lineRule="auto" w:before="15"/>
        <w:rPr>
          <w:rFonts w:ascii="Microsoft JhengHei" w:hAnsi="Microsoft JhengHei" w:cs="Microsoft JhengHei" w:eastAsia="Microsoft JhengHei" w:hint="default"/>
          <w:b/>
          <w:bCs/>
          <w:sz w:val="18"/>
          <w:szCs w:val="18"/>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99"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林伟章</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实际控制人</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黄仕群</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实际控制人</w:t>
            </w:r>
          </w:p>
        </w:tc>
      </w:tr>
    </w:tbl>
    <w:p>
      <w:pPr>
        <w:pStyle w:val="BodyText"/>
        <w:spacing w:line="240" w:lineRule="auto" w:before="49"/>
        <w:ind w:right="0"/>
        <w:jc w:val="left"/>
      </w:pPr>
      <w:r>
        <w:rPr/>
        <w:t>其他说明：无。</w:t>
      </w:r>
    </w:p>
    <w:p>
      <w:pPr>
        <w:spacing w:line="240" w:lineRule="auto" w:before="1"/>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5</w:t>
      </w:r>
      <w:r>
        <w:rPr/>
        <w:t>、关联交易情况</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）关键管理人员报酬</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关键管理人员薪酬</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1,357,700.00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1,184,460.00</w:t>
            </w:r>
          </w:p>
        </w:tc>
      </w:tr>
    </w:tbl>
    <w:p>
      <w:pPr>
        <w:spacing w:line="240" w:lineRule="auto" w:before="1"/>
        <w:rPr>
          <w:rFonts w:ascii="宋体" w:hAnsi="宋体" w:cs="宋体" w:eastAsia="宋体" w:hint="default"/>
          <w:sz w:val="18"/>
          <w:szCs w:val="18"/>
        </w:rPr>
      </w:pPr>
    </w:p>
    <w:p>
      <w:pPr>
        <w:pStyle w:val="Heading2"/>
        <w:spacing w:line="367" w:lineRule="exact"/>
        <w:ind w:right="0"/>
        <w:jc w:val="left"/>
        <w:rPr>
          <w:b w:val="0"/>
          <w:bCs w:val="0"/>
        </w:rPr>
      </w:pPr>
      <w:r>
        <w:rPr/>
        <w:t>十二、股份支付</w:t>
      </w:r>
      <w:r>
        <w:rPr>
          <w:b w:val="0"/>
          <w:bCs w:val="0"/>
        </w:rPr>
      </w:r>
    </w:p>
    <w:p>
      <w:pPr>
        <w:spacing w:line="240" w:lineRule="auto" w:before="5"/>
        <w:rPr>
          <w:rFonts w:ascii="Microsoft JhengHei" w:hAnsi="Microsoft JhengHei" w:cs="Microsoft JhengHei" w:eastAsia="Microsoft JhengHei" w:hint="default"/>
          <w:b/>
          <w:bCs/>
          <w:sz w:val="13"/>
          <w:szCs w:val="13"/>
        </w:rPr>
      </w:pPr>
    </w:p>
    <w:p>
      <w:pPr>
        <w:pStyle w:val="Heading3"/>
        <w:spacing w:line="240" w:lineRule="auto"/>
        <w:ind w:right="0"/>
        <w:jc w:val="left"/>
        <w:rPr>
          <w:b w:val="0"/>
          <w:bCs w:val="0"/>
        </w:rPr>
      </w:pPr>
      <w:r>
        <w:rPr>
          <w:rFonts w:ascii="Times New Roman" w:hAnsi="Times New Roman" w:cs="Times New Roman" w:eastAsia="Times New Roman" w:hint="default"/>
        </w:rPr>
        <w:t>1</w:t>
      </w:r>
      <w:r>
        <w:rPr/>
        <w:t>、股份支付总体情况</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2</w:t>
      </w:r>
      <w:r>
        <w:rPr/>
        <w:t>、以权益结算的股份支付情况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2"/>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3</w:t>
      </w:r>
      <w:r>
        <w:rPr/>
        <w:t>、以现金结算的股份支付情况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line="482" w:lineRule="auto" w:before="0"/>
        <w:ind w:left="152" w:right="67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w:t>
      </w:r>
      <w:r>
        <w:rPr>
          <w:rFonts w:ascii="Times New Roman" w:hAnsi="Times New Roman" w:cs="Times New Roman" w:eastAsia="Times New Roman" w:hint="default"/>
          <w:b/>
          <w:bCs/>
          <w:spacing w:val="-1"/>
          <w:sz w:val="21"/>
          <w:szCs w:val="21"/>
        </w:rPr>
        <w:t>4</w:t>
      </w:r>
      <w:r>
        <w:rPr>
          <w:rFonts w:ascii="Microsoft JhengHei" w:hAnsi="Microsoft JhengHei" w:cs="Microsoft JhengHei" w:eastAsia="Microsoft JhengHei" w:hint="default"/>
          <w:b/>
          <w:bCs/>
          <w:spacing w:val="-1"/>
          <w:sz w:val="21"/>
          <w:szCs w:val="21"/>
        </w:rPr>
        <w:t>、股份支付的修改、终止情况</w:t>
      </w:r>
      <w:r>
        <w:rPr>
          <w:rFonts w:ascii="Microsoft JhengHei" w:hAnsi="Microsoft JhengHei" w:cs="Microsoft JhengHei" w:eastAsia="Microsoft JhengHei" w:hint="default"/>
          <w:b/>
          <w:bCs/>
          <w:spacing w:val="-29"/>
          <w:sz w:val="21"/>
          <w:szCs w:val="21"/>
        </w:rPr>
        <w:t> </w:t>
      </w:r>
      <w:r>
        <w:rPr>
          <w:rFonts w:ascii="Microsoft JhengHei" w:hAnsi="Microsoft JhengHei" w:cs="Microsoft JhengHei" w:eastAsia="Microsoft JhengHei" w:hint="default"/>
          <w:b/>
          <w:bCs/>
          <w:spacing w:val="-29"/>
          <w:sz w:val="21"/>
          <w:szCs w:val="21"/>
        </w:rPr>
      </w:r>
      <w:r>
        <w:rPr>
          <w:rFonts w:ascii="宋体" w:hAnsi="宋体" w:cs="宋体" w:eastAsia="宋体" w:hint="default"/>
          <w:sz w:val="18"/>
          <w:szCs w:val="18"/>
        </w:rPr>
        <w:t>无。</w:t>
      </w:r>
    </w:p>
    <w:p>
      <w:pPr>
        <w:pStyle w:val="Heading3"/>
        <w:spacing w:line="240" w:lineRule="auto" w:before="107"/>
        <w:ind w:right="0"/>
        <w:jc w:val="left"/>
        <w:rPr>
          <w:b w:val="0"/>
          <w:bCs w:val="0"/>
        </w:rPr>
      </w:pPr>
      <w:r>
        <w:rPr>
          <w:rFonts w:ascii="Times New Roman" w:hAnsi="Times New Roman" w:cs="Times New Roman" w:eastAsia="Times New Roman" w:hint="default"/>
        </w:rPr>
        <w:t>5</w:t>
      </w:r>
      <w:r>
        <w:rPr/>
        <w:t>、其他</w:t>
      </w:r>
      <w:r>
        <w:rPr>
          <w:b w:val="0"/>
          <w:bCs w:val="0"/>
        </w:rPr>
      </w:r>
    </w:p>
    <w:p>
      <w:pPr>
        <w:spacing w:line="240" w:lineRule="auto" w:before="4"/>
        <w:rPr>
          <w:rFonts w:ascii="Microsoft JhengHei" w:hAnsi="Microsoft JhengHei" w:cs="Microsoft JhengHei" w:eastAsia="Microsoft JhengHei" w:hint="default"/>
          <w:b/>
          <w:bCs/>
          <w:sz w:val="19"/>
          <w:szCs w:val="19"/>
        </w:rPr>
      </w:pPr>
    </w:p>
    <w:p>
      <w:pPr>
        <w:pStyle w:val="BodyText"/>
        <w:spacing w:line="240" w:lineRule="auto"/>
        <w:ind w:right="0"/>
        <w:jc w:val="left"/>
      </w:pPr>
      <w:r>
        <w:rPr/>
        <w:t>无。</w:t>
      </w:r>
    </w:p>
    <w:p>
      <w:pPr>
        <w:spacing w:after="0" w:line="240" w:lineRule="auto"/>
        <w:jc w:val="left"/>
        <w:sectPr>
          <w:pgSz w:w="11910" w:h="16840"/>
          <w:pgMar w:header="877" w:footer="979" w:top="1100" w:bottom="1160" w:left="980" w:right="980"/>
        </w:sectPr>
      </w:pPr>
    </w:p>
    <w:p>
      <w:pPr>
        <w:spacing w:line="240" w:lineRule="auto" w:before="10"/>
        <w:rPr>
          <w:rFonts w:ascii="宋体" w:hAnsi="宋体" w:cs="宋体" w:eastAsia="宋体" w:hint="default"/>
          <w:sz w:val="19"/>
          <w:szCs w:val="19"/>
        </w:rPr>
      </w:pPr>
    </w:p>
    <w:p>
      <w:pPr>
        <w:pStyle w:val="Heading2"/>
        <w:spacing w:line="367" w:lineRule="exact"/>
        <w:ind w:right="0"/>
        <w:jc w:val="left"/>
        <w:rPr>
          <w:b w:val="0"/>
          <w:bCs w:val="0"/>
        </w:rPr>
      </w:pPr>
      <w:r>
        <w:rPr/>
        <w:t>十三、承诺及或有事项</w:t>
      </w:r>
      <w:r>
        <w:rPr>
          <w:b w:val="0"/>
          <w:bCs w:val="0"/>
        </w:rPr>
      </w:r>
    </w:p>
    <w:p>
      <w:pPr>
        <w:spacing w:line="240" w:lineRule="auto" w:before="5"/>
        <w:rPr>
          <w:rFonts w:ascii="Microsoft JhengHei" w:hAnsi="Microsoft JhengHei" w:cs="Microsoft JhengHei" w:eastAsia="Microsoft JhengHei" w:hint="default"/>
          <w:b/>
          <w:bCs/>
          <w:sz w:val="13"/>
          <w:szCs w:val="13"/>
        </w:rPr>
      </w:pPr>
    </w:p>
    <w:p>
      <w:pPr>
        <w:pStyle w:val="Heading3"/>
        <w:spacing w:line="240" w:lineRule="auto"/>
        <w:ind w:right="0"/>
        <w:jc w:val="left"/>
        <w:rPr>
          <w:b w:val="0"/>
          <w:bCs w:val="0"/>
        </w:rPr>
      </w:pPr>
      <w:r>
        <w:rPr>
          <w:rFonts w:ascii="Times New Roman" w:hAnsi="Times New Roman" w:cs="Times New Roman" w:eastAsia="Times New Roman" w:hint="default"/>
        </w:rPr>
        <w:t>1</w:t>
      </w:r>
      <w:r>
        <w:rPr/>
        <w:t>、重要承诺事项</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439" w:lineRule="auto"/>
        <w:ind w:left="513" w:right="4553" w:hanging="361"/>
        <w:jc w:val="left"/>
      </w:pPr>
      <w:r>
        <w:rPr/>
        <w:t>资产负债表日存在的重要承诺 截至</w:t>
      </w:r>
      <w:r>
        <w:rPr>
          <w:rFonts w:ascii="宋体" w:hAnsi="宋体" w:cs="宋体" w:eastAsia="宋体" w:hint="default"/>
        </w:rPr>
        <w:t>2017</w:t>
      </w:r>
      <w:r>
        <w:rPr/>
        <w:t>年</w:t>
      </w:r>
      <w:r>
        <w:rPr>
          <w:rFonts w:ascii="宋体" w:hAnsi="宋体" w:cs="宋体" w:eastAsia="宋体" w:hint="default"/>
        </w:rPr>
        <w:t>12</w:t>
      </w:r>
      <w:r>
        <w:rPr/>
        <w:t>月</w:t>
      </w:r>
      <w:r>
        <w:rPr>
          <w:rFonts w:ascii="宋体" w:hAnsi="宋体" w:cs="宋体" w:eastAsia="宋体" w:hint="default"/>
        </w:rPr>
        <w:t>31</w:t>
      </w:r>
      <w:r>
        <w:rPr/>
        <w:t>日止，本公司无需要披露的重要承诺事项。</w:t>
      </w:r>
    </w:p>
    <w:p>
      <w:pPr>
        <w:spacing w:line="240" w:lineRule="auto" w:before="7"/>
        <w:rPr>
          <w:rFonts w:ascii="宋体" w:hAnsi="宋体" w:cs="宋体" w:eastAsia="宋体" w:hint="default"/>
          <w:sz w:val="16"/>
          <w:szCs w:val="16"/>
        </w:rPr>
      </w:pPr>
    </w:p>
    <w:p>
      <w:pPr>
        <w:pStyle w:val="Heading3"/>
        <w:spacing w:line="240" w:lineRule="auto"/>
        <w:ind w:right="0"/>
        <w:jc w:val="left"/>
        <w:rPr>
          <w:b w:val="0"/>
          <w:bCs w:val="0"/>
        </w:rPr>
      </w:pPr>
      <w:r>
        <w:rPr>
          <w:rFonts w:ascii="Times New Roman" w:hAnsi="Times New Roman" w:cs="Times New Roman" w:eastAsia="Times New Roman" w:hint="default"/>
        </w:rPr>
        <w:t>2</w:t>
      </w:r>
      <w:r>
        <w:rPr/>
        <w:t>、或有事项</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）资产负债表日存在的重要或有事项</w:t>
      </w:r>
      <w:r>
        <w:rPr>
          <w:b w:val="0"/>
          <w:bCs w:val="0"/>
        </w:rPr>
      </w:r>
    </w:p>
    <w:p>
      <w:pPr>
        <w:spacing w:line="240" w:lineRule="auto" w:before="16"/>
        <w:rPr>
          <w:rFonts w:ascii="Microsoft JhengHei" w:hAnsi="Microsoft JhengHei" w:cs="Microsoft JhengHei" w:eastAsia="Microsoft JhengHei" w:hint="default"/>
          <w:b/>
          <w:bCs/>
          <w:sz w:val="23"/>
          <w:szCs w:val="23"/>
        </w:rPr>
      </w:pPr>
    </w:p>
    <w:p>
      <w:pPr>
        <w:pStyle w:val="BodyText"/>
        <w:spacing w:line="240" w:lineRule="auto"/>
        <w:ind w:left="513" w:right="0"/>
        <w:jc w:val="left"/>
      </w:pPr>
      <w:r>
        <w:rPr/>
        <w:t>截至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日止，本公司无需要披露的重要或有事项。</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）公司没有需要披露的重要或有事项，也应予以说明</w:t>
      </w:r>
      <w:r>
        <w:rPr>
          <w:b w:val="0"/>
          <w:bCs w:val="0"/>
        </w:rPr>
      </w:r>
    </w:p>
    <w:p>
      <w:pPr>
        <w:spacing w:line="240" w:lineRule="auto" w:before="13"/>
        <w:rPr>
          <w:rFonts w:ascii="Microsoft JhengHei" w:hAnsi="Microsoft JhengHei" w:cs="Microsoft JhengHei" w:eastAsia="Microsoft JhengHei" w:hint="default"/>
          <w:b/>
          <w:bCs/>
          <w:sz w:val="23"/>
          <w:szCs w:val="23"/>
        </w:rPr>
      </w:pPr>
    </w:p>
    <w:p>
      <w:pPr>
        <w:pStyle w:val="BodyText"/>
        <w:spacing w:line="240" w:lineRule="auto"/>
        <w:ind w:left="513" w:right="0"/>
        <w:jc w:val="left"/>
      </w:pPr>
      <w:r>
        <w:rPr/>
        <w:t>公司不存在需要披露的重要或有事项。</w:t>
      </w:r>
    </w:p>
    <w:p>
      <w:pPr>
        <w:spacing w:line="240" w:lineRule="auto" w:before="4"/>
        <w:rPr>
          <w:rFonts w:ascii="宋体" w:hAnsi="宋体" w:cs="宋体" w:eastAsia="宋体" w:hint="default"/>
          <w:sz w:val="25"/>
          <w:szCs w:val="25"/>
        </w:rPr>
      </w:pPr>
    </w:p>
    <w:p>
      <w:pPr>
        <w:pStyle w:val="Heading2"/>
        <w:spacing w:line="240" w:lineRule="auto"/>
        <w:ind w:right="0"/>
        <w:jc w:val="left"/>
        <w:rPr>
          <w:b w:val="0"/>
          <w:bCs w:val="0"/>
        </w:rPr>
      </w:pPr>
      <w:r>
        <w:rPr/>
        <w:t>十四、资产负债表日后事项</w:t>
      </w:r>
      <w:r>
        <w:rPr>
          <w:b w:val="0"/>
          <w:bCs w:val="0"/>
        </w:rPr>
      </w:r>
    </w:p>
    <w:p>
      <w:pPr>
        <w:spacing w:line="240" w:lineRule="auto" w:before="6"/>
        <w:rPr>
          <w:rFonts w:ascii="Microsoft JhengHei" w:hAnsi="Microsoft JhengHei" w:cs="Microsoft JhengHei" w:eastAsia="Microsoft JhengHei" w:hint="default"/>
          <w:b/>
          <w:bCs/>
          <w:sz w:val="13"/>
          <w:szCs w:val="13"/>
        </w:rPr>
      </w:pPr>
    </w:p>
    <w:p>
      <w:pPr>
        <w:pStyle w:val="Heading3"/>
        <w:spacing w:line="240" w:lineRule="auto"/>
        <w:ind w:right="0"/>
        <w:jc w:val="left"/>
        <w:rPr>
          <w:b w:val="0"/>
          <w:bCs w:val="0"/>
        </w:rPr>
      </w:pPr>
      <w:r>
        <w:rPr>
          <w:rFonts w:ascii="Times New Roman" w:hAnsi="Times New Roman" w:cs="Times New Roman" w:eastAsia="Times New Roman" w:hint="default"/>
        </w:rPr>
        <w:t>1</w:t>
      </w:r>
      <w:r>
        <w:rPr/>
        <w:t>、其他资产负债表日后事项说明</w:t>
      </w:r>
      <w:r>
        <w:rPr>
          <w:b w:val="0"/>
          <w:bCs w:val="0"/>
        </w:rPr>
      </w:r>
    </w:p>
    <w:p>
      <w:pPr>
        <w:spacing w:line="240" w:lineRule="auto" w:before="13"/>
        <w:rPr>
          <w:rFonts w:ascii="Microsoft JhengHei" w:hAnsi="Microsoft JhengHei" w:cs="Microsoft JhengHei" w:eastAsia="Microsoft JhengHei" w:hint="default"/>
          <w:b/>
          <w:bCs/>
          <w:sz w:val="23"/>
          <w:szCs w:val="23"/>
        </w:rPr>
      </w:pPr>
    </w:p>
    <w:p>
      <w:pPr>
        <w:pStyle w:val="BodyText"/>
        <w:spacing w:line="240" w:lineRule="auto"/>
        <w:ind w:left="513" w:right="0"/>
        <w:jc w:val="left"/>
      </w:pPr>
      <w:r>
        <w:rPr/>
        <w:t>截至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日止，本公司无需要披露的资产负债表日后事项。</w:t>
      </w:r>
    </w:p>
    <w:p>
      <w:pPr>
        <w:spacing w:line="240" w:lineRule="auto" w:before="3"/>
        <w:rPr>
          <w:rFonts w:ascii="宋体" w:hAnsi="宋体" w:cs="宋体" w:eastAsia="宋体" w:hint="default"/>
          <w:sz w:val="24"/>
          <w:szCs w:val="24"/>
        </w:rPr>
      </w:pPr>
    </w:p>
    <w:p>
      <w:pPr>
        <w:pStyle w:val="Heading2"/>
        <w:spacing w:line="240" w:lineRule="auto"/>
        <w:ind w:right="0"/>
        <w:jc w:val="left"/>
        <w:rPr>
          <w:b w:val="0"/>
          <w:bCs w:val="0"/>
        </w:rPr>
      </w:pPr>
      <w:r>
        <w:rPr/>
        <w:t>十五、其他重要事项</w:t>
      </w:r>
      <w:r>
        <w:rPr>
          <w:b w:val="0"/>
          <w:bCs w:val="0"/>
        </w:rPr>
      </w:r>
    </w:p>
    <w:p>
      <w:pPr>
        <w:spacing w:line="240" w:lineRule="auto" w:before="5"/>
        <w:rPr>
          <w:rFonts w:ascii="Microsoft JhengHei" w:hAnsi="Microsoft JhengHei" w:cs="Microsoft JhengHei" w:eastAsia="Microsoft JhengHei" w:hint="default"/>
          <w:b/>
          <w:bCs/>
          <w:sz w:val="13"/>
          <w:szCs w:val="13"/>
        </w:rPr>
      </w:pPr>
    </w:p>
    <w:p>
      <w:pPr>
        <w:pStyle w:val="Heading3"/>
        <w:spacing w:line="240" w:lineRule="auto"/>
        <w:ind w:right="0"/>
        <w:jc w:val="left"/>
        <w:rPr>
          <w:b w:val="0"/>
          <w:bCs w:val="0"/>
        </w:rPr>
      </w:pPr>
      <w:r>
        <w:rPr>
          <w:rFonts w:ascii="Times New Roman" w:hAnsi="Times New Roman" w:cs="Times New Roman" w:eastAsia="Times New Roman" w:hint="default"/>
        </w:rPr>
        <w:t>1</w:t>
      </w:r>
      <w:r>
        <w:rPr/>
        <w:t>、其他</w:t>
      </w:r>
      <w:r>
        <w:rPr>
          <w:b w:val="0"/>
          <w:bCs w:val="0"/>
        </w:rPr>
      </w:r>
    </w:p>
    <w:p>
      <w:pPr>
        <w:spacing w:line="240" w:lineRule="auto" w:before="15"/>
        <w:rPr>
          <w:rFonts w:ascii="Microsoft JhengHei" w:hAnsi="Microsoft JhengHei" w:cs="Microsoft JhengHei" w:eastAsia="Microsoft JhengHei" w:hint="default"/>
          <w:b/>
          <w:bCs/>
          <w:sz w:val="23"/>
          <w:szCs w:val="23"/>
        </w:rPr>
      </w:pPr>
    </w:p>
    <w:p>
      <w:pPr>
        <w:pStyle w:val="BodyText"/>
        <w:spacing w:line="477" w:lineRule="auto"/>
        <w:ind w:right="148" w:firstLine="360"/>
        <w:jc w:val="both"/>
      </w:pPr>
      <w:r>
        <w:rPr/>
        <w:t>公司于</w:t>
      </w:r>
      <w:r>
        <w:rPr>
          <w:rFonts w:ascii="宋体" w:hAnsi="宋体" w:cs="宋体" w:eastAsia="宋体" w:hint="default"/>
        </w:rPr>
        <w:t>2017</w:t>
      </w:r>
      <w:r>
        <w:rPr/>
        <w:t>年</w:t>
      </w:r>
      <w:r>
        <w:rPr>
          <w:rFonts w:ascii="宋体" w:hAnsi="宋体" w:cs="宋体" w:eastAsia="宋体" w:hint="default"/>
        </w:rPr>
        <w:t>12</w:t>
      </w:r>
      <w:r>
        <w:rPr/>
        <w:t>月</w:t>
      </w:r>
      <w:r>
        <w:rPr>
          <w:rFonts w:ascii="宋体" w:hAnsi="宋体" w:cs="宋体" w:eastAsia="宋体" w:hint="default"/>
        </w:rPr>
        <w:t>25</w:t>
      </w:r>
      <w:r>
        <w:rPr/>
        <w:t>日发布了《广东群兴玩具股份有限公司关于转让广东粤科融资租赁有限公司</w:t>
      </w:r>
      <w:r>
        <w:rPr>
          <w:rFonts w:ascii="宋体" w:hAnsi="宋体" w:cs="宋体" w:eastAsia="宋体" w:hint="default"/>
        </w:rPr>
        <w:t>20%</w:t>
      </w:r>
      <w:r>
        <w:rPr/>
        <w:t>股权首轮公开征集 受让方的公告》，拟通过向社会公开征集受让方方式出售公司持有的广东粤科融资租赁有限公司</w:t>
      </w:r>
      <w:r>
        <w:rPr>
          <w:rFonts w:ascii="宋体" w:hAnsi="宋体" w:cs="宋体" w:eastAsia="宋体" w:hint="default"/>
        </w:rPr>
        <w:t>20%</w:t>
      </w:r>
      <w:r>
        <w:rPr/>
        <w:t>股权。</w:t>
      </w:r>
      <w:r>
        <w:rPr>
          <w:rFonts w:ascii="宋体" w:hAnsi="宋体" w:cs="宋体" w:eastAsia="宋体" w:hint="default"/>
        </w:rPr>
        <w:t>2018</w:t>
      </w:r>
      <w:r>
        <w:rPr/>
        <w:t>年</w:t>
      </w:r>
      <w:r>
        <w:rPr>
          <w:rFonts w:ascii="宋体" w:hAnsi="宋体" w:cs="宋体" w:eastAsia="宋体" w:hint="default"/>
        </w:rPr>
        <w:t>1</w:t>
      </w:r>
      <w:r>
        <w:rPr/>
        <w:t>月</w:t>
      </w:r>
      <w:r>
        <w:rPr>
          <w:rFonts w:ascii="宋体" w:hAnsi="宋体" w:cs="宋体" w:eastAsia="宋体" w:hint="default"/>
        </w:rPr>
        <w:t>9</w:t>
      </w:r>
      <w:r>
        <w:rPr/>
        <w:t>日公</w:t>
      </w:r>
      <w:r>
        <w:rPr>
          <w:spacing w:val="-3"/>
        </w:rPr>
        <w:t> </w:t>
      </w:r>
      <w:r>
        <w:rPr/>
        <w:t>司披露了《关于转让广东粤科融资租赁有限公司</w:t>
      </w:r>
      <w:r>
        <w:rPr>
          <w:rFonts w:ascii="宋体" w:hAnsi="宋体" w:cs="宋体" w:eastAsia="宋体" w:hint="default"/>
        </w:rPr>
        <w:t>20%</w:t>
      </w:r>
      <w:r>
        <w:rPr/>
        <w:t>股权首轮公开征集受让方结果的公告》。截至本报告日，公司正积极协</w:t>
      </w:r>
      <w:r>
        <w:rPr>
          <w:spacing w:val="-84"/>
        </w:rPr>
        <w:t> </w:t>
      </w:r>
      <w:r>
        <w:rPr>
          <w:spacing w:val="-84"/>
        </w:rPr>
      </w:r>
      <w:r>
        <w:rPr/>
        <w:t>调意向受让方与粤科租赁其他股东进行沟通、交流。本次股权出售最终是否顺利实施均存在重大不确定性。</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477" w:lineRule="auto"/>
        <w:ind w:right="151" w:firstLine="360"/>
        <w:jc w:val="both"/>
      </w:pPr>
      <w:r>
        <w:rPr>
          <w:spacing w:val="-2"/>
        </w:rPr>
        <w:t>公司控股股东</w:t>
      </w:r>
      <w:r>
        <w:rPr>
          <w:rFonts w:ascii="宋体" w:hAnsi="宋体" w:cs="宋体" w:eastAsia="宋体" w:hint="default"/>
          <w:spacing w:val="-2"/>
        </w:rPr>
        <w:t>2017</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25</w:t>
      </w:r>
      <w:r>
        <w:rPr>
          <w:spacing w:val="-2"/>
        </w:rPr>
        <w:t>日筹划控股权转让事宜，</w:t>
      </w:r>
      <w:r>
        <w:rPr>
          <w:rFonts w:ascii="宋体" w:hAnsi="宋体" w:cs="宋体" w:eastAsia="宋体" w:hint="default"/>
          <w:spacing w:val="-2"/>
        </w:rPr>
        <w:t>2018</w:t>
      </w:r>
      <w:r>
        <w:rPr>
          <w:spacing w:val="-2"/>
        </w:rPr>
        <w:t>年</w:t>
      </w:r>
      <w:r>
        <w:rPr>
          <w:rFonts w:ascii="宋体" w:hAnsi="宋体" w:cs="宋体" w:eastAsia="宋体" w:hint="default"/>
          <w:spacing w:val="-2"/>
        </w:rPr>
        <w:t>4</w:t>
      </w:r>
      <w:r>
        <w:rPr>
          <w:spacing w:val="-2"/>
        </w:rPr>
        <w:t>月</w:t>
      </w:r>
      <w:r>
        <w:rPr>
          <w:rFonts w:ascii="宋体" w:hAnsi="宋体" w:cs="宋体" w:eastAsia="宋体" w:hint="default"/>
          <w:spacing w:val="-2"/>
        </w:rPr>
        <w:t>3</w:t>
      </w:r>
      <w:r>
        <w:rPr>
          <w:spacing w:val="-2"/>
        </w:rPr>
        <w:t>日公司披露继续推进股权转让事宜及开展重大资产重组</w:t>
      </w:r>
      <w:r>
        <w:rPr/>
        <w:t> 筹划，</w:t>
      </w:r>
      <w:r>
        <w:rPr>
          <w:rFonts w:ascii="宋体" w:hAnsi="宋体" w:cs="宋体" w:eastAsia="宋体" w:hint="default"/>
        </w:rPr>
        <w:t>2018</w:t>
      </w:r>
      <w:r>
        <w:rPr/>
        <w:t>年</w:t>
      </w:r>
      <w:r>
        <w:rPr>
          <w:rFonts w:ascii="宋体" w:hAnsi="宋体" w:cs="宋体" w:eastAsia="宋体" w:hint="default"/>
        </w:rPr>
        <w:t>4</w:t>
      </w:r>
      <w:r>
        <w:rPr/>
        <w:t>月</w:t>
      </w:r>
      <w:r>
        <w:rPr>
          <w:rFonts w:ascii="宋体" w:hAnsi="宋体" w:cs="宋体" w:eastAsia="宋体" w:hint="default"/>
        </w:rPr>
        <w:t>11</w:t>
      </w:r>
      <w:r>
        <w:rPr/>
        <w:t>日，公司公告因控股权拟受让方受让控股股东股权事项未能获得有权部门批准，控股股东及公司决定终</w:t>
      </w:r>
      <w:r>
        <w:rPr>
          <w:spacing w:val="-86"/>
        </w:rPr>
        <w:t> </w:t>
      </w:r>
      <w:r>
        <w:rPr>
          <w:spacing w:val="-86"/>
        </w:rPr>
      </w:r>
      <w:r>
        <w:rPr/>
        <w:t>止筹划控股权转让及重大资产重组事宜。公司控股股东承诺自</w:t>
      </w:r>
      <w:r>
        <w:rPr>
          <w:rFonts w:ascii="宋体" w:hAnsi="宋体" w:cs="宋体" w:eastAsia="宋体" w:hint="default"/>
        </w:rPr>
        <w:t>2018</w:t>
      </w:r>
      <w:r>
        <w:rPr/>
        <w:t>年</w:t>
      </w:r>
      <w:r>
        <w:rPr>
          <w:rFonts w:ascii="宋体" w:hAnsi="宋体" w:cs="宋体" w:eastAsia="宋体" w:hint="default"/>
        </w:rPr>
        <w:t>4</w:t>
      </w:r>
      <w:r>
        <w:rPr/>
        <w:t>月</w:t>
      </w:r>
      <w:r>
        <w:rPr>
          <w:rFonts w:ascii="宋体" w:hAnsi="宋体" w:cs="宋体" w:eastAsia="宋体" w:hint="default"/>
        </w:rPr>
        <w:t>11</w:t>
      </w:r>
      <w:r>
        <w:rPr/>
        <w:t>日起一个月内不再筹划控股权转让事宜。</w:t>
      </w: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21"/>
          <w:szCs w:val="21"/>
        </w:rPr>
      </w:pPr>
    </w:p>
    <w:p>
      <w:pPr>
        <w:pStyle w:val="BodyText"/>
        <w:spacing w:line="240" w:lineRule="auto"/>
        <w:ind w:left="513" w:right="0"/>
        <w:jc w:val="left"/>
      </w:pPr>
      <w:r>
        <w:rPr>
          <w:rFonts w:ascii="宋体" w:hAnsi="宋体" w:cs="宋体" w:eastAsia="宋体" w:hint="default"/>
        </w:rPr>
        <w:t>2017</w:t>
      </w:r>
      <w:r>
        <w:rPr/>
        <w:t>年</w:t>
      </w:r>
      <w:r>
        <w:rPr>
          <w:rFonts w:ascii="宋体" w:hAnsi="宋体" w:cs="宋体" w:eastAsia="宋体" w:hint="default"/>
        </w:rPr>
        <w:t>1</w:t>
      </w:r>
      <w:r>
        <w:rPr/>
        <w:t>月</w:t>
      </w:r>
      <w:r>
        <w:rPr>
          <w:rFonts w:ascii="宋体" w:hAnsi="宋体" w:cs="宋体" w:eastAsia="宋体" w:hint="default"/>
        </w:rPr>
        <w:t>20</w:t>
      </w:r>
      <w:r>
        <w:rPr/>
        <w:t>日，公司董事会决议将所处岭海工业区</w:t>
      </w:r>
      <w:r>
        <w:rPr>
          <w:rFonts w:ascii="宋体" w:hAnsi="宋体" w:cs="宋体" w:eastAsia="宋体" w:hint="default"/>
        </w:rPr>
        <w:t>1</w:t>
      </w:r>
      <w:r>
        <w:rPr/>
        <w:t>处房地产（即电子电动玩具生产基地，房产土地证号：粤房地产权</w:t>
      </w:r>
    </w:p>
    <w:p>
      <w:pPr>
        <w:spacing w:after="0" w:line="240" w:lineRule="auto"/>
        <w:jc w:val="left"/>
        <w:sectPr>
          <w:pgSz w:w="11910" w:h="16840"/>
          <w:pgMar w:header="877" w:footer="979" w:top="1100" w:bottom="1160" w:left="980" w:right="980"/>
        </w:sectPr>
      </w:pPr>
    </w:p>
    <w:p>
      <w:pPr>
        <w:spacing w:line="240" w:lineRule="auto" w:before="12"/>
        <w:rPr>
          <w:rFonts w:ascii="宋体" w:hAnsi="宋体" w:cs="宋体" w:eastAsia="宋体" w:hint="default"/>
          <w:sz w:val="27"/>
          <w:szCs w:val="27"/>
        </w:rPr>
      </w:pPr>
    </w:p>
    <w:p>
      <w:pPr>
        <w:pStyle w:val="BodyText"/>
        <w:spacing w:line="477" w:lineRule="auto" w:before="44"/>
        <w:ind w:left="272" w:right="183"/>
        <w:jc w:val="both"/>
      </w:pPr>
      <w:r>
        <w:rPr/>
        <w:t>证澄字第</w:t>
      </w:r>
      <w:r>
        <w:rPr>
          <w:rFonts w:ascii="宋体" w:hAnsi="宋体" w:cs="宋体" w:eastAsia="宋体" w:hint="default"/>
        </w:rPr>
        <w:t>2000137032</w:t>
      </w:r>
      <w:r>
        <w:rPr/>
        <w:t>号）、</w:t>
      </w:r>
      <w:r>
        <w:rPr>
          <w:rFonts w:ascii="宋体" w:hAnsi="宋体" w:cs="宋体" w:eastAsia="宋体" w:hint="default"/>
        </w:rPr>
        <w:t>1</w:t>
      </w:r>
      <w:r>
        <w:rPr/>
        <w:t>处土地（即岭海工业园宿舍楼用地，房产土地证号：粤（</w:t>
      </w:r>
      <w:r>
        <w:rPr>
          <w:rFonts w:ascii="宋体" w:hAnsi="宋体" w:cs="宋体" w:eastAsia="宋体" w:hint="default"/>
        </w:rPr>
        <w:t>2016</w:t>
      </w:r>
      <w:r>
        <w:rPr/>
        <w:t>）澄海区不动产权第</w:t>
      </w:r>
      <w:r>
        <w:rPr>
          <w:rFonts w:ascii="宋体" w:hAnsi="宋体" w:cs="宋体" w:eastAsia="宋体" w:hint="default"/>
        </w:rPr>
        <w:t>0000002</w:t>
      </w:r>
      <w:r>
        <w:rPr/>
        <w:t>号）</w:t>
      </w:r>
      <w:r>
        <w:rPr>
          <w:spacing w:val="-3"/>
        </w:rPr>
        <w:t> 及地上在建工程（即岭海工业园宿舍楼）以</w:t>
      </w:r>
      <w:r>
        <w:rPr>
          <w:rFonts w:ascii="宋体" w:hAnsi="宋体" w:cs="宋体" w:eastAsia="宋体" w:hint="default"/>
          <w:spacing w:val="-3"/>
        </w:rPr>
        <w:t>2016</w:t>
      </w:r>
      <w:r>
        <w:rPr>
          <w:spacing w:val="-3"/>
        </w:rPr>
        <w:t>年</w:t>
      </w:r>
      <w:r>
        <w:rPr>
          <w:rFonts w:ascii="宋体" w:hAnsi="宋体" w:cs="宋体" w:eastAsia="宋体" w:hint="default"/>
          <w:spacing w:val="-3"/>
        </w:rPr>
        <w:t>12</w:t>
      </w:r>
      <w:r>
        <w:rPr>
          <w:spacing w:val="-3"/>
        </w:rPr>
        <w:t>月</w:t>
      </w:r>
      <w:r>
        <w:rPr>
          <w:rFonts w:ascii="宋体" w:hAnsi="宋体" w:cs="宋体" w:eastAsia="宋体" w:hint="default"/>
          <w:spacing w:val="-3"/>
        </w:rPr>
        <w:t>31</w:t>
      </w:r>
      <w:r>
        <w:rPr>
          <w:spacing w:val="-3"/>
        </w:rPr>
        <w:t>日资产现状及账面价值划转至全资子公司歌乐宝作为生产经营实用。</w:t>
      </w:r>
      <w:r>
        <w:rPr/>
        <w:t> </w:t>
      </w:r>
      <w:r>
        <w:rPr>
          <w:rFonts w:ascii="宋体" w:hAnsi="宋体" w:cs="宋体" w:eastAsia="宋体" w:hint="default"/>
          <w:spacing w:val="8"/>
        </w:rPr>
        <w:t>2017</w:t>
      </w:r>
      <w:r>
        <w:rPr>
          <w:spacing w:val="8"/>
        </w:rPr>
        <w:t>年</w:t>
      </w:r>
      <w:r>
        <w:rPr>
          <w:rFonts w:ascii="宋体" w:hAnsi="宋体" w:cs="宋体" w:eastAsia="宋体" w:hint="default"/>
          <w:spacing w:val="8"/>
        </w:rPr>
        <w:t>2</w:t>
      </w:r>
      <w:r>
        <w:rPr>
          <w:spacing w:val="8"/>
        </w:rPr>
        <w:t>月</w:t>
      </w:r>
      <w:r>
        <w:rPr>
          <w:rFonts w:ascii="宋体" w:hAnsi="宋体" w:cs="宋体" w:eastAsia="宋体" w:hint="default"/>
          <w:spacing w:val="8"/>
        </w:rPr>
        <w:t>9</w:t>
      </w:r>
      <w:r>
        <w:rPr>
          <w:spacing w:val="8"/>
        </w:rPr>
        <w:t>日，第三届董事会第十一次会议决意将公司电子电动玩具生产基地（房产土地证号：粤房地产权证澄字第</w:t>
      </w:r>
    </w:p>
    <w:p>
      <w:pPr>
        <w:pStyle w:val="BodyText"/>
        <w:spacing w:line="240" w:lineRule="auto" w:before="54"/>
        <w:ind w:left="272" w:right="0"/>
        <w:jc w:val="both"/>
      </w:pPr>
      <w:r>
        <w:rPr>
          <w:rFonts w:ascii="宋体" w:hAnsi="宋体" w:cs="宋体" w:eastAsia="宋体" w:hint="default"/>
        </w:rPr>
        <w:t>2000137032</w:t>
      </w:r>
      <w:r>
        <w:rPr/>
        <w:t>号）停止自用，改为出租。截至报告日，上述房产及土地划转手续正在办理中。</w:t>
      </w:r>
    </w:p>
    <w:p>
      <w:pPr>
        <w:spacing w:line="240" w:lineRule="auto" w:before="4"/>
        <w:rPr>
          <w:rFonts w:ascii="宋体" w:hAnsi="宋体" w:cs="宋体" w:eastAsia="宋体" w:hint="default"/>
          <w:sz w:val="25"/>
          <w:szCs w:val="25"/>
        </w:rPr>
      </w:pPr>
    </w:p>
    <w:p>
      <w:pPr>
        <w:pStyle w:val="Heading2"/>
        <w:spacing w:line="240" w:lineRule="auto"/>
        <w:ind w:left="272" w:right="0"/>
        <w:jc w:val="both"/>
        <w:rPr>
          <w:b w:val="0"/>
          <w:bCs w:val="0"/>
        </w:rPr>
      </w:pPr>
      <w:r>
        <w:rPr/>
        <w:t>十六、母公司财务报表主要项目注释</w:t>
      </w:r>
      <w:r>
        <w:rPr>
          <w:b w:val="0"/>
          <w:bCs w:val="0"/>
        </w:rPr>
      </w:r>
    </w:p>
    <w:p>
      <w:pPr>
        <w:spacing w:line="240" w:lineRule="auto" w:before="5"/>
        <w:rPr>
          <w:rFonts w:ascii="Microsoft JhengHei" w:hAnsi="Microsoft JhengHei" w:cs="Microsoft JhengHei" w:eastAsia="Microsoft JhengHei" w:hint="default"/>
          <w:b/>
          <w:bCs/>
          <w:sz w:val="13"/>
          <w:szCs w:val="13"/>
        </w:rPr>
      </w:pPr>
    </w:p>
    <w:p>
      <w:pPr>
        <w:pStyle w:val="Heading3"/>
        <w:spacing w:line="240" w:lineRule="auto"/>
        <w:ind w:left="272" w:right="0"/>
        <w:jc w:val="both"/>
        <w:rPr>
          <w:b w:val="0"/>
          <w:bCs w:val="0"/>
        </w:rPr>
      </w:pPr>
      <w:r>
        <w:rPr>
          <w:rFonts w:ascii="Times New Roman" w:hAnsi="Times New Roman" w:cs="Times New Roman" w:eastAsia="Times New Roman" w:hint="default"/>
        </w:rPr>
        <w:t>1</w:t>
      </w:r>
      <w:r>
        <w:rPr/>
        <w:t>、应收账款</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3"/>
        <w:spacing w:line="240" w:lineRule="auto"/>
        <w:ind w:left="272" w:right="0"/>
        <w:jc w:val="both"/>
        <w:rPr>
          <w:b w:val="0"/>
          <w:bCs w:val="0"/>
        </w:rPr>
      </w:pPr>
      <w:r>
        <w:rPr/>
        <w:t>（</w:t>
      </w:r>
      <w:r>
        <w:rPr>
          <w:rFonts w:ascii="Times New Roman" w:hAnsi="Times New Roman" w:cs="Times New Roman" w:eastAsia="Times New Roman" w:hint="default"/>
        </w:rPr>
        <w:t>1</w:t>
      </w:r>
      <w:r>
        <w:rPr/>
        <w:t>）应收账款分类披露</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left="0" w:right="27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11" w:type="dxa"/>
        <w:tblLayout w:type="fixed"/>
        <w:tblCellMar>
          <w:top w:w="0" w:type="dxa"/>
          <w:left w:w="0" w:type="dxa"/>
          <w:bottom w:w="0" w:type="dxa"/>
          <w:right w:w="0" w:type="dxa"/>
        </w:tblCellMar>
        <w:tblLook w:val="01E0"/>
      </w:tblPr>
      <w:tblGrid>
        <w:gridCol w:w="780"/>
        <w:gridCol w:w="1092"/>
        <w:gridCol w:w="790"/>
        <w:gridCol w:w="1092"/>
        <w:gridCol w:w="701"/>
        <w:gridCol w:w="1090"/>
        <w:gridCol w:w="1092"/>
        <w:gridCol w:w="701"/>
        <w:gridCol w:w="1001"/>
        <w:gridCol w:w="521"/>
        <w:gridCol w:w="1092"/>
      </w:tblGrid>
      <w:tr>
        <w:trPr>
          <w:trHeight w:val="398" w:hRule="exact"/>
        </w:trPr>
        <w:tc>
          <w:tcPr>
            <w:tcW w:w="78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left="206" w:right="0"/>
              <w:jc w:val="left"/>
              <w:rPr>
                <w:rFonts w:ascii="宋体" w:hAnsi="宋体" w:cs="宋体" w:eastAsia="宋体" w:hint="default"/>
                <w:sz w:val="18"/>
                <w:szCs w:val="18"/>
              </w:rPr>
            </w:pPr>
            <w:r>
              <w:rPr>
                <w:rFonts w:ascii="宋体" w:hAnsi="宋体" w:cs="宋体" w:eastAsia="宋体" w:hint="default"/>
                <w:sz w:val="18"/>
                <w:szCs w:val="18"/>
              </w:rPr>
              <w:t>类别</w:t>
            </w:r>
          </w:p>
        </w:tc>
        <w:tc>
          <w:tcPr>
            <w:tcW w:w="476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07"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6" w:hRule="exact"/>
        </w:trPr>
        <w:tc>
          <w:tcPr>
            <w:tcW w:w="780" w:type="dxa"/>
            <w:vMerge/>
            <w:tcBorders>
              <w:left w:val="single" w:sz="4" w:space="0" w:color="000000"/>
              <w:right w:val="single" w:sz="4" w:space="0" w:color="000000"/>
            </w:tcBorders>
            <w:shd w:val="clear" w:color="auto" w:fill="D2D2D2"/>
          </w:tcPr>
          <w:p>
            <w:pPr/>
          </w:p>
        </w:tc>
        <w:tc>
          <w:tcPr>
            <w:tcW w:w="188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7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9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3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0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8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79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9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0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7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5" w:hRule="exact"/>
        </w:trPr>
        <w:tc>
          <w:tcPr>
            <w:tcW w:w="780" w:type="dxa"/>
            <w:vMerge/>
            <w:tcBorders>
              <w:left w:val="single" w:sz="4" w:space="0" w:color="000000"/>
              <w:bottom w:val="single" w:sz="4" w:space="0" w:color="000000"/>
              <w:right w:val="single" w:sz="4" w:space="0" w:color="000000"/>
            </w:tcBorders>
            <w:shd w:val="clear" w:color="auto" w:fill="D2D2D2"/>
          </w:tcPr>
          <w:p>
            <w:pPr/>
          </w:p>
        </w:tc>
        <w:tc>
          <w:tcPr>
            <w:tcW w:w="10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59"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1"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0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59"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56" w:right="72"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1090" w:type="dxa"/>
            <w:vMerge/>
            <w:tcBorders>
              <w:left w:val="single" w:sz="4" w:space="0" w:color="000000"/>
              <w:bottom w:val="single" w:sz="4" w:space="0" w:color="000000"/>
              <w:right w:val="single" w:sz="4" w:space="0" w:color="000000"/>
            </w:tcBorders>
            <w:shd w:val="clear" w:color="auto" w:fill="D2D2D2"/>
          </w:tcPr>
          <w:p>
            <w:pPr/>
          </w:p>
        </w:tc>
        <w:tc>
          <w:tcPr>
            <w:tcW w:w="10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62"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5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6" w:right="72"/>
              <w:jc w:val="left"/>
              <w:rPr>
                <w:rFonts w:ascii="宋体" w:hAnsi="宋体" w:cs="宋体" w:eastAsia="宋体" w:hint="default"/>
                <w:sz w:val="18"/>
                <w:szCs w:val="18"/>
              </w:rPr>
            </w:pPr>
            <w:r>
              <w:rPr>
                <w:rFonts w:ascii="宋体" w:hAnsi="宋体" w:cs="宋体" w:eastAsia="宋体" w:hint="default"/>
                <w:sz w:val="18"/>
                <w:szCs w:val="18"/>
              </w:rPr>
              <w:t>计提 比例</w:t>
            </w:r>
          </w:p>
        </w:tc>
        <w:tc>
          <w:tcPr>
            <w:tcW w:w="1092" w:type="dxa"/>
            <w:vMerge/>
            <w:tcBorders>
              <w:left w:val="single" w:sz="4" w:space="0" w:color="000000"/>
              <w:bottom w:val="single" w:sz="4" w:space="0" w:color="000000"/>
              <w:right w:val="single" w:sz="4" w:space="0" w:color="000000"/>
            </w:tcBorders>
            <w:shd w:val="clear" w:color="auto" w:fill="D2D2D2"/>
          </w:tcPr>
          <w:p>
            <w:pPr/>
          </w:p>
        </w:tc>
      </w:tr>
      <w:tr>
        <w:trPr>
          <w:trHeight w:val="1649" w:hRule="exact"/>
        </w:trPr>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4" w:right="24"/>
              <w:jc w:val="both"/>
              <w:rPr>
                <w:rFonts w:ascii="宋体" w:hAnsi="宋体" w:cs="宋体" w:eastAsia="宋体" w:hint="default"/>
                <w:sz w:val="18"/>
                <w:szCs w:val="18"/>
              </w:rPr>
            </w:pPr>
            <w:r>
              <w:rPr>
                <w:rFonts w:ascii="宋体" w:hAnsi="宋体" w:cs="宋体" w:eastAsia="宋体" w:hint="default"/>
                <w:sz w:val="18"/>
                <w:szCs w:val="18"/>
              </w:rPr>
              <w:t>单项金额 重大并单 独计提坏 账准备的 应收账款</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14,212,091.49</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35.90%</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7,106,045.75</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50.00%</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7,106,045.74</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1651" w:hRule="exact"/>
        </w:trPr>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24"/>
              <w:jc w:val="both"/>
              <w:rPr>
                <w:rFonts w:ascii="宋体" w:hAnsi="宋体" w:cs="宋体" w:eastAsia="宋体" w:hint="default"/>
                <w:sz w:val="18"/>
                <w:szCs w:val="18"/>
              </w:rPr>
            </w:pPr>
            <w:r>
              <w:rPr>
                <w:rFonts w:ascii="宋体" w:hAnsi="宋体" w:cs="宋体" w:eastAsia="宋体" w:hint="default"/>
                <w:sz w:val="18"/>
                <w:szCs w:val="18"/>
              </w:rPr>
              <w:t>按信用风 险特征组 合计提坏 账准备的 应收账款</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22,458,537.76</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56.74%</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449,170.76</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22,009,367.00</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60,722,716.79</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1,717,007.49</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2.83%</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59,005,709.30</w:t>
            </w:r>
          </w:p>
        </w:tc>
      </w:tr>
      <w:tr>
        <w:trPr>
          <w:trHeight w:val="1961" w:hRule="exact"/>
        </w:trPr>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4" w:right="24"/>
              <w:jc w:val="both"/>
              <w:rPr>
                <w:rFonts w:ascii="宋体" w:hAnsi="宋体" w:cs="宋体" w:eastAsia="宋体" w:hint="default"/>
                <w:sz w:val="18"/>
                <w:szCs w:val="18"/>
              </w:rPr>
            </w:pPr>
            <w:r>
              <w:rPr>
                <w:rFonts w:ascii="宋体" w:hAnsi="宋体" w:cs="宋体" w:eastAsia="宋体" w:hint="default"/>
                <w:sz w:val="18"/>
                <w:szCs w:val="18"/>
              </w:rPr>
              <w:t>单项金额 不重大但 单独计提 坏账准备 的应收账 款</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2,911,805.05</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7.36%</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2,911,805.05</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39,582,434.30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10,467,021.56</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26.44%</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29,115,412.74</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60,722,716.79</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1,717,007.49</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2.83%</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59,005,709.30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860" w:right="860"/>
        </w:sectPr>
      </w:pPr>
    </w:p>
    <w:p>
      <w:pPr>
        <w:pStyle w:val="BodyText"/>
        <w:spacing w:line="240" w:lineRule="auto" w:before="49"/>
        <w:ind w:left="272" w:right="-20"/>
        <w:jc w:val="left"/>
      </w:pPr>
      <w:r>
        <w:rPr/>
        <w:t>期末单项金额重大并单项计提坏账准备的应收账款：</w:t>
      </w:r>
    </w:p>
    <w:p>
      <w:pPr>
        <w:pStyle w:val="BodyText"/>
        <w:spacing w:line="240" w:lineRule="auto" w:before="115"/>
        <w:ind w:left="272"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pStyle w:val="BodyText"/>
        <w:spacing w:line="240" w:lineRule="auto"/>
        <w:ind w:left="272" w:right="0"/>
        <w:jc w:val="left"/>
      </w:pPr>
      <w:r>
        <w:rPr/>
        <w:t>单位：</w:t>
      </w:r>
      <w:r>
        <w:rPr>
          <w:spacing w:val="1"/>
        </w:rPr>
        <w:t> </w:t>
      </w:r>
      <w:r>
        <w:rPr/>
        <w:t>元</w:t>
      </w:r>
    </w:p>
    <w:p>
      <w:pPr>
        <w:spacing w:after="0" w:line="240" w:lineRule="auto"/>
        <w:jc w:val="left"/>
        <w:sectPr>
          <w:type w:val="continuous"/>
          <w:pgSz w:w="11910" w:h="16840"/>
          <w:pgMar w:top="1060" w:bottom="1160" w:left="860" w:right="860"/>
          <w:cols w:num="2" w:equalWidth="0">
            <w:col w:w="4413" w:space="4416"/>
            <w:col w:w="1361"/>
          </w:cols>
        </w:sectPr>
      </w:pPr>
    </w:p>
    <w:p>
      <w:pPr>
        <w:spacing w:line="240" w:lineRule="auto" w:before="4"/>
        <w:rPr>
          <w:rFonts w:ascii="宋体" w:hAnsi="宋体" w:cs="宋体" w:eastAsia="宋体" w:hint="default"/>
          <w:sz w:val="8"/>
          <w:szCs w:val="8"/>
        </w:rPr>
      </w:pPr>
    </w:p>
    <w:tbl>
      <w:tblPr>
        <w:tblW w:w="0" w:type="auto"/>
        <w:jc w:val="left"/>
        <w:tblInd w:w="269" w:type="dxa"/>
        <w:tblLayout w:type="fixed"/>
        <w:tblCellMar>
          <w:top w:w="0" w:type="dxa"/>
          <w:left w:w="0" w:type="dxa"/>
          <w:bottom w:w="0" w:type="dxa"/>
          <w:right w:w="0" w:type="dxa"/>
        </w:tblCellMar>
        <w:tblLook w:val="01E0"/>
      </w:tblPr>
      <w:tblGrid>
        <w:gridCol w:w="1994"/>
        <w:gridCol w:w="1837"/>
        <w:gridCol w:w="1913"/>
        <w:gridCol w:w="1546"/>
        <w:gridCol w:w="2283"/>
      </w:tblGrid>
      <w:tr>
        <w:trPr>
          <w:trHeight w:val="401" w:hRule="exact"/>
        </w:trPr>
        <w:tc>
          <w:tcPr>
            <w:tcW w:w="19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81" w:right="0"/>
              <w:jc w:val="left"/>
              <w:rPr>
                <w:rFonts w:ascii="宋体" w:hAnsi="宋体" w:cs="宋体" w:eastAsia="宋体" w:hint="default"/>
                <w:sz w:val="18"/>
                <w:szCs w:val="18"/>
              </w:rPr>
            </w:pPr>
            <w:r>
              <w:rPr>
                <w:rFonts w:ascii="宋体" w:hAnsi="宋体" w:cs="宋体" w:eastAsia="宋体" w:hint="default"/>
                <w:sz w:val="18"/>
                <w:szCs w:val="18"/>
              </w:rPr>
              <w:t>应收账款（按单位）</w:t>
            </w:r>
          </w:p>
        </w:tc>
        <w:tc>
          <w:tcPr>
            <w:tcW w:w="757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994" w:type="dxa"/>
            <w:vMerge/>
            <w:tcBorders>
              <w:left w:val="single" w:sz="4" w:space="0" w:color="000000"/>
              <w:bottom w:val="single" w:sz="4" w:space="0" w:color="000000"/>
              <w:right w:val="single" w:sz="4" w:space="0" w:color="000000"/>
            </w:tcBorders>
            <w:shd w:val="clear" w:color="auto" w:fill="D2D2D2"/>
          </w:tcPr>
          <w:p>
            <w:pPr/>
          </w:p>
        </w:tc>
        <w:tc>
          <w:tcPr>
            <w:tcW w:w="1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07"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22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计提理由</w:t>
            </w:r>
          </w:p>
        </w:tc>
      </w:tr>
      <w:tr>
        <w:trPr>
          <w:trHeight w:val="401" w:hRule="exact"/>
        </w:trPr>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公司</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6" w:right="0"/>
              <w:jc w:val="left"/>
              <w:rPr>
                <w:rFonts w:ascii="Times New Roman" w:hAnsi="Times New Roman" w:cs="Times New Roman" w:eastAsia="Times New Roman" w:hint="default"/>
                <w:sz w:val="18"/>
                <w:szCs w:val="18"/>
              </w:rPr>
            </w:pPr>
            <w:r>
              <w:rPr>
                <w:rFonts w:ascii="Times New Roman"/>
                <w:sz w:val="18"/>
              </w:rPr>
              <w:t>8,842,911.55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6" w:right="0"/>
              <w:jc w:val="left"/>
              <w:rPr>
                <w:rFonts w:ascii="Times New Roman" w:hAnsi="Times New Roman" w:cs="Times New Roman" w:eastAsia="Times New Roman" w:hint="default"/>
                <w:sz w:val="18"/>
                <w:szCs w:val="18"/>
              </w:rPr>
            </w:pPr>
            <w:r>
              <w:rPr>
                <w:rFonts w:ascii="Times New Roman"/>
                <w:sz w:val="18"/>
              </w:rPr>
              <w:t>4,421,455.78</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57" w:right="0"/>
              <w:jc w:val="left"/>
              <w:rPr>
                <w:rFonts w:ascii="Times New Roman" w:hAnsi="Times New Roman" w:cs="Times New Roman" w:eastAsia="Times New Roman" w:hint="default"/>
                <w:sz w:val="18"/>
                <w:szCs w:val="18"/>
              </w:rPr>
            </w:pPr>
            <w:r>
              <w:rPr>
                <w:rFonts w:ascii="Times New Roman"/>
                <w:sz w:val="18"/>
              </w:rPr>
              <w:t>50.00%</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4" w:right="0"/>
              <w:jc w:val="left"/>
              <w:rPr>
                <w:rFonts w:ascii="宋体" w:hAnsi="宋体" w:cs="宋体" w:eastAsia="宋体" w:hint="default"/>
                <w:sz w:val="18"/>
                <w:szCs w:val="18"/>
              </w:rPr>
            </w:pPr>
            <w:r>
              <w:rPr>
                <w:rFonts w:ascii="宋体" w:hAnsi="宋体" w:cs="宋体" w:eastAsia="宋体" w:hint="default"/>
                <w:sz w:val="18"/>
                <w:szCs w:val="18"/>
              </w:rPr>
              <w:t>对方折价销售，预计收回</w:t>
            </w:r>
          </w:p>
        </w:tc>
      </w:tr>
    </w:tbl>
    <w:p>
      <w:pPr>
        <w:spacing w:after="0" w:line="240" w:lineRule="auto"/>
        <w:jc w:val="left"/>
        <w:rPr>
          <w:rFonts w:ascii="宋体" w:hAnsi="宋体" w:cs="宋体" w:eastAsia="宋体" w:hint="default"/>
          <w:sz w:val="18"/>
          <w:szCs w:val="18"/>
        </w:rPr>
        <w:sectPr>
          <w:type w:val="continuous"/>
          <w:pgSz w:w="11910" w:h="16840"/>
          <w:pgMar w:top="1060" w:bottom="1160" w:left="860" w:right="86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1995"/>
        <w:gridCol w:w="1837"/>
        <w:gridCol w:w="1913"/>
        <w:gridCol w:w="1546"/>
        <w:gridCol w:w="2283"/>
      </w:tblGrid>
      <w:tr>
        <w:trPr>
          <w:trHeight w:val="363" w:hRule="exact"/>
        </w:trPr>
        <w:tc>
          <w:tcPr>
            <w:tcW w:w="1995" w:type="dxa"/>
            <w:tcBorders>
              <w:top w:val="single" w:sz="4" w:space="0" w:color="000000"/>
              <w:left w:val="single" w:sz="4" w:space="0" w:color="000000"/>
              <w:bottom w:val="single" w:sz="4" w:space="0" w:color="000000"/>
              <w:right w:val="single" w:sz="4" w:space="0" w:color="000000"/>
            </w:tcBorders>
          </w:tcPr>
          <w:p>
            <w:pPr/>
          </w:p>
        </w:tc>
        <w:tc>
          <w:tcPr>
            <w:tcW w:w="1837"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Times New Roman" w:hAnsi="Times New Roman" w:cs="Times New Roman" w:eastAsia="Times New Roman" w:hint="default"/>
                <w:sz w:val="18"/>
                <w:szCs w:val="18"/>
              </w:rPr>
            </w:pPr>
            <w:r>
              <w:rPr>
                <w:rFonts w:ascii="Times New Roman"/>
                <w:sz w:val="18"/>
              </w:rPr>
              <w:t>50%</w:t>
            </w:r>
          </w:p>
        </w:tc>
      </w:tr>
      <w:tr>
        <w:trPr>
          <w:trHeight w:val="713" w:hRule="exact"/>
        </w:trPr>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B </w:t>
            </w:r>
            <w:r>
              <w:rPr>
                <w:rFonts w:ascii="宋体" w:hAnsi="宋体" w:cs="宋体" w:eastAsia="宋体" w:hint="default"/>
                <w:sz w:val="18"/>
                <w:szCs w:val="18"/>
              </w:rPr>
              <w:t>公司</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5,369,179.94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2,684,589.97</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57" w:right="0"/>
              <w:jc w:val="left"/>
              <w:rPr>
                <w:rFonts w:ascii="Times New Roman" w:hAnsi="Times New Roman" w:cs="Times New Roman" w:eastAsia="Times New Roman" w:hint="default"/>
                <w:sz w:val="18"/>
                <w:szCs w:val="18"/>
              </w:rPr>
            </w:pPr>
            <w:r>
              <w:rPr>
                <w:rFonts w:ascii="Times New Roman"/>
                <w:sz w:val="18"/>
              </w:rPr>
              <w:t>50.00%</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对方折价销售，预计收回</w:t>
            </w:r>
          </w:p>
          <w:p>
            <w:pPr>
              <w:pStyle w:val="TableParagraph"/>
              <w:spacing w:line="240" w:lineRule="auto" w:before="118"/>
              <w:ind w:left="24" w:right="0"/>
              <w:jc w:val="left"/>
              <w:rPr>
                <w:rFonts w:ascii="Times New Roman" w:hAnsi="Times New Roman" w:cs="Times New Roman" w:eastAsia="Times New Roman" w:hint="default"/>
                <w:sz w:val="18"/>
                <w:szCs w:val="18"/>
              </w:rPr>
            </w:pPr>
            <w:r>
              <w:rPr>
                <w:rFonts w:ascii="Times New Roman"/>
                <w:sz w:val="18"/>
              </w:rPr>
              <w:t>50%</w:t>
            </w:r>
          </w:p>
        </w:tc>
      </w:tr>
      <w:tr>
        <w:trPr>
          <w:trHeight w:val="403"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14,212,091.49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7,106,045.75</w:t>
            </w:r>
          </w:p>
        </w:tc>
        <w:tc>
          <w:tcPr>
            <w:tcW w:w="15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2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877" w:footer="979" w:top="1100" w:bottom="1160" w:left="980" w:right="980"/>
        </w:sectPr>
      </w:pPr>
    </w:p>
    <w:p>
      <w:pPr>
        <w:pStyle w:val="BodyText"/>
        <w:spacing w:line="240" w:lineRule="auto" w:before="49"/>
        <w:ind w:right="-20"/>
        <w:jc w:val="left"/>
      </w:pPr>
      <w:r>
        <w:rPr/>
        <w:t>组合中，按账龄分析法计提坏账准备的应收账款：</w:t>
      </w:r>
    </w:p>
    <w:p>
      <w:pPr>
        <w:pStyle w:val="BodyText"/>
        <w:spacing w:line="240" w:lineRule="auto" w:before="115"/>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980"/>
          <w:cols w:num="2" w:equalWidth="0">
            <w:col w:w="4113" w:space="4716"/>
            <w:col w:w="1121"/>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495"/>
        <w:gridCol w:w="2294"/>
        <w:gridCol w:w="2391"/>
        <w:gridCol w:w="2391"/>
      </w:tblGrid>
      <w:tr>
        <w:trPr>
          <w:trHeight w:val="401" w:hRule="exact"/>
        </w:trPr>
        <w:tc>
          <w:tcPr>
            <w:tcW w:w="24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07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4" w:hRule="exact"/>
        </w:trPr>
        <w:tc>
          <w:tcPr>
            <w:tcW w:w="2495" w:type="dxa"/>
            <w:vMerge/>
            <w:tcBorders>
              <w:left w:val="single" w:sz="4" w:space="0" w:color="000000"/>
              <w:bottom w:val="single" w:sz="4" w:space="0" w:color="000000"/>
              <w:right w:val="single" w:sz="4" w:space="0" w:color="000000"/>
            </w:tcBorders>
            <w:shd w:val="clear" w:color="auto" w:fill="D2D2D2"/>
          </w:tcPr>
          <w:p>
            <w:pPr/>
          </w:p>
        </w:tc>
        <w:tc>
          <w:tcPr>
            <w:tcW w:w="2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1" w:hRule="exact"/>
        </w:trPr>
        <w:tc>
          <w:tcPr>
            <w:tcW w:w="957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年以内分项</w:t>
            </w:r>
          </w:p>
        </w:tc>
      </w:tr>
      <w:tr>
        <w:trPr>
          <w:trHeight w:val="403"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22,458,537.76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449,170.76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2.00%</w:t>
            </w:r>
          </w:p>
        </w:tc>
      </w:tr>
      <w:tr>
        <w:trPr>
          <w:trHeight w:val="401"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年以内小计</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22,458,537.76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449,170.76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2.00%</w:t>
            </w:r>
          </w:p>
        </w:tc>
      </w:tr>
    </w:tbl>
    <w:p>
      <w:pPr>
        <w:pStyle w:val="BodyText"/>
        <w:spacing w:line="360" w:lineRule="auto" w:before="49"/>
        <w:ind w:right="5454"/>
        <w:jc w:val="left"/>
      </w:pPr>
      <w:r>
        <w:rPr/>
        <w:t>确定该组合依据的说明：无。 组合中，采用余额百分比法计提坏账准备的应收账款：</w:t>
      </w:r>
    </w:p>
    <w:p>
      <w:pPr>
        <w:pStyle w:val="BodyText"/>
        <w:spacing w:line="340" w:lineRule="auto" w:before="25"/>
        <w:ind w:right="54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组合中，采用其他方法计提坏账准备的应收账款：无。</w:t>
      </w:r>
    </w:p>
    <w:p>
      <w:pPr>
        <w:pStyle w:val="Heading4"/>
        <w:spacing w:line="240" w:lineRule="auto" w:before="98"/>
        <w:ind w:left="573" w:right="0" w:firstLine="0"/>
        <w:jc w:val="left"/>
      </w:pPr>
      <w:r>
        <w:rPr/>
        <w:t>期末单项金额不重大但单独计提坏账准备的应收账款：</w:t>
      </w:r>
    </w:p>
    <w:p>
      <w:pPr>
        <w:spacing w:line="240" w:lineRule="auto" w:before="11"/>
        <w:rPr>
          <w:rFonts w:ascii="宋体" w:hAnsi="宋体" w:cs="宋体" w:eastAsia="宋体" w:hint="default"/>
          <w:sz w:val="9"/>
          <w:szCs w:val="9"/>
        </w:rPr>
      </w:pPr>
    </w:p>
    <w:tbl>
      <w:tblPr>
        <w:tblW w:w="0" w:type="auto"/>
        <w:jc w:val="left"/>
        <w:tblInd w:w="138" w:type="dxa"/>
        <w:tblLayout w:type="fixed"/>
        <w:tblCellMar>
          <w:top w:w="0" w:type="dxa"/>
          <w:left w:w="0" w:type="dxa"/>
          <w:bottom w:w="0" w:type="dxa"/>
          <w:right w:w="0" w:type="dxa"/>
        </w:tblCellMar>
        <w:tblLook w:val="01E0"/>
      </w:tblPr>
      <w:tblGrid>
        <w:gridCol w:w="3486"/>
        <w:gridCol w:w="1805"/>
        <w:gridCol w:w="1682"/>
        <w:gridCol w:w="989"/>
        <w:gridCol w:w="1697"/>
      </w:tblGrid>
      <w:tr>
        <w:trPr>
          <w:trHeight w:val="341" w:hRule="exact"/>
        </w:trPr>
        <w:tc>
          <w:tcPr>
            <w:tcW w:w="3486"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left="926" w:right="0"/>
              <w:jc w:val="left"/>
              <w:rPr>
                <w:rFonts w:ascii="宋体" w:hAnsi="宋体" w:cs="宋体" w:eastAsia="宋体" w:hint="default"/>
                <w:sz w:val="18"/>
                <w:szCs w:val="18"/>
              </w:rPr>
            </w:pPr>
            <w:r>
              <w:rPr>
                <w:rFonts w:ascii="宋体" w:hAnsi="宋体" w:cs="宋体" w:eastAsia="宋体" w:hint="default"/>
                <w:sz w:val="18"/>
                <w:szCs w:val="18"/>
              </w:rPr>
              <w:t>应收账款（按单位）</w:t>
            </w:r>
          </w:p>
        </w:tc>
        <w:tc>
          <w:tcPr>
            <w:tcW w:w="6174"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655" w:hRule="exact"/>
        </w:trPr>
        <w:tc>
          <w:tcPr>
            <w:tcW w:w="3486" w:type="dxa"/>
            <w:vMerge/>
            <w:tcBorders>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537"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7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计提比例</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82" w:right="0"/>
              <w:jc w:val="left"/>
              <w:rPr>
                <w:rFonts w:ascii="宋体" w:hAnsi="宋体" w:cs="宋体" w:eastAsia="宋体" w:hint="default"/>
                <w:sz w:val="18"/>
                <w:szCs w:val="18"/>
              </w:rPr>
            </w:pPr>
            <w:r>
              <w:rPr>
                <w:rFonts w:ascii="宋体" w:hAnsi="宋体" w:cs="宋体" w:eastAsia="宋体" w:hint="default"/>
                <w:sz w:val="18"/>
                <w:szCs w:val="18"/>
              </w:rPr>
              <w:t>计提理由</w:t>
            </w:r>
          </w:p>
        </w:tc>
      </w:tr>
      <w:tr>
        <w:trPr>
          <w:trHeight w:val="341" w:hRule="exact"/>
        </w:trPr>
        <w:tc>
          <w:tcPr>
            <w:tcW w:w="3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493"/>
              <w:jc w:val="right"/>
              <w:rPr>
                <w:rFonts w:ascii="宋体" w:hAnsi="宋体" w:cs="宋体" w:eastAsia="宋体" w:hint="default"/>
                <w:sz w:val="18"/>
                <w:szCs w:val="18"/>
              </w:rPr>
            </w:pPr>
            <w:r>
              <w:rPr>
                <w:rFonts w:ascii="Times New Roman" w:hAnsi="Times New Roman" w:cs="Times New Roman" w:eastAsia="Times New Roman" w:hint="default"/>
                <w:spacing w:val="-1"/>
                <w:w w:val="95"/>
                <w:sz w:val="18"/>
                <w:szCs w:val="18"/>
              </w:rPr>
              <w:t>A</w:t>
            </w:r>
            <w:r>
              <w:rPr>
                <w:rFonts w:ascii="宋体" w:hAnsi="宋体" w:cs="宋体" w:eastAsia="宋体" w:hint="default"/>
                <w:spacing w:val="-1"/>
                <w:w w:val="95"/>
                <w:sz w:val="18"/>
                <w:szCs w:val="18"/>
              </w:rPr>
              <w:t>公司</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2,783,005.98</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2,783,005.98</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100.00</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343" w:hRule="exact"/>
        </w:trPr>
        <w:tc>
          <w:tcPr>
            <w:tcW w:w="3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496"/>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B</w:t>
            </w:r>
            <w:r>
              <w:rPr>
                <w:rFonts w:ascii="宋体" w:hAnsi="宋体" w:cs="宋体" w:eastAsia="宋体" w:hint="default"/>
                <w:spacing w:val="-1"/>
                <w:sz w:val="18"/>
                <w:szCs w:val="18"/>
              </w:rPr>
              <w:t>公司</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87,545.09</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87,545.09</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100.00</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341" w:hRule="exact"/>
        </w:trPr>
        <w:tc>
          <w:tcPr>
            <w:tcW w:w="3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496"/>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C</w:t>
            </w:r>
            <w:r>
              <w:rPr>
                <w:rFonts w:ascii="宋体" w:hAnsi="宋体" w:cs="宋体" w:eastAsia="宋体" w:hint="default"/>
                <w:spacing w:val="-1"/>
                <w:sz w:val="18"/>
                <w:szCs w:val="18"/>
              </w:rPr>
              <w:t>公司</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41,253.98</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41,253.98</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100.00</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343" w:hRule="exact"/>
        </w:trPr>
        <w:tc>
          <w:tcPr>
            <w:tcW w:w="3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556"/>
              <w:jc w:val="right"/>
              <w:rPr>
                <w:rFonts w:ascii="宋体" w:hAnsi="宋体" w:cs="宋体" w:eastAsia="宋体" w:hint="default"/>
                <w:sz w:val="18"/>
                <w:szCs w:val="18"/>
              </w:rPr>
            </w:pPr>
            <w:r>
              <w:rPr>
                <w:rFonts w:ascii="宋体" w:hAnsi="宋体" w:cs="宋体" w:eastAsia="宋体" w:hint="default"/>
                <w:sz w:val="18"/>
                <w:szCs w:val="18"/>
              </w:rPr>
              <w:t>合计</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2,911,805.05</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2,911,805.05</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100.00</w:t>
            </w:r>
          </w:p>
        </w:tc>
        <w:tc>
          <w:tcPr>
            <w:tcW w:w="169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4"/>
        <w:rPr>
          <w:rFonts w:ascii="Microsoft JhengHei" w:hAnsi="Microsoft JhengHei" w:cs="Microsoft JhengHei" w:eastAsia="Microsoft JhengHei" w:hint="default"/>
          <w:b/>
          <w:bCs/>
          <w:sz w:val="19"/>
          <w:szCs w:val="19"/>
        </w:rPr>
      </w:pPr>
    </w:p>
    <w:p>
      <w:pPr>
        <w:pStyle w:val="BodyText"/>
        <w:spacing w:line="240" w:lineRule="auto"/>
        <w:ind w:right="0"/>
        <w:jc w:val="left"/>
      </w:pPr>
      <w:r>
        <w:rPr/>
        <w:t>本期计提坏账准备金额</w:t>
      </w:r>
      <w:r>
        <w:rPr>
          <w:spacing w:val="-46"/>
        </w:rPr>
        <w:t> </w:t>
      </w:r>
      <w:r>
        <w:rPr>
          <w:rFonts w:ascii="Times New Roman" w:hAnsi="Times New Roman" w:cs="Times New Roman" w:eastAsia="Times New Roman" w:hint="default"/>
        </w:rPr>
        <w:t>8,750,014.07</w:t>
      </w:r>
      <w:r>
        <w:rPr>
          <w:rFonts w:ascii="Times New Roman" w:hAnsi="Times New Roman" w:cs="Times New Roman" w:eastAsia="Times New Roman" w:hint="default"/>
          <w:spacing w:val="1"/>
        </w:rPr>
        <w:t> </w:t>
      </w:r>
      <w:r>
        <w:rPr/>
        <w:t>元；本期收回或转回坏账准备金额</w:t>
      </w:r>
      <w:r>
        <w:rPr>
          <w:spacing w:val="-47"/>
        </w:rPr>
        <w:t> </w:t>
      </w:r>
      <w:r>
        <w:rPr>
          <w:rFonts w:ascii="Times New Roman" w:hAnsi="Times New Roman" w:cs="Times New Roman" w:eastAsia="Times New Roman" w:hint="default"/>
        </w:rPr>
        <w:t>0.00 </w:t>
      </w:r>
      <w:r>
        <w:rPr/>
        <w:t>元。</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0"/>
        <w:jc w:val="left"/>
      </w:pPr>
      <w:r>
        <w:rPr/>
        <w:t>本期无实际核销的应收账款情况。</w:t>
      </w:r>
    </w:p>
    <w:p>
      <w:pPr>
        <w:spacing w:line="240" w:lineRule="auto" w:before="1"/>
        <w:rPr>
          <w:rFonts w:ascii="宋体" w:hAnsi="宋体" w:cs="宋体" w:eastAsia="宋体" w:hint="default"/>
          <w:sz w:val="22"/>
          <w:szCs w:val="22"/>
        </w:rPr>
      </w:pPr>
    </w:p>
    <w:p>
      <w:pPr>
        <w:pStyle w:val="Heading3"/>
        <w:spacing w:line="240" w:lineRule="auto"/>
        <w:ind w:right="0"/>
        <w:jc w:val="left"/>
        <w:rPr>
          <w:b w:val="0"/>
          <w:bCs w:val="0"/>
        </w:rPr>
      </w:pP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12"/>
        <w:rPr>
          <w:rFonts w:ascii="Microsoft JhengHei" w:hAnsi="Microsoft JhengHei" w:cs="Microsoft JhengHei" w:eastAsia="Microsoft JhengHei" w:hint="default"/>
          <w:b/>
          <w:bCs/>
          <w:sz w:val="18"/>
          <w:szCs w:val="18"/>
        </w:rPr>
      </w:pPr>
    </w:p>
    <w:tbl>
      <w:tblPr>
        <w:tblW w:w="0" w:type="auto"/>
        <w:jc w:val="left"/>
        <w:tblInd w:w="138" w:type="dxa"/>
        <w:tblLayout w:type="fixed"/>
        <w:tblCellMar>
          <w:top w:w="0" w:type="dxa"/>
          <w:left w:w="0" w:type="dxa"/>
          <w:bottom w:w="0" w:type="dxa"/>
          <w:right w:w="0" w:type="dxa"/>
        </w:tblCellMar>
        <w:tblLook w:val="01E0"/>
      </w:tblPr>
      <w:tblGrid>
        <w:gridCol w:w="3834"/>
        <w:gridCol w:w="1764"/>
        <w:gridCol w:w="1978"/>
        <w:gridCol w:w="2083"/>
      </w:tblGrid>
      <w:tr>
        <w:trPr>
          <w:trHeight w:val="343" w:hRule="exact"/>
        </w:trPr>
        <w:tc>
          <w:tcPr>
            <w:tcW w:w="3834" w:type="dxa"/>
            <w:vMerge w:val="restart"/>
            <w:tcBorders>
              <w:top w:val="single" w:sz="4" w:space="0" w:color="000000"/>
              <w:left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582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653" w:hRule="exact"/>
        </w:trPr>
        <w:tc>
          <w:tcPr>
            <w:tcW w:w="3834" w:type="dxa"/>
            <w:vMerge/>
            <w:tcBorders>
              <w:left w:val="single" w:sz="4" w:space="0" w:color="000000"/>
              <w:bottom w:val="single" w:sz="4" w:space="0" w:color="000000"/>
              <w:right w:val="single" w:sz="4" w:space="0" w:color="000000"/>
            </w:tcBorders>
          </w:tcPr>
          <w:p>
            <w:pP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518"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8"/>
              <w:ind w:left="638" w:right="82" w:hanging="555"/>
              <w:jc w:val="left"/>
              <w:rPr>
                <w:rFonts w:ascii="宋体" w:hAnsi="宋体" w:cs="宋体" w:eastAsia="宋体" w:hint="default"/>
                <w:sz w:val="18"/>
                <w:szCs w:val="18"/>
              </w:rPr>
            </w:pPr>
            <w:r>
              <w:rPr>
                <w:rFonts w:ascii="宋体" w:hAnsi="宋体" w:cs="宋体" w:eastAsia="宋体" w:hint="default"/>
                <w:sz w:val="18"/>
                <w:szCs w:val="18"/>
              </w:rPr>
              <w:t>占应收账款合计数的比 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0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676"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343" w:hRule="exact"/>
        </w:trPr>
        <w:tc>
          <w:tcPr>
            <w:tcW w:w="3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4"/>
              <w:jc w:val="center"/>
              <w:rPr>
                <w:rFonts w:ascii="宋体" w:hAnsi="宋体" w:cs="宋体" w:eastAsia="宋体" w:hint="default"/>
                <w:sz w:val="18"/>
                <w:szCs w:val="18"/>
              </w:rPr>
            </w:pPr>
            <w:r>
              <w:rPr>
                <w:rFonts w:ascii="Times New Roman" w:hAnsi="Times New Roman" w:cs="Times New Roman" w:eastAsia="Times New Roman" w:hint="default"/>
                <w:sz w:val="18"/>
                <w:szCs w:val="18"/>
              </w:rPr>
              <w:t>A</w:t>
            </w:r>
            <w:r>
              <w:rPr>
                <w:rFonts w:ascii="宋体" w:hAnsi="宋体" w:cs="宋体" w:eastAsia="宋体" w:hint="default"/>
                <w:sz w:val="18"/>
                <w:szCs w:val="18"/>
              </w:rPr>
              <w:t>公司</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8,842,911.55</w:t>
            </w:r>
          </w:p>
        </w:tc>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z w:val="18"/>
              </w:rPr>
              <w:t>22.34</w:t>
            </w:r>
          </w:p>
        </w:tc>
        <w:tc>
          <w:tcPr>
            <w:tcW w:w="20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4,421,455.78</w:t>
            </w:r>
          </w:p>
        </w:tc>
      </w:tr>
      <w:tr>
        <w:trPr>
          <w:trHeight w:val="343" w:hRule="exact"/>
        </w:trPr>
        <w:tc>
          <w:tcPr>
            <w:tcW w:w="3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B</w:t>
            </w:r>
            <w:r>
              <w:rPr>
                <w:rFonts w:ascii="宋体" w:hAnsi="宋体" w:cs="宋体" w:eastAsia="宋体" w:hint="default"/>
                <w:sz w:val="18"/>
                <w:szCs w:val="18"/>
              </w:rPr>
              <w:t>公司</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7,009,614.32</w:t>
            </w:r>
          </w:p>
        </w:tc>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z w:val="18"/>
              </w:rPr>
              <w:t>17.71</w:t>
            </w:r>
          </w:p>
        </w:tc>
        <w:tc>
          <w:tcPr>
            <w:tcW w:w="20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140,192.29</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980"/>
        </w:sectPr>
      </w:pPr>
    </w:p>
    <w:p>
      <w:pPr>
        <w:spacing w:line="240" w:lineRule="auto" w:before="8"/>
        <w:rPr>
          <w:rFonts w:ascii="Microsoft JhengHei" w:hAnsi="Microsoft JhengHei" w:cs="Microsoft JhengHei" w:eastAsia="Microsoft JhengHei" w:hint="default"/>
          <w:b/>
          <w:bCs/>
          <w:sz w:val="18"/>
          <w:szCs w:val="18"/>
        </w:rPr>
      </w:pPr>
    </w:p>
    <w:tbl>
      <w:tblPr>
        <w:tblW w:w="0" w:type="auto"/>
        <w:jc w:val="left"/>
        <w:tblInd w:w="138" w:type="dxa"/>
        <w:tblLayout w:type="fixed"/>
        <w:tblCellMar>
          <w:top w:w="0" w:type="dxa"/>
          <w:left w:w="0" w:type="dxa"/>
          <w:bottom w:w="0" w:type="dxa"/>
          <w:right w:w="0" w:type="dxa"/>
        </w:tblCellMar>
        <w:tblLook w:val="01E0"/>
      </w:tblPr>
      <w:tblGrid>
        <w:gridCol w:w="3834"/>
        <w:gridCol w:w="1764"/>
        <w:gridCol w:w="1978"/>
        <w:gridCol w:w="2083"/>
      </w:tblGrid>
      <w:tr>
        <w:trPr>
          <w:trHeight w:val="344" w:hRule="exact"/>
        </w:trPr>
        <w:tc>
          <w:tcPr>
            <w:tcW w:w="3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C</w:t>
            </w:r>
            <w:r>
              <w:rPr>
                <w:rFonts w:ascii="宋体" w:hAnsi="宋体" w:cs="宋体" w:eastAsia="宋体" w:hint="default"/>
                <w:sz w:val="18"/>
                <w:szCs w:val="18"/>
              </w:rPr>
              <w:t>公司</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6,024,896.84</w:t>
            </w:r>
          </w:p>
        </w:tc>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z w:val="18"/>
              </w:rPr>
              <w:t>15.22</w:t>
            </w:r>
          </w:p>
        </w:tc>
        <w:tc>
          <w:tcPr>
            <w:tcW w:w="20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120,497.94</w:t>
            </w:r>
          </w:p>
        </w:tc>
      </w:tr>
      <w:tr>
        <w:trPr>
          <w:trHeight w:val="341" w:hRule="exact"/>
        </w:trPr>
        <w:tc>
          <w:tcPr>
            <w:tcW w:w="3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D</w:t>
            </w:r>
            <w:r>
              <w:rPr>
                <w:rFonts w:ascii="宋体" w:hAnsi="宋体" w:cs="宋体" w:eastAsia="宋体" w:hint="default"/>
                <w:sz w:val="18"/>
                <w:szCs w:val="18"/>
              </w:rPr>
              <w:t>公司</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5,369,179.94</w:t>
            </w:r>
          </w:p>
        </w:tc>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z w:val="18"/>
              </w:rPr>
              <w:t>13.56</w:t>
            </w:r>
          </w:p>
        </w:tc>
        <w:tc>
          <w:tcPr>
            <w:tcW w:w="20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2,684,589.97</w:t>
            </w:r>
          </w:p>
        </w:tc>
      </w:tr>
      <w:tr>
        <w:trPr>
          <w:trHeight w:val="343" w:hRule="exact"/>
        </w:trPr>
        <w:tc>
          <w:tcPr>
            <w:tcW w:w="3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E</w:t>
            </w:r>
            <w:r>
              <w:rPr>
                <w:rFonts w:ascii="宋体" w:hAnsi="宋体" w:cs="宋体" w:eastAsia="宋体" w:hint="default"/>
                <w:sz w:val="18"/>
                <w:szCs w:val="18"/>
              </w:rPr>
              <w:t>公司</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3,823,829.21</w:t>
            </w:r>
          </w:p>
        </w:tc>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9.66</w:t>
            </w:r>
          </w:p>
        </w:tc>
        <w:tc>
          <w:tcPr>
            <w:tcW w:w="20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76,476.58</w:t>
            </w:r>
          </w:p>
        </w:tc>
      </w:tr>
      <w:tr>
        <w:trPr>
          <w:trHeight w:val="341" w:hRule="exact"/>
        </w:trPr>
        <w:tc>
          <w:tcPr>
            <w:tcW w:w="3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31,070,431.86</w:t>
            </w:r>
          </w:p>
        </w:tc>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z w:val="18"/>
              </w:rPr>
              <w:t>78.49</w:t>
            </w:r>
          </w:p>
        </w:tc>
        <w:tc>
          <w:tcPr>
            <w:tcW w:w="20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7,443,212.56</w:t>
            </w:r>
          </w:p>
        </w:tc>
      </w:tr>
    </w:tbl>
    <w:p>
      <w:pPr>
        <w:spacing w:line="240" w:lineRule="auto" w:before="8"/>
        <w:rPr>
          <w:rFonts w:ascii="Microsoft JhengHei" w:hAnsi="Microsoft JhengHei" w:cs="Microsoft JhengHei" w:eastAsia="Microsoft JhengHei" w:hint="default"/>
          <w:b/>
          <w:bCs/>
          <w:sz w:val="14"/>
          <w:szCs w:val="14"/>
        </w:rPr>
      </w:pPr>
    </w:p>
    <w:p>
      <w:pPr>
        <w:pStyle w:val="Heading3"/>
        <w:spacing w:line="335" w:lineRule="exact"/>
        <w:ind w:right="0"/>
        <w:jc w:val="left"/>
        <w:rPr>
          <w:b w:val="0"/>
          <w:bCs w:val="0"/>
        </w:rPr>
      </w:pPr>
      <w:r>
        <w:rPr/>
        <w:t>（</w:t>
      </w:r>
      <w:r>
        <w:rPr>
          <w:rFonts w:ascii="Times New Roman" w:hAnsi="Times New Roman" w:cs="Times New Roman" w:eastAsia="Times New Roman" w:hint="default"/>
        </w:rPr>
        <w:t>5</w:t>
      </w:r>
      <w:r>
        <w:rPr/>
        <w:t>）因金融资产转移而终止确认的应收账款</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0"/>
        <w:jc w:val="left"/>
      </w:pPr>
      <w:r>
        <w:rPr/>
        <w:t>期末无因金融资产转移而终止确认的应收款项情况。</w:t>
      </w:r>
    </w:p>
    <w:p>
      <w:pPr>
        <w:spacing w:line="240" w:lineRule="auto" w:before="1"/>
        <w:rPr>
          <w:rFonts w:ascii="宋体" w:hAnsi="宋体" w:cs="宋体" w:eastAsia="宋体" w:hint="default"/>
          <w:sz w:val="22"/>
          <w:szCs w:val="22"/>
        </w:rPr>
      </w:pPr>
    </w:p>
    <w:p>
      <w:pPr>
        <w:pStyle w:val="Heading3"/>
        <w:spacing w:line="240" w:lineRule="auto"/>
        <w:ind w:right="0"/>
        <w:jc w:val="left"/>
        <w:rPr>
          <w:b w:val="0"/>
          <w:bCs w:val="0"/>
        </w:rPr>
      </w:pPr>
      <w:r>
        <w:rPr/>
        <w:t>（</w:t>
      </w:r>
      <w:r>
        <w:rPr>
          <w:rFonts w:ascii="Times New Roman" w:hAnsi="Times New Roman" w:cs="Times New Roman" w:eastAsia="Times New Roman" w:hint="default"/>
        </w:rPr>
        <w:t>6</w:t>
      </w:r>
      <w:r>
        <w:rPr/>
        <w:t>）转移应收账款且继续涉入形成的资产、负债金额</w:t>
      </w:r>
      <w:r>
        <w:rPr>
          <w:b w:val="0"/>
          <w:bCs w:val="0"/>
        </w:rPr>
      </w:r>
    </w:p>
    <w:p>
      <w:pPr>
        <w:spacing w:line="240" w:lineRule="auto" w:before="4"/>
        <w:rPr>
          <w:rFonts w:ascii="Microsoft JhengHei" w:hAnsi="Microsoft JhengHei" w:cs="Microsoft JhengHei" w:eastAsia="Microsoft JhengHei" w:hint="default"/>
          <w:b/>
          <w:bCs/>
          <w:sz w:val="19"/>
          <w:szCs w:val="19"/>
        </w:rPr>
      </w:pPr>
    </w:p>
    <w:p>
      <w:pPr>
        <w:pStyle w:val="BodyText"/>
        <w:spacing w:line="360" w:lineRule="auto"/>
        <w:ind w:right="4374"/>
        <w:jc w:val="left"/>
      </w:pPr>
      <w:r>
        <w:rPr/>
        <w:t>期末无转移应收账款且继续涉入形成的资产、负债金额的应收账款。 其他说明：无。</w:t>
      </w:r>
    </w:p>
    <w:p>
      <w:pPr>
        <w:spacing w:line="240" w:lineRule="auto" w:before="3"/>
        <w:rPr>
          <w:rFonts w:ascii="宋体" w:hAnsi="宋体" w:cs="宋体" w:eastAsia="宋体" w:hint="default"/>
          <w:sz w:val="15"/>
          <w:szCs w:val="15"/>
        </w:rPr>
      </w:pPr>
    </w:p>
    <w:p>
      <w:pPr>
        <w:pStyle w:val="Heading3"/>
        <w:spacing w:line="240" w:lineRule="auto"/>
        <w:ind w:right="0"/>
        <w:jc w:val="left"/>
        <w:rPr>
          <w:b w:val="0"/>
          <w:bCs w:val="0"/>
        </w:rPr>
      </w:pPr>
      <w:r>
        <w:rPr>
          <w:rFonts w:ascii="Times New Roman" w:hAnsi="Times New Roman" w:cs="Times New Roman" w:eastAsia="Times New Roman" w:hint="default"/>
        </w:rPr>
        <w:t>2</w:t>
      </w:r>
      <w:r>
        <w:rPr/>
        <w:t>、其他应收款</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）其他应收款分类披露</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19" w:type="dxa"/>
        <w:tblLayout w:type="fixed"/>
        <w:tblCellMar>
          <w:top w:w="0" w:type="dxa"/>
          <w:left w:w="0" w:type="dxa"/>
          <w:bottom w:w="0" w:type="dxa"/>
          <w:right w:w="0" w:type="dxa"/>
        </w:tblCellMar>
        <w:tblLook w:val="01E0"/>
      </w:tblPr>
      <w:tblGrid>
        <w:gridCol w:w="749"/>
        <w:gridCol w:w="1183"/>
        <w:gridCol w:w="701"/>
        <w:gridCol w:w="775"/>
        <w:gridCol w:w="521"/>
        <w:gridCol w:w="1181"/>
        <w:gridCol w:w="1181"/>
        <w:gridCol w:w="701"/>
        <w:gridCol w:w="1001"/>
        <w:gridCol w:w="521"/>
        <w:gridCol w:w="1183"/>
      </w:tblGrid>
      <w:tr>
        <w:trPr>
          <w:trHeight w:val="396" w:hRule="exact"/>
        </w:trPr>
        <w:tc>
          <w:tcPr>
            <w:tcW w:w="74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5"/>
              <w:ind w:left="190" w:right="0"/>
              <w:jc w:val="left"/>
              <w:rPr>
                <w:rFonts w:ascii="宋体" w:hAnsi="宋体" w:cs="宋体" w:eastAsia="宋体" w:hint="default"/>
                <w:sz w:val="18"/>
                <w:szCs w:val="18"/>
              </w:rPr>
            </w:pPr>
            <w:r>
              <w:rPr>
                <w:rFonts w:ascii="宋体" w:hAnsi="宋体" w:cs="宋体" w:eastAsia="宋体" w:hint="default"/>
                <w:sz w:val="18"/>
                <w:szCs w:val="18"/>
              </w:rPr>
              <w:t>类别</w:t>
            </w:r>
          </w:p>
        </w:tc>
        <w:tc>
          <w:tcPr>
            <w:tcW w:w="4362"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587"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8" w:hRule="exact"/>
        </w:trPr>
        <w:tc>
          <w:tcPr>
            <w:tcW w:w="749" w:type="dxa"/>
            <w:vMerge/>
            <w:tcBorders>
              <w:left w:val="single" w:sz="4" w:space="0" w:color="000000"/>
              <w:right w:val="single" w:sz="4" w:space="0" w:color="000000"/>
            </w:tcBorders>
            <w:shd w:val="clear" w:color="auto" w:fill="D2D2D2"/>
          </w:tcPr>
          <w:p>
            <w:pPr/>
          </w:p>
        </w:tc>
        <w:tc>
          <w:tcPr>
            <w:tcW w:w="188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7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29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8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8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88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7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9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8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228"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3" w:hRule="exact"/>
        </w:trPr>
        <w:tc>
          <w:tcPr>
            <w:tcW w:w="749" w:type="dxa"/>
            <w:vMerge/>
            <w:tcBorders>
              <w:left w:val="single" w:sz="4" w:space="0" w:color="000000"/>
              <w:bottom w:val="single" w:sz="4" w:space="0" w:color="000000"/>
              <w:right w:val="single" w:sz="4" w:space="0" w:color="000000"/>
            </w:tcBorders>
            <w:shd w:val="clear" w:color="auto" w:fill="D2D2D2"/>
          </w:tcPr>
          <w:p>
            <w:pPr/>
          </w:p>
        </w:tc>
        <w:tc>
          <w:tcPr>
            <w:tcW w:w="1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0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5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76" w:right="72"/>
              <w:jc w:val="left"/>
              <w:rPr>
                <w:rFonts w:ascii="宋体" w:hAnsi="宋体" w:cs="宋体" w:eastAsia="宋体" w:hint="default"/>
                <w:sz w:val="18"/>
                <w:szCs w:val="18"/>
              </w:rPr>
            </w:pPr>
            <w:r>
              <w:rPr>
                <w:rFonts w:ascii="宋体" w:hAnsi="宋体" w:cs="宋体" w:eastAsia="宋体" w:hint="default"/>
                <w:sz w:val="18"/>
                <w:szCs w:val="18"/>
              </w:rPr>
              <w:t>计提 比例</w:t>
            </w:r>
          </w:p>
        </w:tc>
        <w:tc>
          <w:tcPr>
            <w:tcW w:w="1181" w:type="dxa"/>
            <w:vMerge/>
            <w:tcBorders>
              <w:left w:val="single" w:sz="4" w:space="0" w:color="000000"/>
              <w:bottom w:val="single" w:sz="4" w:space="0" w:color="000000"/>
              <w:right w:val="single" w:sz="4" w:space="0" w:color="000000"/>
            </w:tcBorders>
            <w:shd w:val="clear" w:color="auto" w:fill="D2D2D2"/>
          </w:tcPr>
          <w:p>
            <w:pP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5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76" w:right="72"/>
              <w:jc w:val="left"/>
              <w:rPr>
                <w:rFonts w:ascii="宋体" w:hAnsi="宋体" w:cs="宋体" w:eastAsia="宋体" w:hint="default"/>
                <w:sz w:val="18"/>
                <w:szCs w:val="18"/>
              </w:rPr>
            </w:pPr>
            <w:r>
              <w:rPr>
                <w:rFonts w:ascii="宋体" w:hAnsi="宋体" w:cs="宋体" w:eastAsia="宋体" w:hint="default"/>
                <w:sz w:val="18"/>
                <w:szCs w:val="18"/>
              </w:rPr>
              <w:t>计提 比例</w:t>
            </w:r>
          </w:p>
        </w:tc>
        <w:tc>
          <w:tcPr>
            <w:tcW w:w="1183" w:type="dxa"/>
            <w:vMerge/>
            <w:tcBorders>
              <w:left w:val="single" w:sz="4" w:space="0" w:color="000000"/>
              <w:bottom w:val="single" w:sz="4" w:space="0" w:color="000000"/>
              <w:right w:val="single" w:sz="4" w:space="0" w:color="000000"/>
            </w:tcBorders>
            <w:shd w:val="clear" w:color="auto" w:fill="D2D2D2"/>
          </w:tcPr>
          <w:p>
            <w:pPr/>
          </w:p>
        </w:tc>
      </w:tr>
      <w:tr>
        <w:trPr>
          <w:trHeight w:val="2276" w:hRule="exact"/>
        </w:trPr>
        <w:tc>
          <w:tcPr>
            <w:tcW w:w="7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4" w:right="173"/>
              <w:jc w:val="both"/>
              <w:rPr>
                <w:rFonts w:ascii="宋体" w:hAnsi="宋体" w:cs="宋体" w:eastAsia="宋体" w:hint="default"/>
                <w:sz w:val="18"/>
                <w:szCs w:val="18"/>
              </w:rPr>
            </w:pPr>
            <w:r>
              <w:rPr>
                <w:rFonts w:ascii="宋体" w:hAnsi="宋体" w:cs="宋体" w:eastAsia="宋体" w:hint="default"/>
                <w:sz w:val="18"/>
                <w:szCs w:val="18"/>
              </w:rPr>
              <w:t>单项金 额重大 并单独 计提坏 账准备 的其他 应收款</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194,711,552.63</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99.76%</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194,711,552.63</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102,523,327.63</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55.94%</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102,523,327.63</w:t>
            </w:r>
          </w:p>
        </w:tc>
      </w:tr>
      <w:tr>
        <w:trPr>
          <w:trHeight w:val="2273" w:hRule="exact"/>
        </w:trPr>
        <w:tc>
          <w:tcPr>
            <w:tcW w:w="7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73"/>
              <w:jc w:val="both"/>
              <w:rPr>
                <w:rFonts w:ascii="宋体" w:hAnsi="宋体" w:cs="宋体" w:eastAsia="宋体" w:hint="default"/>
                <w:sz w:val="18"/>
                <w:szCs w:val="18"/>
              </w:rPr>
            </w:pPr>
            <w:r>
              <w:rPr>
                <w:rFonts w:ascii="宋体" w:hAnsi="宋体" w:cs="宋体" w:eastAsia="宋体" w:hint="default"/>
                <w:sz w:val="18"/>
                <w:szCs w:val="18"/>
              </w:rPr>
              <w:t>按信用 风险特 征组合 计提坏 账准备 的其他 应收款</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459,647.36</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0.24%</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12,861.95</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2.80%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446,785.41</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80,361,858.42</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43.84%</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1,615,246.99</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2.01%</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78,746,611.43</w:t>
            </w:r>
          </w:p>
        </w:tc>
      </w:tr>
      <w:tr>
        <w:trPr>
          <w:trHeight w:val="1611" w:hRule="exact"/>
        </w:trPr>
        <w:tc>
          <w:tcPr>
            <w:tcW w:w="7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4" w:right="173"/>
              <w:jc w:val="both"/>
              <w:rPr>
                <w:rFonts w:ascii="宋体" w:hAnsi="宋体" w:cs="宋体" w:eastAsia="宋体" w:hint="default"/>
                <w:sz w:val="18"/>
                <w:szCs w:val="18"/>
              </w:rPr>
            </w:pPr>
            <w:r>
              <w:rPr>
                <w:rFonts w:ascii="宋体" w:hAnsi="宋体" w:cs="宋体" w:eastAsia="宋体" w:hint="default"/>
                <w:sz w:val="18"/>
                <w:szCs w:val="18"/>
              </w:rPr>
              <w:t>单项金 额不重 大但单 独计提 坏账准</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404,435.58</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0.22%</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404,435.58</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980"/>
        </w:sectPr>
      </w:pPr>
    </w:p>
    <w:p>
      <w:pPr>
        <w:spacing w:line="240" w:lineRule="auto" w:before="8"/>
        <w:rPr>
          <w:rFonts w:ascii="宋体" w:hAnsi="宋体" w:cs="宋体" w:eastAsia="宋体" w:hint="default"/>
          <w:sz w:val="24"/>
          <w:szCs w:val="24"/>
        </w:rPr>
      </w:pPr>
    </w:p>
    <w:tbl>
      <w:tblPr>
        <w:tblW w:w="0" w:type="auto"/>
        <w:jc w:val="left"/>
        <w:tblInd w:w="120" w:type="dxa"/>
        <w:tblLayout w:type="fixed"/>
        <w:tblCellMar>
          <w:top w:w="0" w:type="dxa"/>
          <w:left w:w="0" w:type="dxa"/>
          <w:bottom w:w="0" w:type="dxa"/>
          <w:right w:w="0" w:type="dxa"/>
        </w:tblCellMar>
        <w:tblLook w:val="01E0"/>
      </w:tblPr>
      <w:tblGrid>
        <w:gridCol w:w="748"/>
        <w:gridCol w:w="1183"/>
        <w:gridCol w:w="701"/>
        <w:gridCol w:w="775"/>
        <w:gridCol w:w="521"/>
        <w:gridCol w:w="1181"/>
        <w:gridCol w:w="1181"/>
        <w:gridCol w:w="701"/>
        <w:gridCol w:w="1001"/>
        <w:gridCol w:w="521"/>
        <w:gridCol w:w="1183"/>
      </w:tblGrid>
      <w:tr>
        <w:trPr>
          <w:trHeight w:val="987" w:hRule="exact"/>
        </w:trPr>
        <w:tc>
          <w:tcPr>
            <w:tcW w:w="7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22" w:right="173"/>
              <w:jc w:val="both"/>
              <w:rPr>
                <w:rFonts w:ascii="宋体" w:hAnsi="宋体" w:cs="宋体" w:eastAsia="宋体" w:hint="default"/>
                <w:sz w:val="18"/>
                <w:szCs w:val="18"/>
              </w:rPr>
            </w:pPr>
            <w:r>
              <w:rPr>
                <w:rFonts w:ascii="宋体" w:hAnsi="宋体" w:cs="宋体" w:eastAsia="宋体" w:hint="default"/>
                <w:sz w:val="18"/>
                <w:szCs w:val="18"/>
              </w:rPr>
              <w:t>备的其 他应收 款</w:t>
            </w:r>
          </w:p>
        </w:tc>
        <w:tc>
          <w:tcPr>
            <w:tcW w:w="1183"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52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521"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7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195,171,199.99</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100.00%</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12,861.95</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0.01%</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195,158,338.04</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183,289,621.63</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100.00%</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1,615,246.99</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0.88%</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181,674,374.64</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979" w:top="1100" w:bottom="1160" w:left="980" w:right="980"/>
        </w:sectPr>
      </w:pPr>
    </w:p>
    <w:p>
      <w:pPr>
        <w:pStyle w:val="BodyText"/>
        <w:spacing w:line="240" w:lineRule="auto" w:before="49"/>
        <w:ind w:right="-20"/>
        <w:jc w:val="left"/>
      </w:pPr>
      <w:r>
        <w:rPr/>
        <w:t>期末单项金额重大并单项计提坏账准备的其他应收款：</w:t>
      </w:r>
    </w:p>
    <w:p>
      <w:pPr>
        <w:pStyle w:val="BodyText"/>
        <w:spacing w:line="240" w:lineRule="auto" w:before="117"/>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980"/>
          <w:cols w:num="2" w:equalWidth="0">
            <w:col w:w="4473" w:space="4356"/>
            <w:col w:w="1121"/>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95"/>
        <w:gridCol w:w="1837"/>
        <w:gridCol w:w="1913"/>
        <w:gridCol w:w="1913"/>
        <w:gridCol w:w="1915"/>
      </w:tblGrid>
      <w:tr>
        <w:trPr>
          <w:trHeight w:val="403" w:hRule="exact"/>
        </w:trPr>
        <w:tc>
          <w:tcPr>
            <w:tcW w:w="19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91" w:right="0"/>
              <w:jc w:val="left"/>
              <w:rPr>
                <w:rFonts w:ascii="宋体" w:hAnsi="宋体" w:cs="宋体" w:eastAsia="宋体" w:hint="default"/>
                <w:sz w:val="18"/>
                <w:szCs w:val="18"/>
              </w:rPr>
            </w:pPr>
            <w:r>
              <w:rPr>
                <w:rFonts w:ascii="宋体" w:hAnsi="宋体" w:cs="宋体" w:eastAsia="宋体" w:hint="default"/>
                <w:sz w:val="18"/>
                <w:szCs w:val="18"/>
              </w:rPr>
              <w:t>其他应收款（按单位）</w:t>
            </w:r>
          </w:p>
        </w:tc>
        <w:tc>
          <w:tcPr>
            <w:tcW w:w="757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995" w:type="dxa"/>
            <w:vMerge/>
            <w:tcBorders>
              <w:left w:val="single" w:sz="4" w:space="0" w:color="000000"/>
              <w:bottom w:val="single" w:sz="4" w:space="0" w:color="000000"/>
              <w:right w:val="single" w:sz="4" w:space="0" w:color="000000"/>
            </w:tcBorders>
            <w:shd w:val="clear" w:color="auto" w:fill="D2D2D2"/>
          </w:tcPr>
          <w:p>
            <w:pPr/>
          </w:p>
        </w:tc>
        <w:tc>
          <w:tcPr>
            <w:tcW w:w="1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计提理由</w:t>
            </w:r>
          </w:p>
        </w:tc>
      </w:tr>
      <w:tr>
        <w:trPr>
          <w:trHeight w:val="715" w:hRule="exact"/>
        </w:trPr>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9"/>
              <w:jc w:val="left"/>
              <w:rPr>
                <w:rFonts w:ascii="宋体" w:hAnsi="宋体" w:cs="宋体" w:eastAsia="宋体" w:hint="default"/>
                <w:sz w:val="18"/>
                <w:szCs w:val="18"/>
              </w:rPr>
            </w:pPr>
            <w:r>
              <w:rPr>
                <w:rFonts w:ascii="宋体" w:hAnsi="宋体" w:cs="宋体" w:eastAsia="宋体" w:hint="default"/>
                <w:sz w:val="18"/>
                <w:szCs w:val="18"/>
              </w:rPr>
              <w:t>汕头市童乐乐玩具有限 公司</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103,323,327.63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77"/>
              <w:jc w:val="left"/>
              <w:rPr>
                <w:rFonts w:ascii="宋体" w:hAnsi="宋体" w:cs="宋体" w:eastAsia="宋体" w:hint="default"/>
                <w:sz w:val="18"/>
                <w:szCs w:val="18"/>
              </w:rPr>
            </w:pPr>
            <w:r>
              <w:rPr>
                <w:rFonts w:ascii="宋体" w:hAnsi="宋体" w:cs="宋体" w:eastAsia="宋体" w:hint="default"/>
                <w:sz w:val="18"/>
                <w:szCs w:val="18"/>
              </w:rPr>
              <w:t>合并内子公司往来，不 计提</w:t>
            </w:r>
          </w:p>
        </w:tc>
      </w:tr>
      <w:tr>
        <w:trPr>
          <w:trHeight w:val="713" w:hRule="exact"/>
        </w:trPr>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59"/>
              <w:jc w:val="left"/>
              <w:rPr>
                <w:rFonts w:ascii="宋体" w:hAnsi="宋体" w:cs="宋体" w:eastAsia="宋体" w:hint="default"/>
                <w:sz w:val="18"/>
                <w:szCs w:val="18"/>
              </w:rPr>
            </w:pPr>
            <w:r>
              <w:rPr>
                <w:rFonts w:ascii="宋体" w:hAnsi="宋体" w:cs="宋体" w:eastAsia="宋体" w:hint="default"/>
                <w:sz w:val="18"/>
                <w:szCs w:val="18"/>
              </w:rPr>
              <w:t>西藏群兴文化发展有限 责任公司</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91,388,225.00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6" w:right="77"/>
              <w:jc w:val="left"/>
              <w:rPr>
                <w:rFonts w:ascii="宋体" w:hAnsi="宋体" w:cs="宋体" w:eastAsia="宋体" w:hint="default"/>
                <w:sz w:val="18"/>
                <w:szCs w:val="18"/>
              </w:rPr>
            </w:pPr>
            <w:r>
              <w:rPr>
                <w:rFonts w:ascii="宋体" w:hAnsi="宋体" w:cs="宋体" w:eastAsia="宋体" w:hint="default"/>
                <w:sz w:val="18"/>
                <w:szCs w:val="18"/>
              </w:rPr>
              <w:t>合并内子公司往来，不 计提</w:t>
            </w:r>
          </w:p>
        </w:tc>
      </w:tr>
      <w:tr>
        <w:trPr>
          <w:trHeight w:val="403"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194,711,552.63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type w:val="continuous"/>
          <w:pgSz w:w="11910" w:h="16840"/>
          <w:pgMar w:top="1060" w:bottom="1160" w:left="980" w:right="980"/>
        </w:sectPr>
      </w:pPr>
    </w:p>
    <w:p>
      <w:pPr>
        <w:pStyle w:val="BodyText"/>
        <w:spacing w:line="240" w:lineRule="auto" w:before="49"/>
        <w:ind w:right="-20"/>
        <w:jc w:val="left"/>
      </w:pPr>
      <w:r>
        <w:rPr/>
        <w:t>组合中，按账龄分析法计提坏账准备的其他应收款：</w:t>
      </w:r>
    </w:p>
    <w:p>
      <w:pPr>
        <w:pStyle w:val="BodyText"/>
        <w:spacing w:line="240" w:lineRule="auto" w:before="115"/>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980"/>
          <w:cols w:num="2" w:equalWidth="0">
            <w:col w:w="4293" w:space="4536"/>
            <w:col w:w="1121"/>
          </w:cols>
        </w:sectPr>
      </w:pP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495"/>
        <w:gridCol w:w="2294"/>
        <w:gridCol w:w="2391"/>
        <w:gridCol w:w="2391"/>
      </w:tblGrid>
      <w:tr>
        <w:trPr>
          <w:trHeight w:val="402" w:hRule="exact"/>
        </w:trPr>
        <w:tc>
          <w:tcPr>
            <w:tcW w:w="24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07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495" w:type="dxa"/>
            <w:vMerge/>
            <w:tcBorders>
              <w:left w:val="single" w:sz="4" w:space="0" w:color="000000"/>
              <w:bottom w:val="single" w:sz="4" w:space="0" w:color="000000"/>
              <w:right w:val="single" w:sz="4" w:space="0" w:color="000000"/>
            </w:tcBorders>
            <w:shd w:val="clear" w:color="auto" w:fill="D2D2D2"/>
          </w:tcPr>
          <w:p>
            <w:pPr/>
          </w:p>
        </w:tc>
        <w:tc>
          <w:tcPr>
            <w:tcW w:w="2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957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年以内分项</w:t>
            </w:r>
          </w:p>
        </w:tc>
      </w:tr>
      <w:tr>
        <w:trPr>
          <w:trHeight w:val="401"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445,597.36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8,911.95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2.00%</w:t>
            </w:r>
          </w:p>
        </w:tc>
      </w:tr>
      <w:tr>
        <w:trPr>
          <w:trHeight w:val="403"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年以内小计</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445,597.36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8,911.95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pacing w:val="-1"/>
                <w:sz w:val="18"/>
              </w:rPr>
              <w:t>2.00</w:t>
            </w:r>
          </w:p>
        </w:tc>
      </w:tr>
      <w:tr>
        <w:trPr>
          <w:trHeight w:val="401"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10,250.00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2,050.00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1"/>
              <w:jc w:val="right"/>
              <w:rPr>
                <w:rFonts w:ascii="Times New Roman" w:hAnsi="Times New Roman" w:cs="Times New Roman" w:eastAsia="Times New Roman" w:hint="default"/>
                <w:sz w:val="18"/>
                <w:szCs w:val="18"/>
              </w:rPr>
            </w:pPr>
            <w:r>
              <w:rPr>
                <w:rFonts w:ascii="Times New Roman"/>
                <w:sz w:val="18"/>
              </w:rPr>
              <w:t>20.00</w:t>
            </w:r>
          </w:p>
        </w:tc>
      </w:tr>
      <w:tr>
        <w:trPr>
          <w:trHeight w:val="403"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3,800.00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1,900.00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50.00</w:t>
            </w:r>
          </w:p>
        </w:tc>
      </w:tr>
      <w:tr>
        <w:trPr>
          <w:trHeight w:val="403"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9"/>
              <w:jc w:val="right"/>
              <w:rPr>
                <w:rFonts w:ascii="Times New Roman" w:hAnsi="Times New Roman" w:cs="Times New Roman" w:eastAsia="Times New Roman" w:hint="default"/>
                <w:sz w:val="18"/>
                <w:szCs w:val="18"/>
              </w:rPr>
            </w:pPr>
            <w:r>
              <w:rPr>
                <w:rFonts w:ascii="Times New Roman"/>
                <w:spacing w:val="-1"/>
                <w:sz w:val="18"/>
              </w:rPr>
              <w:t>459,647.36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1"/>
              <w:jc w:val="right"/>
              <w:rPr>
                <w:rFonts w:ascii="Times New Roman" w:hAnsi="Times New Roman" w:cs="Times New Roman" w:eastAsia="Times New Roman" w:hint="default"/>
                <w:sz w:val="18"/>
                <w:szCs w:val="18"/>
              </w:rPr>
            </w:pPr>
            <w:r>
              <w:rPr>
                <w:rFonts w:ascii="Times New Roman"/>
                <w:spacing w:val="-1"/>
                <w:sz w:val="18"/>
              </w:rPr>
              <w:t>12,861.95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1"/>
              <w:jc w:val="right"/>
              <w:rPr>
                <w:rFonts w:ascii="Times New Roman" w:hAnsi="Times New Roman" w:cs="Times New Roman" w:eastAsia="Times New Roman" w:hint="default"/>
                <w:sz w:val="18"/>
                <w:szCs w:val="18"/>
              </w:rPr>
            </w:pPr>
            <w:r>
              <w:rPr>
                <w:rFonts w:ascii="Times New Roman"/>
                <w:spacing w:val="-1"/>
                <w:sz w:val="18"/>
              </w:rPr>
              <w:t>2.80</w:t>
            </w:r>
          </w:p>
        </w:tc>
      </w:tr>
    </w:tbl>
    <w:p>
      <w:pPr>
        <w:pStyle w:val="BodyText"/>
        <w:spacing w:line="357" w:lineRule="auto" w:before="49"/>
        <w:ind w:right="5274"/>
        <w:jc w:val="left"/>
      </w:pPr>
      <w:r>
        <w:rPr/>
        <w:t>确定该组合依据的说明：无。 组合中，采用余额百分比法计提坏账准备的其他应收款：</w:t>
      </w:r>
    </w:p>
    <w:p>
      <w:pPr>
        <w:pStyle w:val="BodyText"/>
        <w:spacing w:line="338" w:lineRule="auto" w:before="29"/>
        <w:ind w:right="56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组合中，采用其他方法计提坏账准备的其他应收款：</w:t>
      </w:r>
    </w:p>
    <w:p>
      <w:pPr>
        <w:pStyle w:val="BodyText"/>
        <w:spacing w:line="240" w:lineRule="auto" w:before="43"/>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0"/>
        <w:jc w:val="left"/>
      </w:pPr>
      <w:r>
        <w:rPr/>
        <w:t>本期计提坏账准备金额</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元；本期收回或转回坏账准备金额</w:t>
      </w:r>
      <w:r>
        <w:rPr>
          <w:spacing w:val="-47"/>
        </w:rPr>
        <w:t> </w:t>
      </w:r>
      <w:r>
        <w:rPr>
          <w:rFonts w:ascii="Times New Roman" w:hAnsi="Times New Roman" w:cs="Times New Roman" w:eastAsia="Times New Roman" w:hint="default"/>
        </w:rPr>
        <w:t>1,602,385.04 </w:t>
      </w:r>
      <w:r>
        <w:rPr/>
        <w:t>元。</w:t>
      </w:r>
    </w:p>
    <w:p>
      <w:pPr>
        <w:spacing w:line="240" w:lineRule="auto" w:before="12"/>
        <w:rPr>
          <w:rFonts w:ascii="宋体" w:hAnsi="宋体" w:cs="宋体" w:eastAsia="宋体" w:hint="default"/>
          <w:sz w:val="20"/>
          <w:szCs w:val="20"/>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）本期实际核销的其他应收款情况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0"/>
        <w:jc w:val="left"/>
      </w:pPr>
      <w:r>
        <w:rPr/>
        <w:t>本期无实际核销的其他应收款情况。</w:t>
      </w:r>
    </w:p>
    <w:p>
      <w:pPr>
        <w:spacing w:after="0" w:line="240" w:lineRule="auto"/>
        <w:jc w:val="left"/>
        <w:sectPr>
          <w:type w:val="continuous"/>
          <w:pgSz w:w="11910" w:h="16840"/>
          <w:pgMar w:top="1060" w:bottom="1160" w:left="980" w:right="980"/>
        </w:sectPr>
      </w:pPr>
    </w:p>
    <w:p>
      <w:pPr>
        <w:spacing w:line="240" w:lineRule="auto" w:before="12"/>
        <w:rPr>
          <w:rFonts w:ascii="宋体" w:hAnsi="宋体" w:cs="宋体" w:eastAsia="宋体" w:hint="default"/>
          <w:sz w:val="20"/>
          <w:szCs w:val="20"/>
        </w:rPr>
      </w:pPr>
    </w:p>
    <w:p>
      <w:pPr>
        <w:pStyle w:val="Heading3"/>
        <w:spacing w:line="335" w:lineRule="exact"/>
        <w:ind w:right="0"/>
        <w:jc w:val="left"/>
        <w:rPr>
          <w:b w:val="0"/>
          <w:bCs w:val="0"/>
        </w:rPr>
      </w:pPr>
      <w:r>
        <w:rPr/>
        <w:t>（</w:t>
      </w:r>
      <w:r>
        <w:rPr>
          <w:rFonts w:ascii="Times New Roman" w:hAnsi="Times New Roman" w:cs="Times New Roman" w:eastAsia="Times New Roman" w:hint="default"/>
        </w:rPr>
        <w:t>4</w:t>
      </w:r>
      <w:r>
        <w:rPr/>
        <w:t>）其他应收款按款项性质分类情况</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368"/>
        <w:gridCol w:w="3101"/>
        <w:gridCol w:w="3101"/>
      </w:tblGrid>
      <w:tr>
        <w:trPr>
          <w:trHeight w:val="403" w:hRule="exact"/>
        </w:trPr>
        <w:tc>
          <w:tcPr>
            <w:tcW w:w="3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05"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06"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1"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关联方往来</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194,711,552.63</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102,927,763.21</w:t>
            </w:r>
          </w:p>
        </w:tc>
      </w:tr>
      <w:tr>
        <w:trPr>
          <w:trHeight w:val="403"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非关联方往来</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79,811,697.36</w:t>
            </w:r>
          </w:p>
        </w:tc>
      </w:tr>
      <w:tr>
        <w:trPr>
          <w:trHeight w:val="401"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押金和保证金</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446,850.00</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467,100.00</w:t>
            </w:r>
          </w:p>
        </w:tc>
      </w:tr>
      <w:tr>
        <w:trPr>
          <w:trHeight w:val="403"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2,797.36</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83,061.06</w:t>
            </w:r>
          </w:p>
        </w:tc>
      </w:tr>
      <w:tr>
        <w:trPr>
          <w:trHeight w:val="401" w:hRule="exact"/>
        </w:trPr>
        <w:tc>
          <w:tcPr>
            <w:tcW w:w="3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195,171,199.99</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183,289,621.63</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685"/>
        <w:gridCol w:w="1551"/>
        <w:gridCol w:w="1553"/>
        <w:gridCol w:w="1551"/>
        <w:gridCol w:w="1616"/>
        <w:gridCol w:w="1615"/>
      </w:tblGrid>
      <w:tr>
        <w:trPr>
          <w:trHeight w:val="713" w:hRule="exact"/>
        </w:trPr>
        <w:tc>
          <w:tcPr>
            <w:tcW w:w="1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8"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83" w:right="80"/>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79"/>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715"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5"/>
              <w:jc w:val="left"/>
              <w:rPr>
                <w:rFonts w:ascii="宋体" w:hAnsi="宋体" w:cs="宋体" w:eastAsia="宋体" w:hint="default"/>
                <w:sz w:val="18"/>
                <w:szCs w:val="18"/>
              </w:rPr>
            </w:pPr>
            <w:r>
              <w:rPr>
                <w:rFonts w:ascii="宋体" w:hAnsi="宋体" w:cs="宋体" w:eastAsia="宋体" w:hint="default"/>
                <w:sz w:val="18"/>
                <w:szCs w:val="18"/>
              </w:rPr>
              <w:t>汕头市童乐乐玩具有</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限公司</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合并关联方往来款</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103,323,327.63</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52.94%</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3"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5"/>
              <w:jc w:val="left"/>
              <w:rPr>
                <w:rFonts w:ascii="宋体" w:hAnsi="宋体" w:cs="宋体" w:eastAsia="宋体" w:hint="default"/>
                <w:sz w:val="18"/>
                <w:szCs w:val="18"/>
              </w:rPr>
            </w:pPr>
            <w:r>
              <w:rPr>
                <w:rFonts w:ascii="宋体" w:hAnsi="宋体" w:cs="宋体" w:eastAsia="宋体" w:hint="default"/>
                <w:sz w:val="18"/>
                <w:szCs w:val="18"/>
              </w:rPr>
              <w:t>西藏群兴文化发展有</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限责任公司</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合并关联方往来款</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91,388,225.00</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46.82%</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西单大悦城有限公司</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442,800.00</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0.23%</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8,856.00</w:t>
            </w:r>
          </w:p>
        </w:tc>
      </w:tr>
      <w:tr>
        <w:trPr>
          <w:trHeight w:val="401"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聂梦建</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0.01%</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2,000.00</w:t>
            </w:r>
          </w:p>
        </w:tc>
      </w:tr>
      <w:tr>
        <w:trPr>
          <w:trHeight w:val="403"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代垫社保公积金</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社保公积金</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2,797.36</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55.95</w:t>
            </w:r>
          </w:p>
        </w:tc>
      </w:tr>
      <w:tr>
        <w:trPr>
          <w:trHeight w:val="401" w:hRule="exact"/>
        </w:trPr>
        <w:tc>
          <w:tcPr>
            <w:tcW w:w="1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2"/>
              <w:jc w:val="right"/>
              <w:rPr>
                <w:rFonts w:ascii="Times New Roman" w:hAnsi="Times New Roman" w:cs="Times New Roman" w:eastAsia="Times New Roman" w:hint="default"/>
                <w:sz w:val="18"/>
                <w:szCs w:val="18"/>
              </w:rPr>
            </w:pPr>
            <w:r>
              <w:rPr>
                <w:rFonts w:ascii="Times New Roman"/>
                <w:spacing w:val="-1"/>
                <w:sz w:val="18"/>
              </w:rPr>
              <w:t>195,167,149.99</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9"/>
              <w:jc w:val="right"/>
              <w:rPr>
                <w:rFonts w:ascii="Times New Roman" w:hAnsi="Times New Roman" w:cs="Times New Roman" w:eastAsia="Times New Roman" w:hint="default"/>
                <w:sz w:val="18"/>
                <w:szCs w:val="18"/>
              </w:rPr>
            </w:pPr>
            <w:r>
              <w:rPr>
                <w:rFonts w:ascii="Times New Roman"/>
                <w:spacing w:val="-1"/>
                <w:w w:val="95"/>
                <w:sz w:val="18"/>
              </w:rPr>
              <w:t>10,911.95</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6</w:t>
      </w:r>
      <w:r>
        <w:rPr/>
        <w:t>）涉及政府补助的应收款项</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0"/>
        <w:jc w:val="left"/>
      </w:pPr>
      <w:r>
        <w:rPr/>
        <w:t>期末无涉及政府补助的应收款项。</w:t>
      </w:r>
    </w:p>
    <w:p>
      <w:pPr>
        <w:spacing w:line="240" w:lineRule="auto" w:before="2"/>
        <w:rPr>
          <w:rFonts w:ascii="宋体" w:hAnsi="宋体" w:cs="宋体" w:eastAsia="宋体" w:hint="default"/>
          <w:sz w:val="22"/>
          <w:szCs w:val="22"/>
        </w:rPr>
      </w:pPr>
    </w:p>
    <w:p>
      <w:pPr>
        <w:pStyle w:val="Heading3"/>
        <w:spacing w:line="240" w:lineRule="auto"/>
        <w:ind w:right="0"/>
        <w:jc w:val="left"/>
        <w:rPr>
          <w:b w:val="0"/>
          <w:bCs w:val="0"/>
        </w:rPr>
      </w:pPr>
      <w:r>
        <w:rPr/>
        <w:t>（</w:t>
      </w:r>
      <w:r>
        <w:rPr>
          <w:rFonts w:ascii="Times New Roman" w:hAnsi="Times New Roman" w:cs="Times New Roman" w:eastAsia="Times New Roman" w:hint="default"/>
        </w:rPr>
        <w:t>7</w:t>
      </w:r>
      <w:r>
        <w:rPr/>
        <w:t>）因金融资产转移而终止确认的其他应收款</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240" w:lineRule="auto"/>
        <w:ind w:right="0"/>
        <w:jc w:val="left"/>
      </w:pPr>
      <w:r>
        <w:rPr/>
        <w:t>本期无因金融资产转移而终止确认的其他应收款。</w:t>
      </w:r>
    </w:p>
    <w:p>
      <w:pPr>
        <w:spacing w:line="240" w:lineRule="auto" w:before="1"/>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3</w:t>
      </w:r>
      <w:r>
        <w:rPr/>
        <w:t>、长期股权投资</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1"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4"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64,746,049.00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64,746,049.00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63,746,049.00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63,746,049.00</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24" w:right="0"/>
              <w:jc w:val="left"/>
              <w:rPr>
                <w:rFonts w:ascii="宋体" w:hAnsi="宋体" w:cs="宋体" w:eastAsia="宋体" w:hint="default"/>
                <w:sz w:val="18"/>
                <w:szCs w:val="18"/>
              </w:rPr>
            </w:pPr>
            <w:r>
              <w:rPr>
                <w:rFonts w:ascii="宋体" w:hAnsi="宋体" w:cs="宋体" w:eastAsia="宋体" w:hint="default"/>
                <w:sz w:val="18"/>
                <w:szCs w:val="18"/>
              </w:rPr>
              <w:t>对联营、合营企</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160,804,326.27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160,804,326.27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149,520,743.79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149,520,743.79</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98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8"/>
        <w:gridCol w:w="1366"/>
        <w:gridCol w:w="1368"/>
        <w:gridCol w:w="1366"/>
        <w:gridCol w:w="1368"/>
      </w:tblGrid>
      <w:tr>
        <w:trPr>
          <w:trHeight w:val="36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业投资</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1" w:right="0"/>
              <w:jc w:val="left"/>
              <w:rPr>
                <w:rFonts w:ascii="Times New Roman" w:hAnsi="Times New Roman" w:cs="Times New Roman" w:eastAsia="Times New Roman" w:hint="default"/>
                <w:sz w:val="18"/>
                <w:szCs w:val="18"/>
              </w:rPr>
            </w:pPr>
            <w:r>
              <w:rPr>
                <w:rFonts w:ascii="Times New Roman"/>
                <w:sz w:val="18"/>
              </w:rPr>
              <w:t>225,550,375.27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8" w:right="0"/>
              <w:jc w:val="left"/>
              <w:rPr>
                <w:rFonts w:ascii="Times New Roman" w:hAnsi="Times New Roman" w:cs="Times New Roman" w:eastAsia="Times New Roman" w:hint="default"/>
                <w:sz w:val="18"/>
                <w:szCs w:val="18"/>
              </w:rPr>
            </w:pPr>
            <w:r>
              <w:rPr>
                <w:rFonts w:ascii="Times New Roman"/>
                <w:sz w:val="18"/>
              </w:rPr>
              <w:t>225,550,375.27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8" w:right="0"/>
              <w:jc w:val="left"/>
              <w:rPr>
                <w:rFonts w:ascii="Times New Roman" w:hAnsi="Times New Roman" w:cs="Times New Roman" w:eastAsia="Times New Roman" w:hint="default"/>
                <w:sz w:val="18"/>
                <w:szCs w:val="18"/>
              </w:rPr>
            </w:pPr>
            <w:r>
              <w:rPr>
                <w:rFonts w:ascii="Times New Roman"/>
                <w:sz w:val="18"/>
              </w:rPr>
              <w:t>213,266,792.79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8" w:right="0"/>
              <w:jc w:val="left"/>
              <w:rPr>
                <w:rFonts w:ascii="Times New Roman" w:hAnsi="Times New Roman" w:cs="Times New Roman" w:eastAsia="Times New Roman" w:hint="default"/>
                <w:sz w:val="18"/>
                <w:szCs w:val="18"/>
              </w:rPr>
            </w:pPr>
            <w:r>
              <w:rPr>
                <w:rFonts w:ascii="Times New Roman"/>
                <w:sz w:val="18"/>
              </w:rPr>
              <w:t>213,266,792.79</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1</w:t>
      </w:r>
      <w:r>
        <w:rPr/>
        <w:t>）对子公司投资</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448"/>
        <w:gridCol w:w="1337"/>
        <w:gridCol w:w="1126"/>
        <w:gridCol w:w="1260"/>
        <w:gridCol w:w="1210"/>
        <w:gridCol w:w="1601"/>
        <w:gridCol w:w="1586"/>
      </w:tblGrid>
      <w:tr>
        <w:trPr>
          <w:trHeight w:val="401"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69"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3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0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66"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2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9"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6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 w:right="0"/>
              <w:jc w:val="left"/>
              <w:rPr>
                <w:rFonts w:ascii="宋体" w:hAnsi="宋体" w:cs="宋体" w:eastAsia="宋体" w:hint="default"/>
                <w:sz w:val="18"/>
                <w:szCs w:val="18"/>
              </w:rPr>
            </w:pPr>
            <w:r>
              <w:rPr>
                <w:rFonts w:ascii="宋体" w:hAnsi="宋体" w:cs="宋体" w:eastAsia="宋体" w:hint="default"/>
                <w:sz w:val="18"/>
                <w:szCs w:val="18"/>
              </w:rPr>
              <w:t>本期计提减值准备</w:t>
            </w:r>
          </w:p>
        </w:tc>
        <w:tc>
          <w:tcPr>
            <w:tcW w:w="1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65"/>
              <w:jc w:val="right"/>
              <w:rPr>
                <w:rFonts w:ascii="宋体" w:hAnsi="宋体" w:cs="宋体" w:eastAsia="宋体" w:hint="default"/>
                <w:sz w:val="18"/>
                <w:szCs w:val="18"/>
              </w:rPr>
            </w:pPr>
            <w:r>
              <w:rPr>
                <w:rFonts w:ascii="宋体" w:hAnsi="宋体" w:cs="宋体" w:eastAsia="宋体" w:hint="default"/>
                <w:sz w:val="18"/>
                <w:szCs w:val="18"/>
              </w:rPr>
              <w:t>减值准备期末余额</w:t>
            </w:r>
          </w:p>
        </w:tc>
      </w:tr>
      <w:tr>
        <w:trPr>
          <w:trHeight w:val="403"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群兴香港</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2,495,649.00</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2,495,649.00</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童乐乐玩具</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51,250,400.00</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51,250,400.00</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西藏群兴</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10,000,000.00</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10,000,000.00</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歌乐宝</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1,000,000.00</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63,746,049.00</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64,746,049.00</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58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2</w:t>
      </w:r>
      <w:r>
        <w:rPr/>
        <w:t>）对联营、合营企业投资</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19" w:type="dxa"/>
        <w:tblLayout w:type="fixed"/>
        <w:tblCellMar>
          <w:top w:w="0" w:type="dxa"/>
          <w:left w:w="0" w:type="dxa"/>
          <w:bottom w:w="0" w:type="dxa"/>
          <w:right w:w="0" w:type="dxa"/>
        </w:tblCellMar>
        <w:tblLook w:val="01E0"/>
      </w:tblPr>
      <w:tblGrid>
        <w:gridCol w:w="694"/>
        <w:gridCol w:w="1181"/>
        <w:gridCol w:w="694"/>
        <w:gridCol w:w="694"/>
        <w:gridCol w:w="1085"/>
        <w:gridCol w:w="694"/>
        <w:gridCol w:w="696"/>
        <w:gridCol w:w="694"/>
        <w:gridCol w:w="696"/>
        <w:gridCol w:w="694"/>
        <w:gridCol w:w="1181"/>
        <w:gridCol w:w="696"/>
      </w:tblGrid>
      <w:tr>
        <w:trPr>
          <w:trHeight w:val="403" w:hRule="exact"/>
        </w:trPr>
        <w:tc>
          <w:tcPr>
            <w:tcW w:w="6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5"/>
                <w:szCs w:val="25"/>
              </w:rPr>
            </w:pPr>
          </w:p>
          <w:p>
            <w:pPr>
              <w:pStyle w:val="TableParagraph"/>
              <w:spacing w:line="316" w:lineRule="auto"/>
              <w:ind w:left="252" w:right="70" w:hanging="181"/>
              <w:jc w:val="left"/>
              <w:rPr>
                <w:rFonts w:ascii="宋体" w:hAnsi="宋体" w:cs="宋体" w:eastAsia="宋体" w:hint="default"/>
                <w:sz w:val="18"/>
                <w:szCs w:val="18"/>
              </w:rPr>
            </w:pPr>
            <w:r>
              <w:rPr>
                <w:rFonts w:ascii="宋体" w:hAnsi="宋体" w:cs="宋体" w:eastAsia="宋体" w:hint="default"/>
                <w:sz w:val="18"/>
                <w:szCs w:val="18"/>
              </w:rPr>
              <w:t>投资单 位</w:t>
            </w:r>
          </w:p>
        </w:tc>
        <w:tc>
          <w:tcPr>
            <w:tcW w:w="118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46"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118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6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9" w:lineRule="auto"/>
              <w:ind w:left="71" w:right="72"/>
              <w:jc w:val="both"/>
              <w:rPr>
                <w:rFonts w:ascii="宋体" w:hAnsi="宋体" w:cs="宋体" w:eastAsia="宋体" w:hint="default"/>
                <w:sz w:val="18"/>
                <w:szCs w:val="18"/>
              </w:rPr>
            </w:pPr>
            <w:r>
              <w:rPr>
                <w:rFonts w:ascii="宋体" w:hAnsi="宋体" w:cs="宋体" w:eastAsia="宋体" w:hint="default"/>
                <w:sz w:val="18"/>
                <w:szCs w:val="18"/>
              </w:rPr>
              <w:t>减值准 备期末 余额</w:t>
            </w:r>
          </w:p>
        </w:tc>
      </w:tr>
      <w:tr>
        <w:trPr>
          <w:trHeight w:val="1337" w:hRule="exact"/>
        </w:trPr>
        <w:tc>
          <w:tcPr>
            <w:tcW w:w="694" w:type="dxa"/>
            <w:vMerge/>
            <w:tcBorders>
              <w:left w:val="single" w:sz="4" w:space="0" w:color="000000"/>
              <w:bottom w:val="single" w:sz="4" w:space="0" w:color="000000"/>
              <w:right w:val="single" w:sz="4" w:space="0" w:color="000000"/>
            </w:tcBorders>
            <w:shd w:val="clear" w:color="auto" w:fill="D2D2D2"/>
          </w:tcPr>
          <w:p>
            <w:pPr/>
          </w:p>
        </w:tc>
        <w:tc>
          <w:tcPr>
            <w:tcW w:w="1181" w:type="dxa"/>
            <w:vMerge/>
            <w:tcBorders>
              <w:left w:val="single" w:sz="4" w:space="0" w:color="000000"/>
              <w:bottom w:val="single" w:sz="4" w:space="0" w:color="000000"/>
              <w:right w:val="single" w:sz="4" w:space="0" w:color="000000"/>
            </w:tcBorders>
            <w:shd w:val="clear" w:color="auto" w:fill="D2D2D2"/>
          </w:tcPr>
          <w:p>
            <w:pPr/>
          </w:p>
        </w:tc>
        <w:tc>
          <w:tcPr>
            <w:tcW w:w="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6"/>
              <w:ind w:left="251" w:right="70" w:hanging="180"/>
              <w:jc w:val="left"/>
              <w:rPr>
                <w:rFonts w:ascii="宋体" w:hAnsi="宋体" w:cs="宋体" w:eastAsia="宋体" w:hint="default"/>
                <w:sz w:val="18"/>
                <w:szCs w:val="18"/>
              </w:rPr>
            </w:pPr>
            <w:r>
              <w:rPr>
                <w:rFonts w:ascii="宋体" w:hAnsi="宋体" w:cs="宋体" w:eastAsia="宋体" w:hint="default"/>
                <w:sz w:val="18"/>
                <w:szCs w:val="18"/>
              </w:rPr>
              <w:t>追加投 资</w:t>
            </w:r>
          </w:p>
        </w:tc>
        <w:tc>
          <w:tcPr>
            <w:tcW w:w="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6"/>
              <w:ind w:left="252" w:right="71" w:hanging="180"/>
              <w:jc w:val="left"/>
              <w:rPr>
                <w:rFonts w:ascii="宋体" w:hAnsi="宋体" w:cs="宋体" w:eastAsia="宋体" w:hint="default"/>
                <w:sz w:val="18"/>
                <w:szCs w:val="18"/>
              </w:rPr>
            </w:pPr>
            <w:r>
              <w:rPr>
                <w:rFonts w:ascii="宋体" w:hAnsi="宋体" w:cs="宋体" w:eastAsia="宋体" w:hint="default"/>
                <w:sz w:val="18"/>
                <w:szCs w:val="18"/>
              </w:rPr>
              <w:t>减少投 资</w:t>
            </w:r>
          </w:p>
        </w:tc>
        <w:tc>
          <w:tcPr>
            <w:tcW w:w="10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88" w:right="84"/>
              <w:jc w:val="center"/>
              <w:rPr>
                <w:rFonts w:ascii="宋体" w:hAnsi="宋体" w:cs="宋体" w:eastAsia="宋体" w:hint="default"/>
                <w:sz w:val="18"/>
                <w:szCs w:val="18"/>
              </w:rPr>
            </w:pPr>
            <w:r>
              <w:rPr>
                <w:rFonts w:ascii="宋体" w:hAnsi="宋体" w:cs="宋体" w:eastAsia="宋体" w:hint="default"/>
                <w:sz w:val="18"/>
                <w:szCs w:val="18"/>
              </w:rPr>
              <w:t>权益法下确 认的投资损 益</w:t>
            </w:r>
          </w:p>
        </w:tc>
        <w:tc>
          <w:tcPr>
            <w:tcW w:w="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71" w:right="70"/>
              <w:jc w:val="both"/>
              <w:rPr>
                <w:rFonts w:ascii="宋体" w:hAnsi="宋体" w:cs="宋体" w:eastAsia="宋体" w:hint="default"/>
                <w:sz w:val="18"/>
                <w:szCs w:val="18"/>
              </w:rPr>
            </w:pPr>
            <w:r>
              <w:rPr>
                <w:rFonts w:ascii="宋体" w:hAnsi="宋体" w:cs="宋体" w:eastAsia="宋体" w:hint="default"/>
                <w:sz w:val="18"/>
                <w:szCs w:val="18"/>
              </w:rPr>
              <w:t>其他综 合收益 调整</w:t>
            </w:r>
          </w:p>
        </w:tc>
        <w:tc>
          <w:tcPr>
            <w:tcW w:w="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6"/>
              <w:ind w:left="72" w:right="72"/>
              <w:jc w:val="left"/>
              <w:rPr>
                <w:rFonts w:ascii="宋体" w:hAnsi="宋体" w:cs="宋体" w:eastAsia="宋体" w:hint="default"/>
                <w:sz w:val="18"/>
                <w:szCs w:val="18"/>
              </w:rPr>
            </w:pPr>
            <w:r>
              <w:rPr>
                <w:rFonts w:ascii="宋体" w:hAnsi="宋体" w:cs="宋体" w:eastAsia="宋体" w:hint="default"/>
                <w:sz w:val="18"/>
                <w:szCs w:val="18"/>
              </w:rPr>
              <w:t>其他权 益变动</w:t>
            </w:r>
          </w:p>
        </w:tc>
        <w:tc>
          <w:tcPr>
            <w:tcW w:w="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1" w:right="71"/>
              <w:jc w:val="both"/>
              <w:rPr>
                <w:rFonts w:ascii="宋体" w:hAnsi="宋体" w:cs="宋体" w:eastAsia="宋体" w:hint="default"/>
                <w:sz w:val="18"/>
                <w:szCs w:val="18"/>
              </w:rPr>
            </w:pPr>
            <w:r>
              <w:rPr>
                <w:rFonts w:ascii="宋体" w:hAnsi="宋体" w:cs="宋体" w:eastAsia="宋体" w:hint="default"/>
                <w:sz w:val="18"/>
                <w:szCs w:val="18"/>
              </w:rPr>
              <w:t>宣告发 放现金 股利或 利润</w:t>
            </w:r>
          </w:p>
        </w:tc>
        <w:tc>
          <w:tcPr>
            <w:tcW w:w="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6"/>
              <w:ind w:left="71" w:right="72"/>
              <w:jc w:val="left"/>
              <w:rPr>
                <w:rFonts w:ascii="宋体" w:hAnsi="宋体" w:cs="宋体" w:eastAsia="宋体" w:hint="default"/>
                <w:sz w:val="18"/>
                <w:szCs w:val="18"/>
              </w:rPr>
            </w:pPr>
            <w:r>
              <w:rPr>
                <w:rFonts w:ascii="宋体" w:hAnsi="宋体" w:cs="宋体" w:eastAsia="宋体" w:hint="default"/>
                <w:sz w:val="18"/>
                <w:szCs w:val="18"/>
              </w:rPr>
              <w:t>计提减 值准备</w:t>
            </w:r>
          </w:p>
        </w:tc>
        <w:tc>
          <w:tcPr>
            <w:tcW w:w="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181" w:type="dxa"/>
            <w:vMerge/>
            <w:tcBorders>
              <w:left w:val="single" w:sz="4" w:space="0" w:color="000000"/>
              <w:bottom w:val="single" w:sz="4" w:space="0" w:color="000000"/>
              <w:right w:val="single" w:sz="4" w:space="0" w:color="000000"/>
            </w:tcBorders>
            <w:shd w:val="clear" w:color="auto" w:fill="D2D2D2"/>
          </w:tcPr>
          <w:p>
            <w:pPr/>
          </w:p>
        </w:tc>
        <w:tc>
          <w:tcPr>
            <w:tcW w:w="696"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9698"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1" w:hRule="exact"/>
        </w:trPr>
        <w:tc>
          <w:tcPr>
            <w:tcW w:w="9698"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340" w:hRule="exact"/>
        </w:trPr>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both"/>
              <w:rPr>
                <w:rFonts w:ascii="宋体" w:hAnsi="宋体" w:cs="宋体" w:eastAsia="宋体" w:hint="default"/>
                <w:sz w:val="18"/>
                <w:szCs w:val="18"/>
              </w:rPr>
            </w:pPr>
            <w:r>
              <w:rPr>
                <w:rFonts w:ascii="宋体" w:hAnsi="宋体" w:cs="宋体" w:eastAsia="宋体" w:hint="default"/>
                <w:sz w:val="18"/>
                <w:szCs w:val="18"/>
              </w:rPr>
              <w:t>广东粤 科融资 租赁有 限公司</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149,520,743.79</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11,283,582.48</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160,804,326.27</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149,520,743.79</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11,283,582.48</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160,804,326.27</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149,520,743.79</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11,283,582.48</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160,804,326.27</w:t>
            </w:r>
          </w:p>
        </w:tc>
        <w:tc>
          <w:tcPr>
            <w:tcW w:w="69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rFonts w:ascii="Times New Roman" w:hAnsi="Times New Roman" w:cs="Times New Roman" w:eastAsia="Times New Roman" w:hint="default"/>
        </w:rPr>
        <w:t>4</w:t>
      </w:r>
      <w:r>
        <w:rPr/>
        <w:t>、营业收入和营业成本</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95"/>
        <w:gridCol w:w="1837"/>
        <w:gridCol w:w="1913"/>
        <w:gridCol w:w="1913"/>
        <w:gridCol w:w="1915"/>
      </w:tblGrid>
      <w:tr>
        <w:trPr>
          <w:trHeight w:val="402" w:hRule="exact"/>
        </w:trPr>
        <w:tc>
          <w:tcPr>
            <w:tcW w:w="19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75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1995" w:type="dxa"/>
            <w:vMerge/>
            <w:tcBorders>
              <w:left w:val="single" w:sz="4" w:space="0" w:color="000000"/>
              <w:bottom w:val="single" w:sz="4" w:space="0" w:color="000000"/>
              <w:right w:val="single" w:sz="4" w:space="0" w:color="000000"/>
            </w:tcBorders>
            <w:shd w:val="clear" w:color="auto" w:fill="D2D2D2"/>
          </w:tcPr>
          <w:p>
            <w:pPr/>
          </w:p>
        </w:tc>
        <w:tc>
          <w:tcPr>
            <w:tcW w:w="1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401"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50,034,173.55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45,884,866.68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250,074,665.47</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192,673,827.70</w:t>
            </w:r>
          </w:p>
        </w:tc>
      </w:tr>
      <w:tr>
        <w:trPr>
          <w:trHeight w:val="403"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3,901,645.31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5,370,500.06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628,398.99</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898,657.77</w:t>
            </w:r>
          </w:p>
        </w:tc>
      </w:tr>
      <w:tr>
        <w:trPr>
          <w:trHeight w:val="403"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53,935,818.86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51,255,366.74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250,703,064.46</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193,572,485.47</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980"/>
        </w:sectPr>
      </w:pPr>
    </w:p>
    <w:p>
      <w:pPr>
        <w:spacing w:line="240" w:lineRule="auto" w:before="11"/>
        <w:rPr>
          <w:rFonts w:ascii="宋体" w:hAnsi="宋体" w:cs="宋体" w:eastAsia="宋体" w:hint="default"/>
          <w:sz w:val="21"/>
          <w:szCs w:val="21"/>
        </w:rPr>
      </w:pPr>
    </w:p>
    <w:p>
      <w:pPr>
        <w:pStyle w:val="BodyText"/>
        <w:spacing w:line="240" w:lineRule="auto" w:before="44"/>
        <w:ind w:right="0"/>
        <w:jc w:val="left"/>
      </w:pPr>
      <w:r>
        <w:rPr/>
        <w:t>其他说明：无。</w:t>
      </w:r>
    </w:p>
    <w:p>
      <w:pPr>
        <w:spacing w:line="240" w:lineRule="auto" w:before="1"/>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5</w:t>
      </w:r>
      <w:r>
        <w:rPr/>
        <w:t>、投资收益</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325"/>
        <w:gridCol w:w="3060"/>
        <w:gridCol w:w="3185"/>
      </w:tblGrid>
      <w:tr>
        <w:trPr>
          <w:trHeight w:val="403"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11,283,582.48</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10,851,931.76</w:t>
            </w:r>
          </w:p>
        </w:tc>
      </w:tr>
      <w:tr>
        <w:trPr>
          <w:trHeight w:val="403"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12,067,900.00</w:t>
            </w:r>
          </w:p>
        </w:tc>
      </w:tr>
      <w:tr>
        <w:trPr>
          <w:trHeight w:val="713"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4" w:right="49"/>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处置以公允价值计量且其变动计入当期损 益的金融资产取得的投资收益</w:t>
            </w:r>
          </w:p>
        </w:tc>
        <w:tc>
          <w:tcPr>
            <w:tcW w:w="306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96,168.12</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国债逆回购收益</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1,635,995.79</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理财产品投资收益</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878,630.03</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13,894,376.42</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22,919,831.76</w:t>
            </w:r>
          </w:p>
        </w:tc>
      </w:tr>
    </w:tbl>
    <w:p>
      <w:pPr>
        <w:spacing w:line="240" w:lineRule="auto" w:before="1"/>
        <w:rPr>
          <w:rFonts w:ascii="宋体" w:hAnsi="宋体" w:cs="宋体" w:eastAsia="宋体" w:hint="default"/>
          <w:sz w:val="18"/>
          <w:szCs w:val="18"/>
        </w:rPr>
      </w:pPr>
    </w:p>
    <w:p>
      <w:pPr>
        <w:pStyle w:val="Heading2"/>
        <w:spacing w:line="367" w:lineRule="exact"/>
        <w:ind w:right="0"/>
        <w:jc w:val="left"/>
        <w:rPr>
          <w:b w:val="0"/>
          <w:bCs w:val="0"/>
        </w:rPr>
      </w:pPr>
      <w:r>
        <w:rPr/>
        <w:t>十七、补充资料</w:t>
      </w:r>
      <w:r>
        <w:rPr>
          <w:b w:val="0"/>
          <w:bCs w:val="0"/>
        </w:rPr>
      </w:r>
    </w:p>
    <w:p>
      <w:pPr>
        <w:spacing w:line="240" w:lineRule="auto" w:before="3"/>
        <w:rPr>
          <w:rFonts w:ascii="Microsoft JhengHei" w:hAnsi="Microsoft JhengHei" w:cs="Microsoft JhengHei" w:eastAsia="Microsoft JhengHei" w:hint="default"/>
          <w:b/>
          <w:bCs/>
          <w:sz w:val="13"/>
          <w:szCs w:val="13"/>
        </w:rPr>
      </w:pPr>
    </w:p>
    <w:p>
      <w:pPr>
        <w:pStyle w:val="Heading3"/>
        <w:spacing w:line="240" w:lineRule="auto"/>
        <w:ind w:right="0"/>
        <w:jc w:val="left"/>
        <w:rPr>
          <w:b w:val="0"/>
          <w:bCs w:val="0"/>
        </w:rPr>
      </w:pPr>
      <w:r>
        <w:rPr>
          <w:rFonts w:ascii="Times New Roman" w:hAnsi="Times New Roman" w:cs="Times New Roman" w:eastAsia="Times New Roman" w:hint="default"/>
        </w:rPr>
        <w:t>1</w:t>
      </w:r>
      <w:r>
        <w:rPr/>
        <w:t>、当期非经常性损益明细表</w:t>
      </w:r>
      <w:r>
        <w:rPr>
          <w:b w:val="0"/>
          <w:bCs w:val="0"/>
        </w:rPr>
      </w:r>
    </w:p>
    <w:p>
      <w:pPr>
        <w:spacing w:line="240" w:lineRule="auto" w:before="14"/>
        <w:rPr>
          <w:rFonts w:ascii="Microsoft JhengHei" w:hAnsi="Microsoft JhengHei" w:cs="Microsoft JhengHei" w:eastAsia="Microsoft JhengHei" w:hint="default"/>
          <w:b/>
          <w:bCs/>
          <w:sz w:val="16"/>
          <w:szCs w:val="16"/>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3"/>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325"/>
        <w:gridCol w:w="2806"/>
        <w:gridCol w:w="3440"/>
      </w:tblGrid>
      <w:tr>
        <w:trPr>
          <w:trHeight w:val="403"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1"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-351,617.68</w:t>
            </w:r>
          </w:p>
        </w:tc>
        <w:tc>
          <w:tcPr>
            <w:tcW w:w="3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14"/>
              <w:jc w:val="left"/>
              <w:rPr>
                <w:rFonts w:ascii="宋体" w:hAnsi="宋体" w:cs="宋体" w:eastAsia="宋体" w:hint="default"/>
                <w:sz w:val="18"/>
                <w:szCs w:val="18"/>
              </w:rPr>
            </w:pPr>
            <w:r>
              <w:rPr>
                <w:rFonts w:ascii="宋体" w:hAnsi="宋体" w:cs="宋体" w:eastAsia="宋体" w:hint="default"/>
                <w:sz w:val="18"/>
                <w:szCs w:val="18"/>
              </w:rPr>
              <w:t>主要系报告期内处置部分资产产生的损失。</w:t>
            </w:r>
          </w:p>
        </w:tc>
      </w:tr>
      <w:tr>
        <w:trPr>
          <w:trHeight w:val="1027"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49"/>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280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3,201,563.10</w:t>
            </w:r>
          </w:p>
        </w:tc>
        <w:tc>
          <w:tcPr>
            <w:tcW w:w="3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主要系报告期内获得政府补助款。</w:t>
            </w:r>
          </w:p>
        </w:tc>
      </w:tr>
      <w:tr>
        <w:trPr>
          <w:trHeight w:val="1649"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4" w:right="49"/>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除同公司正常经营业务相关的有效套期保 值业务外，持有交易性金融资产、交易性 金融负债产生的公允价值变动损益，以及 处置交易性金融资产、交易性金融负债和 可供出售金融资产取得的投资收益</w:t>
            </w:r>
          </w:p>
        </w:tc>
        <w:tc>
          <w:tcPr>
            <w:tcW w:w="28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-1,331,736.88</w:t>
            </w:r>
          </w:p>
        </w:tc>
        <w:tc>
          <w:tcPr>
            <w:tcW w:w="3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14"/>
              <w:jc w:val="left"/>
              <w:rPr>
                <w:rFonts w:ascii="宋体" w:hAnsi="宋体" w:cs="宋体" w:eastAsia="宋体" w:hint="default"/>
                <w:sz w:val="18"/>
                <w:szCs w:val="18"/>
              </w:rPr>
            </w:pPr>
            <w:r>
              <w:rPr>
                <w:rFonts w:ascii="宋体" w:hAnsi="宋体" w:cs="宋体" w:eastAsia="宋体" w:hint="default"/>
                <w:sz w:val="18"/>
                <w:szCs w:val="18"/>
              </w:rPr>
              <w:t>主要系报告期内进行证券投资形成的收益。</w:t>
            </w:r>
          </w:p>
        </w:tc>
      </w:tr>
      <w:tr>
        <w:trPr>
          <w:trHeight w:val="715"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49"/>
              <w:jc w:val="left"/>
              <w:rPr>
                <w:rFonts w:ascii="宋体" w:hAnsi="宋体" w:cs="宋体" w:eastAsia="宋体" w:hint="default"/>
                <w:sz w:val="18"/>
                <w:szCs w:val="18"/>
              </w:rPr>
            </w:pPr>
            <w:r>
              <w:rPr>
                <w:rFonts w:ascii="宋体" w:hAnsi="宋体" w:cs="宋体" w:eastAsia="宋体" w:hint="default"/>
                <w:sz w:val="18"/>
                <w:szCs w:val="18"/>
              </w:rPr>
              <w:t>采用公允价值模式进行后续计量的投资性 房地产公允价值变动产生的损益</w:t>
            </w:r>
          </w:p>
        </w:tc>
        <w:tc>
          <w:tcPr>
            <w:tcW w:w="280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3,718,181.14</w:t>
            </w:r>
          </w:p>
        </w:tc>
        <w:tc>
          <w:tcPr>
            <w:tcW w:w="34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8"/>
              <w:jc w:val="left"/>
              <w:rPr>
                <w:rFonts w:ascii="宋体" w:hAnsi="宋体" w:cs="宋体" w:eastAsia="宋体" w:hint="default"/>
                <w:sz w:val="18"/>
                <w:szCs w:val="18"/>
              </w:rPr>
            </w:pPr>
            <w:r>
              <w:rPr>
                <w:rFonts w:ascii="宋体" w:hAnsi="宋体" w:cs="宋体" w:eastAsia="宋体" w:hint="default"/>
                <w:spacing w:val="7"/>
                <w:sz w:val="18"/>
                <w:szCs w:val="18"/>
              </w:rPr>
              <w:t>主要系报告期内投资性房地产的公允价值</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变动产生的收益。</w:t>
            </w:r>
          </w:p>
        </w:tc>
      </w:tr>
      <w:tr>
        <w:trPr>
          <w:trHeight w:val="401"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-1,974,086.48</w:t>
            </w:r>
          </w:p>
        </w:tc>
        <w:tc>
          <w:tcPr>
            <w:tcW w:w="344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5,663,595.41</w:t>
            </w:r>
          </w:p>
        </w:tc>
        <w:tc>
          <w:tcPr>
            <w:tcW w:w="3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主要系报告期内购买理财产品收益</w:t>
            </w:r>
          </w:p>
        </w:tc>
      </w:tr>
      <w:tr>
        <w:trPr>
          <w:trHeight w:val="401"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2,231,474.65</w:t>
            </w:r>
          </w:p>
        </w:tc>
        <w:tc>
          <w:tcPr>
            <w:tcW w:w="3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4"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6,694,423.96</w:t>
            </w:r>
          </w:p>
        </w:tc>
        <w:tc>
          <w:tcPr>
            <w:tcW w:w="3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spacing w:val="-3"/>
        </w:rPr>
        <w:t>对公司根据《公开发行证券的公司信息披露解释性公告第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0" w:lineRule="auto" w:before="63"/>
        <w:ind w:right="139"/>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spacing w:after="0" w:line="300" w:lineRule="auto"/>
        <w:jc w:val="left"/>
        <w:sectPr>
          <w:pgSz w:w="11910" w:h="16840"/>
          <w:pgMar w:header="877" w:footer="979" w:top="1100" w:bottom="1160" w:left="980" w:right="980"/>
        </w:sectPr>
      </w:pPr>
    </w:p>
    <w:p>
      <w:pPr>
        <w:spacing w:line="240" w:lineRule="auto" w:before="11"/>
        <w:rPr>
          <w:rFonts w:ascii="宋体" w:hAnsi="宋体" w:cs="宋体" w:eastAsia="宋体" w:hint="default"/>
          <w:sz w:val="21"/>
          <w:szCs w:val="21"/>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2</w:t>
      </w:r>
      <w:r>
        <w:rPr/>
        <w:t>、净资产收益率及每股收益</w:t>
      </w:r>
      <w:r>
        <w:rPr>
          <w:b w:val="0"/>
          <w:bCs w:val="0"/>
        </w:rPr>
      </w:r>
    </w:p>
    <w:p>
      <w:pPr>
        <w:spacing w:line="240" w:lineRule="auto" w:before="15"/>
        <w:rPr>
          <w:rFonts w:ascii="Microsoft JhengHei" w:hAnsi="Microsoft JhengHei" w:cs="Microsoft JhengHei" w:eastAsia="Microsoft JhengHei" w:hint="default"/>
          <w:b/>
          <w:bCs/>
          <w:sz w:val="18"/>
          <w:szCs w:val="18"/>
        </w:rPr>
      </w:pPr>
    </w:p>
    <w:tbl>
      <w:tblPr>
        <w:tblW w:w="0" w:type="auto"/>
        <w:jc w:val="left"/>
        <w:tblInd w:w="148" w:type="dxa"/>
        <w:tblLayout w:type="fixed"/>
        <w:tblCellMar>
          <w:top w:w="0" w:type="dxa"/>
          <w:left w:w="0" w:type="dxa"/>
          <w:bottom w:w="0" w:type="dxa"/>
          <w:right w:w="0" w:type="dxa"/>
        </w:tblCellMar>
        <w:tblLook w:val="01E0"/>
      </w:tblPr>
      <w:tblGrid>
        <w:gridCol w:w="2663"/>
        <w:gridCol w:w="3082"/>
        <w:gridCol w:w="1913"/>
        <w:gridCol w:w="1913"/>
      </w:tblGrid>
      <w:tr>
        <w:trPr>
          <w:trHeight w:val="204" w:hRule="exact"/>
        </w:trPr>
        <w:tc>
          <w:tcPr>
            <w:tcW w:w="2663" w:type="dxa"/>
            <w:tcBorders>
              <w:top w:val="single" w:sz="4" w:space="0" w:color="000000"/>
              <w:left w:val="single" w:sz="4" w:space="0" w:color="000000"/>
              <w:bottom w:val="nil" w:sz="6" w:space="0" w:color="auto"/>
              <w:right w:val="single" w:sz="4" w:space="0" w:color="000000"/>
            </w:tcBorders>
            <w:shd w:val="clear" w:color="auto" w:fill="D2D2D2"/>
          </w:tcPr>
          <w:p>
            <w:pPr/>
          </w:p>
        </w:tc>
        <w:tc>
          <w:tcPr>
            <w:tcW w:w="3082" w:type="dxa"/>
            <w:tcBorders>
              <w:top w:val="single" w:sz="4" w:space="0" w:color="000000"/>
              <w:left w:val="single" w:sz="4" w:space="0" w:color="000000"/>
              <w:bottom w:val="nil" w:sz="6" w:space="0" w:color="auto"/>
              <w:right w:val="single" w:sz="4" w:space="0" w:color="000000"/>
            </w:tcBorders>
            <w:shd w:val="clear" w:color="auto" w:fill="D2D2D2"/>
          </w:tcPr>
          <w:p>
            <w:pP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7" w:hRule="exact"/>
        </w:trPr>
        <w:tc>
          <w:tcPr>
            <w:tcW w:w="266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876"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636"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197" w:hRule="exact"/>
        </w:trPr>
        <w:tc>
          <w:tcPr>
            <w:tcW w:w="2663" w:type="dxa"/>
            <w:vMerge/>
            <w:tcBorders>
              <w:left w:val="single" w:sz="4" w:space="0" w:color="000000"/>
              <w:bottom w:val="nil" w:sz="6" w:space="0" w:color="auto"/>
              <w:right w:val="single" w:sz="4" w:space="0" w:color="000000"/>
            </w:tcBorders>
            <w:shd w:val="clear" w:color="auto" w:fill="D2D2D2"/>
          </w:tcPr>
          <w:p>
            <w:pPr/>
          </w:p>
        </w:tc>
        <w:tc>
          <w:tcPr>
            <w:tcW w:w="3082" w:type="dxa"/>
            <w:vMerge/>
            <w:tcBorders>
              <w:left w:val="single" w:sz="4" w:space="0" w:color="000000"/>
              <w:bottom w:val="nil" w:sz="6" w:space="0" w:color="auto"/>
              <w:right w:val="single" w:sz="4" w:space="0" w:color="000000"/>
            </w:tcBorders>
            <w:shd w:val="clear" w:color="auto" w:fill="D2D2D2"/>
          </w:tcPr>
          <w:p>
            <w:pP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206" w:hRule="exact"/>
        </w:trPr>
        <w:tc>
          <w:tcPr>
            <w:tcW w:w="2663" w:type="dxa"/>
            <w:tcBorders>
              <w:top w:val="nil" w:sz="6" w:space="0" w:color="auto"/>
              <w:left w:val="single" w:sz="4" w:space="0" w:color="000000"/>
              <w:bottom w:val="single" w:sz="4" w:space="0" w:color="000000"/>
              <w:right w:val="single" w:sz="4" w:space="0" w:color="000000"/>
            </w:tcBorders>
            <w:shd w:val="clear" w:color="auto" w:fill="D2D2D2"/>
          </w:tcPr>
          <w:p>
            <w:pPr/>
          </w:p>
        </w:tc>
        <w:tc>
          <w:tcPr>
            <w:tcW w:w="308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2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1"/>
              <w:jc w:val="right"/>
              <w:rPr>
                <w:rFonts w:ascii="Times New Roman" w:hAnsi="Times New Roman" w:cs="Times New Roman" w:eastAsia="Times New Roman" w:hint="default"/>
                <w:sz w:val="18"/>
                <w:szCs w:val="18"/>
              </w:rPr>
            </w:pPr>
            <w:r>
              <w:rPr>
                <w:rFonts w:ascii="Times New Roman"/>
                <w:spacing w:val="-1"/>
                <w:sz w:val="18"/>
              </w:rPr>
              <w:t>-2.39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9"/>
              <w:jc w:val="right"/>
              <w:rPr>
                <w:rFonts w:ascii="Times New Roman" w:hAnsi="Times New Roman" w:cs="Times New Roman" w:eastAsia="Times New Roman" w:hint="default"/>
                <w:sz w:val="18"/>
                <w:szCs w:val="18"/>
              </w:rPr>
            </w:pPr>
            <w:r>
              <w:rPr>
                <w:rFonts w:ascii="Times New Roman"/>
                <w:spacing w:val="-1"/>
                <w:sz w:val="18"/>
              </w:rPr>
              <w:t>-0.0364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0"/>
              <w:jc w:val="right"/>
              <w:rPr>
                <w:rFonts w:ascii="Times New Roman" w:hAnsi="Times New Roman" w:cs="Times New Roman" w:eastAsia="Times New Roman" w:hint="default"/>
                <w:sz w:val="18"/>
                <w:szCs w:val="18"/>
              </w:rPr>
            </w:pPr>
            <w:r>
              <w:rPr>
                <w:rFonts w:ascii="Times New Roman"/>
                <w:spacing w:val="-1"/>
                <w:sz w:val="18"/>
              </w:rPr>
              <w:t>-0.0364</w:t>
            </w:r>
          </w:p>
        </w:tc>
      </w:tr>
      <w:tr>
        <w:trPr>
          <w:trHeight w:val="715" w:hRule="exact"/>
        </w:trPr>
        <w:tc>
          <w:tcPr>
            <w:tcW w:w="2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08"/>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308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-0.0477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-0.0477</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980"/>
        </w:sectPr>
      </w:pPr>
    </w:p>
    <w:p>
      <w:pPr>
        <w:spacing w:line="240" w:lineRule="auto" w:before="0"/>
        <w:rPr>
          <w:rFonts w:ascii="Microsoft JhengHei" w:hAnsi="Microsoft JhengHei" w:cs="Microsoft JhengHei" w:eastAsia="Microsoft JhengHei" w:hint="default"/>
          <w:b/>
          <w:bCs/>
          <w:sz w:val="20"/>
          <w:szCs w:val="20"/>
        </w:rPr>
      </w:pPr>
    </w:p>
    <w:p>
      <w:pPr>
        <w:spacing w:line="240" w:lineRule="auto" w:before="4"/>
        <w:rPr>
          <w:rFonts w:ascii="Microsoft JhengHei" w:hAnsi="Microsoft JhengHei" w:cs="Microsoft JhengHei" w:eastAsia="Microsoft JhengHei" w:hint="default"/>
          <w:b/>
          <w:bCs/>
          <w:sz w:val="22"/>
          <w:szCs w:val="22"/>
        </w:rPr>
      </w:pPr>
    </w:p>
    <w:p>
      <w:pPr>
        <w:pStyle w:val="Heading1"/>
        <w:spacing w:line="456" w:lineRule="exact"/>
        <w:ind w:left="3285" w:right="0"/>
        <w:jc w:val="left"/>
        <w:rPr>
          <w:b w:val="0"/>
          <w:bCs w:val="0"/>
        </w:rPr>
      </w:pPr>
      <w:bookmarkStart w:name="_bookmark11" w:id="12"/>
      <w:bookmarkEnd w:id="12"/>
      <w:r>
        <w:rPr>
          <w:b w:val="0"/>
          <w:bCs w:val="0"/>
        </w:rPr>
      </w:r>
      <w:r>
        <w:rPr/>
        <w:t>第十二节 </w:t>
      </w:r>
      <w:r>
        <w:rPr>
          <w:spacing w:val="8"/>
        </w:rPr>
        <w:t> </w:t>
      </w:r>
      <w:r>
        <w:rPr/>
        <w:t>备查文件目录</w:t>
      </w:r>
      <w:r>
        <w:rPr>
          <w:b w:val="0"/>
          <w:bCs w:val="0"/>
        </w:rPr>
      </w:r>
    </w:p>
    <w:p>
      <w:pPr>
        <w:spacing w:line="240" w:lineRule="auto" w:before="14"/>
        <w:rPr>
          <w:rFonts w:ascii="Microsoft JhengHei" w:hAnsi="Microsoft JhengHei" w:cs="Microsoft JhengHei" w:eastAsia="Microsoft JhengHei" w:hint="default"/>
          <w:b/>
          <w:bCs/>
          <w:sz w:val="28"/>
          <w:szCs w:val="28"/>
        </w:rPr>
      </w:pPr>
    </w:p>
    <w:p>
      <w:pPr>
        <w:pStyle w:val="Heading4"/>
        <w:spacing w:line="273" w:lineRule="auto" w:before="0"/>
        <w:ind w:right="0" w:firstLine="0"/>
        <w:jc w:val="left"/>
      </w:pPr>
      <w:r>
        <w:rPr/>
        <w:t>一、载有法定代表人、主管会计负责人、会计机构负责人签名并盖章的会计报表。</w:t>
      </w:r>
      <w:r>
        <w:rPr>
          <w:w w:val="100"/>
        </w:rPr>
        <w:t> </w:t>
      </w:r>
      <w:r>
        <w:rPr/>
        <w:t>二、载有会计师事务所盖章、注册会计师签名并盖章的审计报告原件。</w:t>
      </w:r>
      <w:r>
        <w:rPr>
          <w:w w:val="100"/>
        </w:rPr>
        <w:t> </w:t>
      </w:r>
      <w:r>
        <w:rPr>
          <w:spacing w:val="-2"/>
        </w:rPr>
        <w:t>三、报告期内在中国证监会指定报纸上公开披露过的所有公司文件的正文及公告的原稿。</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4"/>
        <w:spacing w:line="240" w:lineRule="auto" w:before="159"/>
        <w:ind w:left="6454" w:right="0" w:firstLine="0"/>
        <w:jc w:val="left"/>
      </w:pPr>
      <w:r>
        <w:rPr/>
        <w:t>广东群兴玩具股份有限公司董事会</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4"/>
          <w:szCs w:val="14"/>
        </w:rPr>
      </w:pPr>
    </w:p>
    <w:p>
      <w:pPr>
        <w:pStyle w:val="Heading4"/>
        <w:tabs>
          <w:tab w:pos="9531" w:val="left" w:leader="none"/>
        </w:tabs>
        <w:spacing w:line="240" w:lineRule="auto" w:before="0"/>
        <w:ind w:left="6454" w:right="0" w:firstLine="0"/>
        <w:jc w:val="left"/>
        <w:rPr>
          <w:rFonts w:ascii="Times New Roman" w:hAnsi="Times New Roman" w:cs="Times New Roman" w:eastAsia="Times New Roman" w:hint="default"/>
        </w:rPr>
      </w:pPr>
      <w:r>
        <w:rPr/>
        <w:t>法定代表人：</w:t>
      </w:r>
      <w:r>
        <w:rPr>
          <w:rFonts w:ascii="Times New Roman" w:hAnsi="Times New Roman" w:cs="Times New Roman" w:eastAsia="Times New Roman" w:hint="default"/>
        </w:rPr>
      </w:r>
      <w:r>
        <w:rPr>
          <w:rFonts w:ascii="Times New Roman" w:hAnsi="Times New Roman" w:cs="Times New Roman" w:eastAsia="Times New Roman" w:hint="default"/>
          <w:u w:val="single" w:color="000000"/>
        </w:rPr>
        <w:t> </w:t>
        <w:tab/>
      </w:r>
      <w:r>
        <w:rPr>
          <w:rFonts w:ascii="Times New Roman" w:hAnsi="Times New Roman" w:cs="Times New Roman" w:eastAsia="Times New Roman" w:hint="default"/>
        </w:rPr>
      </w:r>
    </w:p>
    <w:p>
      <w:pPr>
        <w:pStyle w:val="Heading4"/>
        <w:spacing w:line="544" w:lineRule="auto" w:before="37"/>
        <w:ind w:left="7145" w:right="0" w:firstLine="831"/>
        <w:jc w:val="left"/>
      </w:pPr>
      <w:r>
        <w:rPr/>
        <w:t>纪晓文</w:t>
      </w:r>
      <w:r>
        <w:rPr>
          <w:w w:val="100"/>
        </w:rPr>
        <w:t> </w:t>
      </w:r>
      <w:r>
        <w:rPr>
          <w:spacing w:val="-2"/>
        </w:rPr>
        <w:t>二</w:t>
      </w:r>
      <w:r>
        <w:rPr>
          <w:rFonts w:ascii="Times New Roman" w:hAnsi="Times New Roman" w:cs="Times New Roman" w:eastAsia="Times New Roman" w:hint="default"/>
          <w:spacing w:val="-2"/>
        </w:rPr>
        <w:t>○</w:t>
      </w:r>
      <w:r>
        <w:rPr>
          <w:spacing w:val="-2"/>
        </w:rPr>
        <w:t>一八年四月十九日</w:t>
      </w:r>
    </w:p>
    <w:sectPr>
      <w:pgSz w:w="11910" w:h="16840"/>
      <w:pgMar w:header="877" w:footer="979" w:top="1100" w:bottom="1160" w:left="980" w:right="9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Microsoft JhengHei">
    <w:altName w:val="Microsoft JhengHei"/>
    <w:charset w:val="0"/>
    <w:family w:val="swiss"/>
    <w:pitch w:val="variable"/>
  </w:font>
  <w:font w:name="Trebuchet MS">
    <w:altName w:val="Trebuchet MS"/>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3.099976pt;margin-top:795.637939pt;width:6.5pt;height:11pt;mso-position-horizontal-relative:page;mso-position-vertical-relative:page;z-index:-701224"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099976pt;margin-top:781.957947pt;width:17.7pt;height:11pt;mso-position-horizontal-relative:page;mso-position-vertical-relative:page;z-index:-70091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101</w:t>
                </w:r>
                <w:r>
                  <w:rPr/>
                  <w:fldChar w:fldCharType="end"/>
                </w:r>
                <w:r>
                  <w:rPr>
                    <w:rFonts w:ascii="Times New Roman"/>
                    <w:spacing w:val="1"/>
                  </w:rPr>
                </w:r>
                <w:r>
                  <w:rPr>
                    <w:rFonts w:ascii="Times New Roman"/>
                  </w:rPr>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460022pt;margin-top:781.957947pt;width:17.3pt;height:11pt;mso-position-horizontal-relative:page;mso-position-vertical-relative:page;z-index:-70088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110</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099976pt;margin-top:781.957947pt;width:17.7pt;height:11pt;mso-position-horizontal-relative:page;mso-position-vertical-relative:page;z-index:-70086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120</w:t>
                </w:r>
                <w:r>
                  <w:rPr/>
                  <w:fldChar w:fldCharType="end"/>
                </w:r>
                <w:r>
                  <w:rPr>
                    <w:rFonts w:ascii="Times New Roman"/>
                    <w:spacing w:val="1"/>
                  </w:rPr>
                </w:r>
                <w:r>
                  <w:rPr>
                    <w:rFonts w:ascii="Times New Roman"/>
                  </w:rPr>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59973pt;margin-top:781.957947pt;width:13.15pt;height:11pt;mso-position-horizontal-relative:page;mso-position-vertical-relative:page;z-index:-70120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w:t>
                </w:r>
                <w:r>
                  <w:rPr/>
                  <w:fldChar w:fldCharType="end"/>
                </w:r>
                <w:r>
                  <w:rPr>
                    <w:rFonts w:ascii="Times New Roman"/>
                    <w:spacing w:val="1"/>
                  </w:rPr>
                </w:r>
                <w:r>
                  <w:rPr>
                    <w:rFonts w:ascii="Times New Roman"/>
                  </w:rPr>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59973pt;margin-top:781.957947pt;width:13.15pt;height:11pt;mso-position-horizontal-relative:page;mso-position-vertical-relative:page;z-index:-70117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34</w:t>
                </w:r>
                <w:r>
                  <w:rPr/>
                  <w:fldChar w:fldCharType="end"/>
                </w:r>
                <w:r>
                  <w:rPr>
                    <w:rFonts w:ascii="Times New Roman"/>
                    <w:spacing w:val="1"/>
                  </w:rPr>
                </w:r>
                <w:r>
                  <w:rPr>
                    <w:rFonts w:ascii="Times New Roman"/>
                  </w:rPr>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59.039978pt;margin-top:535.357971pt;width:13.15pt;height:11pt;mso-position-horizontal-relative:page;mso-position-vertical-relative:page;z-index:-70112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73</w:t>
                </w:r>
                <w:r>
                  <w:rPr/>
                  <w:fldChar w:fldCharType="end"/>
                </w:r>
                <w:r>
                  <w:rPr>
                    <w:rFonts w:ascii="Times New Roman"/>
                    <w:spacing w:val="1"/>
                  </w:rPr>
                </w:r>
                <w:r>
                  <w:rPr>
                    <w:rFonts w:ascii="Times New Roman"/>
                  </w:rPr>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59973pt;margin-top:781.957947pt;width:13.15pt;height:11pt;mso-position-horizontal-relative:page;mso-position-vertical-relative:page;z-index:-70103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81</w:t>
                </w:r>
                <w:r>
                  <w:rPr/>
                  <w:fldChar w:fldCharType="end"/>
                </w:r>
                <w:r>
                  <w:rPr>
                    <w:rFonts w:ascii="Times New Roman"/>
                    <w:spacing w:val="1"/>
                  </w:rPr>
                </w:r>
                <w:r>
                  <w:rPr>
                    <w:rFonts w:ascii="Times New Roman"/>
                  </w:rPr>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59973pt;margin-top:781.957947pt;width:13.15pt;height:11pt;mso-position-horizontal-relative:page;mso-position-vertical-relative:page;z-index:-70100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91</w:t>
                </w:r>
                <w:r>
                  <w:rPr/>
                  <w:fldChar w:fldCharType="end"/>
                </w:r>
                <w:r>
                  <w:rPr>
                    <w:rFonts w:ascii="Times New Roman"/>
                    <w:spacing w:val="1"/>
                  </w:rPr>
                </w:r>
                <w:r>
                  <w:rPr>
                    <w:rFonts w:ascii="Times New Roman"/>
                  </w:rPr>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59973pt;margin-top:781.957947pt;width:13.15pt;height:11pt;mso-position-horizontal-relative:page;mso-position-vertical-relative:page;z-index:-70098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96</w:t>
                </w:r>
                <w:r>
                  <w:rPr/>
                  <w:fldChar w:fldCharType="end"/>
                </w:r>
                <w:r>
                  <w:rPr>
                    <w:rFonts w:ascii="Times New Roman"/>
                    <w:spacing w:val="1"/>
                  </w:rPr>
                </w:r>
                <w:r>
                  <w:rPr>
                    <w:rFonts w:ascii="Times New Roman"/>
                  </w:rPr>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8.659973pt;margin-top:781.957947pt;width:11.15pt;height:11pt;mso-position-horizontal-relative:page;mso-position-vertical-relative:page;z-index:-700960"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99</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4.099976pt;margin-top:781.957947pt;width:15.7pt;height:11pt;mso-position-horizontal-relative:page;mso-position-vertical-relative:page;z-index:-700936"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100</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44.070007pt;margin-top:36.265610pt;width:195.75pt;height:11.5pt;mso-position-horizontal-relative:page;mso-position-vertical-relative:page;z-index:-701248" type="#_x0000_t202" filled="false" stroked="false">
          <v:textbox inset="0,0,0,0">
            <w:txbxContent>
              <w:p>
                <w:pPr>
                  <w:pStyle w:val="BodyText"/>
                  <w:spacing w:line="214" w:lineRule="exact"/>
                  <w:ind w:left="20" w:right="0"/>
                  <w:jc w:val="left"/>
                </w:pPr>
                <w:r>
                  <w:rPr/>
                  <w:t>广东群兴玩具股份有限公司</w:t>
                </w:r>
                <w:r>
                  <w:rPr>
                    <w:spacing w:val="-44"/>
                  </w:rPr>
                  <w:t> </w:t>
                </w:r>
                <w:r>
                  <w:rPr>
                    <w:rFonts w:ascii="Times New Roman" w:hAnsi="Times New Roman" w:cs="Times New Roman" w:eastAsia="Times New Roman" w:hint="default"/>
                  </w:rPr>
                  <w:t>2017</w:t>
                </w:r>
                <w:r>
                  <w:rPr>
                    <w:rFonts w:ascii="Times New Roman" w:hAnsi="Times New Roman" w:cs="Times New Roman" w:eastAsia="Times New Roman" w:hint="default"/>
                    <w:spacing w:val="2"/>
                  </w:rPr>
                  <w:t> </w:t>
                </w:r>
                <w:r>
                  <w:rPr/>
                  <w:t>年年度报告全文</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75.460022pt;margin-top:42.865631pt;width:195.7pt;height:11.5pt;mso-position-horizontal-relative:page;mso-position-vertical-relative:page;z-index:-701152" type="#_x0000_t202" filled="false" stroked="false">
          <v:textbox inset="0,0,0,0">
            <w:txbxContent>
              <w:p>
                <w:pPr>
                  <w:pStyle w:val="BodyText"/>
                  <w:spacing w:line="214" w:lineRule="exact"/>
                  <w:ind w:left="20" w:right="0"/>
                  <w:jc w:val="left"/>
                </w:pPr>
                <w:r>
                  <w:rPr/>
                  <w:t>广东群兴玩具股份有限公司</w:t>
                </w:r>
                <w:r>
                  <w:rPr>
                    <w:spacing w:val="-45"/>
                  </w:rPr>
                  <w:t> </w:t>
                </w:r>
                <w:r>
                  <w:rPr>
                    <w:rFonts w:ascii="Times New Roman" w:hAnsi="Times New Roman" w:cs="Times New Roman" w:eastAsia="Times New Roman" w:hint="default"/>
                  </w:rPr>
                  <w:t>2017</w:t>
                </w:r>
                <w:r>
                  <w:rPr>
                    <w:rFonts w:ascii="Times New Roman" w:hAnsi="Times New Roman" w:cs="Times New Roman" w:eastAsia="Times New Roman" w:hint="default"/>
                    <w:spacing w:val="2"/>
                  </w:rPr>
                  <w:t> </w:t>
                </w:r>
                <w:r>
                  <w:rPr/>
                  <w:t>年年度报告全文</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75.460022pt;margin-top:42.865631pt;width:195.7pt;height:11.5pt;mso-position-horizontal-relative:page;mso-position-vertical-relative:page;z-index:-701104" type="#_x0000_t202" filled="false" stroked="false">
          <v:textbox inset="0,0,0,0">
            <w:txbxContent>
              <w:p>
                <w:pPr>
                  <w:pStyle w:val="BodyText"/>
                  <w:spacing w:line="214" w:lineRule="exact"/>
                  <w:ind w:left="20" w:right="0"/>
                  <w:jc w:val="left"/>
                </w:pPr>
                <w:r>
                  <w:rPr/>
                  <w:t>广东群兴玩具股份有限公司</w:t>
                </w:r>
                <w:r>
                  <w:rPr>
                    <w:spacing w:val="-45"/>
                  </w:rPr>
                  <w:t> </w:t>
                </w:r>
                <w:r>
                  <w:rPr>
                    <w:rFonts w:ascii="Times New Roman" w:hAnsi="Times New Roman" w:cs="Times New Roman" w:eastAsia="Times New Roman" w:hint="default"/>
                  </w:rPr>
                  <w:t>2017</w:t>
                </w:r>
                <w:r>
                  <w:rPr>
                    <w:rFonts w:ascii="Times New Roman" w:hAnsi="Times New Roman" w:cs="Times New Roman" w:eastAsia="Times New Roman" w:hint="default"/>
                    <w:spacing w:val="2"/>
                  </w:rPr>
                  <w:t> </w:t>
                </w:r>
                <w:r>
                  <w:rPr/>
                  <w:t>年年度报告全文</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5.559982pt;width:484.9pt;height:.1pt;mso-position-horizontal-relative:page;mso-position-vertical-relative:page;z-index:-701080"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44.070007pt;margin-top:42.865608pt;width:195.75pt;height:11.5pt;mso-position-horizontal-relative:page;mso-position-vertical-relative:page;z-index:-701056" type="#_x0000_t202" filled="false" stroked="false">
          <v:textbox inset="0,0,0,0">
            <w:txbxContent>
              <w:p>
                <w:pPr>
                  <w:pStyle w:val="BodyText"/>
                  <w:spacing w:line="214" w:lineRule="exact"/>
                  <w:ind w:left="20" w:right="0"/>
                  <w:jc w:val="left"/>
                </w:pPr>
                <w:r>
                  <w:rPr/>
                  <w:t>广东群兴玩具股份有限公司</w:t>
                </w:r>
                <w:r>
                  <w:rPr>
                    <w:spacing w:val="-44"/>
                  </w:rPr>
                  <w:t> </w:t>
                </w:r>
                <w:r>
                  <w:rPr>
                    <w:rFonts w:ascii="Times New Roman" w:hAnsi="Times New Roman" w:cs="Times New Roman" w:eastAsia="Times New Roman" w:hint="default"/>
                  </w:rPr>
                  <w:t>2017</w:t>
                </w:r>
                <w:r>
                  <w:rPr>
                    <w:rFonts w:ascii="Times New Roman" w:hAnsi="Times New Roman" w:cs="Times New Roman" w:eastAsia="Times New Roman" w:hint="default"/>
                    <w:spacing w:val="2"/>
                  </w:rPr>
                  <w:t> </w:t>
                </w:r>
                <w:r>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91"/>
      <w:ind w:left="152"/>
    </w:pPr>
    <w:rPr>
      <w:rFonts w:ascii="Microsoft JhengHei" w:hAnsi="Microsoft JhengHei" w:eastAsia="Microsoft JhengHei"/>
      <w:b/>
      <w:bCs/>
      <w:sz w:val="24"/>
      <w:szCs w:val="24"/>
    </w:rPr>
  </w:style>
  <w:style w:styleId="BodyText" w:type="paragraph">
    <w:name w:val="Body Text"/>
    <w:basedOn w:val="Normal"/>
    <w:uiPriority w:val="1"/>
    <w:qFormat/>
    <w:pPr>
      <w:ind w:left="152"/>
    </w:pPr>
    <w:rPr>
      <w:rFonts w:ascii="宋体" w:hAnsi="宋体" w:eastAsia="宋体"/>
      <w:sz w:val="18"/>
      <w:szCs w:val="18"/>
    </w:rPr>
  </w:style>
  <w:style w:styleId="Heading1" w:type="paragraph">
    <w:name w:val="Heading 1"/>
    <w:basedOn w:val="Normal"/>
    <w:uiPriority w:val="1"/>
    <w:qFormat/>
    <w:pPr>
      <w:ind w:left="2792"/>
      <w:outlineLvl w:val="1"/>
    </w:pPr>
    <w:rPr>
      <w:rFonts w:ascii="Microsoft JhengHei" w:hAnsi="Microsoft JhengHei" w:eastAsia="Microsoft JhengHei"/>
      <w:b/>
      <w:bCs/>
      <w:sz w:val="32"/>
      <w:szCs w:val="32"/>
    </w:rPr>
  </w:style>
  <w:style w:styleId="Heading2" w:type="paragraph">
    <w:name w:val="Heading 2"/>
    <w:basedOn w:val="Normal"/>
    <w:uiPriority w:val="1"/>
    <w:qFormat/>
    <w:pPr>
      <w:ind w:left="152"/>
      <w:outlineLvl w:val="2"/>
    </w:pPr>
    <w:rPr>
      <w:rFonts w:ascii="Microsoft JhengHei" w:hAnsi="Microsoft JhengHei" w:eastAsia="Microsoft JhengHei"/>
      <w:b/>
      <w:bCs/>
      <w:sz w:val="24"/>
      <w:szCs w:val="24"/>
    </w:rPr>
  </w:style>
  <w:style w:styleId="Heading3" w:type="paragraph">
    <w:name w:val="Heading 3"/>
    <w:basedOn w:val="Normal"/>
    <w:uiPriority w:val="1"/>
    <w:qFormat/>
    <w:pPr>
      <w:ind w:left="152"/>
      <w:outlineLvl w:val="3"/>
    </w:pPr>
    <w:rPr>
      <w:rFonts w:ascii="Microsoft JhengHei" w:hAnsi="Microsoft JhengHei" w:eastAsia="Microsoft JhengHei"/>
      <w:b/>
      <w:bCs/>
      <w:sz w:val="21"/>
      <w:szCs w:val="21"/>
    </w:rPr>
  </w:style>
  <w:style w:styleId="Heading4" w:type="paragraph">
    <w:name w:val="Heading 4"/>
    <w:basedOn w:val="Normal"/>
    <w:uiPriority w:val="1"/>
    <w:qFormat/>
    <w:pPr>
      <w:spacing w:before="32"/>
      <w:ind w:left="152" w:firstLine="420"/>
      <w:outlineLvl w:val="4"/>
    </w:pPr>
    <w:rPr>
      <w:rFonts w:ascii="宋体" w:hAnsi="宋体" w:eastAsia="宋体"/>
      <w:sz w:val="21"/>
      <w:szCs w:val="21"/>
    </w:rPr>
  </w:style>
  <w:style w:styleId="Heading5" w:type="paragraph">
    <w:name w:val="Heading 5"/>
    <w:basedOn w:val="Normal"/>
    <w:uiPriority w:val="1"/>
    <w:qFormat/>
    <w:pPr>
      <w:ind w:left="152"/>
      <w:outlineLvl w:val="5"/>
    </w:pPr>
    <w:rPr>
      <w:rFonts w:ascii="Microsoft JhengHei" w:hAnsi="Microsoft JhengHei" w:eastAsia="Microsoft JhengHei"/>
      <w:b/>
      <w:bCs/>
      <w:sz w:val="18"/>
      <w:szCs w:val="1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jpeg"/><Relationship Id="rId8" Type="http://schemas.openxmlformats.org/officeDocument/2006/relationships/footer" Target="footer2.xml"/><Relationship Id="rId9" Type="http://schemas.openxmlformats.org/officeDocument/2006/relationships/hyperlink" Target="http://www.qunxingtoys.net/" TargetMode="External"/><Relationship Id="rId10" Type="http://schemas.openxmlformats.org/officeDocument/2006/relationships/hyperlink" Target="mailto:qx@qunxingtoys.net" TargetMode="External"/><Relationship Id="rId11" Type="http://schemas.openxmlformats.org/officeDocument/2006/relationships/hyperlink" Target="mailto:qx043@139.com" TargetMode="External"/><Relationship Id="rId12" Type="http://schemas.openxmlformats.org/officeDocument/2006/relationships/hyperlink" Target="http://www.cninfo.com.cn/" TargetMode="External"/><Relationship Id="rId13" Type="http://schemas.openxmlformats.org/officeDocument/2006/relationships/footer" Target="footer3.xml"/><Relationship Id="rId14" Type="http://schemas.openxmlformats.org/officeDocument/2006/relationships/image" Target="media/image2.jpeg"/><Relationship Id="rId15" Type="http://schemas.openxmlformats.org/officeDocument/2006/relationships/header" Target="header2.xml"/><Relationship Id="rId16" Type="http://schemas.openxmlformats.org/officeDocument/2006/relationships/footer" Target="footer4.xml"/><Relationship Id="rId17" Type="http://schemas.openxmlformats.org/officeDocument/2006/relationships/header" Target="header3.xml"/><Relationship Id="rId18" Type="http://schemas.openxmlformats.org/officeDocument/2006/relationships/header" Target="header4.xml"/><Relationship Id="rId19" Type="http://schemas.openxmlformats.org/officeDocument/2006/relationships/footer" Target="footer5.xml"/><Relationship Id="rId20" Type="http://schemas.openxmlformats.org/officeDocument/2006/relationships/footer" Target="footer6.xml"/><Relationship Id="rId21" Type="http://schemas.openxmlformats.org/officeDocument/2006/relationships/footer" Target="footer7.xml"/><Relationship Id="rId22" Type="http://schemas.openxmlformats.org/officeDocument/2006/relationships/footer" Target="footer8.xml"/><Relationship Id="rId23" Type="http://schemas.openxmlformats.org/officeDocument/2006/relationships/footer" Target="footer9.xml"/><Relationship Id="rId24" Type="http://schemas.openxmlformats.org/officeDocument/2006/relationships/footer" Target="footer10.xml"/><Relationship Id="rId25" Type="http://schemas.openxmlformats.org/officeDocument/2006/relationships/footer" Target="footer11.xml"/><Relationship Id="rId26" Type="http://schemas.openxmlformats.org/officeDocument/2006/relationships/footer" Target="footer1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广东群兴玩具股份有限公司</dc:creator>
  <dc:title>广东群兴玩具股份有限公司2017年年度报告全文</dc:title>
  <dcterms:created xsi:type="dcterms:W3CDTF">2020-05-02T22:46:59Z</dcterms:created>
  <dcterms:modified xsi:type="dcterms:W3CDTF">2020-05-02T22:46:59Z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2018-04-19T00:00:00Z</vt:filetime>
  </property>
  <property fmtid="{D5CDD505-2E9C-101B-9397-08002B2CF9AE}" pid="3" name="Creator">
    <vt:lpwstr>Microsoft® Word 2013</vt:lpwstr>
  </property>
  <property fmtid="{D5CDD505-2E9C-101B-9397-08002B2CF9AE}" pid="4" name="LastSaved">
    <vt:filetime>2020-05-02T00:00:00Z</vt:filetime>
  </property>
</Properties>
</file>