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png" ContentType="image/pn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95" w:right="1111" w:firstLine="0"/>
        <w:jc w:val="center"/>
        <w:rPr>
          <w:rFonts w:ascii="宋体" w:hAnsi="宋体" w:cs="宋体" w:eastAsia="宋体" w:hint="default"/>
          <w:sz w:val="36"/>
          <w:szCs w:val="36"/>
        </w:rPr>
      </w:pPr>
      <w:r>
        <w:rPr>
          <w:rFonts w:ascii="宋体" w:hAnsi="宋体" w:cs="宋体" w:eastAsia="宋体" w:hint="default"/>
          <w:b/>
          <w:bCs/>
          <w:sz w:val="36"/>
          <w:szCs w:val="36"/>
        </w:rPr>
        <w:t>广东群兴玩具股份有限公司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9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9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公司负责人纪晓文、主管会计工作负责人朱小艳及会计机构负责人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陈轲声明：保证年度报告中财务报告的真实、准确、完整。</w:t>
      </w:r>
      <w:r>
        <w:rPr>
          <w:rFonts w:ascii="宋体" w:hAnsi="宋体" w:cs="宋体" w:eastAsia="宋体" w:hint="default"/>
          <w:sz w:val="28"/>
          <w:szCs w:val="28"/>
        </w:rPr>
      </w:r>
    </w:p>
    <w:p>
      <w:pPr>
        <w:spacing w:line="472" w:lineRule="auto" w:before="147"/>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本报告涉及的未来发展性陈述，属于计划性事项，不构成公司对投资者的</w:t>
      </w:r>
      <w:r>
        <w:rPr>
          <w:rFonts w:ascii="宋体" w:hAnsi="宋体" w:cs="宋体" w:eastAsia="宋体" w:hint="default"/>
          <w:spacing w:val="3"/>
          <w:sz w:val="28"/>
          <w:szCs w:val="28"/>
        </w:rPr>
      </w:r>
    </w:p>
    <w:p>
      <w:pPr>
        <w:spacing w:line="410" w:lineRule="auto" w:before="0"/>
        <w:ind w:left="11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实质承诺，投资者及相关人士均应当对此保持足够的风险认识，并且应当理解</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计划、预测与承诺之间的差异，敬请投资者注意投资风险。</w:t>
      </w:r>
      <w:r>
        <w:rPr>
          <w:rFonts w:ascii="宋体" w:hAnsi="宋体" w:cs="宋体" w:eastAsia="宋体" w:hint="default"/>
          <w:sz w:val="28"/>
          <w:szCs w:val="28"/>
        </w:rPr>
      </w:r>
    </w:p>
    <w:p>
      <w:pPr>
        <w:spacing w:line="408" w:lineRule="auto" w:before="158"/>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本公司请投资者认真阅读本报告，公司在本报告“经营情况讨论与分析”</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中“公司未来发展的展望”部分，描述了公司未来经营可能面临的主要风险，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before="161"/>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9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r>
          </w:hyperlink>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r>
          </w:hyperlink>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r>
          </w:hyperlink>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r>
          </w:hyperlink>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r>
          </w:hyperlink>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r>
          </w:hyperlink>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r>
          </w:hyperlink>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p>
        <w:p>
          <w:pPr>
            <w:pStyle w:val="TOC1"/>
            <w:tabs>
              <w:tab w:pos="974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142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6" w:footer="1019" w:top="1100" w:bottom="1200" w:left="1020" w:right="0"/>
        </w:sectPr>
      </w:pPr>
    </w:p>
    <w:p>
      <w:pPr>
        <w:spacing w:before="906"/>
        <w:ind w:left="9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公司、本公司、股份公司、群兴玩具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群兴投资、公司原控股股东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成都星河、控股股东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成都数字星河科技有限公司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深圳星河、控股股东的一致行动人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深圳星河数据科技有限公司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北京九连环、控股股东的一致行动人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北京九连环数据服务中心（有限合伙）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林伟章、黄仕群</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王叁寿</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童乐乐玩具、童乐乐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西藏群兴、原全资子公司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西藏群兴文化发展有限责任公司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天润资本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天润资本管理（北京）有限公司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《深圳证券交易所中小板企业规范运作指引》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《广东群兴玩具股份有限公司章程》</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群兴玩具</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002575</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群兴玩具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GUANGDONGQUNXINGTOYSJOINT-STOCKCO.,LTD.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QUNXING</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纪晓文</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汕头市澄海区岭海工业区清平路北侧群兴工业园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楼之二</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515800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北京市通州区嘉创路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100032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http://www.qunxingtoys.net</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qx@qunxingtoys.net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胡明珠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北京市通州区嘉创路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 6291 6232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18610002575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(010) 6291 6232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0">
              <w:r>
                <w:rPr>
                  <w:rFonts w:ascii="Times New Roman"/>
                  <w:sz w:val="18"/>
                </w:rPr>
                <w:t>qx@qunxingtoys.net</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 </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日公司控股股东由群兴投资变更为成都星河，实际控制人由林 伟章先生、黄仕群先生变更为王叁寿先生。</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号中投国际商务中心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宋保军、陈延柏</w:t>
            </w:r>
          </w:p>
        </w:tc>
      </w:tr>
    </w:tbl>
    <w:p>
      <w:pPr>
        <w:pStyle w:val="BodyText"/>
        <w:spacing w:line="240" w:lineRule="auto" w:before="51"/>
        <w:ind w:right="0"/>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19,045,648.30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53,935,818.86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-64.69%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250,703,064.46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6,921,812.73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-21,412,779.47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12,764,280.64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-1,670,391.55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-28,107,203.43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876,147.54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18,892,112.07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46,943,358.74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53,232,312.71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0.0118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0.0217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0.0118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0.0217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907,498,001.19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902,220,841.78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925,073,529.30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898,623,676.50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891,409,741.99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907,607,087.60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2139"/>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279,384.61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8,830,532.75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4,405,456.63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5,530,274.31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244,715.16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3,438,232.28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2,253,489.22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985,376.07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-1,305,344.10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2,268,281.62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-32,704.70</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-2,600,624.37</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-30,951.27</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-1,754,383.19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1,812,096.10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18,865,350.43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2,277,652.79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-351,617.68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12,735,873.79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主要系报告期内处 置部分资产产生的 收益</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3,201,563.10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2,244,951.48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-2,773,251.75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-1,331,736.88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55"/>
              <w:jc w:val="left"/>
              <w:rPr>
                <w:rFonts w:ascii="宋体" w:hAnsi="宋体" w:cs="宋体" w:eastAsia="宋体" w:hint="default"/>
                <w:sz w:val="18"/>
                <w:szCs w:val="18"/>
              </w:rPr>
            </w:pPr>
            <w:r>
              <w:rPr>
                <w:rFonts w:ascii="宋体" w:hAnsi="宋体" w:cs="宋体" w:eastAsia="宋体" w:hint="default"/>
                <w:sz w:val="18"/>
                <w:szCs w:val="18"/>
              </w:rPr>
              <w:t>主要系报告期内证 券投资产生的损失</w:t>
            </w:r>
          </w:p>
        </w:tc>
      </w:tr>
    </w:tbl>
    <w:p>
      <w:pPr>
        <w:spacing w:after="0" w:line="319" w:lineRule="auto"/>
        <w:jc w:val="left"/>
        <w:rPr>
          <w:rFonts w:ascii="宋体" w:hAnsi="宋体" w:cs="宋体" w:eastAsia="宋体" w:hint="default"/>
          <w:sz w:val="18"/>
          <w:szCs w:val="18"/>
        </w:rPr>
        <w:sectPr>
          <w:headerReference w:type="default" r:id="rId12"/>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159,406.73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3,718,181.14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主要系报告期内投 资性房地产公允价 值变动收益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-391,269.09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-1,974,086.48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-993,819.07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12,183,733.70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5,663,595.41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理财产品、国债逆 回购收益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2,864,068.10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2,231,474.65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2,098,873.10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8,592,204.28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6,694,423.96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11,888,133.10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537" w:right="0"/>
        <w:jc w:val="left"/>
      </w:pPr>
      <w:r>
        <w:rPr/>
        <w:t>报告期内，公司主要从事玩具渠道经营业务。</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74"/>
        <w:gridCol w:w="7894"/>
      </w:tblGrid>
      <w:tr>
        <w:trPr>
          <w:trHeight w:val="764" w:hRule="exact"/>
        </w:trPr>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94.70%</w:t>
            </w:r>
            <w:r>
              <w:rPr>
                <w:rFonts w:ascii="宋体" w:hAnsi="宋体" w:cs="宋体" w:eastAsia="宋体" w:hint="default"/>
                <w:sz w:val="18"/>
                <w:szCs w:val="18"/>
              </w:rPr>
              <w:t>，主要系本报告期出售了部分房产和车辆所致</w:t>
            </w:r>
          </w:p>
        </w:tc>
      </w:tr>
      <w:tr>
        <w:trPr>
          <w:trHeight w:val="714" w:hRule="exact"/>
        </w:trPr>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6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2,630.93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38.79%</w:t>
            </w:r>
            <w:r>
              <w:rPr>
                <w:rFonts w:ascii="宋体" w:hAnsi="宋体" w:cs="宋体" w:eastAsia="宋体" w:hint="default"/>
                <w:sz w:val="18"/>
                <w:szCs w:val="18"/>
              </w:rPr>
              <w:t>，主要系本报告期岭海工业区宿舍楼用地转至 投资性房地产所致</w:t>
            </w:r>
          </w:p>
        </w:tc>
      </w:tr>
      <w:tr>
        <w:trPr>
          <w:trHeight w:val="714" w:hRule="exact"/>
        </w:trPr>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2,393.26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万元，下降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，主要系本报告期岭海工业区宿舍楼竣工并转 至投资性房地产所致</w:t>
            </w:r>
          </w:p>
        </w:tc>
      </w:tr>
      <w:tr>
        <w:trPr>
          <w:trHeight w:val="402"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2,909.14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99.92%</w:t>
            </w:r>
            <w:r>
              <w:rPr>
                <w:rFonts w:ascii="宋体" w:hAnsi="宋体" w:cs="宋体" w:eastAsia="宋体" w:hint="default"/>
                <w:sz w:val="18"/>
                <w:szCs w:val="18"/>
              </w:rPr>
              <w:t>，主要系本报告期应收账款大幅收回所致</w:t>
            </w:r>
          </w:p>
        </w:tc>
      </w:tr>
      <w:tr>
        <w:trPr>
          <w:trHeight w:val="402"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8,305.53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58.69%</w:t>
            </w:r>
            <w:r>
              <w:rPr>
                <w:rFonts w:ascii="宋体" w:hAnsi="宋体" w:cs="宋体" w:eastAsia="宋体" w:hint="default"/>
                <w:sz w:val="18"/>
                <w:szCs w:val="18"/>
              </w:rPr>
              <w:t>，主要系本报告期购买理财产品所致</w:t>
            </w:r>
          </w:p>
        </w:tc>
      </w:tr>
      <w:tr>
        <w:trPr>
          <w:trHeight w:val="402"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4,850.45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36.90%</w:t>
            </w:r>
            <w:r>
              <w:rPr>
                <w:rFonts w:ascii="宋体" w:hAnsi="宋体" w:cs="宋体" w:eastAsia="宋体" w:hint="default"/>
                <w:sz w:val="18"/>
                <w:szCs w:val="18"/>
              </w:rPr>
              <w:t>，主要系本报告期购买理财产品未到期所致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133" w:firstLine="423"/>
        <w:jc w:val="both"/>
      </w:pPr>
      <w:r>
        <w:rPr/>
        <w:t>公司所在的广东省汕头市是中国玩具企业数量最多的城市，公司玩具业务的升级转型、玩具渠道经营业务的开展可以 </w:t>
      </w:r>
      <w:r>
        <w:rPr>
          <w:spacing w:val="-2"/>
        </w:rPr>
        <w:t>依托得天独厚的区位优势和产业集群优势，以较快的速度、较低的成本获取产业集聚效应带来的技术、人才、信息、物流等</w:t>
      </w:r>
      <w:r>
        <w:rPr>
          <w:spacing w:val="-66"/>
        </w:rPr>
        <w:t> </w:t>
      </w:r>
      <w:r>
        <w:rPr>
          <w:spacing w:val="-66"/>
        </w:rPr>
      </w:r>
      <w:r>
        <w:rPr/>
        <w:t>资源，为公司推进玩具渠道经营业务提供有力保障。</w:t>
      </w:r>
    </w:p>
    <w:p>
      <w:pPr>
        <w:spacing w:after="0" w:line="316"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3"/>
        <w:jc w:val="both"/>
      </w:pPr>
      <w:r>
        <w:rPr/>
        <w:t>报告期内，公司管理层认真贯彻、积极执行董事会制定的发展战略、业务规划，一方面严格遵循玩具业务升级转型方 </w:t>
      </w:r>
      <w:r>
        <w:rPr>
          <w:spacing w:val="-2"/>
        </w:rPr>
        <w:t>案、稳步推进玩具渠道经营业务；另一方面努力寻求优质资产，通过并购重组全力拓展第二主业；同时，公司管理层持续优</w:t>
      </w:r>
      <w:r>
        <w:rPr>
          <w:spacing w:val="-66"/>
        </w:rPr>
        <w:t> </w:t>
      </w:r>
      <w:r>
        <w:rPr>
          <w:spacing w:val="-66"/>
        </w:rPr>
      </w:r>
      <w:r>
        <w:rPr>
          <w:spacing w:val="-2"/>
        </w:rPr>
        <w:t>化资产配置，通过多措并举提高公司盈利能力、改善公司经营困境，</w:t>
      </w:r>
      <w:r>
        <w:rPr>
          <w:rFonts w:ascii="宋体" w:hAnsi="宋体" w:cs="宋体" w:eastAsia="宋体" w:hint="default"/>
          <w:spacing w:val="-2"/>
        </w:rPr>
        <w:t>2018</w:t>
      </w:r>
      <w:r>
        <w:rPr>
          <w:spacing w:val="-2"/>
        </w:rPr>
        <w:t>年全年实现扭亏为盈，实现净利润</w:t>
      </w:r>
      <w:r>
        <w:rPr>
          <w:rFonts w:ascii="宋体" w:hAnsi="宋体" w:cs="宋体" w:eastAsia="宋体" w:hint="default"/>
          <w:spacing w:val="-2"/>
        </w:rPr>
        <w:t>692.18</w:t>
      </w:r>
      <w:r>
        <w:rPr>
          <w:spacing w:val="-2"/>
        </w:rPr>
        <w:t>万元。在</w:t>
      </w:r>
      <w:r>
        <w:rPr>
          <w:spacing w:val="-56"/>
        </w:rPr>
        <w:t> </w:t>
      </w:r>
      <w:r>
        <w:rPr>
          <w:spacing w:val="-56"/>
        </w:rPr>
      </w:r>
      <w:r>
        <w:rPr>
          <w:spacing w:val="-2"/>
        </w:rPr>
        <w:t>此基础上，公司在报告期内引入新的控股股东，优化公司股东结构与治理结构，为提升公司持续盈利能力、持续发展奠定基</w:t>
      </w:r>
      <w:r>
        <w:rPr>
          <w:spacing w:val="-66"/>
        </w:rPr>
        <w:t> </w:t>
      </w:r>
      <w:r>
        <w:rPr>
          <w:spacing w:val="-66"/>
        </w:rPr>
      </w:r>
      <w:r>
        <w:rPr/>
        <w:t>础。</w:t>
      </w:r>
    </w:p>
    <w:p>
      <w:pPr>
        <w:pStyle w:val="BodyText"/>
        <w:spacing w:line="316" w:lineRule="auto" w:before="19"/>
        <w:ind w:right="1030" w:firstLine="423"/>
        <w:jc w:val="left"/>
      </w:pPr>
      <w:r>
        <w:rPr>
          <w:spacing w:val="-1"/>
        </w:rPr>
        <w:t>玩具业务方面。公司稳步开展玩具渠道经营业务，</w:t>
      </w:r>
      <w:r>
        <w:rPr>
          <w:rFonts w:ascii="宋体" w:hAnsi="宋体" w:cs="宋体" w:eastAsia="宋体" w:hint="default"/>
          <w:spacing w:val="-1"/>
        </w:rPr>
        <w:t>2018</w:t>
      </w:r>
      <w:r>
        <w:rPr>
          <w:spacing w:val="-1"/>
        </w:rPr>
        <w:t>年全年实现渠道经营收入</w:t>
      </w:r>
      <w:r>
        <w:rPr>
          <w:rFonts w:ascii="宋体" w:hAnsi="宋体" w:cs="宋体" w:eastAsia="宋体" w:hint="default"/>
          <w:spacing w:val="-1"/>
        </w:rPr>
        <w:t>1,694.20</w:t>
      </w:r>
      <w:r>
        <w:rPr>
          <w:spacing w:val="-1"/>
        </w:rPr>
        <w:t>万元，营业利润</w:t>
      </w:r>
      <w:r>
        <w:rPr>
          <w:rFonts w:ascii="宋体" w:hAnsi="宋体" w:cs="宋体" w:eastAsia="宋体" w:hint="default"/>
          <w:spacing w:val="-1"/>
        </w:rPr>
        <w:t>521.01</w:t>
      </w:r>
      <w:r>
        <w:rPr>
          <w:spacing w:val="-1"/>
        </w:rPr>
        <w:t>万元。</w:t>
      </w:r>
      <w:r>
        <w:rPr/>
        <w:t> </w:t>
      </w:r>
      <w:r>
        <w:rPr>
          <w:spacing w:val="-2"/>
        </w:rPr>
        <w:t>依托公司在玩具行业多年积累的渠道优势、运营经验，逐步开展渠道经营业务，推动玩具业务升级与转型、提高公司的持续</w:t>
      </w:r>
      <w:r>
        <w:rPr>
          <w:spacing w:val="-66"/>
        </w:rPr>
        <w:t> </w:t>
      </w:r>
      <w:r>
        <w:rPr>
          <w:spacing w:val="-66"/>
        </w:rPr>
      </w:r>
      <w:r>
        <w:rPr/>
        <w:t>盈利能力与综合竞争力。</w:t>
      </w:r>
    </w:p>
    <w:p>
      <w:pPr>
        <w:pStyle w:val="BodyText"/>
        <w:spacing w:line="316" w:lineRule="auto" w:before="19"/>
        <w:ind w:right="1032" w:firstLine="423"/>
        <w:jc w:val="left"/>
      </w:pPr>
      <w:r>
        <w:rPr/>
        <w:t>第二主业拓展方面。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日公司股票因控股股东筹划控股权转让停牌，</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3</w:t>
      </w:r>
      <w:r>
        <w:rPr/>
        <w:t>日公司公告与贵州开磷集 </w:t>
      </w:r>
      <w:r>
        <w:rPr>
          <w:spacing w:val="-2"/>
        </w:rPr>
        <w:t>团股份有限公司筹划重大资产重组事宜，拟通过重大资产重组引入优质资产，提升公司的核心竞争力、持续经营能力与盈利</w:t>
      </w:r>
      <w:r>
        <w:rPr>
          <w:spacing w:val="-66"/>
        </w:rPr>
        <w:t> </w:t>
      </w:r>
      <w:r>
        <w:rPr>
          <w:spacing w:val="-66"/>
        </w:rPr>
      </w:r>
      <w:r>
        <w:rPr>
          <w:spacing w:val="-2"/>
        </w:rPr>
        <w:t>能力，后因贵州开磷集团股份有限公司借壳重组方案未能获得贵州省国有资产监督管理部门事前批准而终止。该重大资产重</w:t>
      </w:r>
      <w:r>
        <w:rPr>
          <w:spacing w:val="-64"/>
        </w:rPr>
        <w:t> </w:t>
      </w:r>
      <w:r>
        <w:rPr>
          <w:spacing w:val="-64"/>
        </w:rPr>
      </w:r>
      <w:r>
        <w:rPr>
          <w:spacing w:val="-2"/>
        </w:rPr>
        <w:t>组事项终止后，公司更加坚定通过外延扩张拓宽第二主业的信心与决心，继续积极在能源、环保、军工、数据、互联网、医</w:t>
      </w:r>
      <w:r>
        <w:rPr>
          <w:spacing w:val="-71"/>
        </w:rPr>
        <w:t> </w:t>
      </w:r>
      <w:r>
        <w:rPr>
          <w:spacing w:val="-71"/>
        </w:rPr>
      </w:r>
      <w:r>
        <w:rPr/>
        <w:t>疗、教育、高端装备制造等各行业、各领域寻求商业模式清晰、发展方向稳定、盈利趋势明显的投资机会和资产收购机会， </w:t>
      </w:r>
      <w:r>
        <w:rPr>
          <w:spacing w:val="-7"/>
        </w:rPr>
        <w:t>加快第二主业拓展。</w:t>
      </w:r>
      <w:r>
        <w:rPr>
          <w:rFonts w:ascii="宋体" w:hAnsi="宋体" w:cs="宋体" w:eastAsia="宋体" w:hint="default"/>
          <w:spacing w:val="-7"/>
        </w:rPr>
        <w:t>2018</w:t>
      </w:r>
      <w:r>
        <w:rPr>
          <w:spacing w:val="-7"/>
        </w:rPr>
        <w:t>年</w:t>
      </w:r>
      <w:r>
        <w:rPr>
          <w:rFonts w:ascii="宋体" w:hAnsi="宋体" w:cs="宋体" w:eastAsia="宋体" w:hint="default"/>
          <w:spacing w:val="-7"/>
        </w:rPr>
        <w:t>7</w:t>
      </w:r>
      <w:r>
        <w:rPr>
          <w:spacing w:val="-7"/>
        </w:rPr>
        <w:t>月</w:t>
      </w:r>
      <w:r>
        <w:rPr>
          <w:rFonts w:ascii="宋体" w:hAnsi="宋体" w:cs="宋体" w:eastAsia="宋体" w:hint="default"/>
          <w:spacing w:val="-7"/>
        </w:rPr>
        <w:t>6</w:t>
      </w:r>
      <w:r>
        <w:rPr>
          <w:spacing w:val="-7"/>
        </w:rPr>
        <w:t>日，公司与民生加银资产管理有限公司、东方邦信资本管理有限公司签署了《战略合作协议》，</w:t>
      </w:r>
      <w:r>
        <w:rPr>
          <w:spacing w:val="-33"/>
        </w:rPr>
        <w:t> </w:t>
      </w:r>
      <w:r>
        <w:rPr>
          <w:spacing w:val="-33"/>
        </w:rPr>
      </w:r>
      <w:r>
        <w:rPr/>
        <w:t>利用各自平台资源优势，进行资源整合、取长补短，推动与促进公司的业务升级转型与第二主业拓展。</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12</w:t>
      </w:r>
      <w:r>
        <w:rPr/>
        <w:t>日，公</w:t>
      </w:r>
      <w:r>
        <w:rPr>
          <w:spacing w:val="-81"/>
        </w:rPr>
        <w:t> </w:t>
      </w:r>
      <w:r>
        <w:rPr>
          <w:spacing w:val="-2"/>
        </w:rPr>
        <w:t>司与天润资本签署《产业并购基金合作框架协议》，共同出资设立总规模</w:t>
      </w:r>
      <w:r>
        <w:rPr>
          <w:rFonts w:ascii="宋体" w:hAnsi="宋体" w:cs="宋体" w:eastAsia="宋体" w:hint="default"/>
          <w:spacing w:val="-2"/>
        </w:rPr>
        <w:t>10</w:t>
      </w:r>
      <w:r>
        <w:rPr>
          <w:spacing w:val="-2"/>
        </w:rPr>
        <w:t>亿元的产业并购基金用于推动公司业务升级转型</w:t>
      </w:r>
      <w:r>
        <w:rPr>
          <w:spacing w:val="-63"/>
        </w:rPr>
        <w:t> </w:t>
      </w:r>
      <w:r>
        <w:rPr>
          <w:spacing w:val="-63"/>
        </w:rPr>
      </w:r>
      <w:r>
        <w:rPr/>
        <w:t>及第二主业拓展。</w:t>
      </w:r>
    </w:p>
    <w:p>
      <w:pPr>
        <w:pStyle w:val="BodyText"/>
        <w:spacing w:line="316" w:lineRule="auto" w:before="19"/>
        <w:ind w:right="1075" w:firstLine="423"/>
        <w:jc w:val="both"/>
      </w:pPr>
      <w:r>
        <w:rPr/>
        <w:t>资产优化配置方面。为筹措资金支持公司玩具主业发展和第二主业拓展，公司正在实施所持粤科租赁</w:t>
      </w:r>
      <w:r>
        <w:rPr>
          <w:rFonts w:ascii="宋体" w:hAnsi="宋体" w:cs="宋体" w:eastAsia="宋体" w:hint="default"/>
        </w:rPr>
        <w:t>20%</w:t>
      </w:r>
      <w:r>
        <w:rPr/>
        <w:t>股权的出售， </w:t>
      </w:r>
      <w:r>
        <w:rPr>
          <w:spacing w:val="-2"/>
        </w:rPr>
        <w:t>截至目前，该股权出售事项仍在积极沟通推进中；同时，公司合理提高资金使用效益、增加理财收益，确保公司</w:t>
      </w:r>
      <w:r>
        <w:rPr>
          <w:rFonts w:ascii="宋体" w:hAnsi="宋体" w:cs="宋体" w:eastAsia="宋体" w:hint="default"/>
          <w:spacing w:val="-2"/>
        </w:rPr>
        <w:t>2018</w:t>
      </w:r>
      <w:r>
        <w:rPr>
          <w:spacing w:val="-2"/>
        </w:rPr>
        <w:t>年度实</w:t>
      </w:r>
      <w:r>
        <w:rPr>
          <w:spacing w:val="-61"/>
        </w:rPr>
        <w:t> </w:t>
      </w:r>
      <w:r>
        <w:rPr/>
        <w:t>现扭亏为盈。</w:t>
      </w:r>
    </w:p>
    <w:p>
      <w:pPr>
        <w:pStyle w:val="BodyText"/>
        <w:spacing w:line="316" w:lineRule="auto" w:before="19"/>
        <w:ind w:right="1130" w:firstLine="423"/>
        <w:jc w:val="both"/>
      </w:pPr>
      <w:r>
        <w:rPr/>
        <w:t>股东结构优化方面。报告期内，公司通过引入新的控股股东以优化上市公司股东结构和治理结构，为上市公司主业拓 展和持续发展奠定基础。</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w:t>
      </w:r>
      <w:r>
        <w:rPr/>
        <w:t>日，公司原控股股东群兴投资与现控股股东成都星河及其一致行动人深圳星河、北京</w:t>
      </w:r>
      <w:r>
        <w:rPr>
          <w:spacing w:val="-83"/>
        </w:rPr>
        <w:t> </w:t>
      </w:r>
      <w:r>
        <w:rPr>
          <w:spacing w:val="-83"/>
        </w:rPr>
      </w:r>
      <w:r>
        <w:rPr>
          <w:spacing w:val="-4"/>
        </w:rPr>
        <w:t>九连环签署了《股权转让协议》，群兴投资将其所持有的公司</w:t>
      </w:r>
      <w:r>
        <w:rPr>
          <w:rFonts w:ascii="宋体" w:hAnsi="宋体" w:cs="宋体" w:eastAsia="宋体" w:hint="default"/>
          <w:spacing w:val="-4"/>
        </w:rPr>
        <w:t>117,750,000</w:t>
      </w:r>
      <w:r>
        <w:rPr>
          <w:spacing w:val="-4"/>
        </w:rPr>
        <w:t>股无限售流通股（合计占公司总股本的</w:t>
      </w:r>
      <w:r>
        <w:rPr>
          <w:rFonts w:ascii="宋体" w:hAnsi="宋体" w:cs="宋体" w:eastAsia="宋体" w:hint="default"/>
          <w:spacing w:val="-4"/>
        </w:rPr>
        <w:t>20.00%</w:t>
      </w:r>
      <w:r>
        <w:rPr>
          <w:spacing w:val="-4"/>
        </w:rPr>
        <w:t>）协</w:t>
      </w:r>
      <w:r>
        <w:rPr>
          <w:spacing w:val="-33"/>
        </w:rPr>
        <w:t> </w:t>
      </w:r>
      <w:r>
        <w:rPr>
          <w:spacing w:val="-2"/>
        </w:rPr>
        <w:t>议转让给王叁寿先生实际控制的深圳星河、成都星河以及北京九连环，同时群兴投资与成都星河签署了《股东表决权委托协</w:t>
      </w:r>
      <w:r>
        <w:rPr>
          <w:spacing w:val="-66"/>
        </w:rPr>
        <w:t> </w:t>
      </w:r>
      <w:r>
        <w:rPr>
          <w:spacing w:val="-66"/>
        </w:rPr>
      </w:r>
      <w:r>
        <w:rPr>
          <w:spacing w:val="-3"/>
        </w:rPr>
        <w:t>议》，群兴投资将其所持有的群兴玩具</w:t>
      </w:r>
      <w:r>
        <w:rPr>
          <w:rFonts w:ascii="宋体" w:hAnsi="宋体" w:cs="宋体" w:eastAsia="宋体" w:hint="default"/>
          <w:spacing w:val="-3"/>
        </w:rPr>
        <w:t>58,000,000</w:t>
      </w:r>
      <w:r>
        <w:rPr>
          <w:spacing w:val="-3"/>
        </w:rPr>
        <w:t>股股票的表决权无偿、不可撤销地委托给成都星河行使。截至</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rFonts w:ascii="宋体" w:hAnsi="宋体" w:cs="宋体" w:eastAsia="宋体" w:hint="default"/>
          <w:spacing w:val="-75"/>
        </w:rPr>
        <w:t> </w:t>
      </w:r>
      <w:r>
        <w:rPr>
          <w:spacing w:val="-2"/>
        </w:rPr>
        <w:t>日，上述股份转让已完成过户登记，公司控股股东由群兴投资变更为成都星河，公司实际控制人由林伟章先生、黄仕群先生</w:t>
      </w:r>
      <w:r>
        <w:rPr>
          <w:spacing w:val="-66"/>
        </w:rPr>
        <w:t> </w:t>
      </w:r>
      <w:r>
        <w:rPr>
          <w:spacing w:val="-66"/>
        </w:rPr>
      </w:r>
      <w:r>
        <w:rPr/>
        <w:t>变更为王叁寿先生。</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423"/>
        <w:jc w:val="both"/>
      </w:pPr>
      <w:r>
        <w:rPr/>
        <w:t>报告期内，公司实现营业收入</w:t>
      </w:r>
      <w:r>
        <w:rPr>
          <w:rFonts w:ascii="宋体" w:hAnsi="宋体" w:cs="宋体" w:eastAsia="宋体" w:hint="default"/>
        </w:rPr>
        <w:t>1</w:t>
      </w:r>
      <w:r>
        <w:rPr>
          <w:rFonts w:ascii="Times New Roman" w:hAnsi="Times New Roman" w:cs="Times New Roman" w:eastAsia="Times New Roman" w:hint="default"/>
        </w:rPr>
        <w:t>,</w:t>
      </w:r>
      <w:r>
        <w:rPr>
          <w:rFonts w:ascii="宋体" w:hAnsi="宋体" w:cs="宋体" w:eastAsia="宋体" w:hint="default"/>
        </w:rPr>
        <w:t>904</w:t>
      </w:r>
      <w:r>
        <w:rPr>
          <w:rFonts w:ascii="Times New Roman" w:hAnsi="Times New Roman" w:cs="Times New Roman" w:eastAsia="Times New Roman" w:hint="default"/>
        </w:rPr>
        <w:t>.</w:t>
      </w:r>
      <w:r>
        <w:rPr>
          <w:rFonts w:ascii="宋体" w:hAnsi="宋体" w:cs="宋体" w:eastAsia="宋体" w:hint="default"/>
        </w:rPr>
        <w:t>56</w:t>
      </w:r>
      <w:r>
        <w:rPr/>
        <w:t>万元，同比下降</w:t>
      </w:r>
      <w:r>
        <w:rPr>
          <w:rFonts w:ascii="宋体" w:hAnsi="宋体" w:cs="宋体" w:eastAsia="宋体" w:hint="default"/>
        </w:rPr>
        <w:t>64.69%</w:t>
      </w:r>
      <w:r>
        <w:rPr/>
        <w:t>；实现利润总额</w:t>
      </w:r>
      <w:r>
        <w:rPr>
          <w:rFonts w:ascii="宋体" w:hAnsi="宋体" w:cs="宋体" w:eastAsia="宋体" w:hint="default"/>
        </w:rPr>
        <w:t>692</w:t>
      </w:r>
      <w:r>
        <w:rPr>
          <w:rFonts w:ascii="Times New Roman" w:hAnsi="Times New Roman" w:cs="Times New Roman" w:eastAsia="Times New Roman" w:hint="default"/>
        </w:rPr>
        <w:t>.25</w:t>
      </w:r>
      <w:r>
        <w:rPr/>
        <w:t>万元，同比上升</w:t>
      </w:r>
      <w:r>
        <w:rPr>
          <w:rFonts w:ascii="宋体" w:hAnsi="宋体" w:cs="宋体" w:eastAsia="宋体" w:hint="default"/>
        </w:rPr>
        <w:t>133.98%</w:t>
      </w:r>
      <w:r>
        <w:rPr/>
        <w:t>，实现净 利润</w:t>
      </w:r>
      <w:r>
        <w:rPr>
          <w:rFonts w:ascii="宋体" w:hAnsi="宋体" w:cs="宋体" w:eastAsia="宋体" w:hint="default"/>
        </w:rPr>
        <w:t>692</w:t>
      </w:r>
      <w:r>
        <w:rPr>
          <w:rFonts w:ascii="Times New Roman" w:hAnsi="Times New Roman" w:cs="Times New Roman" w:eastAsia="Times New Roman" w:hint="default"/>
        </w:rPr>
        <w:t>.</w:t>
      </w:r>
      <w:r>
        <w:rPr>
          <w:rFonts w:ascii="宋体" w:hAnsi="宋体" w:cs="宋体" w:eastAsia="宋体" w:hint="default"/>
        </w:rPr>
        <w:t>18</w:t>
      </w:r>
      <w:r>
        <w:rPr/>
        <w:t>万元，同比上升</w:t>
      </w:r>
      <w:r>
        <w:rPr>
          <w:rFonts w:ascii="宋体" w:hAnsi="宋体" w:cs="宋体" w:eastAsia="宋体" w:hint="default"/>
        </w:rPr>
        <w:t>132.33%</w:t>
      </w:r>
      <w:r>
        <w:rPr/>
        <w:t>。公司营业收入同比出现下将、利润总额及净利润同比出现增长主要系公司调整发展战</w:t>
      </w:r>
      <w:r>
        <w:rPr>
          <w:spacing w:val="-51"/>
        </w:rPr>
        <w:t> </w:t>
      </w:r>
      <w:r>
        <w:rPr>
          <w:spacing w:val="-51"/>
        </w:rPr>
      </w:r>
      <w:r>
        <w:rPr/>
        <w:t>略，退出玩具生产业务，转型玩具渠道经营业务，相关营业收入、各项费用大幅减少，同时理财投资收益增加所致。</w:t>
      </w:r>
    </w:p>
    <w:p>
      <w:pPr>
        <w:spacing w:after="0" w:line="300"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19,045,648.30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53,935,818.86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-64.69%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16,942,024.51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53,935,818.86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-68.59%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2,103,623.79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10,685,921.43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24,058,810.73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13,626,440.66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193,522.50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5,371,123.54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玩具渠道业务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16,942,024.51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2,103,623.79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19,045,648.30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45,295,880.10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-57.95%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8,639,938.76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单位：元</w:t>
      </w:r>
    </w:p>
    <w:p>
      <w:pPr>
        <w:spacing w:after="0" w:line="240" w:lineRule="auto"/>
        <w:jc w:val="left"/>
        <w:sectPr>
          <w:type w:val="continuous"/>
          <w:pgSz w:w="11910" w:h="16840"/>
          <w:pgMar w:top="1100" w:bottom="1200" w:left="1020" w:right="0"/>
          <w:cols w:num="2" w:equalWidth="0">
            <w:col w:w="3175" w:space="5745"/>
            <w:col w:w="197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16,942,024.51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15,565,577.71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2,103,623.79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玩具渠道业务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16,942,024.51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15,565,577.71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2,103,623.79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19,045,648.30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15,565,577.71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18.27%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-57.95%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-64.24%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4" w:right="0"/>
              <w:jc w:val="left"/>
              <w:rPr>
                <w:rFonts w:ascii="Times New Roman" w:hAnsi="Times New Roman" w:cs="Times New Roman" w:eastAsia="Times New Roman" w:hint="default"/>
                <w:sz w:val="18"/>
                <w:szCs w:val="18"/>
              </w:rPr>
            </w:pPr>
            <w:r>
              <w:rPr>
                <w:rFonts w:ascii="Times New Roman"/>
                <w:sz w:val="18"/>
              </w:rPr>
              <w:t>-14.37%</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395,481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1,268,128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-68.81%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395,481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2"/>
        <w:ind w:left="537" w:right="1118" w:hanging="424"/>
        <w:jc w:val="left"/>
      </w:pPr>
      <w:r>
        <w:rPr/>
        <w:t>√ 适用 □ 不适用 报告期内，公司玩具销售量、生产量与上年同期相比出现较大幅度下降而玩具采购量与上年同期相比出现大幅增长，</w:t>
      </w:r>
    </w:p>
    <w:p>
      <w:pPr>
        <w:pStyle w:val="BodyText"/>
        <w:spacing w:line="224" w:lineRule="exact"/>
        <w:ind w:right="0"/>
        <w:jc w:val="left"/>
      </w:pPr>
      <w:r>
        <w:rPr/>
        <w:t>主要系公司上年同期已退出玩具生产业务，本报告期主要从事玩具渠道经营业务且玩具渠道业务尚处于发展初期所致。</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15,565,577.71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51,255,366.74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-69.63%</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9,995,054.80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22,280,602.22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12,108,440.81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178,008.35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6,693,260.56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玩具渠道业务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15,565,577.71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right="0"/>
        <w:jc w:val="left"/>
      </w:pPr>
      <w:r>
        <w:rPr/>
        <w:t>说明：无。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pStyle w:val="BodyText"/>
        <w:spacing w:line="316" w:lineRule="auto" w:before="116"/>
        <w:ind w:right="1132" w:firstLine="423"/>
        <w:jc w:val="both"/>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5</w:t>
      </w:r>
      <w:r>
        <w:rPr>
          <w:spacing w:val="-2"/>
        </w:rPr>
        <w:t>日经公司第三届董事会第二十八次会议审议通过了《关于出售公司全资子公司西藏群兴文化发展有</w:t>
      </w:r>
      <w:r>
        <w:rPr/>
        <w:t> 限责任公司</w:t>
      </w:r>
      <w:r>
        <w:rPr>
          <w:spacing w:val="27"/>
        </w:rPr>
        <w:t> </w:t>
      </w:r>
      <w:r>
        <w:rPr>
          <w:rFonts w:ascii="宋体" w:hAnsi="宋体" w:cs="宋体" w:eastAsia="宋体" w:hint="default"/>
          <w:spacing w:val="-4"/>
        </w:rPr>
        <w:t>100%</w:t>
      </w:r>
      <w:r>
        <w:rPr>
          <w:spacing w:val="-4"/>
        </w:rPr>
        <w:t>股权的议案》，截止报告期末，西藏群兴不再纳入合并范围。本报告期只将转让西藏群兴前的利润表和现金</w:t>
      </w:r>
      <w:r>
        <w:rPr>
          <w:spacing w:val="-88"/>
        </w:rPr>
        <w:t> </w:t>
      </w:r>
      <w:r>
        <w:rPr>
          <w:spacing w:val="-88"/>
        </w:rPr>
      </w:r>
      <w:r>
        <w:rPr/>
        <w:t>流量表纳入合并。</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16,942,024.51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88.95%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10,088,131.62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52.97%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3,708,096.44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19.47%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2,178,506.15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11.44%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897,854.40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69,435.90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16,942,024.51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88.95%</w:t>
            </w:r>
          </w:p>
        </w:tc>
      </w:tr>
    </w:tbl>
    <w:p>
      <w:pPr>
        <w:pStyle w:val="BodyText"/>
        <w:spacing w:line="240" w:lineRule="auto" w:before="51"/>
        <w:ind w:right="0"/>
        <w:jc w:val="left"/>
      </w:pPr>
      <w:r>
        <w:rPr/>
        <w:t>主要客户其他情况说明</w:t>
      </w:r>
    </w:p>
    <w:p>
      <w:pPr>
        <w:pStyle w:val="BodyText"/>
        <w:spacing w:line="360" w:lineRule="auto" w:before="116"/>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15,464,150.02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9,827,819.62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63.14%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2,856,219.59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1,318,293.22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854,888.90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606,928.69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15,464,150.02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99.35%</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5"/>
        <w:gridCol w:w="1660"/>
        <w:gridCol w:w="1450"/>
        <w:gridCol w:w="1380"/>
        <w:gridCol w:w="3804"/>
      </w:tblGrid>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521,139.27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913,252.79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-42.94%</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主要系渠道经营业务处于起步阶段，严格控制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各项费用所致</w:t>
            </w:r>
          </w:p>
        </w:tc>
      </w:tr>
      <w:tr>
        <w:trPr>
          <w:trHeight w:val="71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14,651,471.73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25,279,647.95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-42.04%</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9"/>
              <w:jc w:val="left"/>
              <w:rPr>
                <w:rFonts w:ascii="宋体" w:hAnsi="宋体" w:cs="宋体" w:eastAsia="宋体" w:hint="default"/>
                <w:sz w:val="18"/>
                <w:szCs w:val="18"/>
              </w:rPr>
            </w:pPr>
            <w:r>
              <w:rPr>
                <w:rFonts w:ascii="宋体" w:hAnsi="宋体" w:cs="宋体" w:eastAsia="宋体" w:hint="default"/>
                <w:sz w:val="18"/>
                <w:szCs w:val="18"/>
              </w:rPr>
              <w:t>主要系管理人员工资福利和折旧摊销等费用 较上年同期大幅减少所致</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-286,413.45</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-940,085.88</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-69.53%</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9"/>
              <w:jc w:val="left"/>
              <w:rPr>
                <w:rFonts w:ascii="宋体" w:hAnsi="宋体" w:cs="宋体" w:eastAsia="宋体" w:hint="default"/>
                <w:sz w:val="18"/>
                <w:szCs w:val="18"/>
              </w:rPr>
            </w:pPr>
            <w:r>
              <w:rPr>
                <w:rFonts w:ascii="宋体" w:hAnsi="宋体" w:cs="宋体" w:eastAsia="宋体" w:hint="default"/>
                <w:sz w:val="18"/>
                <w:szCs w:val="18"/>
              </w:rPr>
              <w:t>主要系本期将银行存款用于购买理财产品导 致银行存款利息收入较上年同期下降所致</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55,180,606.62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87,618,619.12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36,288,494.55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40,675,260.38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18,892,112.07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46,943,358.74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2,692,743,136.51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6,093,054,406.55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2,760,150,996.91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6,159,899,356.20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-55.19%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-67,407,860.40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-66,844,949.65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-48,504,464.47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-19,918,287.62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143.52%</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537" w:right="0"/>
        <w:jc w:val="left"/>
      </w:pPr>
      <w:r>
        <w:rPr/>
        <w:t>（</w:t>
      </w:r>
      <w:r>
        <w:rPr>
          <w:rFonts w:ascii="宋体" w:hAnsi="宋体" w:cs="宋体" w:eastAsia="宋体" w:hint="default"/>
        </w:rPr>
        <w:t>1</w:t>
      </w:r>
      <w:r>
        <w:rPr/>
        <w:t>）报告期内，经营活动现金流入量大幅减少的主要原因系货款回收随销售额下降而减少所致。</w:t>
      </w:r>
    </w:p>
    <w:p>
      <w:pPr>
        <w:pStyle w:val="BodyText"/>
        <w:spacing w:line="240" w:lineRule="auto" w:before="76"/>
        <w:ind w:left="537" w:right="0"/>
        <w:jc w:val="left"/>
      </w:pPr>
      <w:r>
        <w:rPr/>
        <w:t>（</w:t>
      </w:r>
      <w:r>
        <w:rPr>
          <w:rFonts w:ascii="宋体" w:hAnsi="宋体" w:cs="宋体" w:eastAsia="宋体" w:hint="default"/>
        </w:rPr>
        <w:t>2</w:t>
      </w:r>
      <w:r>
        <w:rPr/>
        <w:t>）报告期内，经营活动产生的现金流量净额大幅减少的主要原因系货款回收随销售额下降而减少所致。</w:t>
      </w:r>
    </w:p>
    <w:p>
      <w:pPr>
        <w:pStyle w:val="BodyText"/>
        <w:spacing w:line="240" w:lineRule="auto" w:before="76"/>
        <w:ind w:left="537" w:right="0"/>
        <w:jc w:val="left"/>
      </w:pPr>
      <w:r>
        <w:rPr/>
        <w:t>（</w:t>
      </w:r>
      <w:r>
        <w:rPr>
          <w:rFonts w:ascii="宋体" w:hAnsi="宋体" w:cs="宋体" w:eastAsia="宋体" w:hint="default"/>
        </w:rPr>
        <w:t>3</w:t>
      </w:r>
      <w:r>
        <w:rPr/>
        <w:t>）报告期内，投资活动现金流入量大幅减少的主要原因系本期出售国债逆回购比去年同期下降所致。</w:t>
      </w:r>
    </w:p>
    <w:p>
      <w:pPr>
        <w:pStyle w:val="BodyText"/>
        <w:spacing w:line="360" w:lineRule="auto" w:before="76"/>
        <w:ind w:right="2139" w:firstLine="423"/>
        <w:jc w:val="left"/>
      </w:pPr>
      <w:r>
        <w:rPr/>
        <w:t>（</w:t>
      </w:r>
      <w:r>
        <w:rPr>
          <w:rFonts w:ascii="宋体" w:hAnsi="宋体" w:cs="宋体" w:eastAsia="宋体" w:hint="default"/>
        </w:rPr>
        <w:t>4</w:t>
      </w:r>
      <w:r>
        <w:rPr/>
        <w:t>）报告期内，投资活动现金流出量大幅减少的主要原因系本期购买国债逆回购比去年同期下降所致。 报告期内公司经营活动产生的现金净流量与本年度净利润存在重大差异的原因说明</w:t>
      </w:r>
    </w:p>
    <w:p>
      <w:pPr>
        <w:pStyle w:val="BodyText"/>
        <w:spacing w:line="357" w:lineRule="auto" w:before="27"/>
        <w:ind w:left="537" w:right="1118" w:hanging="424"/>
        <w:jc w:val="left"/>
      </w:pPr>
      <w:r>
        <w:rPr/>
        <w:t>√ 适用 □ 不适用 报告期内公司经营活动产生的现金净流量与本年度净利润存在重大差异的原因主要系本年度经营活动现金流入中主要</w:t>
      </w:r>
    </w:p>
    <w:p>
      <w:pPr>
        <w:pStyle w:val="BodyText"/>
        <w:spacing w:line="224" w:lineRule="exact"/>
        <w:ind w:right="0"/>
        <w:jc w:val="left"/>
      </w:pPr>
      <w:r>
        <w:rPr/>
        <w:t>部分为上期销售形成的应收账款在本年度收回但并不构成本年度的利润所致。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65"/>
        <w:gridCol w:w="1320"/>
        <w:gridCol w:w="1470"/>
        <w:gridCol w:w="3110"/>
        <w:gridCol w:w="2005"/>
      </w:tblGrid>
      <w:tr>
        <w:trPr>
          <w:trHeight w:val="714"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9" w:right="189" w:hanging="450"/>
              <w:jc w:val="left"/>
              <w:rPr>
                <w:rFonts w:ascii="宋体" w:hAnsi="宋体" w:cs="宋体" w:eastAsia="宋体" w:hint="default"/>
                <w:sz w:val="18"/>
                <w:szCs w:val="18"/>
              </w:rPr>
            </w:pPr>
            <w:r>
              <w:rPr>
                <w:rFonts w:ascii="宋体" w:hAnsi="宋体" w:cs="宋体" w:eastAsia="宋体" w:hint="default"/>
                <w:sz w:val="18"/>
                <w:szCs w:val="18"/>
              </w:rPr>
              <w:t>占利润总额比 例</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15,515,346.52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224.13%</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4"/>
              <w:jc w:val="both"/>
              <w:rPr>
                <w:rFonts w:ascii="宋体" w:hAnsi="宋体" w:cs="宋体" w:eastAsia="宋体" w:hint="default"/>
                <w:sz w:val="18"/>
                <w:szCs w:val="18"/>
              </w:rPr>
            </w:pPr>
            <w:r>
              <w:rPr>
                <w:rFonts w:ascii="宋体" w:hAnsi="宋体" w:cs="宋体" w:eastAsia="宋体" w:hint="default"/>
                <w:sz w:val="18"/>
                <w:szCs w:val="18"/>
              </w:rPr>
              <w:t>主要系按权益法确认联营企业粤科租 赁的收益及购买理财产品和国债逆回 购的收益所致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70"/>
              <w:jc w:val="left"/>
              <w:rPr>
                <w:rFonts w:ascii="宋体" w:hAnsi="宋体" w:cs="宋体" w:eastAsia="宋体" w:hint="default"/>
                <w:sz w:val="18"/>
                <w:szCs w:val="18"/>
              </w:rPr>
            </w:pPr>
            <w:r>
              <w:rPr>
                <w:rFonts w:ascii="宋体" w:hAnsi="宋体" w:cs="宋体" w:eastAsia="宋体" w:hint="default"/>
                <w:sz w:val="18"/>
                <w:szCs w:val="18"/>
              </w:rPr>
              <w:t>对粤科租赁的股权投 资收益具有可持续性</w:t>
            </w:r>
          </w:p>
        </w:tc>
      </w:tr>
      <w:tr>
        <w:trPr>
          <w:trHeight w:val="714"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1,587,311.73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22.93%</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主要系出售证券的公允价值转回及投 资性房地产的公允价值变动所致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2"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-2,270,615.99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-32.80%</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主要系本报告期收回应收账款所致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51,530.91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0.74%</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主要系本报告期结转以前年度应付账 款尾数所致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442,800.00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主要系提前解除北京办公室房屋租赁 合同，支付违约金所致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2,277,652.79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32.90%</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主要系本报告期出售部分房产及车辆 所致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506"/>
        <w:gridCol w:w="1090"/>
        <w:gridCol w:w="1451"/>
        <w:gridCol w:w="1140"/>
        <w:gridCol w:w="960"/>
        <w:gridCol w:w="2054"/>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5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9" w:right="17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5" w:right="11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60" w:type="dxa"/>
            <w:vMerge/>
            <w:tcBorders>
              <w:left w:val="single" w:sz="4" w:space="0" w:color="000000"/>
              <w:bottom w:val="single" w:sz="4" w:space="0" w:color="000000"/>
              <w:right w:val="single" w:sz="4" w:space="0" w:color="000000"/>
            </w:tcBorders>
            <w:shd w:val="clear" w:color="auto" w:fill="D2D2D2"/>
          </w:tcPr>
          <w:p>
            <w:pPr/>
          </w:p>
        </w:tc>
        <w:tc>
          <w:tcPr>
            <w:tcW w:w="205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131,453,466.03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29,115,412.74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390,308,587.87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43.01%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336,598,281.14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18.48%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160,804,326.27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17.82%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506"/>
        <w:gridCol w:w="1090"/>
        <w:gridCol w:w="1451"/>
        <w:gridCol w:w="1140"/>
        <w:gridCol w:w="960"/>
        <w:gridCol w:w="2054"/>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190,636.27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3,599,560.31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23,932,647.20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41,523,639.24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67,832,907.81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224,580,395.31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24.75%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141,525,093.72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95"/>
        <w:gridCol w:w="1420"/>
        <w:gridCol w:w="1341"/>
        <w:gridCol w:w="1080"/>
        <w:gridCol w:w="836"/>
        <w:gridCol w:w="904"/>
        <w:gridCol w:w="1230"/>
        <w:gridCol w:w="1366"/>
      </w:tblGrid>
      <w:tr>
        <w:trPr>
          <w:trHeight w:val="1338"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12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5" w:right="173"/>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4" w:right="140"/>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6" w:right="175"/>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158"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176"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w:t>
            </w:r>
            <w:r>
              <w:rPr>
                <w:rFonts w:ascii="宋体" w:hAnsi="宋体" w:cs="宋体" w:eastAsia="宋体" w:hint="default"/>
                <w:spacing w:val="-12"/>
                <w:sz w:val="18"/>
                <w:szCs w:val="18"/>
              </w:rPr>
              <w:t>的金融资产（不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含衍生金融资 产）</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6,675,575.00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1,427,905.00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3,902,323.25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6,675,575.00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1,427,905.00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3,902,323.25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336,598,281.14</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159,406.73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280,837.91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390,308,587.87</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343,273,856.14</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1,587,311.73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280,837.91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3,902,323.25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390,308,587.87</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10"/>
        <w:rPr>
          <w:rFonts w:ascii="宋体" w:hAnsi="宋体" w:cs="宋体" w:eastAsia="宋体" w:hint="default"/>
          <w:sz w:val="26"/>
          <w:szCs w:val="26"/>
        </w:rPr>
      </w:pPr>
    </w:p>
    <w:p>
      <w:pPr>
        <w:pStyle w:val="Heading4"/>
        <w:spacing w:line="506" w:lineRule="auto"/>
        <w:ind w:left="537" w:right="7275" w:hanging="424"/>
        <w:jc w:val="left"/>
        <w:rPr>
          <w:rFonts w:ascii="宋体" w:hAnsi="宋体" w:cs="宋体" w:eastAsia="宋体" w:hint="default"/>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w w:val="99"/>
        </w:rPr>
        <w:t> </w:t>
      </w:r>
      <w:r>
        <w:rPr>
          <w:rFonts w:ascii="宋体" w:hAnsi="宋体" w:cs="宋体" w:eastAsia="宋体" w:hint="default"/>
          <w:b w:val="0"/>
          <w:bCs w:val="0"/>
        </w:rPr>
        <w:t>无。</w:t>
      </w:r>
    </w:p>
    <w:p>
      <w:pPr>
        <w:pStyle w:val="Heading2"/>
        <w:spacing w:line="240" w:lineRule="auto" w:before="82"/>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14"/>
        <w:gridCol w:w="1400"/>
        <w:gridCol w:w="1256"/>
        <w:gridCol w:w="1163"/>
        <w:gridCol w:w="1020"/>
        <w:gridCol w:w="1241"/>
        <w:gridCol w:w="1370"/>
        <w:gridCol w:w="650"/>
        <w:gridCol w:w="754"/>
      </w:tblGrid>
      <w:tr>
        <w:trPr>
          <w:trHeight w:val="1026" w:hRule="exact"/>
        </w:trPr>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1" w:right="171"/>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5"/>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3" w:right="17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5" w:right="143"/>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4" w:right="164"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7"/>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0" w:right="138"/>
              <w:jc w:val="left"/>
              <w:rPr>
                <w:rFonts w:ascii="宋体" w:hAnsi="宋体" w:cs="宋体" w:eastAsia="宋体" w:hint="default"/>
                <w:sz w:val="18"/>
                <w:szCs w:val="18"/>
              </w:rPr>
            </w:pPr>
            <w:r>
              <w:rPr>
                <w:rFonts w:ascii="宋体" w:hAnsi="宋体" w:cs="宋体" w:eastAsia="宋体" w:hint="default"/>
                <w:sz w:val="18"/>
                <w:szCs w:val="18"/>
              </w:rPr>
              <w:t>期末 金额</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2" w:right="19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8,103,480.00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1,427,905.00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3,902,323.25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-4,201,156.75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8,103,480.00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1,427,905.00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3,902,323.25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-4,201,156.75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公司报告期无募集资金使用情况。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6"/>
        <w:gridCol w:w="683"/>
        <w:gridCol w:w="683"/>
        <w:gridCol w:w="563"/>
        <w:gridCol w:w="804"/>
        <w:gridCol w:w="683"/>
        <w:gridCol w:w="683"/>
        <w:gridCol w:w="683"/>
        <w:gridCol w:w="683"/>
        <w:gridCol w:w="683"/>
        <w:gridCol w:w="684"/>
        <w:gridCol w:w="683"/>
        <w:gridCol w:w="683"/>
        <w:gridCol w:w="683"/>
      </w:tblGrid>
      <w:tr>
        <w:trPr>
          <w:trHeight w:val="2898"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7" w:right="156"/>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5" w:right="155"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5" w:right="185"/>
              <w:jc w:val="both"/>
              <w:rPr>
                <w:rFonts w:ascii="宋体" w:hAnsi="宋体" w:cs="宋体" w:eastAsia="宋体" w:hint="default"/>
                <w:sz w:val="18"/>
                <w:szCs w:val="18"/>
              </w:rPr>
            </w:pPr>
            <w:r>
              <w:rPr>
                <w:rFonts w:ascii="宋体" w:hAnsi="宋体" w:cs="宋体" w:eastAsia="宋体" w:hint="default"/>
                <w:sz w:val="18"/>
                <w:szCs w:val="18"/>
              </w:rPr>
              <w:t>交 易 价 格</w:t>
            </w:r>
          </w:p>
          <w:p>
            <w:pPr>
              <w:pStyle w:val="TableParagraph"/>
              <w:spacing w:line="319" w:lineRule="auto" w:before="19"/>
              <w:ind w:left="103" w:right="89" w:firstLine="82"/>
              <w:jc w:val="both"/>
              <w:rPr>
                <w:rFonts w:ascii="宋体" w:hAnsi="宋体" w:cs="宋体" w:eastAsia="宋体" w:hint="default"/>
                <w:sz w:val="18"/>
                <w:szCs w:val="18"/>
              </w:rPr>
            </w:pPr>
            <w:r>
              <w:rPr>
                <w:rFonts w:ascii="宋体" w:hAnsi="宋体" w:cs="宋体" w:eastAsia="宋体" w:hint="default"/>
                <w:sz w:val="18"/>
                <w:szCs w:val="18"/>
              </w:rPr>
              <w:t>（ 万 元）</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6"/>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4" w:right="156"/>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55" w:right="155"/>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6" w:right="155"/>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5" w:right="15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6" w:right="155"/>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6" w:right="15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29" w:hanging="75"/>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5"/>
                <w:sz w:val="18"/>
                <w:szCs w:val="18"/>
              </w:rPr>
              <w:t>施，如</w:t>
            </w:r>
            <w:r>
              <w:rPr>
                <w:rFonts w:ascii="宋体" w:hAnsi="宋体" w:cs="宋体" w:eastAsia="宋体" w:hint="default"/>
                <w:sz w:val="18"/>
                <w:szCs w:val="18"/>
              </w:rPr>
              <w:t> 未按 计划 实施， 应当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6" w:right="15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155"/>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86"/>
        <w:gridCol w:w="683"/>
        <w:gridCol w:w="683"/>
        <w:gridCol w:w="563"/>
        <w:gridCol w:w="804"/>
        <w:gridCol w:w="683"/>
        <w:gridCol w:w="683"/>
        <w:gridCol w:w="683"/>
        <w:gridCol w:w="683"/>
        <w:gridCol w:w="683"/>
        <w:gridCol w:w="684"/>
        <w:gridCol w:w="683"/>
        <w:gridCol w:w="683"/>
        <w:gridCol w:w="683"/>
      </w:tblGrid>
      <w:tr>
        <w:trPr>
          <w:trHeight w:val="223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5" w:right="155"/>
              <w:jc w:val="both"/>
              <w:rPr>
                <w:rFonts w:ascii="宋体" w:hAnsi="宋体" w:cs="宋体" w:eastAsia="宋体" w:hint="default"/>
                <w:sz w:val="18"/>
                <w:szCs w:val="18"/>
              </w:rPr>
            </w:pPr>
            <w:r>
              <w:rPr>
                <w:rFonts w:ascii="宋体" w:hAnsi="宋体" w:cs="宋体" w:eastAsia="宋体" w:hint="default"/>
                <w:sz w:val="18"/>
                <w:szCs w:val="18"/>
              </w:rPr>
              <w:t>润总 额的 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4" w:right="156"/>
              <w:jc w:val="both"/>
              <w:rPr>
                <w:rFonts w:ascii="宋体" w:hAnsi="宋体" w:cs="宋体" w:eastAsia="宋体" w:hint="default"/>
                <w:sz w:val="18"/>
                <w:szCs w:val="18"/>
              </w:rPr>
            </w:pPr>
            <w:r>
              <w:rPr>
                <w:rFonts w:ascii="宋体" w:hAnsi="宋体" w:cs="宋体" w:eastAsia="宋体" w:hint="default"/>
                <w:sz w:val="18"/>
                <w:szCs w:val="18"/>
              </w:rPr>
              <w:t>说明 原因 及公 司已 采取 的措 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周莉 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03" w:right="148"/>
              <w:jc w:val="both"/>
              <w:rPr>
                <w:rFonts w:ascii="Times New Roman" w:hAnsi="Times New Roman" w:cs="Times New Roman" w:eastAsia="Times New Roman" w:hint="default"/>
                <w:sz w:val="18"/>
                <w:szCs w:val="18"/>
              </w:rPr>
            </w:pPr>
            <w:r>
              <w:rPr>
                <w:rFonts w:ascii="宋体" w:hAnsi="宋体" w:cs="宋体" w:eastAsia="宋体" w:hint="default"/>
                <w:sz w:val="18"/>
                <w:szCs w:val="18"/>
              </w:rPr>
              <w:t>西藏 群兴 </w:t>
            </w:r>
            <w:r>
              <w:rPr>
                <w:rFonts w:ascii="Times New Roman" w:hAnsi="Times New Roman" w:cs="Times New Roman" w:eastAsia="Times New Roman" w:hint="default"/>
                <w:sz w:val="18"/>
                <w:szCs w:val="18"/>
              </w:rPr>
              <w:t>100%</w:t>
            </w:r>
          </w:p>
          <w:p>
            <w:pPr>
              <w:pStyle w:val="TableParagraph"/>
              <w:spacing w:line="220" w:lineRule="exact"/>
              <w:ind w:left="10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-489.97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65.04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8.94%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以审 计报 告为 基础 协商 确定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0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074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4809" w:space="4110"/>
            <w:col w:w="197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73"/>
        <w:gridCol w:w="503"/>
        <w:gridCol w:w="643"/>
        <w:gridCol w:w="980"/>
        <w:gridCol w:w="1476"/>
        <w:gridCol w:w="1340"/>
        <w:gridCol w:w="1342"/>
        <w:gridCol w:w="1250"/>
        <w:gridCol w:w="1247"/>
      </w:tblGrid>
      <w:tr>
        <w:trPr>
          <w:trHeight w:val="1338" w:hRule="exact"/>
        </w:trPr>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5" w:right="155"/>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5" w:right="137"/>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群兴（香 </w:t>
            </w:r>
            <w:r>
              <w:rPr>
                <w:rFonts w:ascii="宋体" w:hAnsi="宋体" w:cs="宋体" w:eastAsia="宋体" w:hint="default"/>
                <w:spacing w:val="-9"/>
                <w:sz w:val="18"/>
                <w:szCs w:val="18"/>
              </w:rPr>
              <w:t>港）有限公</w:t>
            </w:r>
            <w:r>
              <w:rPr>
                <w:rFonts w:ascii="宋体" w:hAnsi="宋体" w:cs="宋体" w:eastAsia="宋体" w:hint="default"/>
                <w:sz w:val="18"/>
                <w:szCs w:val="18"/>
              </w:rPr>
              <w:t> 司</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231,552.63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231,552.63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-15,675.12</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-15,675.12</w:t>
            </w:r>
            <w:r>
              <w:rPr>
                <w:rFonts w:ascii="Times New Roman"/>
                <w:sz w:val="18"/>
              </w:rPr>
            </w:r>
          </w:p>
        </w:tc>
      </w:tr>
      <w:tr>
        <w:trPr>
          <w:trHeight w:val="133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38"/>
              <w:jc w:val="both"/>
              <w:rPr>
                <w:rFonts w:ascii="宋体" w:hAnsi="宋体" w:cs="宋体" w:eastAsia="宋体" w:hint="default"/>
                <w:sz w:val="18"/>
                <w:szCs w:val="18"/>
              </w:rPr>
            </w:pPr>
            <w:r>
              <w:rPr>
                <w:rFonts w:ascii="宋体" w:hAnsi="宋体" w:cs="宋体" w:eastAsia="宋体" w:hint="default"/>
                <w:sz w:val="18"/>
                <w:szCs w:val="18"/>
              </w:rPr>
              <w:t>汕头市童 乐乐玩具 有限公司</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69"/>
              <w:jc w:val="both"/>
              <w:rPr>
                <w:rFonts w:ascii="宋体" w:hAnsi="宋体" w:cs="宋体" w:eastAsia="宋体" w:hint="default"/>
                <w:sz w:val="18"/>
                <w:szCs w:val="18"/>
              </w:rPr>
            </w:pPr>
            <w:r>
              <w:rPr>
                <w:rFonts w:ascii="宋体" w:hAnsi="宋体" w:cs="宋体" w:eastAsia="宋体" w:hint="default"/>
                <w:sz w:val="18"/>
                <w:szCs w:val="18"/>
              </w:rPr>
              <w:t>玩具 生产 制造 销售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130,088,306.23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22,871,824.78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1,333,628.55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-857,350.81</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-857,350.81</w:t>
            </w:r>
            <w:r>
              <w:rPr>
                <w:rFonts w:ascii="Times New Roman"/>
                <w:sz w:val="18"/>
              </w:rPr>
            </w:r>
          </w:p>
        </w:tc>
      </w:tr>
      <w:tr>
        <w:trPr>
          <w:trHeight w:val="133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9"/>
                <w:sz w:val="18"/>
                <w:szCs w:val="18"/>
              </w:rPr>
              <w:t>歌乐宝（汕</w:t>
            </w:r>
            <w:r>
              <w:rPr>
                <w:rFonts w:ascii="宋体" w:hAnsi="宋体" w:cs="宋体" w:eastAsia="宋体" w:hint="default"/>
                <w:sz w:val="18"/>
                <w:szCs w:val="18"/>
              </w:rPr>
              <w:t> </w:t>
            </w:r>
            <w:r>
              <w:rPr>
                <w:rFonts w:ascii="宋体" w:hAnsi="宋体" w:cs="宋体" w:eastAsia="宋体" w:hint="default"/>
                <w:spacing w:val="-9"/>
                <w:sz w:val="18"/>
                <w:szCs w:val="18"/>
              </w:rPr>
              <w:t>头）网络科</w:t>
            </w:r>
            <w:r>
              <w:rPr>
                <w:rFonts w:ascii="宋体" w:hAnsi="宋体" w:cs="宋体" w:eastAsia="宋体" w:hint="default"/>
                <w:sz w:val="18"/>
                <w:szCs w:val="18"/>
              </w:rPr>
              <w:t> 技有限公 司</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169"/>
              <w:jc w:val="both"/>
              <w:rPr>
                <w:rFonts w:ascii="宋体" w:hAnsi="宋体" w:cs="宋体" w:eastAsia="宋体" w:hint="default"/>
                <w:sz w:val="18"/>
                <w:szCs w:val="18"/>
              </w:rPr>
            </w:pPr>
            <w:r>
              <w:rPr>
                <w:rFonts w:ascii="宋体" w:hAnsi="宋体" w:cs="宋体" w:eastAsia="宋体" w:hint="default"/>
                <w:sz w:val="18"/>
                <w:szCs w:val="18"/>
              </w:rPr>
              <w:t>商品 渠道 销售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1,188,011.55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1,002,070.93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2,881.93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2,191.62</w:t>
            </w:r>
          </w:p>
        </w:tc>
      </w:tr>
      <w:tr>
        <w:trPr>
          <w:trHeight w:val="133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8"/>
              <w:jc w:val="both"/>
              <w:rPr>
                <w:rFonts w:ascii="宋体" w:hAnsi="宋体" w:cs="宋体" w:eastAsia="宋体" w:hint="default"/>
                <w:sz w:val="18"/>
                <w:szCs w:val="18"/>
              </w:rPr>
            </w:pPr>
            <w:r>
              <w:rPr>
                <w:rFonts w:ascii="宋体" w:hAnsi="宋体" w:cs="宋体" w:eastAsia="宋体" w:hint="default"/>
                <w:sz w:val="18"/>
                <w:szCs w:val="18"/>
              </w:rPr>
              <w:t>西藏蓝道 智能交通 科技有限 责任公司</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both"/>
              <w:rPr>
                <w:rFonts w:ascii="宋体" w:hAnsi="宋体" w:cs="宋体" w:eastAsia="宋体" w:hint="default"/>
                <w:sz w:val="18"/>
                <w:szCs w:val="18"/>
              </w:rPr>
            </w:pPr>
            <w:r>
              <w:rPr>
                <w:rFonts w:ascii="宋体" w:hAnsi="宋体" w:cs="宋体" w:eastAsia="宋体" w:hint="default"/>
                <w:sz w:val="18"/>
                <w:szCs w:val="18"/>
              </w:rPr>
              <w:t>子 公 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69"/>
              <w:jc w:val="left"/>
              <w:rPr>
                <w:rFonts w:ascii="宋体" w:hAnsi="宋体" w:cs="宋体" w:eastAsia="宋体" w:hint="default"/>
                <w:sz w:val="18"/>
                <w:szCs w:val="18"/>
              </w:rPr>
            </w:pPr>
            <w:r>
              <w:rPr>
                <w:rFonts w:ascii="宋体" w:hAnsi="宋体" w:cs="宋体" w:eastAsia="宋体" w:hint="default"/>
                <w:sz w:val="18"/>
                <w:szCs w:val="18"/>
              </w:rPr>
              <w:t>技术 研发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4,520.31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-23,479.69</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-18,409.55</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-18,409.55</w:t>
            </w:r>
            <w:r>
              <w:rPr>
                <w:rFonts w:ascii="Times New Roman"/>
                <w:sz w:val="18"/>
              </w:rPr>
            </w:r>
          </w:p>
        </w:tc>
      </w:tr>
      <w:tr>
        <w:trPr>
          <w:trHeight w:val="133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8"/>
              <w:jc w:val="both"/>
              <w:rPr>
                <w:rFonts w:ascii="宋体" w:hAnsi="宋体" w:cs="宋体" w:eastAsia="宋体" w:hint="default"/>
                <w:sz w:val="18"/>
                <w:szCs w:val="18"/>
              </w:rPr>
            </w:pPr>
            <w:r>
              <w:rPr>
                <w:rFonts w:ascii="宋体" w:hAnsi="宋体" w:cs="宋体" w:eastAsia="宋体" w:hint="default"/>
                <w:sz w:val="18"/>
                <w:szCs w:val="18"/>
              </w:rPr>
              <w:t>广东省粤 科融资租 赁有限公 司</w:t>
            </w:r>
          </w:p>
        </w:tc>
        <w:tc>
          <w:tcPr>
            <w:tcW w:w="5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69"/>
              <w:jc w:val="left"/>
              <w:rPr>
                <w:rFonts w:ascii="宋体" w:hAnsi="宋体" w:cs="宋体" w:eastAsia="宋体" w:hint="default"/>
                <w:sz w:val="18"/>
                <w:szCs w:val="18"/>
              </w:rPr>
            </w:pPr>
            <w:r>
              <w:rPr>
                <w:rFonts w:ascii="宋体" w:hAnsi="宋体" w:cs="宋体" w:eastAsia="宋体" w:hint="default"/>
                <w:sz w:val="18"/>
                <w:szCs w:val="18"/>
              </w:rPr>
              <w:t>融资 租赁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62,000.00</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4,887,749,782.64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995,471,045.43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307,855,541.77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58,978,629.88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44,496,117.79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报告期内取得和处置子公司的情况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西藏群兴文化发展有限责任公司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650,442.97</w:t>
            </w:r>
          </w:p>
        </w:tc>
      </w:tr>
    </w:tbl>
    <w:p>
      <w:pPr>
        <w:pStyle w:val="BodyText"/>
        <w:spacing w:line="240" w:lineRule="auto" w:before="10"/>
        <w:ind w:right="0"/>
        <w:jc w:val="left"/>
      </w:pPr>
      <w:r>
        <w:rPr/>
        <w:t>主要控股参股公司情况说明：无。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Heading3"/>
        <w:spacing w:line="240" w:lineRule="auto"/>
        <w:ind w:right="0"/>
        <w:jc w:val="left"/>
        <w:rPr>
          <w:b w:val="0"/>
          <w:bCs w:val="0"/>
        </w:rPr>
      </w:pPr>
      <w:r>
        <w:rPr/>
        <w:t>（一）未来整体发展规划</w:t>
      </w:r>
      <w:r>
        <w:rPr>
          <w:b w:val="0"/>
          <w:bCs w:val="0"/>
        </w:rPr>
      </w:r>
    </w:p>
    <w:p>
      <w:pPr>
        <w:pStyle w:val="BodyText"/>
        <w:spacing w:line="316" w:lineRule="auto" w:before="57"/>
        <w:ind w:right="1133" w:firstLine="423"/>
        <w:jc w:val="both"/>
      </w:pPr>
      <w:r>
        <w:rPr>
          <w:rFonts w:ascii="宋体" w:hAnsi="宋体" w:cs="宋体" w:eastAsia="宋体" w:hint="default"/>
        </w:rPr>
        <w:t>2018</w:t>
      </w:r>
      <w:r>
        <w:rPr/>
        <w:t>年公司逐步优化股东结构和治理结构，引入了新的控股股东，为公司战略转型奠定了基础。面对不断变化的市场 </w:t>
      </w:r>
      <w:r>
        <w:rPr>
          <w:spacing w:val="-2"/>
        </w:rPr>
        <w:t>形势，在</w:t>
      </w:r>
      <w:r>
        <w:rPr>
          <w:rFonts w:ascii="宋体" w:hAnsi="宋体" w:cs="宋体" w:eastAsia="宋体" w:hint="default"/>
          <w:spacing w:val="-2"/>
        </w:rPr>
        <w:t>2019</w:t>
      </w:r>
      <w:r>
        <w:rPr>
          <w:spacing w:val="-2"/>
        </w:rPr>
        <w:t>年里，公司将继续推动公司业务转型升级。坚持“内涵发展、外延扩张”的内外兼修发展模式，通过内涵发展</w:t>
      </w:r>
      <w:r>
        <w:rPr>
          <w:spacing w:val="-68"/>
        </w:rPr>
        <w:t> </w:t>
      </w:r>
      <w:r>
        <w:rPr>
          <w:spacing w:val="-68"/>
        </w:rPr>
      </w:r>
      <w:r>
        <w:rPr/>
        <w:t>推进玩具产业升级、通过外延式扩张拓展第二主业，确保公司持续发展，提升公司可持续盈利能力。</w:t>
      </w:r>
    </w:p>
    <w:p>
      <w:pPr>
        <w:pStyle w:val="BodyText"/>
        <w:spacing w:line="316" w:lineRule="auto" w:before="19"/>
        <w:ind w:right="1130" w:firstLine="423"/>
        <w:jc w:val="both"/>
      </w:pPr>
      <w:r>
        <w:rPr>
          <w:rFonts w:ascii="宋体" w:hAnsi="宋体" w:cs="宋体" w:eastAsia="宋体" w:hint="default"/>
        </w:rPr>
        <w:t>2019</w:t>
      </w:r>
      <w:r>
        <w:rPr/>
        <w:t>年公司将积极响应国家科技创新号召，紧紧围绕中国科技创新产业链服务商这一定位，持续不断的推进四大科创 战略：科创桥头堡战略</w:t>
      </w:r>
      <w:r>
        <w:rPr>
          <w:rFonts w:ascii="宋体" w:hAnsi="宋体" w:cs="宋体" w:eastAsia="宋体" w:hint="default"/>
        </w:rPr>
        <w:t>+</w:t>
      </w:r>
      <w:r>
        <w:rPr/>
        <w:t>科创领航鲸战略</w:t>
      </w:r>
      <w:r>
        <w:rPr>
          <w:rFonts w:ascii="宋体" w:hAnsi="宋体" w:cs="宋体" w:eastAsia="宋体" w:hint="default"/>
        </w:rPr>
        <w:t>+</w:t>
      </w:r>
      <w:r>
        <w:rPr/>
        <w:t>科创孵化投资并购基金</w:t>
      </w:r>
      <w:r>
        <w:rPr>
          <w:rFonts w:ascii="宋体" w:hAnsi="宋体" w:cs="宋体" w:eastAsia="宋体" w:hint="default"/>
        </w:rPr>
        <w:t>+</w:t>
      </w:r>
      <w:r>
        <w:rPr/>
        <w:t>星河梦工场，最终实现公司持续发展，提升公司可持续盈</w:t>
      </w:r>
      <w:r>
        <w:rPr>
          <w:spacing w:val="-83"/>
        </w:rPr>
        <w:t> </w:t>
      </w:r>
      <w:r>
        <w:rPr>
          <w:spacing w:val="-83"/>
        </w:rPr>
      </w:r>
      <w:r>
        <w:rPr/>
        <w:t>利能力。</w:t>
      </w:r>
    </w:p>
    <w:p>
      <w:pPr>
        <w:pStyle w:val="Heading3"/>
        <w:spacing w:line="273" w:lineRule="exact"/>
        <w:ind w:right="0"/>
        <w:jc w:val="left"/>
        <w:rPr>
          <w:b w:val="0"/>
          <w:bCs w:val="0"/>
        </w:rPr>
      </w:pPr>
      <w:r>
        <w:rPr/>
        <w:t>（二）经营计划</w:t>
      </w:r>
      <w:r>
        <w:rPr>
          <w:b w:val="0"/>
          <w:bCs w:val="0"/>
        </w:rPr>
      </w:r>
    </w:p>
    <w:p>
      <w:pPr>
        <w:pStyle w:val="BodyText"/>
        <w:spacing w:line="319" w:lineRule="auto" w:before="57"/>
        <w:ind w:right="1129" w:firstLine="423"/>
        <w:jc w:val="both"/>
      </w:pPr>
      <w:r>
        <w:rPr/>
        <w:t>公司将在下面四个方面进行战略升级，改善企业经营业绩，为</w:t>
      </w:r>
      <w:r>
        <w:rPr>
          <w:rFonts w:ascii="宋体" w:hAnsi="宋体" w:cs="宋体" w:eastAsia="宋体" w:hint="default"/>
        </w:rPr>
        <w:t>2019</w:t>
      </w:r>
      <w:r>
        <w:rPr/>
        <w:t>年做好业务铺垫，我们为此战略命名为“科创</w:t>
      </w:r>
      <w:r>
        <w:rPr>
          <w:rFonts w:ascii="宋体" w:hAnsi="宋体" w:cs="宋体" w:eastAsia="宋体" w:hint="default"/>
        </w:rPr>
        <w:t>1492 </w:t>
      </w:r>
      <w:r>
        <w:rPr>
          <w:spacing w:val="-2"/>
        </w:rPr>
        <w:t>战略”：带着中国科创企业出海</w:t>
      </w:r>
      <w:r>
        <w:rPr>
          <w:rFonts w:ascii="宋体" w:hAnsi="宋体" w:cs="宋体" w:eastAsia="宋体" w:hint="default"/>
          <w:spacing w:val="-2"/>
        </w:rPr>
        <w:t>14</w:t>
      </w:r>
      <w:r>
        <w:rPr>
          <w:spacing w:val="-2"/>
        </w:rPr>
        <w:t>个国家地区去探索新大陆，将中国科创企业的产品及服务输出到海外去；吸引全球技术创</w:t>
      </w:r>
      <w:r>
        <w:rPr>
          <w:spacing w:val="-63"/>
        </w:rPr>
        <w:t> </w:t>
      </w:r>
      <w:r>
        <w:rPr>
          <w:spacing w:val="-63"/>
        </w:rPr>
      </w:r>
      <w:r>
        <w:rPr/>
        <w:t>新比较领先的</w:t>
      </w:r>
      <w:r>
        <w:rPr>
          <w:rFonts w:ascii="宋体" w:hAnsi="宋体" w:cs="宋体" w:eastAsia="宋体" w:hint="default"/>
        </w:rPr>
        <w:t>9</w:t>
      </w:r>
      <w:r>
        <w:rPr/>
        <w:t>个国家的科技创新初创公司进入中国市场发现更大的市场，利用中国广阔的市场需求加速他们的发展；而桥</w:t>
      </w:r>
      <w:r>
        <w:rPr>
          <w:spacing w:val="-83"/>
        </w:rPr>
        <w:t> </w:t>
      </w:r>
      <w:r>
        <w:rPr>
          <w:spacing w:val="-83"/>
        </w:rPr>
      </w:r>
      <w:r>
        <w:rPr/>
        <w:t>头堡和领航鲸</w:t>
      </w:r>
      <w:r>
        <w:rPr>
          <w:rFonts w:ascii="宋体" w:hAnsi="宋体" w:cs="宋体" w:eastAsia="宋体" w:hint="default"/>
        </w:rPr>
        <w:t>2</w:t>
      </w:r>
      <w:r>
        <w:rPr/>
        <w:t>个战略支撑点作为实施这些计划的载体。</w:t>
      </w:r>
    </w:p>
    <w:p>
      <w:pPr>
        <w:spacing w:line="316" w:lineRule="auto" w:before="17"/>
        <w:ind w:left="537"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、科创桥头堡战略</w:t>
      </w:r>
      <w:r>
        <w:rPr>
          <w:rFonts w:ascii="宋体" w:hAnsi="宋体" w:cs="宋体" w:eastAsia="宋体" w:hint="default"/>
          <w:b/>
          <w:bCs/>
          <w:sz w:val="18"/>
          <w:szCs w:val="18"/>
        </w:rPr>
        <w:t>---</w:t>
      </w:r>
      <w:r>
        <w:rPr>
          <w:rFonts w:ascii="宋体" w:hAnsi="宋体" w:cs="宋体" w:eastAsia="宋体" w:hint="default"/>
          <w:b/>
          <w:bCs/>
          <w:sz w:val="18"/>
          <w:szCs w:val="18"/>
        </w:rPr>
        <w:t>侧重于服务全球科创企业来中国孵化及市场加速</w:t>
      </w:r>
      <w:r>
        <w:rPr>
          <w:rFonts w:ascii="宋体" w:hAnsi="宋体" w:cs="宋体" w:eastAsia="宋体" w:hint="default"/>
          <w:b/>
          <w:bCs/>
          <w:w w:val="99"/>
          <w:sz w:val="18"/>
          <w:szCs w:val="18"/>
        </w:rPr>
        <w:t> </w:t>
      </w:r>
      <w:r>
        <w:rPr>
          <w:rFonts w:ascii="宋体" w:hAnsi="宋体" w:cs="宋体" w:eastAsia="宋体" w:hint="default"/>
          <w:sz w:val="18"/>
          <w:szCs w:val="18"/>
        </w:rPr>
        <w:t>公司将以香港子公司桥头堡科技创新服务集团有限公司为业务运营主体，在全球科技创新领先的国家，找到有核心技</w:t>
      </w:r>
    </w:p>
    <w:p>
      <w:pPr>
        <w:pStyle w:val="BodyText"/>
        <w:spacing w:line="316" w:lineRule="auto" w:before="19"/>
        <w:ind w:left="537" w:right="0" w:hanging="424"/>
        <w:jc w:val="left"/>
      </w:pPr>
      <w:r>
        <w:rPr/>
        <w:t>术及科技创新能力的初创企业，带回到中国进行产业孵化及市场加速，促进国内外科技创新技术领域的互通与融合。 公司紧紧围绕中国科技创新全产业链服务商的定位，未来主要在美国硅谷、爱尔兰、以色列、德国、新加坡、日本、</w:t>
      </w:r>
    </w:p>
    <w:p>
      <w:pPr>
        <w:pStyle w:val="BodyText"/>
        <w:spacing w:line="316" w:lineRule="auto" w:before="19"/>
        <w:ind w:left="537" w:right="2589" w:hanging="424"/>
        <w:jc w:val="left"/>
      </w:pPr>
      <w:r>
        <w:rPr/>
        <w:t>比利时、英国、印度</w:t>
      </w:r>
      <w:r>
        <w:rPr>
          <w:rFonts w:ascii="宋体" w:hAnsi="宋体" w:cs="宋体" w:eastAsia="宋体" w:hint="default"/>
        </w:rPr>
        <w:t>9</w:t>
      </w:r>
      <w:r>
        <w:rPr/>
        <w:t>个国家推进“科技创新桥头堡”战略落地。 全球科创企业、中国产业孵化、中国市场加速的战略三步走，对公司未来业绩会有比较强的支撑。</w:t>
      </w:r>
    </w:p>
    <w:p>
      <w:pPr>
        <w:spacing w:line="240" w:lineRule="auto" w:before="4"/>
        <w:rPr>
          <w:rFonts w:ascii="宋体" w:hAnsi="宋体" w:cs="宋体" w:eastAsia="宋体" w:hint="default"/>
          <w:sz w:val="25"/>
          <w:szCs w:val="25"/>
        </w:rPr>
      </w:pPr>
    </w:p>
    <w:p>
      <w:pPr>
        <w:spacing w:line="316" w:lineRule="auto" w:before="0"/>
        <w:ind w:left="537"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、科创领航鲸战略</w:t>
      </w:r>
      <w:r>
        <w:rPr>
          <w:rFonts w:ascii="宋体" w:hAnsi="宋体" w:cs="宋体" w:eastAsia="宋体" w:hint="default"/>
          <w:b/>
          <w:bCs/>
          <w:sz w:val="18"/>
          <w:szCs w:val="18"/>
        </w:rPr>
        <w:t>---</w:t>
      </w:r>
      <w:r>
        <w:rPr>
          <w:rFonts w:ascii="宋体" w:hAnsi="宋体" w:cs="宋体" w:eastAsia="宋体" w:hint="default"/>
          <w:b/>
          <w:bCs/>
          <w:sz w:val="18"/>
          <w:szCs w:val="18"/>
        </w:rPr>
        <w:t>侧重于服务中国科技创新企业出海</w:t>
      </w:r>
      <w:r>
        <w:rPr>
          <w:rFonts w:ascii="宋体" w:hAnsi="宋体" w:cs="宋体" w:eastAsia="宋体" w:hint="default"/>
          <w:b/>
          <w:bCs/>
          <w:w w:val="99"/>
          <w:sz w:val="18"/>
          <w:szCs w:val="18"/>
        </w:rPr>
        <w:t> </w:t>
      </w:r>
      <w:r>
        <w:rPr>
          <w:rFonts w:ascii="宋体" w:hAnsi="宋体" w:cs="宋体" w:eastAsia="宋体" w:hint="default"/>
          <w:sz w:val="18"/>
          <w:szCs w:val="18"/>
        </w:rPr>
        <w:t>中国科技创新企业出海，势在必行，大势所趋。领航鲸战略主要是侧重服务中国科技创新企业出海，为这些科技创新</w:t>
      </w:r>
    </w:p>
    <w:p>
      <w:pPr>
        <w:pStyle w:val="BodyText"/>
        <w:spacing w:line="316" w:lineRule="auto" w:before="19"/>
        <w:ind w:left="537" w:right="0" w:hanging="424"/>
        <w:jc w:val="left"/>
      </w:pPr>
      <w:r>
        <w:rPr/>
        <w:t>企业提供出海过程中的资本服务、市场服务、品牌服务、人力服务等。 前期首先侧重于</w:t>
      </w:r>
      <w:r>
        <w:rPr>
          <w:rFonts w:ascii="宋体" w:hAnsi="宋体" w:cs="宋体" w:eastAsia="宋体" w:hint="default"/>
        </w:rPr>
        <w:t>14</w:t>
      </w:r>
      <w:r>
        <w:rPr/>
        <w:t>个国家的出海服务，东南亚的马来西亚、菲律宾、印尼、泰国、印度；中东地区土耳其、沙特、阿</w:t>
      </w:r>
    </w:p>
    <w:p>
      <w:pPr>
        <w:pStyle w:val="BodyText"/>
        <w:spacing w:line="316" w:lineRule="auto" w:before="19"/>
        <w:ind w:right="0"/>
        <w:jc w:val="left"/>
      </w:pPr>
      <w:r>
        <w:rPr>
          <w:spacing w:val="-2"/>
        </w:rPr>
        <w:t>联酋；欧洲的捷克、哈萨克斯坦、俄罗斯；非洲的埃塞俄比亚、南非、埃及；未来也不排除在这些国家找到合适的有实力的</w:t>
      </w:r>
      <w:r>
        <w:rPr>
          <w:spacing w:val="-72"/>
        </w:rPr>
        <w:t> </w:t>
      </w:r>
      <w:r>
        <w:rPr>
          <w:spacing w:val="-72"/>
        </w:rPr>
      </w:r>
      <w:r>
        <w:rPr/>
        <w:t>合作伙伴，通过合资合作设立中国科创企业出海服务的公司主体。</w:t>
      </w:r>
    </w:p>
    <w:p>
      <w:pPr>
        <w:spacing w:line="240" w:lineRule="auto" w:before="4"/>
        <w:rPr>
          <w:rFonts w:ascii="宋体" w:hAnsi="宋体" w:cs="宋体" w:eastAsia="宋体" w:hint="default"/>
          <w:sz w:val="25"/>
          <w:szCs w:val="25"/>
        </w:rPr>
      </w:pPr>
    </w:p>
    <w:p>
      <w:pPr>
        <w:spacing w:line="319" w:lineRule="auto" w:before="0"/>
        <w:ind w:left="537"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、科创孵化投资并购基金</w:t>
      </w:r>
      <w:r>
        <w:rPr>
          <w:rFonts w:ascii="宋体" w:hAnsi="宋体" w:cs="宋体" w:eastAsia="宋体" w:hint="default"/>
          <w:b/>
          <w:bCs/>
          <w:sz w:val="18"/>
          <w:szCs w:val="18"/>
        </w:rPr>
        <w:t>---</w:t>
      </w:r>
      <w:r>
        <w:rPr>
          <w:rFonts w:ascii="宋体" w:hAnsi="宋体" w:cs="宋体" w:eastAsia="宋体" w:hint="default"/>
          <w:b/>
          <w:bCs/>
          <w:sz w:val="18"/>
          <w:szCs w:val="18"/>
        </w:rPr>
        <w:t>专注于服务科创企业产业资本孵化及整合</w:t>
      </w:r>
      <w:r>
        <w:rPr>
          <w:rFonts w:ascii="宋体" w:hAnsi="宋体" w:cs="宋体" w:eastAsia="宋体" w:hint="default"/>
          <w:b/>
          <w:bCs/>
          <w:w w:val="99"/>
          <w:sz w:val="18"/>
          <w:szCs w:val="18"/>
        </w:rPr>
        <w:t> </w:t>
      </w:r>
      <w:r>
        <w:rPr>
          <w:rFonts w:ascii="宋体" w:hAnsi="宋体" w:cs="宋体" w:eastAsia="宋体" w:hint="default"/>
          <w:sz w:val="18"/>
          <w:szCs w:val="18"/>
        </w:rPr>
        <w:t>公司将积极的与社会知名的产业投资集团或国有资本进行合作设立一系列的孵化基金、投资基金、并购基金，这些基</w:t>
      </w:r>
    </w:p>
    <w:p>
      <w:pPr>
        <w:pStyle w:val="BodyText"/>
        <w:spacing w:line="316" w:lineRule="auto" w:before="17"/>
        <w:ind w:right="0"/>
        <w:jc w:val="left"/>
      </w:pPr>
      <w:r>
        <w:rPr>
          <w:spacing w:val="-2"/>
        </w:rPr>
        <w:t>金主要侧重于孵化投资并购科创企业，然后通过领航鲸战略和桥头堡战略，为这些科创企业加速，尽快实现科创板上市或者</w:t>
      </w:r>
      <w:r>
        <w:rPr>
          <w:spacing w:val="-66"/>
        </w:rPr>
        <w:t> </w:t>
      </w:r>
      <w:r>
        <w:rPr>
          <w:spacing w:val="-66"/>
        </w:rPr>
      </w:r>
      <w:r>
        <w:rPr/>
        <w:t>与上市公司重组并购等。</w:t>
      </w:r>
    </w:p>
    <w:p>
      <w:pPr>
        <w:spacing w:line="240" w:lineRule="auto" w:before="4"/>
        <w:rPr>
          <w:rFonts w:ascii="宋体" w:hAnsi="宋体" w:cs="宋体" w:eastAsia="宋体" w:hint="default"/>
          <w:sz w:val="25"/>
          <w:szCs w:val="25"/>
        </w:rPr>
      </w:pPr>
    </w:p>
    <w:p>
      <w:pPr>
        <w:pStyle w:val="Heading6"/>
        <w:spacing w:line="240" w:lineRule="auto"/>
        <w:ind w:left="537" w:right="0"/>
        <w:jc w:val="left"/>
        <w:rPr>
          <w:b w:val="0"/>
          <w:bCs w:val="0"/>
        </w:rPr>
      </w:pPr>
      <w:r>
        <w:rPr>
          <w:rFonts w:ascii="宋体" w:hAnsi="宋体" w:cs="宋体" w:eastAsia="宋体" w:hint="default"/>
        </w:rPr>
        <w:t>4</w:t>
      </w:r>
      <w:r>
        <w:rPr/>
        <w:t>、星河梦工场战略</w:t>
      </w:r>
      <w:r>
        <w:rPr>
          <w:b w:val="0"/>
          <w:bCs w:val="0"/>
        </w:rPr>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b/>
          <w:bCs/>
          <w:sz w:val="22"/>
          <w:szCs w:val="22"/>
        </w:rPr>
      </w:pPr>
    </w:p>
    <w:p>
      <w:pPr>
        <w:pStyle w:val="BodyText"/>
        <w:spacing w:line="316" w:lineRule="auto" w:before="44"/>
        <w:ind w:right="1122" w:firstLine="360"/>
        <w:jc w:val="left"/>
      </w:pPr>
      <w:r>
        <w:rPr/>
        <w:t>星河梦工场基地将基于地方政府对科创产业的支持，基于本地的人才聚集效应，构建科创企业产业孵化基地。 未来将主要基于北京、汕头、上海、杭州、深圳、成都、西安、福州、武汉</w:t>
      </w:r>
      <w:r>
        <w:rPr>
          <w:rFonts w:ascii="宋体" w:hAnsi="宋体" w:cs="宋体" w:eastAsia="宋体" w:hint="default"/>
        </w:rPr>
        <w:t>9</w:t>
      </w:r>
      <w:r>
        <w:rPr/>
        <w:t>个城市构建星河梦工场的孵化基地。侧重服务</w:t>
      </w:r>
      <w:r>
        <w:rPr>
          <w:spacing w:val="-82"/>
        </w:rPr>
        <w:t> </w:t>
      </w:r>
      <w:r>
        <w:rPr>
          <w:spacing w:val="-82"/>
        </w:rPr>
      </w:r>
      <w:r>
        <w:rPr/>
        <w:t>三类群体，</w:t>
      </w:r>
      <w:r>
        <w:rPr>
          <w:rFonts w:ascii="宋体" w:hAnsi="宋体" w:cs="宋体" w:eastAsia="宋体" w:hint="default"/>
        </w:rPr>
        <w:t>1</w:t>
      </w:r>
      <w:r>
        <w:rPr/>
        <w:t>，来中国孵化及拓展市场的海外科创公司；</w:t>
      </w:r>
      <w:r>
        <w:rPr>
          <w:rFonts w:ascii="宋体" w:hAnsi="宋体" w:cs="宋体" w:eastAsia="宋体" w:hint="default"/>
        </w:rPr>
        <w:t>2</w:t>
      </w:r>
      <w:r>
        <w:rPr/>
        <w:t>，致力于出海的科创企业；</w:t>
      </w:r>
      <w:r>
        <w:rPr>
          <w:rFonts w:ascii="宋体" w:hAnsi="宋体" w:cs="宋体" w:eastAsia="宋体" w:hint="default"/>
        </w:rPr>
        <w:t>3</w:t>
      </w:r>
      <w:r>
        <w:rPr/>
        <w:t>，公司相关联产业基金孵化或投资的</w:t>
      </w:r>
      <w:r>
        <w:rPr>
          <w:spacing w:val="-83"/>
        </w:rPr>
        <w:t> </w:t>
      </w:r>
      <w:r>
        <w:rPr>
          <w:spacing w:val="-83"/>
        </w:rPr>
      </w:r>
      <w:r>
        <w:rPr/>
        <w:t>标的公司。</w:t>
      </w:r>
    </w:p>
    <w:p>
      <w:pPr>
        <w:pStyle w:val="BodyText"/>
        <w:spacing w:line="316" w:lineRule="auto" w:before="19"/>
        <w:ind w:right="1133" w:firstLine="360"/>
        <w:jc w:val="both"/>
      </w:pPr>
      <w:r>
        <w:rPr>
          <w:spacing w:val="-2"/>
        </w:rPr>
        <w:t>尤其是随着公司在汕头地区的玩具制造业退出，公司手中有大量的办公场所及空间场所，未来利用星河梦工场战略，基</w:t>
      </w:r>
      <w:r>
        <w:rPr/>
        <w:t> </w:t>
      </w:r>
      <w:r>
        <w:rPr>
          <w:spacing w:val="-2"/>
        </w:rPr>
        <w:t>于汕头也是国家唯一的一个华侨试验特区，可以在大湾区政策的支撑下，极大的激活汕头地区的房产资源，为上市公司股东</w:t>
      </w:r>
      <w:r>
        <w:rPr>
          <w:spacing w:val="-66"/>
        </w:rPr>
        <w:t> </w:t>
      </w:r>
      <w:r>
        <w:rPr>
          <w:spacing w:val="-66"/>
        </w:rPr>
      </w:r>
      <w:r>
        <w:rPr/>
        <w:t>带来更大的经济回报。</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（三）公司所处行业格局及趋势</w:t>
      </w:r>
      <w:r>
        <w:rPr>
          <w:b w:val="0"/>
          <w:bCs w:val="0"/>
        </w:rPr>
      </w:r>
    </w:p>
    <w:p>
      <w:pPr>
        <w:pStyle w:val="BodyText"/>
        <w:spacing w:line="364" w:lineRule="auto" w:before="121"/>
        <w:ind w:right="1032" w:firstLine="360"/>
        <w:jc w:val="left"/>
      </w:pPr>
      <w:r>
        <w:rPr/>
        <w:t>世界经济整体发展放缓，国际市场需求减弱，传统产品在国际上的竞争压力进一步增大，经济活力需要通过集约发展、 </w:t>
      </w:r>
      <w:r>
        <w:rPr>
          <w:spacing w:val="-2"/>
        </w:rPr>
        <w:t>高科技含量发展、高附加值发展释放。创新创业适应了国际国内经济变革的趋势。在经济发展转型的过程中，创新创业对于</w:t>
      </w:r>
      <w:r>
        <w:rPr>
          <w:spacing w:val="-66"/>
        </w:rPr>
        <w:t> </w:t>
      </w:r>
      <w:r>
        <w:rPr>
          <w:spacing w:val="-66"/>
        </w:rPr>
      </w:r>
      <w:r>
        <w:rPr/>
        <w:t>推动经济结构调整、打造发展新引擎、增强发展新动力具有非常重要的意义。</w:t>
      </w:r>
    </w:p>
    <w:p>
      <w:pPr>
        <w:pStyle w:val="BodyText"/>
        <w:spacing w:line="367" w:lineRule="auto" w:before="69"/>
        <w:ind w:right="1131" w:firstLine="360"/>
        <w:jc w:val="both"/>
      </w:pPr>
      <w:r>
        <w:rPr/>
        <w:t>自</w:t>
      </w:r>
      <w:r>
        <w:rPr>
          <w:spacing w:val="-59"/>
        </w:rPr>
        <w:t> </w:t>
      </w:r>
      <w:r>
        <w:rPr>
          <w:rFonts w:ascii="宋体" w:hAnsi="宋体" w:cs="宋体" w:eastAsia="宋体" w:hint="default"/>
        </w:rPr>
        <w:t>2014</w:t>
      </w:r>
      <w:r>
        <w:rPr>
          <w:rFonts w:ascii="宋体" w:hAnsi="宋体" w:cs="宋体" w:eastAsia="宋体" w:hint="default"/>
          <w:spacing w:val="-25"/>
        </w:rPr>
        <w:t> </w:t>
      </w:r>
      <w:r>
        <w:rPr/>
        <w:t>年李克强总理首次公开发出“大众创业、万众创新”的号召后，国家、地方各级政府部门密集出台多份政策文 件，以支持创新创业。</w:t>
      </w:r>
    </w:p>
    <w:p>
      <w:pPr>
        <w:pStyle w:val="BodyText"/>
        <w:spacing w:line="364" w:lineRule="auto" w:before="66"/>
        <w:ind w:right="1130" w:firstLine="360"/>
        <w:jc w:val="both"/>
      </w:pPr>
      <w:r>
        <w:rPr>
          <w:rFonts w:ascii="宋体" w:hAnsi="宋体" w:cs="宋体" w:eastAsia="宋体" w:hint="default"/>
        </w:rPr>
        <w:t>2017</w:t>
      </w:r>
      <w:r>
        <w:rPr>
          <w:rFonts w:ascii="宋体" w:hAnsi="宋体" w:cs="宋体" w:eastAsia="宋体" w:hint="default"/>
          <w:spacing w:val="-35"/>
        </w:rPr>
        <w:t> </w:t>
      </w:r>
      <w:r>
        <w:rPr/>
        <w:t>年</w:t>
      </w:r>
      <w:r>
        <w:rPr>
          <w:spacing w:val="-35"/>
        </w:rPr>
        <w:t> </w:t>
      </w:r>
      <w:r>
        <w:rPr>
          <w:rFonts w:ascii="宋体" w:hAnsi="宋体" w:cs="宋体" w:eastAsia="宋体" w:hint="default"/>
        </w:rPr>
        <w:t>7</w:t>
      </w:r>
      <w:r>
        <w:rPr>
          <w:rFonts w:ascii="宋体" w:hAnsi="宋体" w:cs="宋体" w:eastAsia="宋体" w:hint="default"/>
          <w:spacing w:val="-35"/>
        </w:rPr>
        <w:t> </w:t>
      </w:r>
      <w:r>
        <w:rPr/>
        <w:t>月</w:t>
      </w:r>
      <w:r>
        <w:rPr>
          <w:spacing w:val="-35"/>
        </w:rPr>
        <w:t> </w:t>
      </w:r>
      <w:r>
        <w:rPr>
          <w:rFonts w:ascii="宋体" w:hAnsi="宋体" w:cs="宋体" w:eastAsia="宋体" w:hint="default"/>
        </w:rPr>
        <w:t>27</w:t>
      </w:r>
      <w:r>
        <w:rPr>
          <w:rFonts w:ascii="宋体" w:hAnsi="宋体" w:cs="宋体" w:eastAsia="宋体" w:hint="default"/>
          <w:spacing w:val="-35"/>
        </w:rPr>
        <w:t> </w:t>
      </w:r>
      <w:r>
        <w:rPr>
          <w:spacing w:val="-2"/>
        </w:rPr>
        <w:t>日，国务院发布了《关于强化实施创新驱动发展战略进一步推进大众创业万众创新深入发展的意见》，</w:t>
      </w:r>
      <w:r>
        <w:rPr/>
        <w:t> </w:t>
      </w:r>
      <w:r>
        <w:rPr>
          <w:spacing w:val="-2"/>
        </w:rPr>
        <w:t>进一步强调了创新创业发展战略的重要性。文件提出加强科技成果转化，保护知识产权；拓宽企业融资渠道，破解创新创业</w:t>
      </w:r>
      <w:r>
        <w:rPr>
          <w:spacing w:val="-66"/>
        </w:rPr>
        <w:t> </w:t>
      </w:r>
      <w:r>
        <w:rPr>
          <w:spacing w:val="-66"/>
        </w:rPr>
      </w:r>
      <w:r>
        <w:rPr>
          <w:spacing w:val="-2"/>
        </w:rPr>
        <w:t>企业融资难题；促进实体经济转型，实现新兴产业与传统产业协同发展；完善人才流动激励机制，充分激发人才创新创业活</w:t>
      </w:r>
      <w:r>
        <w:rPr>
          <w:spacing w:val="-66"/>
        </w:rPr>
        <w:t> </w:t>
      </w:r>
      <w:r>
        <w:rPr>
          <w:spacing w:val="-66"/>
        </w:rPr>
      </w:r>
      <w:r>
        <w:rPr/>
        <w:t>力；创新政府管理方式，推动形成政府、企业、社会良性互动的创新创业生态。</w:t>
      </w:r>
    </w:p>
    <w:p>
      <w:pPr>
        <w:pStyle w:val="BodyText"/>
        <w:spacing w:line="367" w:lineRule="auto" w:before="68"/>
        <w:ind w:right="1131" w:firstLine="360"/>
        <w:jc w:val="both"/>
      </w:pPr>
      <w:r>
        <w:rPr>
          <w:rFonts w:ascii="宋体" w:hAnsi="宋体" w:cs="宋体" w:eastAsia="宋体" w:hint="default"/>
        </w:rPr>
        <w:t>2018</w:t>
      </w:r>
      <w:r>
        <w:rPr>
          <w:rFonts w:ascii="宋体" w:hAnsi="宋体" w:cs="宋体" w:eastAsia="宋体" w:hint="default"/>
          <w:spacing w:val="-35"/>
        </w:rPr>
        <w:t> </w:t>
      </w:r>
      <w:r>
        <w:rPr/>
        <w:t>年</w:t>
      </w:r>
      <w:r>
        <w:rPr>
          <w:spacing w:val="-35"/>
        </w:rPr>
        <w:t> </w:t>
      </w:r>
      <w:r>
        <w:rPr>
          <w:rFonts w:ascii="宋体" w:hAnsi="宋体" w:cs="宋体" w:eastAsia="宋体" w:hint="default"/>
        </w:rPr>
        <w:t>9</w:t>
      </w:r>
      <w:r>
        <w:rPr>
          <w:rFonts w:ascii="宋体" w:hAnsi="宋体" w:cs="宋体" w:eastAsia="宋体" w:hint="default"/>
          <w:spacing w:val="-35"/>
        </w:rPr>
        <w:t> </w:t>
      </w:r>
      <w:r>
        <w:rPr/>
        <w:t>月</w:t>
      </w:r>
      <w:r>
        <w:rPr>
          <w:spacing w:val="-35"/>
        </w:rPr>
        <w:t> </w:t>
      </w:r>
      <w:r>
        <w:rPr>
          <w:rFonts w:ascii="宋体" w:hAnsi="宋体" w:cs="宋体" w:eastAsia="宋体" w:hint="default"/>
        </w:rPr>
        <w:t>26</w:t>
      </w:r>
      <w:r>
        <w:rPr>
          <w:rFonts w:ascii="宋体" w:hAnsi="宋体" w:cs="宋体" w:eastAsia="宋体" w:hint="default"/>
          <w:spacing w:val="-35"/>
        </w:rPr>
        <w:t> </w:t>
      </w:r>
      <w:r>
        <w:rPr>
          <w:spacing w:val="-2"/>
        </w:rPr>
        <w:t>日，国务院印发《关于推动创新创业高质量发展打造“双创”升级版的意见》，强调了未来要引导众创</w:t>
      </w:r>
      <w:r>
        <w:rPr/>
        <w:t> </w:t>
      </w:r>
      <w:r>
        <w:rPr>
          <w:spacing w:val="-2"/>
        </w:rPr>
        <w:t>空间向专业化、精细化方向升级，继续推进全国创业孵化示范基地建设，加快发展孵化机构联盟，加强与国外孵化机构对接</w:t>
      </w:r>
      <w:r>
        <w:rPr>
          <w:spacing w:val="-66"/>
        </w:rPr>
        <w:t> </w:t>
      </w:r>
      <w:r>
        <w:rPr>
          <w:spacing w:val="-66"/>
        </w:rPr>
      </w:r>
      <w:r>
        <w:rPr>
          <w:spacing w:val="-2"/>
        </w:rPr>
        <w:t>合作，吸引海外人才到国内创新创业。此意见对于进一步激发市场活力和社会创造力，推动双创企业高质量发展具有重要意</w:t>
      </w:r>
      <w:r>
        <w:rPr>
          <w:spacing w:val="-66"/>
        </w:rPr>
        <w:t> </w:t>
      </w:r>
      <w:r>
        <w:rPr>
          <w:spacing w:val="-66"/>
        </w:rPr>
      </w:r>
      <w:r>
        <w:rPr/>
        <w:t>义。</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left="537" w:right="0"/>
        <w:jc w:val="left"/>
        <w:rPr>
          <w:b w:val="0"/>
          <w:bCs w:val="0"/>
        </w:rPr>
      </w:pPr>
      <w:r>
        <w:rPr/>
        <w:t>（四）公司面临的风险及应对措施</w:t>
      </w:r>
      <w:r>
        <w:rPr>
          <w:b w:val="0"/>
          <w:bCs w:val="0"/>
        </w:rPr>
      </w:r>
    </w:p>
    <w:p>
      <w:pPr>
        <w:pStyle w:val="BodyText"/>
        <w:spacing w:line="405" w:lineRule="auto" w:before="121"/>
        <w:ind w:left="474" w:right="0"/>
        <w:jc w:val="left"/>
      </w:pPr>
      <w:r>
        <w:rPr>
          <w:rFonts w:ascii="宋体" w:hAnsi="宋体" w:cs="宋体" w:eastAsia="宋体" w:hint="default"/>
        </w:rPr>
        <w:t>1</w:t>
      </w:r>
      <w:r>
        <w:rPr/>
        <w:t>、业务升级风险。 </w:t>
      </w:r>
      <w:r>
        <w:rPr>
          <w:spacing w:val="-2"/>
        </w:rPr>
        <w:t>公司向科技创新服务行业升级转型存在周期长、投资大、竞争强等特点，虽然公司目前已稳步退出玩具制造业务，但可</w:t>
      </w:r>
    </w:p>
    <w:p>
      <w:pPr>
        <w:pStyle w:val="BodyText"/>
        <w:spacing w:line="367" w:lineRule="auto"/>
        <w:ind w:right="1131"/>
        <w:jc w:val="both"/>
      </w:pPr>
      <w:r>
        <w:rPr>
          <w:spacing w:val="-2"/>
        </w:rPr>
        <w:t>能因市场、运营、管理等多方面的不确定因素而带来一定的挑战，升级转型最终能否成功、孵化器建设与海外经营是否达预</w:t>
      </w:r>
      <w:r>
        <w:rPr>
          <w:spacing w:val="-66"/>
        </w:rPr>
        <w:t> </w:t>
      </w:r>
      <w:r>
        <w:rPr>
          <w:spacing w:val="-66"/>
        </w:rPr>
      </w:r>
      <w:r>
        <w:rPr>
          <w:spacing w:val="-2"/>
        </w:rPr>
        <w:t>期存在重大不确定性。公司将采取分批逐步推进方式，建立健全决策审批等相关制度，严控风险，稳健谨慎投资，切实保护</w:t>
      </w:r>
      <w:r>
        <w:rPr>
          <w:spacing w:val="-66"/>
        </w:rPr>
        <w:t> </w:t>
      </w:r>
      <w:r>
        <w:rPr>
          <w:spacing w:val="-66"/>
        </w:rPr>
      </w:r>
      <w:r>
        <w:rPr/>
        <w:t>中小投资者和上市公司的利益。</w:t>
      </w:r>
    </w:p>
    <w:p>
      <w:pPr>
        <w:pStyle w:val="BodyText"/>
        <w:spacing w:line="405" w:lineRule="auto" w:before="67"/>
        <w:ind w:left="474" w:right="0"/>
        <w:jc w:val="left"/>
      </w:pPr>
      <w:r>
        <w:rPr>
          <w:rFonts w:ascii="宋体" w:hAnsi="宋体" w:cs="宋体" w:eastAsia="宋体" w:hint="default"/>
        </w:rPr>
        <w:t>2</w:t>
      </w:r>
      <w:r>
        <w:rPr/>
        <w:t>、新业务拓展风险。 </w:t>
      </w:r>
      <w:r>
        <w:rPr>
          <w:spacing w:val="-2"/>
        </w:rPr>
        <w:t>为实现公司拓宽业务、提升公司盈利能力的目标，公司持续通过外延并购重组等方式寻求业务拓展，拓展过程中可能因</w:t>
      </w:r>
    </w:p>
    <w:p>
      <w:pPr>
        <w:pStyle w:val="BodyText"/>
        <w:spacing w:line="367" w:lineRule="auto"/>
        <w:ind w:right="1131"/>
        <w:jc w:val="both"/>
      </w:pPr>
      <w:r>
        <w:rPr>
          <w:spacing w:val="-2"/>
        </w:rPr>
        <w:t>资产本身、监管规定要求等多种内外部因素导致未能顺利及时完成，公司将谨慎开展业务拓展事宜，充分根据自身诉求进行</w:t>
      </w:r>
      <w:r>
        <w:rPr>
          <w:spacing w:val="-65"/>
        </w:rPr>
        <w:t> </w:t>
      </w:r>
      <w:r>
        <w:rPr>
          <w:spacing w:val="-65"/>
        </w:rPr>
      </w:r>
      <w:r>
        <w:rPr>
          <w:spacing w:val="-2"/>
        </w:rPr>
        <w:t>新主业的筛选、甄别，对新主业的盈利能力、行业特性、所在监管要求等进行充分调研、审慎决策，确保顺利、快速、保质</w:t>
      </w:r>
      <w:r>
        <w:rPr>
          <w:spacing w:val="-68"/>
        </w:rPr>
        <w:t> </w:t>
      </w:r>
      <w:r>
        <w:rPr>
          <w:spacing w:val="-68"/>
        </w:rPr>
      </w:r>
      <w:r>
        <w:rPr/>
        <w:t>引入优质资产，实现公司新业务的拓展。</w:t>
      </w:r>
    </w:p>
    <w:p>
      <w:pPr>
        <w:pStyle w:val="BodyText"/>
        <w:spacing w:line="405" w:lineRule="auto" w:before="68"/>
        <w:ind w:left="474" w:right="0"/>
        <w:jc w:val="left"/>
      </w:pPr>
      <w:r>
        <w:rPr>
          <w:rFonts w:ascii="宋体" w:hAnsi="宋体" w:cs="宋体" w:eastAsia="宋体" w:hint="default"/>
        </w:rPr>
        <w:t>3</w:t>
      </w:r>
      <w:r>
        <w:rPr/>
        <w:t>、人才引进风险 </w:t>
      </w:r>
      <w:r>
        <w:rPr>
          <w:spacing w:val="-2"/>
        </w:rPr>
        <w:t>科技创新服务行业中，高素质的人才，特别是科技创新人才、海外业务拓展人才、投融资服务人才以及与公司业务转型</w:t>
      </w:r>
    </w:p>
    <w:p>
      <w:pPr>
        <w:pStyle w:val="BodyText"/>
        <w:spacing w:line="364" w:lineRule="auto"/>
        <w:ind w:right="1132"/>
        <w:jc w:val="both"/>
      </w:pPr>
      <w:r>
        <w:rPr>
          <w:spacing w:val="-2"/>
        </w:rPr>
        <w:t>升级相匹配管理人才的引进对公司的未来发展举足轻重，相关人才的竞争也日趋激烈。虽然公司在持续发展的过程中，已建</w:t>
      </w:r>
      <w:r>
        <w:rPr>
          <w:spacing w:val="-66"/>
        </w:rPr>
        <w:t> </w:t>
      </w:r>
      <w:r>
        <w:rPr>
          <w:spacing w:val="-66"/>
        </w:rPr>
      </w:r>
      <w:r>
        <w:rPr>
          <w:spacing w:val="-2"/>
        </w:rPr>
        <w:t>立了规范的人力资源管理体系。但是，若公司在激励机制的建立和科技创新环境的营造等机制建设方面不能随着公司的发展</w:t>
      </w:r>
      <w:r>
        <w:rPr>
          <w:spacing w:val="-64"/>
        </w:rPr>
        <w:t> </w:t>
      </w:r>
      <w:r>
        <w:rPr>
          <w:spacing w:val="-64"/>
        </w:rPr>
      </w:r>
      <w:r>
        <w:rPr>
          <w:spacing w:val="-2"/>
        </w:rPr>
        <w:t>而进一步健全和完善，将会影响到技术和管理人才积极性和创造性的发挥，造成引进人才不力，从而对公司的战略转型造成</w:t>
      </w:r>
    </w:p>
    <w:p>
      <w:pPr>
        <w:spacing w:after="0" w:line="364" w:lineRule="auto"/>
        <w:jc w:val="both"/>
        <w:sectPr>
          <w:pgSz w:w="11910" w:h="16840"/>
          <w:pgMar w:header="907" w:footer="1019" w:top="1100" w:bottom="1200" w:left="1020" w:right="0"/>
        </w:sectPr>
      </w:pPr>
    </w:p>
    <w:p>
      <w:pPr>
        <w:spacing w:line="240" w:lineRule="auto" w:before="9"/>
        <w:rPr>
          <w:rFonts w:ascii="宋体" w:hAnsi="宋体" w:cs="宋体" w:eastAsia="宋体" w:hint="default"/>
          <w:sz w:val="24"/>
          <w:szCs w:val="24"/>
        </w:rPr>
      </w:pPr>
    </w:p>
    <w:p>
      <w:pPr>
        <w:pStyle w:val="BodyText"/>
        <w:spacing w:line="405" w:lineRule="auto" w:before="44"/>
        <w:ind w:left="474" w:right="6972" w:hanging="360"/>
        <w:jc w:val="left"/>
      </w:pPr>
      <w:r>
        <w:rPr/>
        <w:t>不利影响。因此公司面临有效引进人才的风险。 </w:t>
      </w:r>
      <w:r>
        <w:rPr>
          <w:rFonts w:ascii="宋体" w:hAnsi="宋体" w:cs="宋体" w:eastAsia="宋体" w:hint="default"/>
        </w:rPr>
        <w:t>4</w:t>
      </w:r>
      <w:r>
        <w:rPr/>
        <w:t>、市场竞争风险</w:t>
      </w:r>
    </w:p>
    <w:p>
      <w:pPr>
        <w:pStyle w:val="BodyText"/>
        <w:spacing w:line="367" w:lineRule="auto" w:before="38"/>
        <w:ind w:right="1032" w:firstLine="360"/>
        <w:jc w:val="left"/>
      </w:pPr>
      <w:r>
        <w:rPr/>
        <w:t>在国家大力支持创新创业的背景下，各类创业服务机构不断涌现，并从不同角度出发，衍生出多种创业服务商业模式， </w:t>
      </w:r>
      <w:r>
        <w:rPr>
          <w:spacing w:val="-2"/>
        </w:rPr>
        <w:t>使创业服务不断向垂直细分领域延展，一定程度上加剧了创业服务行业的竞争程度。整体而言，创业服务行业市场化程度较</w:t>
      </w:r>
      <w:r>
        <w:rPr>
          <w:spacing w:val="-66"/>
        </w:rPr>
        <w:t> </w:t>
      </w:r>
      <w:r>
        <w:rPr>
          <w:spacing w:val="-66"/>
        </w:rPr>
      </w:r>
      <w:r>
        <w:rPr>
          <w:spacing w:val="-2"/>
        </w:rPr>
        <w:t>高，行业内竞争较为激烈。针对上述风险，公司将积极学习借鉴优秀企业的优势产品及运作模式，在经营中持续优化自身商</w:t>
      </w:r>
      <w:r>
        <w:rPr>
          <w:spacing w:val="-66"/>
        </w:rPr>
        <w:t> </w:t>
      </w:r>
      <w:r>
        <w:rPr>
          <w:spacing w:val="-66"/>
        </w:rPr>
      </w:r>
      <w:r>
        <w:rPr/>
        <w:t>业模式和探讨更贴合于科技创新企业的创业服务模式，增强创新能力和市场抗压能力。</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612"/>
        <w:jc w:val="left"/>
      </w:pPr>
      <w:r>
        <w:rPr/>
        <w:t>□ 适用 √ 不适用 公司报告期内未发生接待调研、沟通、采访等活动。</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113"/>
        <w:jc w:val="center"/>
        <w:rPr>
          <w:b w:val="0"/>
          <w:bCs w:val="0"/>
        </w:rPr>
      </w:pPr>
      <w:bookmarkStart w:name="第五节 重要事项" w:id="58"/>
      <w:bookmarkEnd w:id="58"/>
      <w:r>
        <w:rPr>
          <w:b w:val="0"/>
          <w:bCs w:val="0"/>
        </w:rPr>
      </w:r>
      <w:bookmarkStart w:name="_bookmark3"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57" w:lineRule="auto" w:before="117"/>
        <w:ind w:left="534" w:right="7722" w:hanging="420"/>
        <w:jc w:val="left"/>
      </w:pPr>
      <w:r>
        <w:rPr/>
        <w:t>√ 适用 □ 不适用 </w:t>
      </w:r>
      <w:r>
        <w:rPr>
          <w:rFonts w:ascii="宋体" w:hAnsi="宋体" w:cs="宋体" w:eastAsia="宋体" w:hint="default"/>
        </w:rPr>
        <w:t>1</w:t>
      </w:r>
      <w:r>
        <w:rPr/>
        <w:t>、公司现金分红政策的制定情况</w:t>
      </w:r>
    </w:p>
    <w:p>
      <w:pPr>
        <w:pStyle w:val="BodyText"/>
        <w:spacing w:line="224" w:lineRule="exact"/>
        <w:ind w:right="0" w:firstLine="420"/>
        <w:jc w:val="left"/>
      </w:pPr>
      <w:r>
        <w:rPr/>
        <w:t>根据中国证监</w:t>
      </w:r>
      <w:r>
        <w:rPr>
          <w:spacing w:val="-17"/>
        </w:rPr>
        <w:t>会</w:t>
      </w:r>
      <w:r>
        <w:rPr/>
        <w:t>《关于进一步落实上市公司现金分红有关事项的通知</w:t>
      </w:r>
      <w:r>
        <w:rPr>
          <w:spacing w:val="-90"/>
        </w:rPr>
        <w:t>》</w:t>
      </w:r>
      <w:r>
        <w:rPr>
          <w:spacing w:val="-17"/>
        </w:rPr>
        <w:t>、</w:t>
      </w:r>
      <w:r>
        <w:rPr/>
        <w:t>广东证监</w:t>
      </w:r>
      <w:r>
        <w:rPr>
          <w:spacing w:val="-17"/>
        </w:rPr>
        <w:t>局</w:t>
      </w:r>
      <w:r>
        <w:rPr>
          <w:spacing w:val="-2"/>
        </w:rPr>
        <w:t>《</w:t>
      </w:r>
      <w:r>
        <w:rPr/>
        <w:t>关于进一步落实上市公司分红相</w:t>
      </w:r>
    </w:p>
    <w:p>
      <w:pPr>
        <w:pStyle w:val="BodyText"/>
        <w:spacing w:line="316" w:lineRule="auto" w:before="76"/>
        <w:ind w:right="1129"/>
        <w:jc w:val="both"/>
      </w:pPr>
      <w:r>
        <w:rPr>
          <w:spacing w:val="-5"/>
        </w:rPr>
        <w:t>关规定的通知》（广东证监〔</w:t>
      </w:r>
      <w:r>
        <w:rPr>
          <w:rFonts w:ascii="宋体" w:hAnsi="宋体" w:cs="宋体" w:eastAsia="宋体" w:hint="default"/>
          <w:spacing w:val="-5"/>
        </w:rPr>
        <w:t>2012</w:t>
      </w:r>
      <w:r>
        <w:rPr>
          <w:spacing w:val="-5"/>
        </w:rPr>
        <w:t>〕</w:t>
      </w:r>
      <w:r>
        <w:rPr>
          <w:rFonts w:ascii="宋体" w:hAnsi="宋体" w:cs="宋体" w:eastAsia="宋体" w:hint="default"/>
          <w:spacing w:val="-5"/>
        </w:rPr>
        <w:t>91</w:t>
      </w:r>
      <w:r>
        <w:rPr>
          <w:spacing w:val="-5"/>
        </w:rPr>
        <w:t>号），对公司在分红制度建设、政策规划、决策程序、信息披露和监督执行等进行一次</w:t>
      </w:r>
      <w:r>
        <w:rPr>
          <w:spacing w:val="-69"/>
        </w:rPr>
        <w:t> </w:t>
      </w:r>
      <w:r>
        <w:rPr>
          <w:spacing w:val="-69"/>
        </w:rPr>
      </w:r>
      <w:r>
        <w:rPr>
          <w:spacing w:val="-2"/>
        </w:rPr>
        <w:t>全面自查并落实整改，并于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11</w:t>
      </w:r>
      <w:r>
        <w:rPr>
          <w:spacing w:val="-2"/>
        </w:rPr>
        <w:t>日召开</w:t>
      </w:r>
      <w:r>
        <w:rPr>
          <w:rFonts w:ascii="宋体" w:hAnsi="宋体" w:cs="宋体" w:eastAsia="宋体" w:hint="default"/>
          <w:spacing w:val="-2"/>
        </w:rPr>
        <w:t>2012</w:t>
      </w:r>
      <w:r>
        <w:rPr>
          <w:spacing w:val="-2"/>
        </w:rPr>
        <w:t>年第一次临时股东大会，修订《公司章程》。</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日第三届董事</w:t>
      </w:r>
      <w:r>
        <w:rPr>
          <w:spacing w:val="-47"/>
        </w:rPr>
        <w:t> </w:t>
      </w:r>
      <w:r>
        <w:rPr>
          <w:spacing w:val="-47"/>
        </w:rPr>
      </w:r>
      <w:r>
        <w:rPr>
          <w:spacing w:val="-5"/>
        </w:rPr>
        <w:t>会第二十二次会议制订了《未来三年（</w:t>
      </w:r>
      <w:r>
        <w:rPr>
          <w:rFonts w:ascii="宋体" w:hAnsi="宋体" w:cs="宋体" w:eastAsia="宋体" w:hint="default"/>
          <w:spacing w:val="-5"/>
        </w:rPr>
        <w:t>2018~2020</w:t>
      </w:r>
      <w:r>
        <w:rPr>
          <w:spacing w:val="-5"/>
        </w:rPr>
        <w:t>年）股东回报规划》（详见</w:t>
      </w:r>
      <w:r>
        <w:rPr>
          <w:rFonts w:ascii="宋体" w:hAnsi="宋体" w:cs="宋体" w:eastAsia="宋体" w:hint="default"/>
          <w:spacing w:val="-5"/>
        </w:rPr>
        <w:t>2018</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20</w:t>
      </w:r>
      <w:r>
        <w:rPr>
          <w:spacing w:val="-5"/>
        </w:rPr>
        <w:t>日巨潮资讯网</w:t>
      </w:r>
      <w:hyperlink r:id="rId11">
        <w:r>
          <w:rPr>
            <w:rFonts w:ascii="宋体" w:hAnsi="宋体" w:cs="宋体" w:eastAsia="宋体" w:hint="default"/>
            <w:spacing w:val="-5"/>
          </w:rPr>
          <w:t>www.cninfo.com.cn</w:t>
        </w:r>
      </w:hyperlink>
      <w:r>
        <w:rPr>
          <w:spacing w:val="-5"/>
        </w:rPr>
        <w:t>），</w:t>
      </w:r>
      <w:r>
        <w:rPr>
          <w:spacing w:val="-85"/>
        </w:rPr>
        <w:t> </w:t>
      </w:r>
      <w:r>
        <w:rPr/>
        <w:t>并于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日经公司</w:t>
      </w:r>
      <w:r>
        <w:rPr>
          <w:rFonts w:ascii="宋体" w:hAnsi="宋体" w:cs="宋体" w:eastAsia="宋体" w:hint="default"/>
        </w:rPr>
        <w:t>2017</w:t>
      </w:r>
      <w:r>
        <w:rPr/>
        <w:t>年年度股东大会审议通过，明确了分红的决策程序和机制，有效地保障投资者的合理投资回</w:t>
      </w:r>
      <w:r>
        <w:rPr>
          <w:spacing w:val="-83"/>
        </w:rPr>
        <w:t> </w:t>
      </w:r>
      <w:r>
        <w:rPr>
          <w:spacing w:val="-83"/>
        </w:rPr>
      </w:r>
      <w:r>
        <w:rPr/>
        <w:t>报。</w:t>
      </w:r>
    </w:p>
    <w:p>
      <w:pPr>
        <w:pStyle w:val="BodyText"/>
        <w:spacing w:line="357" w:lineRule="auto" w:before="59"/>
        <w:ind w:left="534" w:right="0"/>
        <w:jc w:val="left"/>
      </w:pPr>
      <w:r>
        <w:rPr>
          <w:rFonts w:ascii="宋体" w:hAnsi="宋体" w:cs="宋体" w:eastAsia="宋体" w:hint="default"/>
        </w:rPr>
        <w:t>2</w:t>
      </w:r>
      <w:r>
        <w:rPr/>
        <w:t>、公司现金分红政策的执行情况 公司利润分配政策符合《公司章程》的规定，公司现金分红政策制定及执行均符合《公司章程》的规定及股东大会决</w:t>
      </w:r>
    </w:p>
    <w:p>
      <w:pPr>
        <w:pStyle w:val="BodyText"/>
        <w:spacing w:line="224" w:lineRule="exact"/>
        <w:ind w:right="0"/>
        <w:jc w:val="left"/>
      </w:pPr>
      <w:r>
        <w:rPr/>
        <w:t>议的要求，分红标准和分红比例明确清晰，相关的决策程序和机制完备，独立董事的职责明确，能发挥应有的作用，中小股</w:t>
      </w:r>
    </w:p>
    <w:p>
      <w:pPr>
        <w:pStyle w:val="BodyText"/>
        <w:spacing w:line="240" w:lineRule="auto" w:before="77"/>
        <w:ind w:right="0"/>
        <w:jc w:val="left"/>
      </w:pPr>
      <w:r>
        <w:rPr/>
        <w:t>东有充分表达意见和诉求的机会，中小股东的合法权益得到了维护。</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right="2747"/>
        <w:jc w:val="left"/>
      </w:pPr>
      <w:r>
        <w:rPr/>
        <w:t>公司近</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rFonts w:ascii="宋体" w:hAnsi="宋体" w:cs="宋体" w:eastAsia="宋体" w:hint="default"/>
        </w:rPr>
        <w:t>2016</w:t>
      </w:r>
      <w:r>
        <w:rPr/>
        <w:t>年度</w:t>
      </w:r>
    </w:p>
    <w:p>
      <w:pPr>
        <w:pStyle w:val="BodyText"/>
        <w:spacing w:line="316" w:lineRule="auto" w:before="2"/>
        <w:ind w:right="0"/>
        <w:jc w:val="left"/>
      </w:pPr>
      <w:r>
        <w:rPr>
          <w:spacing w:val="-2"/>
        </w:rPr>
        <w:t>基于对股东长远利益的考虑，同时为了更好的保证公司的稳定发展，公司</w:t>
      </w:r>
      <w:r>
        <w:rPr>
          <w:rFonts w:ascii="宋体" w:hAnsi="宋体" w:cs="宋体" w:eastAsia="宋体" w:hint="default"/>
          <w:spacing w:val="-2"/>
        </w:rPr>
        <w:t>2016</w:t>
      </w:r>
      <w:r>
        <w:rPr>
          <w:spacing w:val="-2"/>
        </w:rPr>
        <w:t>年度不进行利润分配，不派发现金红利，不送</w:t>
      </w:r>
      <w:r>
        <w:rPr>
          <w:spacing w:val="-62"/>
        </w:rPr>
        <w:t> </w:t>
      </w:r>
      <w:r>
        <w:rPr>
          <w:spacing w:val="-62"/>
        </w:rPr>
      </w:r>
      <w:r>
        <w:rPr/>
        <w:t>红股，不以公积金转增股本。</w:t>
      </w:r>
    </w:p>
    <w:p>
      <w:pPr>
        <w:pStyle w:val="BodyText"/>
        <w:spacing w:line="316" w:lineRule="auto" w:before="19"/>
        <w:ind w:right="1118"/>
        <w:jc w:val="left"/>
      </w:pPr>
      <w:r>
        <w:rPr>
          <w:rFonts w:ascii="宋体" w:hAnsi="宋体" w:cs="宋体" w:eastAsia="宋体" w:hint="default"/>
        </w:rPr>
        <w:t>2017</w:t>
      </w:r>
      <w:r>
        <w:rPr/>
        <w:t>年度 </w:t>
      </w:r>
      <w:r>
        <w:rPr>
          <w:spacing w:val="-2"/>
        </w:rPr>
        <w:t>基于对股东长远利益的考虑，同时为了更好的保证公司的稳定发展，公司</w:t>
      </w:r>
      <w:r>
        <w:rPr>
          <w:rFonts w:ascii="宋体" w:hAnsi="宋体" w:cs="宋体" w:eastAsia="宋体" w:hint="default"/>
          <w:spacing w:val="-2"/>
        </w:rPr>
        <w:t>2017</w:t>
      </w:r>
      <w:r>
        <w:rPr>
          <w:spacing w:val="-2"/>
        </w:rPr>
        <w:t>年度不进行利润分配，不派发现金红利，不送</w:t>
      </w:r>
      <w:r>
        <w:rPr>
          <w:spacing w:val="-62"/>
        </w:rPr>
        <w:t> </w:t>
      </w:r>
      <w:r>
        <w:rPr>
          <w:spacing w:val="-62"/>
        </w:rPr>
      </w:r>
      <w:r>
        <w:rPr/>
        <w:t>红股，不以公积金转增股本。</w:t>
      </w:r>
    </w:p>
    <w:p>
      <w:pPr>
        <w:pStyle w:val="BodyText"/>
        <w:spacing w:line="319" w:lineRule="auto" w:before="19"/>
        <w:ind w:right="1118"/>
        <w:jc w:val="left"/>
      </w:pPr>
      <w:r>
        <w:rPr>
          <w:rFonts w:ascii="宋体" w:hAnsi="宋体" w:cs="宋体" w:eastAsia="宋体" w:hint="default"/>
        </w:rPr>
        <w:t>2018</w:t>
      </w:r>
      <w:r>
        <w:rPr/>
        <w:t>年度 </w:t>
      </w:r>
      <w:r>
        <w:rPr>
          <w:spacing w:val="-2"/>
        </w:rPr>
        <w:t>基于对股东长远利益的考虑，同时为了更好的保证公司的稳定发展，公司</w:t>
      </w:r>
      <w:r>
        <w:rPr>
          <w:rFonts w:ascii="宋体" w:hAnsi="宋体" w:cs="宋体" w:eastAsia="宋体" w:hint="default"/>
          <w:spacing w:val="-2"/>
        </w:rPr>
        <w:t>2018</w:t>
      </w:r>
      <w:r>
        <w:rPr>
          <w:spacing w:val="-2"/>
        </w:rPr>
        <w:t>年度不进行利润分配，不派发现金红利，不送</w:t>
      </w:r>
      <w:r>
        <w:rPr>
          <w:spacing w:val="-62"/>
        </w:rPr>
        <w:t> </w:t>
      </w:r>
      <w:r>
        <w:rPr>
          <w:spacing w:val="-62"/>
        </w:rPr>
      </w:r>
      <w:r>
        <w:rPr/>
        <w:t>红股，不以公积金转增股本。</w:t>
      </w:r>
    </w:p>
    <w:p>
      <w:pPr>
        <w:pStyle w:val="BodyText"/>
        <w:spacing w:line="240" w:lineRule="auto" w:before="58"/>
        <w:ind w:right="0"/>
        <w:jc w:val="left"/>
      </w:pPr>
      <w:r>
        <w:rPr/>
        <w:t>公司近三年（包括本报告期）普通股现金分红情况表</w:t>
      </w:r>
    </w:p>
    <w:p>
      <w:pPr>
        <w:pStyle w:val="BodyText"/>
        <w:spacing w:line="240" w:lineRule="auto" w:before="116"/>
        <w:ind w:left="0" w:right="1130"/>
        <w:jc w:val="right"/>
      </w:pPr>
      <w:r>
        <w:rPr/>
        <w:t>单位：元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8"/>
        <w:gridCol w:w="1026"/>
        <w:gridCol w:w="1364"/>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7" w:right="146"/>
              <w:jc w:val="center"/>
              <w:rPr>
                <w:rFonts w:ascii="宋体" w:hAnsi="宋体" w:cs="宋体" w:eastAsia="宋体" w:hint="default"/>
                <w:sz w:val="18"/>
                <w:szCs w:val="18"/>
              </w:rPr>
            </w:pPr>
            <w:r>
              <w:rPr>
                <w:rFonts w:ascii="宋体" w:hAnsi="宋体" w:cs="宋体" w:eastAsia="宋体" w:hint="default"/>
                <w:sz w:val="18"/>
                <w:szCs w:val="18"/>
              </w:rPr>
              <w:t>现金分红 金额（含 税）</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36" w:right="137"/>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6,921,812.73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-21,412,779.47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12,764,280.64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公司日常生产经营、未来投资与发展需要大量现金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用于公司日常生产经营、未来投资与发展</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本报告期利润分配及资本公积金转增股本预案" w:id="61"/>
      <w:bookmarkEnd w:id="61"/>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532"/>
        <w:jc w:val="left"/>
      </w:pPr>
      <w:r>
        <w:rPr/>
        <w:t>□ 适用 √ 不适用 公司计划年度不派发现金红利，不送红股，不以公积金转增股本。</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7"/>
        </w:rPr>
        <w:t> </w:t>
      </w:r>
      <w:r>
        <w:rPr>
          <w:spacing w:val="-67"/>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制人王叁 寿、控股股 东成都星河 及其一致行 动人深圳星 河、北京九 连环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易、独立性 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保证上市公 司在业务、 </w:t>
            </w:r>
            <w:r>
              <w:rPr>
                <w:rFonts w:ascii="宋体" w:hAnsi="宋体" w:cs="宋体" w:eastAsia="宋体" w:hint="default"/>
                <w:spacing w:val="-14"/>
                <w:sz w:val="18"/>
                <w:szCs w:val="18"/>
              </w:rPr>
              <w:t>资产、财务、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人员和机构 等方面的独 立性，保证 上市公司保 持健全有效 的法人治理 结构，保证 上市公司的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103" w:right="107"/>
              <w:jc w:val="both"/>
              <w:rPr>
                <w:rFonts w:ascii="宋体" w:hAnsi="宋体" w:cs="宋体" w:eastAsia="宋体" w:hint="default"/>
                <w:sz w:val="18"/>
                <w:szCs w:val="18"/>
              </w:rPr>
            </w:pPr>
            <w:r>
              <w:rPr>
                <w:rFonts w:ascii="宋体" w:hAnsi="宋体" w:cs="宋体" w:eastAsia="宋体" w:hint="default"/>
                <w:sz w:val="18"/>
                <w:szCs w:val="18"/>
              </w:rPr>
              <w:t>直至王叁寿 不再为实际 控制人、成 都星河不再 为公司控股 股东日止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事会、独立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理等按照有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文件以及上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司章程》等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定，独立行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使职权，不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受我公司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我本人的干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预；在作为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际控制人期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间，我公司</w:t>
            </w:r>
            <w:r>
              <w:rPr>
                <w:rFonts w:ascii="Times New Roman" w:hAnsi="Times New Roman" w:cs="Times New Roman" w:eastAsia="Times New Roman" w:hint="default"/>
                <w:spacing w:val="-7"/>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我本人不直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接或者间接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公司存在同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务，并督促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下属具有实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际控制权的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公司除外）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不得直接或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其子公司相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务；我公司</w:t>
            </w:r>
            <w:r>
              <w:rPr>
                <w:rFonts w:ascii="Times New Roman" w:hAnsi="Times New Roman" w:cs="Times New Roman" w:eastAsia="Times New Roman" w:hint="default"/>
                <w:spacing w:val="-7"/>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我本人及所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除外）将尽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量避免与上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控股、参股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公司之间产 生关联交易 事项；对于 不可避免发 生的关联业 务往来或交 易，将在平 等、自愿的 基础上，按 照公平、公 允和等价有 偿的原则进 行，交易价 格将按照市 场公认的合 理价格确 定，将严格 遵守上市公 司公司章程 等规范性文 件中关于关 联交易事项 的回避规 定，所涉及 的关联交易 均将按照规 定的决策程 序进行，并 将履行合法 程序、及时 对关联交易 事项进行信 息披露；不 利用关联交 易转移、输 送利润，损 害上市公司 及其他股东 的合法权 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制人王叁 寿、控股股 东成都星河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2"/>
              <w:ind w:left="103" w:right="113"/>
              <w:jc w:val="left"/>
              <w:rPr>
                <w:rFonts w:ascii="宋体" w:hAnsi="宋体" w:cs="宋体" w:eastAsia="宋体" w:hint="default"/>
                <w:sz w:val="18"/>
                <w:szCs w:val="18"/>
              </w:rPr>
            </w:pPr>
            <w:r>
              <w:rPr>
                <w:rFonts w:ascii="宋体" w:hAnsi="宋体" w:cs="宋体" w:eastAsia="宋体" w:hint="default"/>
                <w:sz w:val="18"/>
                <w:szCs w:val="18"/>
              </w:rPr>
              <w:t>本次权益变 动完成之日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75"/>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both"/>
              <w:rPr>
                <w:rFonts w:ascii="宋体" w:hAnsi="宋体" w:cs="宋体" w:eastAsia="宋体" w:hint="default"/>
                <w:sz w:val="18"/>
                <w:szCs w:val="18"/>
              </w:rPr>
            </w:pPr>
            <w:r>
              <w:rPr>
                <w:rFonts w:ascii="宋体" w:hAnsi="宋体" w:cs="宋体" w:eastAsia="宋体" w:hint="default"/>
                <w:sz w:val="18"/>
                <w:szCs w:val="18"/>
              </w:rPr>
              <w:t>及其一致行 动人深圳星 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次权益变动 中所获得的 上市公司股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69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公司原董事 林伟章先生</w:t>
            </w:r>
          </w:p>
          <w:p>
            <w:pPr>
              <w:pStyle w:val="TableParagraph"/>
              <w:spacing w:line="316" w:lineRule="auto" w:before="19"/>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（通过直接 持有群兴投 资股份而间 接持有本公 司股份，且 同时担任本 公司董事 </w:t>
            </w:r>
            <w:r>
              <w:rPr>
                <w:rFonts w:ascii="宋体" w:hAnsi="宋体" w:cs="宋体" w:eastAsia="宋体" w:hint="default"/>
                <w:spacing w:val="-12"/>
                <w:sz w:val="18"/>
                <w:szCs w:val="18"/>
              </w:rPr>
              <w:t>长，于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日任期已满 </w:t>
            </w:r>
            <w:r>
              <w:rPr>
                <w:rFonts w:ascii="宋体" w:hAnsi="宋体" w:cs="宋体" w:eastAsia="宋体" w:hint="default"/>
                <w:spacing w:val="-29"/>
                <w:sz w:val="18"/>
                <w:szCs w:val="18"/>
              </w:rPr>
              <w:t>并离任）、公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司原董事黄 仕群先生</w:t>
            </w:r>
          </w:p>
          <w:p>
            <w:pPr>
              <w:pStyle w:val="TableParagraph"/>
              <w:spacing w:line="316" w:lineRule="auto" w:before="20"/>
              <w:ind w:left="10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（通过直接 持有群兴投 资股份而间 接持有本公 司股份，且 同时担任本 公司总经 </w:t>
            </w:r>
            <w:r>
              <w:rPr>
                <w:rFonts w:ascii="宋体" w:hAnsi="宋体" w:cs="宋体" w:eastAsia="宋体" w:hint="default"/>
                <w:spacing w:val="-12"/>
                <w:sz w:val="18"/>
                <w:szCs w:val="18"/>
              </w:rPr>
              <w:t>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9" w:lineRule="auto"/>
              <w:ind w:left="103" w:right="11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日任期已满 并离任）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锁定期满 后，若本人 仍担任群兴 玩具董事或 监事或高级 管理人员， 在任职期间 本人每年转 让股份不超 过直接或间 接所持群兴 玩具的股票 总数的百分 之二十五。 本人离任后 六个月内， 不转让直接 或间接所持 群兴玩具的 任何股份。 本人在申报 离任六个月 后的十二个 月内通过证 券交易所挂 牌交易出售 群兴玩具股 票数量占其 所直接或间 接持有群兴 玩具股票总 数的比例不 得超过百分 之五十。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4" w:lineRule="auto"/>
              <w:ind w:left="103" w:right="107"/>
              <w:jc w:val="both"/>
              <w:rPr>
                <w:rFonts w:ascii="宋体" w:hAnsi="宋体" w:cs="宋体" w:eastAsia="宋体" w:hint="default"/>
                <w:sz w:val="18"/>
                <w:szCs w:val="18"/>
              </w:rPr>
            </w:pPr>
            <w:r>
              <w:rPr>
                <w:rFonts w:ascii="宋体" w:hAnsi="宋体" w:cs="宋体" w:eastAsia="宋体" w:hint="default"/>
                <w:sz w:val="18"/>
                <w:szCs w:val="18"/>
              </w:rPr>
              <w:t>承诺人任职 公司董事、 监事、高级 管理人员期 间、离职后 半年内、在 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p>
          <w:p>
            <w:pPr>
              <w:pStyle w:val="TableParagraph"/>
              <w:spacing w:line="240" w:lineRule="auto" w:before="2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3" w:right="92"/>
              <w:jc w:val="left"/>
              <w:rPr>
                <w:rFonts w:ascii="宋体" w:hAnsi="宋体" w:cs="宋体" w:eastAsia="宋体" w:hint="default"/>
                <w:sz w:val="18"/>
                <w:szCs w:val="18"/>
              </w:rPr>
            </w:pPr>
            <w:r>
              <w:rPr>
                <w:rFonts w:ascii="宋体" w:hAnsi="宋体" w:cs="宋体" w:eastAsia="宋体" w:hint="default"/>
                <w:sz w:val="18"/>
                <w:szCs w:val="18"/>
              </w:rPr>
              <w:t>截至目前， 承诺人未 发生违反 承诺的情 况，该承诺 事项已履 行完毕。</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1"/>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0"/>
              <w:jc w:val="left"/>
              <w:rPr>
                <w:rFonts w:ascii="宋体" w:hAnsi="宋体" w:cs="宋体" w:eastAsia="宋体" w:hint="default"/>
                <w:sz w:val="18"/>
                <w:szCs w:val="18"/>
              </w:rPr>
            </w:pPr>
            <w:r>
              <w:rPr>
                <w:rFonts w:ascii="宋体" w:hAnsi="宋体" w:cs="宋体" w:eastAsia="宋体" w:hint="default"/>
                <w:sz w:val="18"/>
                <w:szCs w:val="18"/>
              </w:rPr>
              <w:t>广东群兴投 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黄仕群</w:t>
            </w:r>
            <w:r>
              <w:rPr>
                <w:rFonts w:ascii="Times New Roman" w:hAnsi="Times New Roman" w:cs="Times New Roman" w:eastAsia="Times New Roman" w:hint="default"/>
                <w:sz w:val="18"/>
                <w:szCs w:val="18"/>
              </w:rPr>
              <w:t>; </w:t>
            </w:r>
            <w:r>
              <w:rPr>
                <w:rFonts w:ascii="宋体" w:hAnsi="宋体" w:cs="宋体" w:eastAsia="宋体" w:hint="default"/>
                <w:sz w:val="18"/>
                <w:szCs w:val="18"/>
              </w:rPr>
              <w:t>林伟章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3"/>
              <w:jc w:val="both"/>
              <w:rPr>
                <w:rFonts w:ascii="宋体" w:hAnsi="宋体" w:cs="宋体" w:eastAsia="宋体" w:hint="default"/>
                <w:sz w:val="18"/>
                <w:szCs w:val="18"/>
              </w:rPr>
            </w:pPr>
            <w:r>
              <w:rPr>
                <w:rFonts w:ascii="宋体" w:hAnsi="宋体" w:cs="宋体" w:eastAsia="宋体" w:hint="default"/>
                <w:sz w:val="18"/>
                <w:szCs w:val="18"/>
              </w:rPr>
              <w:t>为杜绝出现 同业竞争等 损害广东群 兴玩具股份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
              <w:jc w:val="left"/>
              <w:rPr>
                <w:rFonts w:ascii="宋体" w:hAnsi="宋体" w:cs="宋体" w:eastAsia="宋体" w:hint="default"/>
                <w:sz w:val="18"/>
                <w:szCs w:val="18"/>
              </w:rPr>
            </w:pPr>
            <w:r>
              <w:rPr>
                <w:rFonts w:ascii="宋体" w:hAnsi="宋体" w:cs="宋体" w:eastAsia="宋体" w:hint="default"/>
                <w:sz w:val="18"/>
                <w:szCs w:val="18"/>
              </w:rPr>
              <w:t>直至群兴投 资不再为公 司控股股 </w:t>
            </w:r>
            <w:r>
              <w:rPr>
                <w:rFonts w:ascii="宋体" w:hAnsi="宋体" w:cs="宋体" w:eastAsia="宋体" w:hint="default"/>
                <w:spacing w:val="-15"/>
                <w:sz w:val="18"/>
                <w:szCs w:val="18"/>
              </w:rPr>
              <w:t>东、林伟章、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before="61"/>
              <w:ind w:left="103" w:right="14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日履行完 毕</w:t>
            </w:r>
          </w:p>
        </w:tc>
      </w:tr>
    </w:tbl>
    <w:p>
      <w:pPr>
        <w:spacing w:after="0" w:line="30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both"/>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307" w:lineRule="auto" w:before="76"/>
              <w:ind w:left="103" w:right="113"/>
              <w:jc w:val="left"/>
              <w:rPr>
                <w:rFonts w:ascii="宋体" w:hAnsi="宋体" w:cs="宋体" w:eastAsia="宋体"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群 </w:t>
            </w:r>
            <w:r>
              <w:rPr>
                <w:rFonts w:ascii="宋体" w:hAnsi="宋体" w:cs="宋体" w:eastAsia="宋体" w:hint="default"/>
                <w:spacing w:val="-22"/>
                <w:sz w:val="18"/>
                <w:szCs w:val="18"/>
              </w:rPr>
              <w:t>兴玩具</w:t>
            </w:r>
            <w:r>
              <w:rPr>
                <w:rFonts w:ascii="Times New Roman" w:hAnsi="Times New Roman" w:cs="Times New Roman" w:eastAsia="Times New Roman" w:hint="default"/>
                <w:spacing w:val="-22"/>
                <w:sz w:val="18"/>
                <w:szCs w:val="18"/>
              </w:rPr>
              <w:t>"</w:t>
            </w:r>
            <w:r>
              <w:rPr>
                <w:rFonts w:ascii="宋体" w:hAnsi="宋体" w:cs="宋体" w:eastAsia="宋体" w:hint="default"/>
                <w:spacing w:val="-22"/>
                <w:sz w:val="18"/>
                <w:szCs w:val="18"/>
              </w:rPr>
              <w:t>）的</w:t>
            </w:r>
            <w:r>
              <w:rPr>
                <w:rFonts w:ascii="宋体" w:hAnsi="宋体" w:cs="宋体" w:eastAsia="宋体" w:hint="default"/>
                <w:spacing w:val="-87"/>
                <w:sz w:val="18"/>
                <w:szCs w:val="18"/>
              </w:rPr>
              <w:t> </w:t>
            </w:r>
            <w:r>
              <w:rPr>
                <w:rFonts w:ascii="宋体" w:hAnsi="宋体" w:cs="宋体" w:eastAsia="宋体" w:hint="default"/>
                <w:sz w:val="18"/>
                <w:szCs w:val="18"/>
              </w:rPr>
              <w:t>利益的情</w:t>
            </w:r>
            <w:r>
              <w:rPr>
                <w:rFonts w:ascii="宋体" w:hAnsi="宋体" w:cs="宋体" w:eastAsia="宋体" w:hint="default"/>
                <w:sz w:val="18"/>
                <w:szCs w:val="18"/>
              </w:rPr>
              <w:t> 形，本公司</w:t>
            </w:r>
          </w:p>
          <w:p>
            <w:pPr>
              <w:pStyle w:val="TableParagraph"/>
              <w:spacing w:line="316" w:lineRule="auto" w:before="26"/>
              <w:ind w:left="103" w:right="113"/>
              <w:jc w:val="both"/>
              <w:rPr>
                <w:rFonts w:ascii="宋体" w:hAnsi="宋体" w:cs="宋体" w:eastAsia="宋体" w:hint="default"/>
                <w:sz w:val="18"/>
                <w:szCs w:val="18"/>
              </w:rPr>
            </w:pPr>
            <w:r>
              <w:rPr>
                <w:rFonts w:ascii="宋体" w:hAnsi="宋体" w:cs="宋体" w:eastAsia="宋体" w:hint="default"/>
                <w:sz w:val="18"/>
                <w:szCs w:val="18"/>
              </w:rPr>
              <w:t>（或本人） 出具本承诺 函，并对此 承担相应的 法律责任： 第一条：在 本承诺签署 之日，本公 司及本公司</w:t>
            </w:r>
          </w:p>
          <w:p>
            <w:pPr>
              <w:pStyle w:val="TableParagraph"/>
              <w:spacing w:line="316"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（或本人） 控制的公司 均未直接或 间接经营与 群兴玩具经 营的业务构 成竞争或可 能构成竞争 的业务，也 未参与投资 任何与群兴 玩具经营的 业务构成竞 争或可能构 成竞争的其 他企业。第 二条：自本 承诺签署之 日起，本公 司及本公司</w:t>
            </w:r>
          </w:p>
          <w:p>
            <w:pPr>
              <w:pStyle w:val="TableParagraph"/>
              <w:spacing w:line="316"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（或本人） 控制的公司 均将不直接 或间接经营 与群兴玩具 经营的业务 构成竞争或 可能构成竞 争的业务， 也不参与投</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7"/>
              <w:jc w:val="both"/>
              <w:rPr>
                <w:rFonts w:ascii="宋体" w:hAnsi="宋体" w:cs="宋体" w:eastAsia="宋体" w:hint="default"/>
                <w:sz w:val="18"/>
                <w:szCs w:val="18"/>
              </w:rPr>
            </w:pPr>
            <w:r>
              <w:rPr>
                <w:rFonts w:ascii="宋体" w:hAnsi="宋体" w:cs="宋体" w:eastAsia="宋体" w:hint="default"/>
                <w:sz w:val="18"/>
                <w:szCs w:val="18"/>
              </w:rPr>
              <w:t>黄仕群不再 为公司实际 控制人</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资任何与群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兴玩具经营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的公司与群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兴玩具存在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关联关系期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述承诺被证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明是不真实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或未被遵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守，本公司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将向群兴玩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具赔偿一切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直接和间接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损失，并承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律责任。为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杜绝出现同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业竞争等损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害广东群兴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玩具股份有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称群兴玩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的情形，本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人）出具本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承诺函，并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对此承担相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81"/>
                <w:sz w:val="18"/>
                <w:szCs w:val="18"/>
              </w:rPr>
              <w:t>：</w:t>
            </w:r>
            <w:r>
              <w:rPr>
                <w:rFonts w:ascii="宋体" w:hAnsi="宋体" w:cs="宋体" w:eastAsia="宋体" w:hint="default"/>
                <w:sz w:val="18"/>
                <w:szCs w:val="18"/>
              </w:rPr>
              <w:t>第一条：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在本承诺签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署之日，本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1"/>
                <w:sz w:val="18"/>
                <w:szCs w:val="18"/>
              </w:rPr>
              <w:t>司</w:t>
            </w:r>
            <w:r>
              <w:rPr>
                <w:rFonts w:ascii="宋体" w:hAnsi="宋体" w:cs="宋体" w:eastAsia="宋体" w:hint="default"/>
                <w:sz w:val="18"/>
                <w:szCs w:val="18"/>
              </w:rPr>
              <w:t>（或本人）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均未直接或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群兴玩具经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未参与投资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任何与群兴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玩具经营的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他企业。第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二条：自本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均将不直接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与群兴玩具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也不参与投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资任何与群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兴玩具经营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的公司与群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兴玩具存在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关联关系期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述承诺被证 明是不真实 或未被遵 守，本公司</w:t>
            </w:r>
          </w:p>
          <w:p>
            <w:pPr>
              <w:pStyle w:val="TableParagraph"/>
              <w:spacing w:line="319"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（或本人） 将向群兴玩 具赔偿一切 直接和间接 损失，并承 担相应的法 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本公司原控 股股东广东 群兴投资有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不进行股权 转让</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公司控股股 东承诺自</w:t>
            </w:r>
          </w:p>
          <w:p>
            <w:pPr>
              <w:pStyle w:val="TableParagraph"/>
              <w:spacing w:line="316"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《关于终止 筹划控股权 转让暨重大 资产重组事 项的公告》 披露之日起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再继续筹划 控股权转让 事宜。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92"/>
              <w:jc w:val="left"/>
              <w:rPr>
                <w:rFonts w:ascii="宋体" w:hAnsi="宋体" w:cs="宋体" w:eastAsia="宋体" w:hint="default"/>
                <w:sz w:val="18"/>
                <w:szCs w:val="18"/>
              </w:rPr>
            </w:pPr>
            <w:r>
              <w:rPr>
                <w:rFonts w:ascii="宋体" w:hAnsi="宋体" w:cs="宋体" w:eastAsia="宋体" w:hint="default"/>
                <w:sz w:val="18"/>
                <w:szCs w:val="18"/>
              </w:rPr>
              <w:t>截至目前， 该承诺事 项已履行 完毕。</w:t>
            </w:r>
          </w:p>
        </w:tc>
      </w:tr>
      <w:tr>
        <w:trPr>
          <w:trHeight w:val="539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复牌承诺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公司股票继 续停牌时间 不超过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 公司股票继 续停牌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个交易日后 将充分披露 上述事项进 展情况，并 不晚于</w:t>
            </w:r>
          </w:p>
          <w:p>
            <w:pPr>
              <w:pStyle w:val="TableParagraph"/>
              <w:spacing w:line="240" w:lineRule="auto" w:before="2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p>
          <w:p>
            <w:pPr>
              <w:pStyle w:val="TableParagraph"/>
              <w:spacing w:line="314"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z w:val="18"/>
                <w:szCs w:val="18"/>
              </w:rPr>
              <w:t>日向 深圳证券交 易所申请公 司股票复 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4"/>
              <w:ind w:left="103" w:right="197"/>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 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3" w:right="92"/>
              <w:jc w:val="left"/>
              <w:rPr>
                <w:rFonts w:ascii="宋体" w:hAnsi="宋体" w:cs="宋体" w:eastAsia="宋体" w:hint="default"/>
                <w:sz w:val="18"/>
                <w:szCs w:val="18"/>
              </w:rPr>
            </w:pPr>
            <w:r>
              <w:rPr>
                <w:rFonts w:ascii="宋体" w:hAnsi="宋体" w:cs="宋体" w:eastAsia="宋体" w:hint="default"/>
                <w:sz w:val="18"/>
                <w:szCs w:val="18"/>
              </w:rPr>
              <w:t>截至目前， 该承诺事 项已履行 完毕。</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1"/>
              <w:jc w:val="left"/>
              <w:rPr>
                <w:rFonts w:ascii="宋体" w:hAnsi="宋体" w:cs="宋体" w:eastAsia="宋体" w:hint="default"/>
                <w:sz w:val="18"/>
                <w:szCs w:val="18"/>
              </w:rPr>
            </w:pPr>
            <w:r>
              <w:rPr>
                <w:rFonts w:ascii="宋体" w:hAnsi="宋体" w:cs="宋体" w:eastAsia="宋体" w:hint="default"/>
                <w:sz w:val="18"/>
                <w:szCs w:val="18"/>
              </w:rPr>
              <w:t>公司董事长 纪晓文先生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在本次增持 完成后的 </w:t>
            </w:r>
            <w:r>
              <w:rPr>
                <w:rFonts w:ascii="Times New Roman" w:hAnsi="Times New Roman" w:cs="Times New Roman" w:eastAsia="Times New Roman" w:hint="default"/>
                <w:sz w:val="18"/>
                <w:szCs w:val="18"/>
              </w:rPr>
              <w:t>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92"/>
              <w:jc w:val="left"/>
              <w:rPr>
                <w:rFonts w:ascii="宋体" w:hAnsi="宋体" w:cs="宋体" w:eastAsia="宋体" w:hint="default"/>
                <w:sz w:val="18"/>
                <w:szCs w:val="18"/>
              </w:rPr>
            </w:pPr>
            <w:r>
              <w:rPr>
                <w:rFonts w:ascii="宋体" w:hAnsi="宋体" w:cs="宋体" w:eastAsia="宋体" w:hint="default"/>
                <w:sz w:val="18"/>
                <w:szCs w:val="18"/>
              </w:rPr>
              <w:t>截至目前， 该承诺事</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个月内不转 让其持有的 公司股票， 不进行内幕 交易及短线 交易、不在 敏感期买卖 公司股份， 未来转让公 司股份时严 格遵守法 律、法规及 规章的规定 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2"/>
              <w:jc w:val="left"/>
              <w:rPr>
                <w:rFonts w:ascii="宋体" w:hAnsi="宋体" w:cs="宋体" w:eastAsia="宋体" w:hint="default"/>
                <w:sz w:val="18"/>
                <w:szCs w:val="18"/>
              </w:rPr>
            </w:pPr>
            <w:r>
              <w:rPr>
                <w:rFonts w:ascii="宋体" w:hAnsi="宋体" w:cs="宋体" w:eastAsia="宋体" w:hint="default"/>
                <w:sz w:val="18"/>
                <w:szCs w:val="18"/>
              </w:rPr>
              <w:t>项已履行 完毕。</w:t>
            </w:r>
          </w:p>
        </w:tc>
      </w:tr>
      <w:tr>
        <w:trPr>
          <w:trHeight w:val="726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公司承诺在 本次参与设 立并购基金 后的分期投 资期间及全 部投资完毕 后的十二个 月内，不使 用闲置募集 资金暂时补 充流动资 金、将募集 资金投向变 更为永久性 补充流动资 金（不含节 余募集资 </w:t>
            </w:r>
            <w:r>
              <w:rPr>
                <w:rFonts w:ascii="宋体" w:hAnsi="宋体" w:cs="宋体" w:eastAsia="宋体" w:hint="default"/>
                <w:spacing w:val="-29"/>
                <w:sz w:val="18"/>
                <w:szCs w:val="18"/>
              </w:rPr>
              <w:t>金）、将超募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资金用于永 久性补充流 动资金或者 归还银行贷 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z w:val="18"/>
                <w:szCs w:val="18"/>
              </w:rPr>
              <w:t>参与设立并 购基金后的 分期投资期 间及全部投 资完毕后的 十二个月内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3" w:right="92"/>
              <w:jc w:val="left"/>
              <w:rPr>
                <w:rFonts w:ascii="宋体" w:hAnsi="宋体" w:cs="宋体" w:eastAsia="宋体" w:hint="default"/>
                <w:sz w:val="18"/>
                <w:szCs w:val="18"/>
              </w:rPr>
            </w:pPr>
            <w:r>
              <w:rPr>
                <w:rFonts w:ascii="宋体" w:hAnsi="宋体" w:cs="宋体" w:eastAsia="宋体" w:hint="default"/>
                <w:sz w:val="18"/>
                <w:szCs w:val="18"/>
              </w:rPr>
              <w:t>截至目前， 该承诺事 项正常履 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8"/>
        <w:rPr>
          <w:rFonts w:ascii="Times New Roman" w:hAnsi="Times New Roman" w:cs="Times New Roman" w:eastAsia="Times New Roman" w:hint="default"/>
          <w:sz w:val="24"/>
          <w:szCs w:val="24"/>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1392"/>
        <w:jc w:val="left"/>
        <w:rPr>
          <w:b w:val="0"/>
          <w:bCs w:val="0"/>
        </w:rPr>
      </w:pPr>
      <w:bookmarkStart w:name="五、董事会、监事会、独立董事（如有）对会计师事务所本报告期“非标准审计报告”的说" w:id="66"/>
      <w:bookmarkEnd w:id="66"/>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74" w:right="1125" w:hanging="360"/>
        <w:jc w:val="left"/>
      </w:pPr>
      <w:r>
        <w:rPr/>
        <w:t>√ 适用 □ 不适用 </w:t>
      </w:r>
      <w:r>
        <w:rPr>
          <w:spacing w:val="-3"/>
        </w:rPr>
        <w:t>财政部于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日发布了《财政部关于修订印发</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15</w:t>
      </w:r>
      <w:r>
        <w:rPr>
          <w:spacing w:val="-3"/>
        </w:rPr>
        <w:t>号），</w:t>
      </w:r>
    </w:p>
    <w:p>
      <w:pPr>
        <w:pStyle w:val="BodyText"/>
        <w:spacing w:line="201" w:lineRule="exact"/>
        <w:ind w:right="0"/>
        <w:jc w:val="left"/>
      </w:pPr>
      <w:r>
        <w:rPr/>
        <w:t>对一般企业财务报表格式进行了修订。</w:t>
      </w:r>
      <w:r>
        <w:rPr>
          <w:spacing w:val="-19"/>
        </w:rPr>
        <w:t> </w:t>
      </w:r>
      <w:r>
        <w:rPr/>
        <w:t>本公司执行上述规定的主要影响如下：</w:t>
      </w:r>
    </w:p>
    <w:p>
      <w:pPr>
        <w:spacing w:line="240" w:lineRule="auto" w:before="0"/>
        <w:rPr>
          <w:rFonts w:ascii="宋体" w:hAnsi="宋体" w:cs="宋体" w:eastAsia="宋体" w:hint="default"/>
          <w:sz w:val="5"/>
          <w:szCs w:val="5"/>
        </w:rPr>
      </w:pPr>
    </w:p>
    <w:tbl>
      <w:tblPr>
        <w:tblW w:w="0" w:type="auto"/>
        <w:jc w:val="left"/>
        <w:tblInd w:w="715" w:type="dxa"/>
        <w:tblLayout w:type="fixed"/>
        <w:tblCellMar>
          <w:top w:w="0" w:type="dxa"/>
          <w:left w:w="0" w:type="dxa"/>
          <w:bottom w:w="0" w:type="dxa"/>
          <w:right w:w="0" w:type="dxa"/>
        </w:tblCellMar>
        <w:tblLook w:val="01E0"/>
      </w:tblPr>
      <w:tblGrid>
        <w:gridCol w:w="3836"/>
        <w:gridCol w:w="3590"/>
      </w:tblGrid>
      <w:tr>
        <w:trPr>
          <w:trHeight w:val="422"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3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9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15"/>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）资产负债表中“应收票据”和“应收账款”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合并列示为“应收票据及应收账款”；“应付票据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和“应付账款”合并列示为“应付票据及应付账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款”；“应收利息”和“应收股利”并入“其他应</w:t>
            </w:r>
            <w:r>
              <w:rPr>
                <w:rFonts w:ascii="宋体" w:hAnsi="宋体" w:cs="宋体" w:eastAsia="宋体" w:hint="default"/>
                <w:sz w:val="18"/>
                <w:szCs w:val="18"/>
              </w:rPr>
              <w:t> </w:t>
            </w:r>
            <w:r>
              <w:rPr>
                <w:rFonts w:ascii="宋体" w:hAnsi="宋体" w:cs="宋体" w:eastAsia="宋体" w:hint="default"/>
                <w:spacing w:val="-15"/>
                <w:sz w:val="18"/>
                <w:szCs w:val="18"/>
              </w:rPr>
              <w:t>收款”列示；“应付利息”和“应付股利”并入“其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他应付款”列示；“固定资产清理”并入“固定资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产”列示；“工程物资”并入“在建工程”列示</w:t>
            </w:r>
            <w:r>
              <w:rPr>
                <w:rFonts w:ascii="宋体" w:hAnsi="宋体" w:cs="宋体" w:eastAsia="宋体" w:hint="default"/>
                <w:sz w:val="18"/>
                <w:szCs w:val="18"/>
              </w:rPr>
              <w:t> “专项应付款”并入“长期应付款”列示。比较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数据相应调整。</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106" w:right="3033" w:firstLine="110"/>
              <w:jc w:val="left"/>
              <w:rPr>
                <w:rFonts w:ascii="宋体" w:hAnsi="宋体" w:cs="宋体" w:eastAsia="宋体" w:hint="default"/>
                <w:sz w:val="18"/>
                <w:szCs w:val="18"/>
              </w:rPr>
            </w:pPr>
            <w:r>
              <w:rPr>
                <w:rFonts w:ascii="宋体" w:hAnsi="宋体" w:cs="宋体" w:eastAsia="宋体" w:hint="default"/>
                <w:sz w:val="18"/>
                <w:szCs w:val="18"/>
              </w:rPr>
              <w:t>无影响 ”</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7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2"/>
              <w:ind w:left="4" w:right="3"/>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）在利润表中新增“研发费用”项目，将原“管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理费用”中的研发费用重分类至“研发费用”单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独列示；在利润表中财务费用项下新增“其中：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利息费用”和“利息收入”项目。比较数据相应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调整。</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34"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）所有者权益变动表中新增“设定受益计划变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动额结转留存收益”项目。比较数据相应调整。</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612"/>
        <w:jc w:val="left"/>
      </w:pPr>
      <w:r>
        <w:rPr/>
        <w:t>□ 适用 √ 不适用 公司报告期无重大会计差错更正需追溯重述的情况。</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37" w:right="1118" w:hanging="424"/>
        <w:jc w:val="left"/>
      </w:pPr>
      <w:r>
        <w:rPr/>
        <w:t>√ 适用 □ 不适用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5</w:t>
      </w:r>
      <w:r>
        <w:rPr>
          <w:spacing w:val="-2"/>
        </w:rPr>
        <w:t>日经公司第三届董事会第二十八次会议审议通过了《关于出售公司全资子公司西藏群兴文化发展有</w:t>
      </w:r>
    </w:p>
    <w:p>
      <w:pPr>
        <w:pStyle w:val="BodyText"/>
        <w:spacing w:line="224" w:lineRule="exact"/>
        <w:ind w:right="0"/>
        <w:jc w:val="left"/>
      </w:pPr>
      <w:r>
        <w:rPr/>
        <w:t>限责任公司 </w:t>
      </w:r>
      <w:r>
        <w:rPr>
          <w:rFonts w:ascii="宋体" w:hAnsi="宋体" w:cs="宋体" w:eastAsia="宋体" w:hint="default"/>
        </w:rPr>
        <w:t>100%</w:t>
      </w:r>
      <w:r>
        <w:rPr/>
        <w:t>股权的议案</w:t>
      </w:r>
      <w:r>
        <w:rPr>
          <w:spacing w:val="-90"/>
        </w:rPr>
        <w:t>》</w:t>
      </w:r>
      <w:r>
        <w:rPr>
          <w:spacing w:val="-28"/>
        </w:rPr>
        <w:t>，</w:t>
      </w:r>
      <w:r>
        <w:rPr/>
        <w:t>截止报告期末</w:t>
      </w:r>
      <w:r>
        <w:rPr>
          <w:spacing w:val="-28"/>
        </w:rPr>
        <w:t>，</w:t>
      </w:r>
      <w:r>
        <w:rPr/>
        <w:t>西藏群兴不再纳入合并范围</w:t>
      </w:r>
      <w:r>
        <w:rPr>
          <w:spacing w:val="-28"/>
        </w:rPr>
        <w:t>。</w:t>
      </w:r>
      <w:r>
        <w:rPr/>
        <w:t>本报告期只将转让西藏群兴前的利润表和现金</w:t>
      </w:r>
    </w:p>
    <w:p>
      <w:pPr>
        <w:pStyle w:val="BodyText"/>
        <w:spacing w:line="240" w:lineRule="auto" w:before="76"/>
        <w:ind w:right="0"/>
        <w:jc w:val="left"/>
      </w:pPr>
      <w:r>
        <w:rPr/>
        <w:t>流量表纳入合并。</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宋保军、陈延柏</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57" w:lineRule="auto" w:before="117"/>
        <w:ind w:right="6252"/>
        <w:jc w:val="left"/>
      </w:pPr>
      <w:r>
        <w:rPr/>
        <w:t>□ 是 √ 否 聘请内部控制审计会计师事务所、财务顾问或保荐人情况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本报告期公司无重大诉讼、仲裁事项。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872"/>
        <w:jc w:val="left"/>
      </w:pPr>
      <w:r>
        <w:rPr/>
        <w:t>□ 适用 √ 不适用 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152"/>
        <w:jc w:val="left"/>
      </w:pPr>
      <w:r>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公司报告期不存在关联债权债务往来。</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headerReference w:type="default" r:id="rId13"/>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公司报告期不存在承包情况。</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240" w:lineRule="auto" w:before="28"/>
        <w:ind w:right="0"/>
        <w:jc w:val="both"/>
      </w:pPr>
      <w:r>
        <w:rPr>
          <w:rFonts w:ascii="宋体" w:hAnsi="宋体" w:cs="宋体" w:eastAsia="宋体" w:hint="default"/>
        </w:rPr>
        <w:t>1</w:t>
      </w:r>
      <w:r>
        <w:rPr/>
        <w:t>、童乐乐厂房出租，租赁期间：</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日至</w:t>
      </w:r>
      <w:r>
        <w:rPr>
          <w:rFonts w:ascii="宋体" w:hAnsi="宋体" w:cs="宋体" w:eastAsia="宋体" w:hint="default"/>
        </w:rPr>
        <w:t>2023</w:t>
      </w:r>
      <w:r>
        <w:rPr/>
        <w:t>年</w:t>
      </w:r>
      <w:r>
        <w:rPr>
          <w:rFonts w:ascii="宋体" w:hAnsi="宋体" w:cs="宋体" w:eastAsia="宋体" w:hint="default"/>
        </w:rPr>
        <w:t>5</w:t>
      </w:r>
      <w:r>
        <w:rPr/>
        <w:t>月</w:t>
      </w:r>
      <w:r>
        <w:rPr>
          <w:rFonts w:ascii="宋体" w:hAnsi="宋体" w:cs="宋体" w:eastAsia="宋体" w:hint="default"/>
        </w:rPr>
        <w:t>14</w:t>
      </w:r>
      <w:r>
        <w:rPr/>
        <w:t>日，其中</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日至</w:t>
      </w:r>
      <w:r>
        <w:rPr>
          <w:rFonts w:ascii="宋体" w:hAnsi="宋体" w:cs="宋体" w:eastAsia="宋体" w:hint="default"/>
        </w:rPr>
        <w:t>2021</w:t>
      </w:r>
      <w:r>
        <w:rPr/>
        <w:t>年</w:t>
      </w:r>
      <w:r>
        <w:rPr>
          <w:rFonts w:ascii="宋体" w:hAnsi="宋体" w:cs="宋体" w:eastAsia="宋体" w:hint="default"/>
        </w:rPr>
        <w:t>5</w:t>
      </w:r>
      <w:r>
        <w:rPr/>
        <w:t>月</w:t>
      </w:r>
      <w:r>
        <w:rPr>
          <w:rFonts w:ascii="宋体" w:hAnsi="宋体" w:cs="宋体" w:eastAsia="宋体" w:hint="default"/>
        </w:rPr>
        <w:t>14</w:t>
      </w:r>
      <w:r>
        <w:rPr/>
        <w:t>日期间，每月月租金</w:t>
      </w:r>
    </w:p>
    <w:p>
      <w:pPr>
        <w:pStyle w:val="BodyText"/>
        <w:spacing w:line="240" w:lineRule="auto" w:before="76"/>
        <w:ind w:right="0"/>
        <w:jc w:val="both"/>
      </w:pPr>
      <w:r>
        <w:rPr>
          <w:rFonts w:ascii="宋体" w:hAnsi="宋体" w:cs="宋体" w:eastAsia="宋体" w:hint="default"/>
        </w:rPr>
        <w:t>186,708.00</w:t>
      </w:r>
      <w:r>
        <w:rPr/>
        <w:t>元；</w:t>
      </w:r>
      <w:r>
        <w:rPr>
          <w:rFonts w:ascii="宋体" w:hAnsi="宋体" w:cs="宋体" w:eastAsia="宋体" w:hint="default"/>
        </w:rPr>
        <w:t>2021</w:t>
      </w:r>
      <w:r>
        <w:rPr/>
        <w:t>年</w:t>
      </w:r>
      <w:r>
        <w:rPr>
          <w:rFonts w:ascii="宋体" w:hAnsi="宋体" w:cs="宋体" w:eastAsia="宋体" w:hint="default"/>
        </w:rPr>
        <w:t>5</w:t>
      </w:r>
      <w:r>
        <w:rPr/>
        <w:t>月</w:t>
      </w:r>
      <w:r>
        <w:rPr>
          <w:rFonts w:ascii="宋体" w:hAnsi="宋体" w:cs="宋体" w:eastAsia="宋体" w:hint="default"/>
        </w:rPr>
        <w:t>15</w:t>
      </w:r>
      <w:r>
        <w:rPr/>
        <w:t>日至</w:t>
      </w:r>
      <w:r>
        <w:rPr>
          <w:rFonts w:ascii="宋体" w:hAnsi="宋体" w:cs="宋体" w:eastAsia="宋体" w:hint="default"/>
        </w:rPr>
        <w:t>2023</w:t>
      </w:r>
      <w:r>
        <w:rPr/>
        <w:t>年</w:t>
      </w:r>
      <w:r>
        <w:rPr>
          <w:rFonts w:ascii="宋体" w:hAnsi="宋体" w:cs="宋体" w:eastAsia="宋体" w:hint="default"/>
        </w:rPr>
        <w:t>5</w:t>
      </w:r>
      <w:r>
        <w:rPr/>
        <w:t>月</w:t>
      </w:r>
      <w:r>
        <w:rPr>
          <w:rFonts w:ascii="宋体" w:hAnsi="宋体" w:cs="宋体" w:eastAsia="宋体" w:hint="default"/>
        </w:rPr>
        <w:t>14</w:t>
      </w:r>
      <w:r>
        <w:rPr/>
        <w:t>日期间，每月月租金</w:t>
      </w:r>
      <w:r>
        <w:rPr>
          <w:rFonts w:ascii="宋体" w:hAnsi="宋体" w:cs="宋体" w:eastAsia="宋体" w:hint="default"/>
        </w:rPr>
        <w:t>217,826.00</w:t>
      </w:r>
      <w:r>
        <w:rPr/>
        <w:t>元。</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宋体" w:hAnsi="宋体" w:cs="宋体" w:eastAsia="宋体" w:hint="default"/>
        </w:rPr>
        <w:t>2</w:t>
      </w:r>
      <w:r>
        <w:rPr/>
        <w:t>、歌乐宝群兴玩具厂房</w:t>
      </w:r>
      <w:r>
        <w:rPr>
          <w:rFonts w:ascii="宋体" w:hAnsi="宋体" w:cs="宋体" w:eastAsia="宋体" w:hint="default"/>
        </w:rPr>
        <w:t>C</w:t>
      </w:r>
      <w:r>
        <w:rPr/>
        <w:t>幢二层出租，租赁期间：</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日，每月租金</w:t>
      </w:r>
      <w:r>
        <w:rPr>
          <w:rFonts w:ascii="宋体" w:hAnsi="宋体" w:cs="宋体" w:eastAsia="宋体" w:hint="default"/>
        </w:rPr>
        <w:t>12,000.00</w:t>
      </w:r>
      <w:r>
        <w:rPr/>
        <w:t>元。</w:t>
      </w:r>
    </w:p>
    <w:p>
      <w:pPr>
        <w:pStyle w:val="BodyText"/>
        <w:spacing w:line="316" w:lineRule="auto" w:before="76"/>
        <w:ind w:right="0"/>
        <w:jc w:val="left"/>
      </w:pPr>
      <w:r>
        <w:rPr>
          <w:rFonts w:ascii="宋体" w:hAnsi="宋体" w:cs="宋体" w:eastAsia="宋体" w:hint="default"/>
          <w:spacing w:val="-2"/>
        </w:rPr>
        <w:t>3</w:t>
      </w:r>
      <w:r>
        <w:rPr>
          <w:spacing w:val="-2"/>
        </w:rPr>
        <w:t>、歌乐宝群兴工业园</w:t>
      </w:r>
      <w:r>
        <w:rPr>
          <w:rFonts w:ascii="宋体" w:hAnsi="宋体" w:cs="宋体" w:eastAsia="宋体" w:hint="default"/>
          <w:spacing w:val="-2"/>
        </w:rPr>
        <w:t>1</w:t>
      </w:r>
      <w:r>
        <w:rPr>
          <w:spacing w:val="-2"/>
        </w:rPr>
        <w:t>幢出租，租赁期间：</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日，其中</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日，每月月</w:t>
      </w:r>
      <w:r>
        <w:rPr>
          <w:spacing w:val="-37"/>
        </w:rPr>
        <w:t> </w:t>
      </w:r>
      <w:r>
        <w:rPr>
          <w:spacing w:val="-37"/>
        </w:rPr>
      </w:r>
      <w:r>
        <w:rPr/>
        <w:t>租金</w:t>
      </w:r>
      <w:r>
        <w:rPr>
          <w:rFonts w:ascii="宋体" w:hAnsi="宋体" w:cs="宋体" w:eastAsia="宋体" w:hint="default"/>
        </w:rPr>
        <w:t>144,536.00</w:t>
      </w:r>
      <w:r>
        <w:rPr/>
        <w:t>元；</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19</w:t>
      </w:r>
      <w:r>
        <w:rPr/>
        <w:t>日，每月月租金</w:t>
      </w:r>
      <w:r>
        <w:rPr>
          <w:rFonts w:ascii="宋体" w:hAnsi="宋体" w:cs="宋体" w:eastAsia="宋体" w:hint="default"/>
        </w:rPr>
        <w:t>180,670.00</w:t>
      </w:r>
      <w:r>
        <w:rPr/>
        <w:t>元。</w:t>
      </w:r>
    </w:p>
    <w:p>
      <w:pPr>
        <w:spacing w:line="240" w:lineRule="auto" w:before="4"/>
        <w:rPr>
          <w:rFonts w:ascii="宋体" w:hAnsi="宋体" w:cs="宋体" w:eastAsia="宋体" w:hint="default"/>
          <w:sz w:val="25"/>
          <w:szCs w:val="25"/>
        </w:rPr>
      </w:pPr>
    </w:p>
    <w:p>
      <w:pPr>
        <w:pStyle w:val="BodyText"/>
        <w:spacing w:line="316" w:lineRule="auto"/>
        <w:ind w:right="1122"/>
        <w:jc w:val="left"/>
      </w:pPr>
      <w:r>
        <w:rPr>
          <w:rFonts w:ascii="宋体" w:hAnsi="宋体" w:cs="宋体" w:eastAsia="宋体" w:hint="default"/>
        </w:rPr>
        <w:t>4</w:t>
      </w:r>
      <w:r>
        <w:rPr/>
        <w:t>、歌乐宝群兴宿舍楼二层半出租，租赁期间：</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19</w:t>
      </w:r>
      <w:r>
        <w:rPr/>
        <w:t>日，其中</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15</w:t>
      </w:r>
      <w:r>
        <w:rPr/>
        <w:t>日至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14</w:t>
      </w:r>
      <w:r>
        <w:rPr/>
        <w:t>日，每 月月租金</w:t>
      </w:r>
      <w:r>
        <w:rPr>
          <w:rFonts w:ascii="宋体" w:hAnsi="宋体" w:cs="宋体" w:eastAsia="宋体" w:hint="default"/>
        </w:rPr>
        <w:t>21,192.00</w:t>
      </w:r>
      <w:r>
        <w:rPr/>
        <w:t>元；</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19</w:t>
      </w:r>
      <w:r>
        <w:rPr/>
        <w:t>日，每月月租金为</w:t>
      </w:r>
      <w:r>
        <w:rPr>
          <w:rFonts w:ascii="宋体" w:hAnsi="宋体" w:cs="宋体" w:eastAsia="宋体" w:hint="default"/>
        </w:rPr>
        <w:t>24,724.00</w:t>
      </w:r>
      <w:r>
        <w:rPr/>
        <w:t>元。</w:t>
      </w:r>
    </w:p>
    <w:p>
      <w:pPr>
        <w:spacing w:line="240" w:lineRule="auto" w:before="4"/>
        <w:rPr>
          <w:rFonts w:ascii="宋体" w:hAnsi="宋体" w:cs="宋体" w:eastAsia="宋体" w:hint="default"/>
          <w:sz w:val="25"/>
          <w:szCs w:val="25"/>
        </w:rPr>
      </w:pPr>
    </w:p>
    <w:p>
      <w:pPr>
        <w:pStyle w:val="BodyText"/>
        <w:spacing w:line="316" w:lineRule="auto"/>
        <w:ind w:right="1129"/>
        <w:jc w:val="both"/>
      </w:pPr>
      <w:r>
        <w:rPr>
          <w:rFonts w:ascii="宋体" w:hAnsi="宋体" w:cs="宋体" w:eastAsia="宋体" w:hint="default"/>
        </w:rPr>
        <w:t>5</w:t>
      </w:r>
      <w:r>
        <w:rPr/>
        <w:t>、公司在北京租赁了办公楼，租赁期限自</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日，月租金总</w:t>
      </w:r>
      <w:r>
        <w:rPr>
          <w:spacing w:val="-83"/>
        </w:rPr>
        <w:t> </w:t>
      </w:r>
      <w:r>
        <w:rPr>
          <w:spacing w:val="-83"/>
        </w:rPr>
      </w:r>
      <w:r>
        <w:rPr>
          <w:spacing w:val="-2"/>
        </w:rPr>
        <w:t>额为</w:t>
      </w:r>
      <w:r>
        <w:rPr>
          <w:rFonts w:ascii="宋体" w:hAnsi="宋体" w:cs="宋体" w:eastAsia="宋体" w:hint="default"/>
          <w:spacing w:val="-2"/>
        </w:rPr>
        <w:t>123,000</w:t>
      </w:r>
      <w:r>
        <w:rPr>
          <w:spacing w:val="-2"/>
        </w:rPr>
        <w:t>元；</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日，月租金总额为</w:t>
      </w:r>
      <w:r>
        <w:rPr>
          <w:rFonts w:ascii="宋体" w:hAnsi="宋体" w:cs="宋体" w:eastAsia="宋体" w:hint="default"/>
          <w:spacing w:val="-2"/>
        </w:rPr>
        <w:t>129,150</w:t>
      </w:r>
      <w:r>
        <w:rPr>
          <w:spacing w:val="-2"/>
        </w:rPr>
        <w:t>元；</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日，月租金总</w:t>
      </w:r>
      <w:r>
        <w:rPr>
          <w:spacing w:val="-23"/>
        </w:rPr>
        <w:t> </w:t>
      </w:r>
      <w:r>
        <w:rPr>
          <w:spacing w:val="-23"/>
        </w:rPr>
      </w:r>
      <w:r>
        <w:rPr/>
        <w:t>额为</w:t>
      </w:r>
      <w:r>
        <w:rPr>
          <w:rFonts w:ascii="宋体" w:hAnsi="宋体" w:cs="宋体" w:eastAsia="宋体" w:hint="default"/>
        </w:rPr>
        <w:t>135,300</w:t>
      </w:r>
      <w:r>
        <w:rPr/>
        <w:t>元。</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宋体" w:hAnsi="宋体" w:cs="宋体" w:eastAsia="宋体" w:hint="default"/>
        </w:rPr>
        <w:t>6</w:t>
      </w:r>
      <w:r>
        <w:rPr/>
        <w:t>、公司原子公司西藏群兴在西藏拉萨租赁了办公楼，</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30</w:t>
      </w:r>
      <w:r>
        <w:rPr/>
        <w:t>日，每年含税租赁费用</w:t>
      </w:r>
      <w:r>
        <w:rPr>
          <w:rFonts w:ascii="宋体" w:hAnsi="宋体" w:cs="宋体" w:eastAsia="宋体" w:hint="default"/>
        </w:rPr>
        <w:t>13,000</w:t>
      </w:r>
      <w:r>
        <w:rPr/>
        <w:t>元。</w:t>
      </w:r>
    </w:p>
    <w:p>
      <w:pPr>
        <w:spacing w:line="240" w:lineRule="auto" w:before="0"/>
        <w:rPr>
          <w:rFonts w:ascii="宋体" w:hAnsi="宋体" w:cs="宋体" w:eastAsia="宋体" w:hint="default"/>
          <w:sz w:val="18"/>
          <w:szCs w:val="18"/>
        </w:rPr>
      </w:pPr>
    </w:p>
    <w:p>
      <w:pPr>
        <w:pStyle w:val="BodyText"/>
        <w:spacing w:line="360" w:lineRule="auto" w:before="153"/>
        <w:ind w:right="1752"/>
        <w:jc w:val="left"/>
      </w:pPr>
      <w:r>
        <w:rPr>
          <w:rFonts w:ascii="宋体" w:hAnsi="宋体" w:cs="宋体" w:eastAsia="宋体" w:hint="default"/>
        </w:rPr>
        <w:t>7</w:t>
      </w:r>
      <w:r>
        <w:rPr/>
        <w:t>、公司子公司西藏蓝道在西藏拉萨租赁了办公楼，租赁期限自</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日至</w:t>
      </w:r>
      <w:r>
        <w:rPr>
          <w:rFonts w:ascii="宋体" w:hAnsi="宋体" w:cs="宋体" w:eastAsia="宋体" w:hint="default"/>
        </w:rPr>
        <w:t>2019</w:t>
      </w:r>
      <w:r>
        <w:rPr/>
        <w:t>年</w:t>
      </w:r>
      <w:r>
        <w:rPr>
          <w:rFonts w:ascii="宋体" w:hAnsi="宋体" w:cs="宋体" w:eastAsia="宋体" w:hint="default"/>
        </w:rPr>
        <w:t>04</w:t>
      </w:r>
      <w:r>
        <w:rPr/>
        <w:t>月</w:t>
      </w:r>
      <w:r>
        <w:rPr>
          <w:rFonts w:ascii="宋体" w:hAnsi="宋体" w:cs="宋体" w:eastAsia="宋体" w:hint="default"/>
        </w:rPr>
        <w:t>20</w:t>
      </w:r>
      <w:r>
        <w:rPr/>
        <w:t>日，月租金</w:t>
      </w:r>
      <w:r>
        <w:rPr>
          <w:rFonts w:ascii="宋体" w:hAnsi="宋体" w:cs="宋体" w:eastAsia="宋体" w:hint="default"/>
        </w:rPr>
        <w:t>1500</w:t>
      </w:r>
      <w:r>
        <w:rPr/>
        <w:t>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
        <w:ind w:right="0"/>
        <w:jc w:val="both"/>
      </w:pPr>
      <w:r>
        <w:rPr/>
        <w:t>□ 适用 √ 不适用</w:t>
      </w:r>
    </w:p>
    <w:p>
      <w:pPr>
        <w:pStyle w:val="BodyText"/>
        <w:spacing w:line="240" w:lineRule="auto" w:before="117"/>
        <w:ind w:right="0"/>
        <w:jc w:val="both"/>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公司报告期不存在担保情况。</w:t>
      </w:r>
    </w:p>
    <w:p>
      <w:pPr>
        <w:spacing w:line="240" w:lineRule="auto" w:before="13"/>
        <w:rPr>
          <w:rFonts w:ascii="宋体" w:hAnsi="宋体" w:cs="宋体" w:eastAsia="宋体" w:hint="default"/>
          <w:sz w:val="19"/>
          <w:szCs w:val="19"/>
        </w:rPr>
      </w:pPr>
    </w:p>
    <w:p>
      <w:pPr>
        <w:pStyle w:val="Heading4"/>
        <w:spacing w:line="240" w:lineRule="auto"/>
        <w:ind w:right="0"/>
        <w:jc w:val="both"/>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公司报告期不存在委托理财。</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八、社会责任情况" w:id="93"/>
      <w:bookmarkEnd w:id="93"/>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4"/>
      <w:bookmarkEnd w:id="94"/>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报告期内公司按照国家有关法律法规、规范性文件要求，坚持公司和社会共同发展，不断加强和完善内部控制，注重安</w:t>
      </w:r>
      <w:r>
        <w:rPr/>
        <w:t> 全生产、产品质量、环境保护和职工、投资者的合法利益，积极履行社会责任，促进公司与社会、自然的和谐发展。</w:t>
      </w:r>
    </w:p>
    <w:p>
      <w:pPr>
        <w:pStyle w:val="BodyText"/>
        <w:spacing w:line="316" w:lineRule="auto" w:before="19"/>
        <w:ind w:right="1132" w:firstLine="360"/>
        <w:jc w:val="both"/>
      </w:pPr>
      <w:r>
        <w:rPr>
          <w:spacing w:val="-2"/>
        </w:rPr>
        <w:t>公司重视企业社会价值的实现，并一直秉承“质量为本、信誉为魂、追求卓著、独树品牌”的可持续发展理念，重视研</w:t>
      </w:r>
      <w:r>
        <w:rPr/>
        <w:t> 发及生产优质玩具、践行企业社会责任。</w:t>
      </w:r>
    </w:p>
    <w:p>
      <w:pPr>
        <w:pStyle w:val="BodyText"/>
        <w:spacing w:line="316" w:lineRule="auto" w:before="19"/>
        <w:ind w:right="1131" w:firstLine="360"/>
        <w:jc w:val="both"/>
      </w:pPr>
      <w:r>
        <w:rPr/>
        <w:t>公司把“发展产业</w:t>
      </w:r>
      <w:r>
        <w:rPr>
          <w:rFonts w:ascii="宋体" w:hAnsi="宋体" w:cs="宋体" w:eastAsia="宋体" w:hint="default"/>
        </w:rPr>
        <w:t>,</w:t>
      </w:r>
      <w:r>
        <w:rPr/>
        <w:t>回报社会”作为企业使命，在发展过程中积极实践自身的社会责任，持续支持员工扶贫、慈善助学 事业，在教育、文化、救灾、援助等领域不断投入，为社会奉献自己的一份微薄之力。</w:t>
      </w:r>
    </w:p>
    <w:p>
      <w:pPr>
        <w:pStyle w:val="BodyText"/>
        <w:spacing w:line="316" w:lineRule="auto" w:before="19"/>
        <w:ind w:right="1132" w:firstLine="360"/>
        <w:jc w:val="both"/>
      </w:pPr>
      <w:r>
        <w:rPr>
          <w:spacing w:val="-2"/>
        </w:rPr>
        <w:t>保障股东的利益是公司最基本的社会责任，公司建立了较为完善的公司治理结构，形成了完整的内部控制制度，报告期</w:t>
      </w:r>
      <w:r>
        <w:rPr/>
        <w:t> </w:t>
      </w:r>
      <w:r>
        <w:rPr>
          <w:spacing w:val="-8"/>
        </w:rPr>
        <w:t>内，公司根据《公司法》、《证券法》、《上市公司治理准则》等法律法规，不断完善公司治理，进一步修订了《公司章程》及</w:t>
      </w:r>
      <w:r>
        <w:rPr/>
        <w:t> </w:t>
      </w:r>
      <w:r>
        <w:rPr>
          <w:spacing w:val="-2"/>
        </w:rPr>
        <w:t>其他相关制度，改善内部控制，建立了以《公司章程》为基础的内控体系，形成了以股东大会、董事会、监事会及管理层为</w:t>
      </w:r>
      <w:r>
        <w:rPr>
          <w:spacing w:val="-71"/>
        </w:rPr>
        <w:t> </w:t>
      </w:r>
      <w:r>
        <w:rPr>
          <w:spacing w:val="-71"/>
        </w:rPr>
      </w:r>
      <w:r>
        <w:rPr/>
        <w:t>主体结构的决策与经营体系，切实保障股东特别是中小股东的利益。</w:t>
      </w:r>
    </w:p>
    <w:p>
      <w:pPr>
        <w:pStyle w:val="BodyText"/>
        <w:spacing w:line="316" w:lineRule="auto" w:before="19"/>
        <w:ind w:right="1132" w:firstLine="360"/>
        <w:jc w:val="both"/>
      </w:pPr>
      <w:r>
        <w:rPr>
          <w:spacing w:val="-7"/>
        </w:rPr>
        <w:t>公司《</w:t>
      </w:r>
      <w:r>
        <w:rPr>
          <w:rFonts w:ascii="宋体" w:hAnsi="宋体" w:cs="宋体" w:eastAsia="宋体" w:hint="default"/>
          <w:spacing w:val="-7"/>
        </w:rPr>
        <w:t>2018~2020</w:t>
      </w:r>
      <w:r>
        <w:rPr>
          <w:spacing w:val="-7"/>
        </w:rPr>
        <w:t>年股东回报规划》、《公司章程》、《分红管理制度》规定公司足额提取法定公积金、任意公积金以后，</w:t>
      </w:r>
      <w:r>
        <w:rPr/>
        <w:t> 最近三年以现金方式累计分配的利润不少于最近三年实现的年均可分配利润的</w:t>
      </w:r>
      <w:r>
        <w:rPr>
          <w:rFonts w:ascii="宋体" w:hAnsi="宋体" w:cs="宋体" w:eastAsia="宋体" w:hint="default"/>
        </w:rPr>
        <w:t>30%</w:t>
      </w:r>
      <w:r>
        <w:rPr/>
        <w:t>。</w:t>
      </w:r>
    </w:p>
    <w:p>
      <w:pPr>
        <w:pStyle w:val="BodyText"/>
        <w:spacing w:line="319" w:lineRule="auto" w:before="19"/>
        <w:ind w:right="1042" w:firstLine="360"/>
        <w:jc w:val="left"/>
      </w:pPr>
      <w:r>
        <w:rPr>
          <w:spacing w:val="-10"/>
        </w:rPr>
        <w:t>公司严格遵守《劳动法》、《劳动合同法》、《妇女权益保护法》等相关法律法规，严格执行国家用工制度和劳动保障制度，</w:t>
      </w:r>
      <w:r>
        <w:rPr/>
        <w:t> </w:t>
      </w:r>
      <w:r>
        <w:rPr>
          <w:spacing w:val="-2"/>
        </w:rPr>
        <w:t>尊重和维护员工的个人权益，切实关注员工健康、安全和满意度，重视人才培训和培养，实现员工与企业的共同成长，认真</w:t>
      </w:r>
      <w:r>
        <w:rPr>
          <w:spacing w:val="-66"/>
        </w:rPr>
        <w:t> </w:t>
      </w:r>
      <w:r>
        <w:rPr>
          <w:spacing w:val="-66"/>
        </w:rPr>
      </w:r>
      <w:r>
        <w:rPr/>
        <w:t>保障企业员工的各项权益，履行企业的责任。</w:t>
      </w:r>
    </w:p>
    <w:p>
      <w:pPr>
        <w:pStyle w:val="BodyText"/>
        <w:spacing w:line="316" w:lineRule="auto" w:before="17"/>
        <w:ind w:right="1133" w:firstLine="360"/>
        <w:jc w:val="both"/>
      </w:pPr>
      <w:r>
        <w:rPr>
          <w:spacing w:val="-9"/>
        </w:rPr>
        <w:t>公司及其子公司在日常生产经营中认真执行《中华人民共和国环境保护法》、《中华人民共和国水污染防治法》、《中华人</w:t>
      </w:r>
      <w:r>
        <w:rPr/>
        <w:t> </w:t>
      </w:r>
      <w:r>
        <w:rPr>
          <w:spacing w:val="-8"/>
        </w:rPr>
        <w:t>民共和国大气污染防治法》、《中华人民共和国环境噪声污染防治法》、《中华人民共和国固体废物污染防治法》等环保方面的</w:t>
      </w:r>
      <w:r>
        <w:rPr>
          <w:spacing w:val="-86"/>
        </w:rPr>
        <w:t> </w:t>
      </w:r>
      <w:r>
        <w:rPr>
          <w:spacing w:val="-86"/>
        </w:rPr>
      </w:r>
      <w:r>
        <w:rPr/>
        <w:t>法律法规，报告期内未出现因违法违规而受到处罚的情况。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公司报告年度暂未开展精准扶贫工作，后续公司将视具体情况，积极参与国家精准扶贫计划。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96"/>
      <w:bookmarkEnd w:id="9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357" w:lineRule="auto" w:before="28"/>
        <w:ind w:left="474" w:right="0"/>
        <w:jc w:val="left"/>
      </w:pPr>
      <w:r>
        <w:rPr/>
        <w:t>经公司核查，公司及其控股子公司不属于汕头市重点排污单位。 </w:t>
      </w:r>
      <w:r>
        <w:rPr>
          <w:spacing w:val="-9"/>
        </w:rPr>
        <w:t>公司及其子公司在日常生产经营中认真执行《中华人民共和国环境保护法》、《中华人民共和国水污染防治法》、《中华人</w:t>
      </w:r>
    </w:p>
    <w:p>
      <w:pPr>
        <w:pStyle w:val="BodyText"/>
        <w:spacing w:line="224" w:lineRule="exact"/>
        <w:ind w:right="0"/>
        <w:jc w:val="left"/>
      </w:pPr>
      <w:r>
        <w:rPr/>
        <w:t>民共和国大气污染防治法</w:t>
      </w:r>
      <w:r>
        <w:rPr>
          <w:spacing w:val="-90"/>
        </w:rPr>
        <w:t>》</w:t>
      </w:r>
      <w:r>
        <w:rPr>
          <w:spacing w:val="-118"/>
        </w:rPr>
        <w:t>、</w:t>
      </w:r>
      <w:r>
        <w:rPr/>
        <w:t>《中华人民共和国环境噪声污染防治法</w:t>
      </w:r>
      <w:r>
        <w:rPr>
          <w:spacing w:val="-90"/>
        </w:rPr>
        <w:t>》</w:t>
      </w:r>
      <w:r>
        <w:rPr>
          <w:spacing w:val="-118"/>
        </w:rPr>
        <w:t>、</w:t>
      </w:r>
      <w:r>
        <w:rPr/>
        <w:t>《中华人民共和国固体废物污染防治法</w:t>
      </w:r>
      <w:r>
        <w:rPr>
          <w:spacing w:val="-28"/>
        </w:rPr>
        <w:t>》</w:t>
      </w:r>
      <w:r>
        <w:rPr/>
        <w:t>等环保方面的</w:t>
      </w:r>
    </w:p>
    <w:p>
      <w:pPr>
        <w:pStyle w:val="BodyText"/>
        <w:spacing w:line="240" w:lineRule="auto" w:before="78"/>
        <w:ind w:right="0"/>
        <w:jc w:val="left"/>
      </w:pPr>
      <w:r>
        <w:rPr/>
        <w:t>法律法规，报告期内未出现因违法违规而受到处罚的情况。</w:t>
      </w:r>
    </w:p>
    <w:p>
      <w:pPr>
        <w:spacing w:after="0" w:line="240" w:lineRule="auto"/>
        <w:jc w:val="left"/>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both"/>
        <w:rPr>
          <w:b w:val="0"/>
          <w:bCs w:val="0"/>
        </w:rPr>
      </w:pPr>
      <w:bookmarkStart w:name="十九、其他重大事项的说明" w:id="97"/>
      <w:bookmarkEnd w:id="97"/>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4" w:right="8322" w:hanging="360"/>
        <w:jc w:val="left"/>
      </w:pPr>
      <w:r>
        <w:rPr/>
        <w:t>√ 适用 □ 不适用 </w:t>
      </w:r>
      <w:r>
        <w:rPr>
          <w:rFonts w:ascii="宋体" w:hAnsi="宋体" w:cs="宋体" w:eastAsia="宋体" w:hint="default"/>
        </w:rPr>
        <w:t>1</w:t>
      </w:r>
      <w:r>
        <w:rPr/>
        <w:t>、公司重大资产出售事项</w:t>
      </w:r>
    </w:p>
    <w:p>
      <w:pPr>
        <w:pStyle w:val="BodyText"/>
        <w:spacing w:line="238" w:lineRule="exact"/>
        <w:ind w:left="414"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日发布了《广东群兴玩具股份有限公司关于转让广东粤科融资租赁有限公司</w:t>
      </w:r>
      <w:r>
        <w:rPr>
          <w:rFonts w:ascii="Times New Roman" w:hAnsi="Times New Roman" w:cs="Times New Roman" w:eastAsia="Times New Roman" w:hint="default"/>
        </w:rPr>
        <w:t>20%</w:t>
      </w:r>
      <w:r>
        <w:rPr/>
        <w:t>股权首轮公开征集</w:t>
      </w:r>
    </w:p>
    <w:p>
      <w:pPr>
        <w:pStyle w:val="BodyText"/>
        <w:spacing w:line="240" w:lineRule="auto" w:before="63"/>
        <w:ind w:right="0"/>
        <w:jc w:val="both"/>
      </w:pPr>
      <w:r>
        <w:rPr/>
        <w:t>受让方的公告</w:t>
      </w:r>
      <w:r>
        <w:rPr>
          <w:spacing w:val="-90"/>
        </w:rPr>
        <w:t>》</w:t>
      </w:r>
      <w:r>
        <w:rPr/>
        <w:t>（公告编号：</w:t>
      </w:r>
      <w:r>
        <w:rPr>
          <w:rFonts w:ascii="Times New Roman" w:hAnsi="Times New Roman" w:cs="Times New Roman" w:eastAsia="Times New Roman" w:hint="default"/>
        </w:rPr>
        <w:t>2017-</w:t>
      </w:r>
      <w:r>
        <w:rPr>
          <w:rFonts w:ascii="Times New Roman" w:hAnsi="Times New Roman" w:cs="Times New Roman" w:eastAsia="Times New Roman" w:hint="default"/>
          <w:spacing w:val="-8"/>
        </w:rPr>
        <w:t>1</w:t>
      </w:r>
      <w:r>
        <w:rPr>
          <w:rFonts w:ascii="Times New Roman" w:hAnsi="Times New Roman" w:cs="Times New Roman" w:eastAsia="Times New Roman" w:hint="default"/>
        </w:rPr>
        <w:t>12</w:t>
      </w:r>
      <w:r>
        <w:rPr>
          <w:spacing w:val="-90"/>
        </w:rPr>
        <w:t>）</w:t>
      </w:r>
      <w:r>
        <w:rPr/>
        <w:t>，拟通过向社会公开征集受让方方式出售公司持有的粤科租赁</w:t>
      </w:r>
      <w:r>
        <w:rPr>
          <w:rFonts w:ascii="Times New Roman" w:hAnsi="Times New Roman" w:cs="Times New Roman" w:eastAsia="Times New Roman" w:hint="default"/>
        </w:rPr>
        <w:t>20%</w:t>
      </w:r>
      <w:r>
        <w:rPr/>
        <w:t>股权。</w:t>
      </w:r>
    </w:p>
    <w:p>
      <w:pPr>
        <w:pStyle w:val="BodyText"/>
        <w:spacing w:line="302" w:lineRule="auto" w:before="103"/>
        <w:ind w:right="1132" w:firstLine="360"/>
        <w:jc w:val="both"/>
      </w:pP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9</w:t>
      </w:r>
      <w:r>
        <w:rPr>
          <w:spacing w:val="-7"/>
        </w:rPr>
        <w:t>日公司披露了《关于转让广东粤科融资租赁有限公司</w:t>
      </w:r>
      <w:r>
        <w:rPr>
          <w:rFonts w:ascii="Times New Roman" w:hAnsi="Times New Roman" w:cs="Times New Roman" w:eastAsia="Times New Roman" w:hint="default"/>
          <w:spacing w:val="-7"/>
        </w:rPr>
        <w:t>20%</w:t>
      </w:r>
      <w:r>
        <w:rPr>
          <w:spacing w:val="-7"/>
        </w:rPr>
        <w:t>股权首轮公开征集受让方结果的公告》（</w:t>
      </w:r>
      <w:r>
        <w:rPr>
          <w:rFonts w:ascii="Times New Roman" w:hAnsi="Times New Roman" w:cs="Times New Roman" w:eastAsia="Times New Roman" w:hint="default"/>
          <w:spacing w:val="-7"/>
        </w:rPr>
        <w:t>2018-004</w:t>
      </w:r>
      <w:r>
        <w:rPr>
          <w:spacing w:val="-7"/>
        </w:rPr>
        <w:t>）。</w:t>
      </w:r>
      <w:r>
        <w:rPr>
          <w:spacing w:val="-90"/>
        </w:rPr>
        <w:t> </w:t>
      </w:r>
      <w:r>
        <w:rPr/>
        <w:t>截至本报告日，该股权转让事宜正常推进中。</w:t>
      </w:r>
    </w:p>
    <w:p>
      <w:pPr>
        <w:pStyle w:val="BodyText"/>
        <w:spacing w:line="357" w:lineRule="auto" w:before="69"/>
        <w:ind w:left="474" w:right="1122"/>
        <w:jc w:val="left"/>
      </w:pPr>
      <w:r>
        <w:rPr>
          <w:rFonts w:ascii="宋体" w:hAnsi="宋体" w:cs="宋体" w:eastAsia="宋体" w:hint="default"/>
        </w:rPr>
        <w:t>2</w:t>
      </w:r>
      <w:r>
        <w:rPr/>
        <w:t>、控股权转让事项 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5</w:t>
      </w:r>
      <w:r>
        <w:rPr/>
        <w:t>日发布了《关于公司控股股东协议转让股份及委托股票表决权暨实际控制人拟发生变更的提示性公</w:t>
      </w:r>
    </w:p>
    <w:p>
      <w:pPr>
        <w:pStyle w:val="BodyText"/>
        <w:spacing w:line="224" w:lineRule="exact"/>
        <w:ind w:right="0"/>
        <w:jc w:val="both"/>
      </w:pPr>
      <w:r>
        <w:rPr>
          <w:spacing w:val="3"/>
        </w:rPr>
        <w:t>告</w:t>
      </w:r>
      <w:r>
        <w:rPr>
          <w:spacing w:val="-87"/>
        </w:rPr>
        <w:t>》</w:t>
      </w:r>
      <w:r>
        <w:rPr>
          <w:spacing w:val="4"/>
        </w:rPr>
        <w:t>（</w:t>
      </w:r>
      <w:r>
        <w:rPr>
          <w:spacing w:val="3"/>
        </w:rPr>
        <w:t>公</w:t>
      </w:r>
      <w:r>
        <w:rPr>
          <w:spacing w:val="4"/>
        </w:rPr>
        <w:t>告</w:t>
      </w:r>
      <w:r>
        <w:rPr>
          <w:spacing w:val="3"/>
        </w:rPr>
        <w:t>编</w:t>
      </w:r>
      <w:r>
        <w:rPr>
          <w:spacing w:val="4"/>
        </w:rPr>
        <w:t>号：</w:t>
      </w:r>
      <w:r>
        <w:rPr>
          <w:rFonts w:ascii="宋体" w:hAnsi="宋体" w:cs="宋体" w:eastAsia="宋体" w:hint="default"/>
        </w:rPr>
        <w:t>2018-07</w:t>
      </w:r>
      <w:r>
        <w:rPr>
          <w:rFonts w:ascii="宋体" w:hAnsi="宋体" w:cs="宋体" w:eastAsia="宋体" w:hint="default"/>
          <w:spacing w:val="3"/>
        </w:rPr>
        <w:t>2</w:t>
      </w:r>
      <w:r>
        <w:rPr>
          <w:spacing w:val="-86"/>
        </w:rPr>
        <w:t>）</w:t>
      </w:r>
      <w:r>
        <w:rPr>
          <w:spacing w:val="4"/>
        </w:rPr>
        <w:t>，</w:t>
      </w:r>
      <w:r>
        <w:rPr>
          <w:spacing w:val="3"/>
        </w:rPr>
        <w:t>原控</w:t>
      </w:r>
      <w:r>
        <w:rPr>
          <w:spacing w:val="4"/>
        </w:rPr>
        <w:t>股</w:t>
      </w:r>
      <w:r>
        <w:rPr>
          <w:spacing w:val="3"/>
        </w:rPr>
        <w:t>股</w:t>
      </w:r>
      <w:r>
        <w:rPr>
          <w:spacing w:val="5"/>
        </w:rPr>
        <w:t>东</w:t>
      </w:r>
      <w:r>
        <w:rPr>
          <w:spacing w:val="4"/>
        </w:rPr>
        <w:t>群</w:t>
      </w:r>
      <w:r>
        <w:rPr>
          <w:spacing w:val="3"/>
        </w:rPr>
        <w:t>兴投</w:t>
      </w:r>
      <w:r>
        <w:rPr>
          <w:spacing w:val="4"/>
        </w:rPr>
        <w:t>资</w:t>
      </w:r>
      <w:r>
        <w:rPr>
          <w:spacing w:val="3"/>
        </w:rPr>
        <w:t>拟</w:t>
      </w:r>
      <w:r>
        <w:rPr>
          <w:spacing w:val="4"/>
        </w:rPr>
        <w:t>将所</w:t>
      </w:r>
      <w:r>
        <w:rPr>
          <w:spacing w:val="3"/>
        </w:rPr>
        <w:t>持有</w:t>
      </w:r>
      <w:r>
        <w:rPr>
          <w:spacing w:val="4"/>
        </w:rPr>
        <w:t>的</w:t>
      </w:r>
      <w:r>
        <w:rPr>
          <w:spacing w:val="3"/>
        </w:rPr>
        <w:t>公</w:t>
      </w:r>
      <w:r>
        <w:rPr>
          <w:spacing w:val="5"/>
        </w:rPr>
        <w:t>司</w:t>
      </w:r>
      <w:r>
        <w:rPr>
          <w:rFonts w:ascii="宋体" w:hAnsi="宋体" w:cs="宋体" w:eastAsia="宋体" w:hint="default"/>
        </w:rPr>
        <w:t>11</w:t>
      </w:r>
      <w:r>
        <w:rPr>
          <w:rFonts w:ascii="宋体" w:hAnsi="宋体" w:cs="宋体" w:eastAsia="宋体" w:hint="default"/>
          <w:spacing w:val="1"/>
        </w:rPr>
        <w:t>7</w:t>
      </w:r>
      <w:r>
        <w:rPr>
          <w:rFonts w:ascii="宋体" w:hAnsi="宋体" w:cs="宋体" w:eastAsia="宋体" w:hint="default"/>
        </w:rPr>
        <w:t>,750,00</w:t>
      </w:r>
      <w:r>
        <w:rPr>
          <w:rFonts w:ascii="宋体" w:hAnsi="宋体" w:cs="宋体" w:eastAsia="宋体" w:hint="default"/>
          <w:spacing w:val="3"/>
        </w:rPr>
        <w:t>0</w:t>
      </w:r>
      <w:r>
        <w:rPr>
          <w:spacing w:val="3"/>
        </w:rPr>
        <w:t>股</w:t>
      </w:r>
      <w:r>
        <w:rPr>
          <w:spacing w:val="4"/>
        </w:rPr>
        <w:t>无</w:t>
      </w:r>
      <w:r>
        <w:rPr>
          <w:spacing w:val="3"/>
        </w:rPr>
        <w:t>限售</w:t>
      </w:r>
      <w:r>
        <w:rPr>
          <w:spacing w:val="4"/>
        </w:rPr>
        <w:t>流</w:t>
      </w:r>
      <w:r>
        <w:rPr>
          <w:spacing w:val="3"/>
        </w:rPr>
        <w:t>通</w:t>
      </w:r>
      <w:r>
        <w:rPr>
          <w:spacing w:val="4"/>
        </w:rPr>
        <w:t>股（</w:t>
      </w:r>
      <w:r>
        <w:rPr>
          <w:spacing w:val="3"/>
        </w:rPr>
        <w:t>合计</w:t>
      </w:r>
      <w:r>
        <w:rPr>
          <w:spacing w:val="4"/>
        </w:rPr>
        <w:t>占</w:t>
      </w:r>
      <w:r>
        <w:rPr>
          <w:spacing w:val="3"/>
        </w:rPr>
        <w:t>公</w:t>
      </w:r>
      <w:r>
        <w:rPr>
          <w:spacing w:val="4"/>
        </w:rPr>
        <w:t>司总</w:t>
      </w:r>
      <w:r>
        <w:rPr>
          <w:spacing w:val="3"/>
        </w:rPr>
        <w:t>股本</w:t>
      </w:r>
      <w:r>
        <w:rPr/>
        <w:t>的</w:t>
      </w:r>
    </w:p>
    <w:p>
      <w:pPr>
        <w:pStyle w:val="BodyText"/>
        <w:spacing w:line="319" w:lineRule="auto" w:before="76"/>
        <w:ind w:right="1130"/>
        <w:jc w:val="both"/>
      </w:pPr>
      <w:r>
        <w:rPr>
          <w:rFonts w:ascii="宋体" w:hAnsi="宋体" w:cs="宋体" w:eastAsia="宋体" w:hint="default"/>
          <w:spacing w:val="-2"/>
        </w:rPr>
        <w:t>20.00%</w:t>
      </w:r>
      <w:r>
        <w:rPr>
          <w:spacing w:val="-2"/>
        </w:rPr>
        <w:t>）协议转让给王叁寿实际控制的深圳星河、成都星河以及北京九连环，其中深圳星河受让</w:t>
      </w:r>
      <w:r>
        <w:rPr>
          <w:rFonts w:ascii="宋体" w:hAnsi="宋体" w:cs="宋体" w:eastAsia="宋体" w:hint="default"/>
          <w:spacing w:val="-2"/>
        </w:rPr>
        <w:t>50,470,000</w:t>
      </w:r>
      <w:r>
        <w:rPr>
          <w:spacing w:val="-2"/>
        </w:rPr>
        <w:t>股股票（占公司</w:t>
      </w:r>
      <w:r>
        <w:rPr>
          <w:spacing w:val="-50"/>
        </w:rPr>
        <w:t> </w:t>
      </w:r>
      <w:r>
        <w:rPr>
          <w:spacing w:val="-50"/>
        </w:rPr>
      </w:r>
      <w:r>
        <w:rPr>
          <w:spacing w:val="-4"/>
        </w:rPr>
        <w:t>总股本的</w:t>
      </w:r>
      <w:r>
        <w:rPr>
          <w:rFonts w:ascii="宋体" w:hAnsi="宋体" w:cs="宋体" w:eastAsia="宋体" w:hint="default"/>
          <w:spacing w:val="-4"/>
        </w:rPr>
        <w:t>8.572%</w:t>
      </w:r>
      <w:r>
        <w:rPr>
          <w:spacing w:val="-4"/>
        </w:rPr>
        <w:t>）、成都星河受让</w:t>
      </w:r>
      <w:r>
        <w:rPr>
          <w:rFonts w:ascii="宋体" w:hAnsi="宋体" w:cs="宋体" w:eastAsia="宋体" w:hint="default"/>
          <w:spacing w:val="-4"/>
        </w:rPr>
        <w:t>33,640,000</w:t>
      </w:r>
      <w:r>
        <w:rPr>
          <w:spacing w:val="-4"/>
        </w:rPr>
        <w:t>股股票（占公司总股本的</w:t>
      </w:r>
      <w:r>
        <w:rPr>
          <w:rFonts w:ascii="宋体" w:hAnsi="宋体" w:cs="宋体" w:eastAsia="宋体" w:hint="default"/>
          <w:spacing w:val="-4"/>
        </w:rPr>
        <w:t>5.714%</w:t>
      </w:r>
      <w:r>
        <w:rPr>
          <w:spacing w:val="-4"/>
        </w:rPr>
        <w:t>）、北京九连环受让</w:t>
      </w:r>
      <w:r>
        <w:rPr>
          <w:rFonts w:ascii="宋体" w:hAnsi="宋体" w:cs="宋体" w:eastAsia="宋体" w:hint="default"/>
          <w:spacing w:val="-4"/>
        </w:rPr>
        <w:t>33,640,000</w:t>
      </w:r>
      <w:r>
        <w:rPr>
          <w:spacing w:val="-4"/>
        </w:rPr>
        <w:t>股股票（占公司</w:t>
      </w:r>
      <w:r>
        <w:rPr>
          <w:spacing w:val="-71"/>
        </w:rPr>
        <w:t> </w:t>
      </w:r>
      <w:r>
        <w:rPr>
          <w:spacing w:val="-71"/>
        </w:rPr>
      </w:r>
      <w:r>
        <w:rPr>
          <w:spacing w:val="-5"/>
        </w:rPr>
        <w:t>总股本的</w:t>
      </w:r>
      <w:r>
        <w:rPr>
          <w:rFonts w:ascii="宋体" w:hAnsi="宋体" w:cs="宋体" w:eastAsia="宋体" w:hint="default"/>
          <w:spacing w:val="-5"/>
        </w:rPr>
        <w:t>5.714%</w:t>
      </w:r>
      <w:r>
        <w:rPr>
          <w:spacing w:val="-5"/>
        </w:rPr>
        <w:t>），同时群兴投资于与成都星河签署《股东表决权委托协议》，群兴投资同意将所持有的公司</w:t>
      </w:r>
      <w:r>
        <w:rPr>
          <w:rFonts w:ascii="宋体" w:hAnsi="宋体" w:cs="宋体" w:eastAsia="宋体" w:hint="default"/>
          <w:spacing w:val="-5"/>
        </w:rPr>
        <w:t>58,000,000</w:t>
      </w:r>
      <w:r>
        <w:rPr>
          <w:spacing w:val="-5"/>
        </w:rPr>
        <w:t>股股</w:t>
      </w:r>
      <w:r>
        <w:rPr>
          <w:spacing w:val="-39"/>
        </w:rPr>
        <w:t> </w:t>
      </w:r>
      <w:r>
        <w:rPr/>
        <w:t>票的表决权无偿、不可撤销的委托给成都星河行使。</w:t>
      </w:r>
    </w:p>
    <w:p>
      <w:pPr>
        <w:pStyle w:val="BodyText"/>
        <w:spacing w:line="316" w:lineRule="auto" w:before="56"/>
        <w:ind w:right="1129" w:firstLine="27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日，成都星河与深圳星河受让的群兴投资上述股份已在中登公司完成了股份过户，公司控股股东已于</w:t>
      </w:r>
      <w:r>
        <w:rPr>
          <w:rFonts w:ascii="宋体" w:hAnsi="宋体" w:cs="宋体" w:eastAsia="宋体" w:hint="default"/>
        </w:rPr>
        <w:t>2018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w:t>
      </w:r>
      <w:r>
        <w:rPr>
          <w:spacing w:val="-61"/>
        </w:rPr>
        <w:t> </w:t>
      </w:r>
      <w:r>
        <w:rPr/>
        <w:t>变</w:t>
      </w:r>
      <w:r>
        <w:rPr>
          <w:spacing w:val="-60"/>
        </w:rPr>
        <w:t> </w:t>
      </w:r>
      <w:r>
        <w:rPr/>
        <w:t>更</w:t>
      </w:r>
      <w:r>
        <w:rPr>
          <w:spacing w:val="-60"/>
        </w:rPr>
        <w:t> </w:t>
      </w:r>
      <w:r>
        <w:rPr/>
        <w:t>为</w:t>
      </w:r>
      <w:r>
        <w:rPr>
          <w:spacing w:val="-60"/>
        </w:rPr>
        <w:t> </w:t>
      </w:r>
      <w:r>
        <w:rPr/>
        <w:t>成</w:t>
      </w:r>
      <w:r>
        <w:rPr>
          <w:spacing w:val="-60"/>
        </w:rPr>
        <w:t> </w:t>
      </w:r>
      <w:r>
        <w:rPr/>
        <w:t>都</w:t>
      </w:r>
      <w:r>
        <w:rPr>
          <w:spacing w:val="-61"/>
        </w:rPr>
        <w:t> </w:t>
      </w:r>
      <w:r>
        <w:rPr/>
        <w:t>星</w:t>
      </w:r>
      <w:r>
        <w:rPr>
          <w:spacing w:val="-60"/>
        </w:rPr>
        <w:t> </w:t>
      </w:r>
      <w:r>
        <w:rPr/>
        <w:t>河</w:t>
      </w:r>
      <w:r>
        <w:rPr>
          <w:spacing w:val="-60"/>
        </w:rPr>
        <w:t> </w:t>
      </w:r>
      <w:r>
        <w:rPr/>
        <w:t>、</w:t>
      </w:r>
      <w:r>
        <w:rPr>
          <w:spacing w:val="-60"/>
        </w:rPr>
        <w:t> </w:t>
      </w:r>
      <w:r>
        <w:rPr/>
        <w:t>实</w:t>
      </w:r>
      <w:r>
        <w:rPr>
          <w:spacing w:val="-60"/>
        </w:rPr>
        <w:t> </w:t>
      </w:r>
      <w:r>
        <w:rPr/>
        <w:t>际</w:t>
      </w:r>
      <w:r>
        <w:rPr>
          <w:spacing w:val="-61"/>
        </w:rPr>
        <w:t> </w:t>
      </w:r>
      <w:r>
        <w:rPr/>
        <w:t>控</w:t>
      </w:r>
      <w:r>
        <w:rPr>
          <w:spacing w:val="-60"/>
        </w:rPr>
        <w:t> </w:t>
      </w:r>
      <w:r>
        <w:rPr/>
        <w:t>制</w:t>
      </w:r>
      <w:r>
        <w:rPr>
          <w:spacing w:val="-60"/>
        </w:rPr>
        <w:t> </w:t>
      </w:r>
      <w:r>
        <w:rPr/>
        <w:t>人</w:t>
      </w:r>
      <w:r>
        <w:rPr>
          <w:spacing w:val="-60"/>
        </w:rPr>
        <w:t> </w:t>
      </w:r>
      <w:r>
        <w:rPr/>
        <w:t>变</w:t>
      </w:r>
      <w:r>
        <w:rPr>
          <w:spacing w:val="-60"/>
        </w:rPr>
        <w:t> </w:t>
      </w:r>
      <w:r>
        <w:rPr/>
        <w:t>更</w:t>
      </w:r>
      <w:r>
        <w:rPr>
          <w:spacing w:val="-61"/>
        </w:rPr>
        <w:t> </w:t>
      </w:r>
      <w:r>
        <w:rPr/>
        <w:t>为</w:t>
      </w:r>
      <w:r>
        <w:rPr>
          <w:spacing w:val="-60"/>
        </w:rPr>
        <w:t> </w:t>
      </w:r>
      <w:r>
        <w:rPr/>
        <w:t>王</w:t>
      </w:r>
      <w:r>
        <w:rPr>
          <w:spacing w:val="-60"/>
        </w:rPr>
        <w:t> </w:t>
      </w:r>
      <w:r>
        <w:rPr/>
        <w:t>叁</w:t>
      </w:r>
      <w:r>
        <w:rPr>
          <w:spacing w:val="-60"/>
        </w:rPr>
        <w:t> </w:t>
      </w:r>
      <w:r>
        <w:rPr/>
        <w:t>寿</w:t>
      </w:r>
      <w:r>
        <w:rPr>
          <w:spacing w:val="-60"/>
        </w:rPr>
        <w:t> </w:t>
      </w:r>
      <w:r>
        <w:rPr/>
        <w:t>先</w:t>
      </w:r>
      <w:r>
        <w:rPr>
          <w:spacing w:val="-61"/>
        </w:rPr>
        <w:t> </w:t>
      </w:r>
      <w:r>
        <w:rPr/>
        <w:t>生</w:t>
      </w:r>
      <w:r>
        <w:rPr>
          <w:spacing w:val="-60"/>
        </w:rPr>
        <w:t> </w:t>
      </w:r>
      <w:r>
        <w:rPr/>
        <w:t>，</w:t>
      </w:r>
      <w:r>
        <w:rPr>
          <w:spacing w:val="-60"/>
        </w:rPr>
        <w:t> </w:t>
      </w:r>
      <w:r>
        <w:rPr/>
        <w:t>详</w:t>
      </w:r>
      <w:r>
        <w:rPr>
          <w:spacing w:val="-60"/>
        </w:rPr>
        <w:t> </w:t>
      </w:r>
      <w:r>
        <w:rPr/>
        <w:t>见</w:t>
      </w:r>
      <w:r>
        <w:rPr>
          <w:spacing w:val="-60"/>
        </w:rPr>
        <w:t> </w:t>
      </w:r>
      <w:r>
        <w:rPr/>
        <w:t>公</w:t>
      </w:r>
      <w:r>
        <w:rPr>
          <w:spacing w:val="-61"/>
        </w:rPr>
        <w:t> </w:t>
      </w:r>
      <w:r>
        <w:rPr/>
        <w:t>司</w:t>
      </w:r>
      <w:r>
        <w:rPr>
          <w:spacing w:val="-53"/>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60"/>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w:t>
      </w:r>
      <w:r>
        <w:rPr>
          <w:spacing w:val="-60"/>
        </w:rPr>
        <w:t> </w:t>
      </w:r>
      <w:r>
        <w:rPr/>
        <w:t>披</w:t>
      </w:r>
      <w:r>
        <w:rPr>
          <w:spacing w:val="-60"/>
        </w:rPr>
        <w:t> </w:t>
      </w:r>
      <w:r>
        <w:rPr/>
        <w:t>露</w:t>
      </w:r>
      <w:r>
        <w:rPr>
          <w:spacing w:val="-61"/>
        </w:rPr>
        <w:t> </w:t>
      </w:r>
      <w:r>
        <w:rPr/>
        <w:t>在</w:t>
      </w:r>
      <w:r>
        <w:rPr>
          <w:spacing w:val="-60"/>
        </w:rPr>
        <w:t> </w:t>
      </w:r>
      <w:r>
        <w:rPr/>
        <w:t>巨</w:t>
      </w:r>
      <w:r>
        <w:rPr>
          <w:spacing w:val="-60"/>
        </w:rPr>
        <w:t> </w:t>
      </w:r>
      <w:r>
        <w:rPr/>
        <w:t>潮</w:t>
      </w:r>
      <w:r>
        <w:rPr>
          <w:spacing w:val="-61"/>
        </w:rPr>
        <w:t> </w:t>
      </w:r>
      <w:r>
        <w:rPr/>
        <w:t>资</w:t>
      </w:r>
      <w:r>
        <w:rPr>
          <w:spacing w:val="-61"/>
        </w:rPr>
        <w:t> </w:t>
      </w:r>
      <w:r>
        <w:rPr/>
        <w:t>讯</w:t>
      </w:r>
      <w:r>
        <w:rPr>
          <w:spacing w:val="-61"/>
        </w:rPr>
        <w:t> </w:t>
      </w:r>
      <w:r>
        <w:rPr/>
        <w:t>网</w:t>
      </w:r>
    </w:p>
    <w:p>
      <w:pPr>
        <w:pStyle w:val="BodyText"/>
        <w:spacing w:line="319" w:lineRule="auto" w:before="19"/>
        <w:ind w:right="1130"/>
        <w:jc w:val="both"/>
      </w:pPr>
      <w:r>
        <w:rPr>
          <w:spacing w:val="-3"/>
        </w:rPr>
        <w:t>（</w:t>
      </w:r>
      <w:r>
        <w:rPr>
          <w:rFonts w:ascii="宋体" w:hAnsi="宋体" w:cs="宋体" w:eastAsia="宋体" w:hint="default"/>
          <w:spacing w:val="-3"/>
        </w:rPr>
        <w:t>www.cninfo.com.cn)</w:t>
      </w:r>
      <w:r>
        <w:rPr>
          <w:spacing w:val="-3"/>
        </w:rPr>
        <w:t>的《关于公司实际控制人发生变更的提示性公告》（公告编号：</w:t>
      </w:r>
      <w:r>
        <w:rPr>
          <w:rFonts w:ascii="宋体" w:hAnsi="宋体" w:cs="宋体" w:eastAsia="宋体" w:hint="default"/>
          <w:spacing w:val="-3"/>
        </w:rPr>
        <w:t>2018-091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日，群兴投</w:t>
      </w:r>
      <w:r>
        <w:rPr>
          <w:spacing w:val="-51"/>
        </w:rPr>
        <w:t> </w:t>
      </w:r>
      <w:r>
        <w:rPr>
          <w:spacing w:val="-51"/>
        </w:rPr>
      </w:r>
      <w:r>
        <w:rPr>
          <w:spacing w:val="-2"/>
        </w:rPr>
        <w:t>资转让给北京九连环的股份已完成过户登记手续</w:t>
      </w:r>
      <w:r>
        <w:rPr>
          <w:rFonts w:ascii="宋体" w:hAnsi="宋体" w:cs="宋体" w:eastAsia="宋体" w:hint="default"/>
          <w:spacing w:val="-2"/>
        </w:rPr>
        <w:t>,</w:t>
      </w:r>
      <w:r>
        <w:rPr>
          <w:spacing w:val="-2"/>
        </w:rPr>
        <w:t>详见公司</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日披露在巨潮资讯网（</w:t>
      </w:r>
      <w:r>
        <w:rPr>
          <w:rFonts w:ascii="宋体" w:hAnsi="宋体" w:cs="宋体" w:eastAsia="宋体" w:hint="default"/>
          <w:spacing w:val="-2"/>
        </w:rPr>
        <w:t>www.cninfo.com.cn)</w:t>
      </w:r>
      <w:r>
        <w:rPr>
          <w:spacing w:val="-2"/>
        </w:rPr>
        <w:t>的《关于</w:t>
      </w:r>
      <w:r>
        <w:rPr>
          <w:spacing w:val="-38"/>
        </w:rPr>
        <w:t> </w:t>
      </w:r>
      <w:r>
        <w:rPr>
          <w:spacing w:val="-38"/>
        </w:rPr>
      </w:r>
      <w:r>
        <w:rPr>
          <w:spacing w:val="-7"/>
        </w:rPr>
        <w:t>公司控股权转让所涉转让股份已全部完成过户登记的公告》（公告编号：</w:t>
      </w:r>
      <w:r>
        <w:rPr>
          <w:rFonts w:ascii="宋体" w:hAnsi="宋体" w:cs="宋体" w:eastAsia="宋体" w:hint="default"/>
          <w:spacing w:val="-7"/>
        </w:rPr>
        <w:t>2019</w:t>
      </w:r>
      <w:r>
        <w:rPr>
          <w:rFonts w:ascii="Times New Roman" w:hAnsi="Times New Roman" w:cs="Times New Roman" w:eastAsia="Times New Roman" w:hint="default"/>
          <w:spacing w:val="-7"/>
        </w:rPr>
        <w:t>-00</w:t>
      </w:r>
      <w:r>
        <w:rPr>
          <w:rFonts w:ascii="宋体" w:hAnsi="宋体" w:cs="宋体" w:eastAsia="宋体" w:hint="default"/>
          <w:spacing w:val="-7"/>
        </w:rPr>
        <w:t>4</w:t>
      </w:r>
      <w:r>
        <w:rPr>
          <w:spacing w:val="-7"/>
        </w:rPr>
        <w:t>）。</w:t>
      </w:r>
      <w:r>
        <w:rPr/>
      </w:r>
    </w:p>
    <w:p>
      <w:pPr>
        <w:pStyle w:val="BodyText"/>
        <w:spacing w:line="240" w:lineRule="auto" w:before="36"/>
        <w:ind w:left="474" w:right="0"/>
        <w:jc w:val="left"/>
      </w:pPr>
      <w:r>
        <w:rPr>
          <w:rFonts w:ascii="宋体" w:hAnsi="宋体" w:cs="宋体" w:eastAsia="宋体" w:hint="default"/>
        </w:rPr>
        <w:t>3</w:t>
      </w:r>
      <w:r>
        <w:rPr/>
        <w:t>、公司出售全资子公司西藏群兴</w:t>
      </w:r>
    </w:p>
    <w:p>
      <w:pPr>
        <w:pStyle w:val="BodyText"/>
        <w:spacing w:line="319" w:lineRule="auto" w:before="115"/>
        <w:ind w:right="1130" w:firstLine="27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5</w:t>
      </w:r>
      <w:r>
        <w:rPr>
          <w:spacing w:val="-2"/>
        </w:rPr>
        <w:t>日，公司召开第三届董事会第二十八次会议，同意对外出售公司子公司西藏群兴文化发展有限责任公司</w:t>
      </w:r>
      <w:r>
        <w:rPr>
          <w:rFonts w:ascii="宋体" w:hAnsi="宋体" w:cs="宋体" w:eastAsia="宋体" w:hint="default"/>
          <w:spacing w:val="-2"/>
        </w:rPr>
        <w:t>100%</w:t>
      </w:r>
      <w:r>
        <w:rPr>
          <w:rFonts w:ascii="宋体" w:hAnsi="宋体" w:cs="宋体" w:eastAsia="宋体" w:hint="default"/>
        </w:rPr>
        <w:t> </w:t>
      </w:r>
      <w:r>
        <w:rPr>
          <w:spacing w:val="-3"/>
        </w:rPr>
        <w:t>股权，详见公司</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日披露在巨潮资讯网（</w:t>
      </w:r>
      <w:r>
        <w:rPr>
          <w:rFonts w:ascii="宋体" w:hAnsi="宋体" w:cs="宋体" w:eastAsia="宋体" w:hint="default"/>
          <w:spacing w:val="-3"/>
        </w:rPr>
        <w:t>www.cninfo.com.cn)</w:t>
      </w:r>
      <w:r>
        <w:rPr>
          <w:spacing w:val="-3"/>
        </w:rPr>
        <w:t>上的《关于出售子公司股权的公告》、《第三届董事</w:t>
      </w:r>
      <w:r>
        <w:rPr>
          <w:spacing w:val="-63"/>
        </w:rPr>
        <w:t> </w:t>
      </w:r>
      <w:r>
        <w:rPr>
          <w:spacing w:val="-63"/>
        </w:rPr>
      </w:r>
      <w:r>
        <w:rPr>
          <w:spacing w:val="-2"/>
        </w:rPr>
        <w:t>会第二十八次会议决议公告》。</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日，公司已完成股权出售。截至本报告日，该股权过户手续已经办理完毕。</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二十、公司子公司重大事项" w:id="98"/>
      <w:bookmarkEnd w:id="9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headerReference w:type="default" r:id="rId14"/>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第六节 股份变动及股东情况" w:id="99"/>
      <w:bookmarkEnd w:id="99"/>
      <w:r>
        <w:rPr>
          <w:b w:val="0"/>
          <w:bCs w:val="0"/>
        </w:rPr>
      </w:r>
      <w:bookmarkStart w:name="_bookmark4" w:id="100"/>
      <w:bookmarkEnd w:id="10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44"/>
        <w:gridCol w:w="1220"/>
        <w:gridCol w:w="950"/>
        <w:gridCol w:w="582"/>
        <w:gridCol w:w="822"/>
        <w:gridCol w:w="822"/>
        <w:gridCol w:w="594"/>
        <w:gridCol w:w="630"/>
        <w:gridCol w:w="1140"/>
        <w:gridCol w:w="869"/>
      </w:tblGrid>
      <w:tr>
        <w:trPr>
          <w:trHeight w:val="402" w:hRule="exact"/>
        </w:trPr>
        <w:tc>
          <w:tcPr>
            <w:tcW w:w="1944" w:type="dxa"/>
            <w:vMerge w:val="restart"/>
            <w:tcBorders>
              <w:top w:val="single" w:sz="4" w:space="0" w:color="000000"/>
              <w:left w:val="single" w:sz="4" w:space="0" w:color="000000"/>
              <w:right w:val="single" w:sz="4" w:space="0" w:color="000000"/>
            </w:tcBorders>
            <w:shd w:val="clear" w:color="auto" w:fill="D2D2D2"/>
          </w:tcPr>
          <w:p>
            <w:pP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44" w:type="dxa"/>
            <w:vMerge/>
            <w:tcBorders>
              <w:left w:val="single" w:sz="4" w:space="0" w:color="000000"/>
              <w:bottom w:val="single" w:sz="4" w:space="0" w:color="000000"/>
              <w:right w:val="single" w:sz="4" w:space="0" w:color="000000"/>
            </w:tcBorders>
            <w:shd w:val="clear" w:color="auto" w:fill="D2D2D2"/>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588,720,000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100.00%</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588,720,000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588,720,000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100.00%</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588,720,000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588,720,000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100.00%</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588,720,000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57" w:lineRule="auto" w:before="117"/>
        <w:ind w:right="9132"/>
        <w:jc w:val="left"/>
      </w:pPr>
      <w:r>
        <w:rPr/>
        <w:t>□ 适用 √ 不适用 股份变动的批准情况</w:t>
      </w:r>
    </w:p>
    <w:p>
      <w:pPr>
        <w:pStyle w:val="BodyText"/>
        <w:spacing w:line="360" w:lineRule="auto" w:before="28"/>
        <w:ind w:right="9132"/>
        <w:jc w:val="left"/>
      </w:pPr>
      <w:r>
        <w:rPr/>
        <w:t>□ 适用 √ 不适用 股份变动的过户情况</w:t>
      </w:r>
    </w:p>
    <w:p>
      <w:pPr>
        <w:pStyle w:val="BodyText"/>
        <w:spacing w:line="357" w:lineRule="auto" w:before="26"/>
        <w:ind w:right="8772"/>
        <w:jc w:val="left"/>
      </w:pPr>
      <w:r>
        <w:rPr/>
        <w:t>□ 适用 √ 不适用 股份回购的实施进展情况</w:t>
      </w:r>
    </w:p>
    <w:p>
      <w:pPr>
        <w:pStyle w:val="BodyText"/>
        <w:spacing w:line="357" w:lineRule="auto" w:before="29"/>
        <w:ind w:right="6972"/>
        <w:jc w:val="left"/>
      </w:pPr>
      <w:r>
        <w:rPr/>
        <w:t>□ 适用 √ 不适用 采用集中竞价方式减持回购股份的实施进展情况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274"/>
        <w:gridCol w:w="923"/>
        <w:gridCol w:w="143"/>
        <w:gridCol w:w="930"/>
        <w:gridCol w:w="124"/>
        <w:gridCol w:w="996"/>
        <w:gridCol w:w="199"/>
        <w:gridCol w:w="991"/>
        <w:gridCol w:w="205"/>
        <w:gridCol w:w="455"/>
        <w:gridCol w:w="1130"/>
        <w:gridCol w:w="800"/>
        <w:gridCol w:w="1205"/>
      </w:tblGrid>
      <w:tr>
        <w:trPr>
          <w:trHeight w:val="35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35,491</w:t>
            </w:r>
          </w:p>
        </w:tc>
        <w:tc>
          <w:tcPr>
            <w:tcW w:w="11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1"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33,545</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0"/>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
              <w:jc w:val="both"/>
              <w:rPr>
                <w:rFonts w:ascii="宋体" w:hAnsi="宋体" w:cs="宋体" w:eastAsia="宋体" w:hint="default"/>
                <w:sz w:val="18"/>
                <w:szCs w:val="18"/>
              </w:rPr>
            </w:pPr>
            <w:r>
              <w:rPr>
                <w:rFonts w:ascii="宋体" w:hAnsi="宋体" w:cs="宋体" w:eastAsia="宋体" w:hint="default"/>
                <w:sz w:val="18"/>
                <w:szCs w:val="18"/>
              </w:rPr>
              <w:t>年度报 告披露 日前上 一月末 表决权 恢复的 优先股 股东总 数（如 </w:t>
            </w:r>
            <w:r>
              <w:rPr>
                <w:rFonts w:ascii="宋体" w:hAnsi="宋体" w:cs="宋体" w:eastAsia="宋体" w:hint="default"/>
                <w:spacing w:val="-33"/>
                <w:sz w:val="18"/>
                <w:szCs w:val="18"/>
              </w:rPr>
              <w:t>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69" w:right="18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84" w:right="105"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6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5" w:right="143"/>
              <w:jc w:val="both"/>
              <w:rPr>
                <w:rFonts w:ascii="宋体" w:hAnsi="宋体" w:cs="宋体" w:eastAsia="宋体" w:hint="default"/>
                <w:sz w:val="18"/>
                <w:szCs w:val="18"/>
              </w:rPr>
            </w:pPr>
            <w:r>
              <w:rPr>
                <w:rFonts w:ascii="宋体" w:hAnsi="宋体" w:cs="宋体" w:eastAsia="宋体" w:hint="default"/>
                <w:sz w:val="18"/>
                <w:szCs w:val="18"/>
              </w:rPr>
              <w:t>持有 有限 售条 件的 股份 数量</w:t>
            </w: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0" w:right="10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0"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66" w:type="dxa"/>
            <w:gridSpan w:val="2"/>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120" w:type="dxa"/>
            <w:gridSpan w:val="2"/>
            <w:vMerge/>
            <w:tcBorders>
              <w:left w:val="single" w:sz="4" w:space="0" w:color="000000"/>
              <w:bottom w:val="single" w:sz="4" w:space="0" w:color="000000"/>
              <w:right w:val="single" w:sz="4" w:space="0" w:color="000000"/>
            </w:tcBorders>
            <w:shd w:val="clear" w:color="auto" w:fill="D2D2D2"/>
          </w:tcPr>
          <w:p>
            <w:pPr/>
          </w:p>
        </w:tc>
        <w:tc>
          <w:tcPr>
            <w:tcW w:w="1190" w:type="dxa"/>
            <w:gridSpan w:val="2"/>
            <w:vMerge/>
            <w:tcBorders>
              <w:left w:val="single" w:sz="4" w:space="0" w:color="000000"/>
              <w:bottom w:val="single" w:sz="4" w:space="0" w:color="000000"/>
              <w:right w:val="single" w:sz="4" w:space="0" w:color="000000"/>
            </w:tcBorders>
            <w:shd w:val="clear" w:color="auto" w:fill="D2D2D2"/>
          </w:tcPr>
          <w:p>
            <w:pPr/>
          </w:p>
        </w:tc>
        <w:tc>
          <w:tcPr>
            <w:tcW w:w="660" w:type="dxa"/>
            <w:gridSpan w:val="2"/>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9" w:lineRule="auto"/>
              <w:ind w:left="299" w:right="127"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广东群兴投资 有限公司</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29.88%</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175,915,500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-88,137,500</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175,915,500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92,167,699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深圳星河数据 科技有限公司</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50,470,000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50,470,000</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50,470,000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50,470,000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成都数字星河 科技有限公司</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5.71%</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33,640,000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33,640,000</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33,640,000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33,640,000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北京星恒动影 文化传播有限 公司</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30"/>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15,000,000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0.00</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9,700,000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-4,000,000</w:t>
            </w:r>
          </w:p>
        </w:tc>
        <w:tc>
          <w:tcPr>
            <w:tcW w:w="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066"/>
        <w:gridCol w:w="930"/>
        <w:gridCol w:w="1120"/>
        <w:gridCol w:w="1190"/>
        <w:gridCol w:w="660"/>
        <w:gridCol w:w="1130"/>
        <w:gridCol w:w="791"/>
        <w:gridCol w:w="1213"/>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王秀英</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3,575,698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3,575,698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-2,260,000</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2,470,000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赵晓丽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2,374,300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233,530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2,374,300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胡卫良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2,080,600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2,080,600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2,080,600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任智彪</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0"/>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2,074,400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2,074,400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2,074,400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78"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、成都数字星河科技有限公司是本公司的控股股东；</w:t>
            </w:r>
          </w:p>
          <w:p>
            <w:pPr>
              <w:pStyle w:val="TableParagraph"/>
              <w:spacing w:line="309" w:lineRule="auto" w:before="10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、成都星河与深圳星河构成一致行动关系。本公司未知上述其他股东之间是否存在关 </w:t>
            </w:r>
            <w:r>
              <w:rPr>
                <w:rFonts w:ascii="宋体" w:hAnsi="宋体" w:cs="宋体" w:eastAsia="宋体" w:hint="default"/>
                <w:spacing w:val="-1"/>
                <w:sz w:val="18"/>
                <w:szCs w:val="18"/>
              </w:rPr>
              <w:t>联关系，也未知上述股东之间是否属于《上市公司股东持股变动信息披露管理办法》中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3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3" w:hRule="exact"/>
        </w:trPr>
        <w:tc>
          <w:tcPr>
            <w:tcW w:w="2535" w:type="dxa"/>
            <w:gridSpan w:val="2"/>
            <w:vMerge/>
            <w:tcBorders>
              <w:left w:val="single" w:sz="4" w:space="0" w:color="000000"/>
              <w:bottom w:val="single" w:sz="4" w:space="0" w:color="000000"/>
              <w:right w:val="single" w:sz="4" w:space="0" w:color="000000"/>
            </w:tcBorders>
            <w:shd w:val="clear" w:color="auto" w:fill="D2D2D2"/>
          </w:tcPr>
          <w:p>
            <w:pPr/>
          </w:p>
        </w:tc>
        <w:tc>
          <w:tcPr>
            <w:tcW w:w="5030" w:type="dxa"/>
            <w:gridSpan w:val="5"/>
            <w:vMerge/>
            <w:tcBorders>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9" w:right="119" w:hanging="180"/>
              <w:jc w:val="left"/>
              <w:rPr>
                <w:rFonts w:ascii="宋体" w:hAnsi="宋体" w:cs="宋体" w:eastAsia="宋体" w:hint="default"/>
                <w:sz w:val="18"/>
                <w:szCs w:val="18"/>
              </w:rPr>
            </w:pPr>
            <w:r>
              <w:rPr>
                <w:rFonts w:ascii="宋体" w:hAnsi="宋体" w:cs="宋体" w:eastAsia="宋体" w:hint="default"/>
                <w:sz w:val="18"/>
                <w:szCs w:val="18"/>
              </w:rPr>
              <w:t>股份种 类</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175,915,500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175,915,500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深圳星河数据科技有限公司</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50,470,000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50,470,000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成都数字星河科技有限公司</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33,640,000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33,640,000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left"/>
              <w:rPr>
                <w:rFonts w:ascii="宋体" w:hAnsi="宋体" w:cs="宋体" w:eastAsia="宋体" w:hint="default"/>
                <w:sz w:val="18"/>
                <w:szCs w:val="18"/>
              </w:rPr>
            </w:pPr>
            <w:r>
              <w:rPr>
                <w:rFonts w:ascii="宋体" w:hAnsi="宋体" w:cs="宋体" w:eastAsia="宋体" w:hint="default"/>
                <w:sz w:val="18"/>
                <w:szCs w:val="18"/>
              </w:rPr>
              <w:t>北京星恒动影文化传播有限 公司</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9,700,000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9,700,000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王秀英</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3,575,698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3,575,698</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2,470,000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2,470,000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赵晓丽</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2,374,300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2,374,300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胡卫良</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2,080,600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2,080,600</w:t>
            </w:r>
          </w:p>
        </w:tc>
      </w:tr>
      <w:tr>
        <w:trPr>
          <w:trHeight w:val="715" w:hRule="exact"/>
        </w:trPr>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任智彪</w:t>
            </w:r>
          </w:p>
        </w:tc>
        <w:tc>
          <w:tcPr>
            <w:tcW w:w="5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2,074,400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2,074,400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34"/>
        <w:gridCol w:w="7035"/>
      </w:tblGrid>
      <w:tr>
        <w:trPr>
          <w:trHeight w:val="1378"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302" w:lineRule="auto" w:before="63"/>
              <w:ind w:left="103" w:right="17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7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、成都数字星河科技有限公司是本公司的控股股东；</w:t>
            </w:r>
          </w:p>
          <w:p>
            <w:pPr>
              <w:pStyle w:val="TableParagraph"/>
              <w:spacing w:line="309" w:lineRule="auto" w:before="102"/>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、成都星河与深圳星河构成一致行动关系。本公司未知上述其他股东之间是否存在关 </w:t>
            </w:r>
            <w:r>
              <w:rPr>
                <w:rFonts w:ascii="宋体" w:hAnsi="宋体" w:cs="宋体" w:eastAsia="宋体" w:hint="default"/>
                <w:spacing w:val="-1"/>
                <w:sz w:val="18"/>
                <w:szCs w:val="18"/>
              </w:rPr>
              <w:t>联关系，也未知上述股东之间是否属于《上市公司股东持股变动信息披露管理办法》中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规定的一致行动人。</w:t>
            </w:r>
          </w:p>
        </w:tc>
      </w:tr>
      <w:tr>
        <w:trPr>
          <w:trHeight w:val="1027"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 </w:t>
            </w:r>
            <w:r>
              <w:rPr>
                <w:rFonts w:ascii="宋体" w:hAnsi="宋体" w:cs="宋体" w:eastAsia="宋体" w:hint="default"/>
                <w:spacing w:val="-15"/>
                <w:sz w:val="18"/>
                <w:szCs w:val="18"/>
              </w:rPr>
              <w:t>融券业务情况说明（如有）（参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任智彪参与融资融券信用证券账户持有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t>□ 是 √ 否</w:t>
      </w:r>
    </w:p>
    <w:p>
      <w:pPr>
        <w:pStyle w:val="BodyText"/>
        <w:spacing w:line="240" w:lineRule="auto" w:before="11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29" w:right="162"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03" w:right="262"/>
              <w:jc w:val="left"/>
              <w:rPr>
                <w:rFonts w:ascii="宋体" w:hAnsi="宋体" w:cs="宋体" w:eastAsia="宋体" w:hint="default"/>
                <w:sz w:val="18"/>
                <w:szCs w:val="18"/>
              </w:rPr>
            </w:pPr>
            <w:r>
              <w:rPr>
                <w:rFonts w:ascii="宋体" w:hAnsi="宋体" w:cs="宋体" w:eastAsia="宋体" w:hint="default"/>
                <w:sz w:val="18"/>
                <w:szCs w:val="18"/>
              </w:rPr>
              <w:t>成都数字星河科技有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王叁寿</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91510105MA6CAHH4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技术推广服务；信息 系统集成服务；软件 开发；网站建设；组 织文化交流活动；会 议及展览服务；图文 设计；设计、制作、 代理、发布国内各类 </w:t>
            </w:r>
            <w:r>
              <w:rPr>
                <w:rFonts w:ascii="宋体" w:hAnsi="宋体" w:cs="宋体" w:eastAsia="宋体" w:hint="default"/>
                <w:spacing w:val="-2"/>
                <w:sz w:val="18"/>
                <w:szCs w:val="18"/>
              </w:rPr>
              <w:t>广告；社会经济咨询。</w:t>
            </w:r>
          </w:p>
          <w:p>
            <w:pPr>
              <w:pStyle w:val="TableParagraph"/>
              <w:spacing w:line="319" w:lineRule="auto" w:before="19"/>
              <w:ind w:left="103" w:right="179"/>
              <w:jc w:val="left"/>
              <w:rPr>
                <w:rFonts w:ascii="宋体" w:hAnsi="宋体" w:cs="宋体" w:eastAsia="宋体" w:hint="default"/>
                <w:sz w:val="18"/>
                <w:szCs w:val="18"/>
              </w:rPr>
            </w:pPr>
            <w:r>
              <w:rPr>
                <w:rFonts w:ascii="宋体" w:hAnsi="宋体" w:cs="宋体" w:eastAsia="宋体" w:hint="default"/>
                <w:sz w:val="18"/>
                <w:szCs w:val="18"/>
              </w:rPr>
              <w:t>（依法须经批准的项 目，经相关部门批准 后方可开展经营活 </w:t>
            </w:r>
            <w:r>
              <w:rPr>
                <w:rFonts w:ascii="宋体" w:hAnsi="宋体" w:cs="宋体" w:eastAsia="宋体" w:hint="default"/>
                <w:spacing w:val="-30"/>
                <w:sz w:val="18"/>
                <w:szCs w:val="18"/>
              </w:rPr>
              <w:t>动）。</w:t>
            </w:r>
          </w:p>
        </w:tc>
      </w:tr>
      <w:tr>
        <w:trPr>
          <w:trHeight w:val="1339"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2"/>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控股股东报告期内变更</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成都数字星河科技有限公司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10"/>
                <w:sz w:val="18"/>
                <w:szCs w:val="18"/>
              </w:rPr>
              <w:t>日公司在《证券时报》、《中国证券报》和</w:t>
            </w:r>
            <w:r>
              <w:rPr>
                <w:rFonts w:ascii="宋体" w:hAnsi="宋体" w:cs="宋体" w:eastAsia="宋体" w:hint="default"/>
                <w:sz w:val="18"/>
                <w:szCs w:val="18"/>
              </w:rPr>
              <w:t> 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）披露了《关于公司控股 </w:t>
            </w:r>
            <w:r>
              <w:rPr>
                <w:rFonts w:ascii="宋体" w:hAnsi="宋体" w:cs="宋体" w:eastAsia="宋体" w:hint="default"/>
                <w:spacing w:val="-9"/>
                <w:sz w:val="18"/>
                <w:szCs w:val="18"/>
              </w:rPr>
              <w:t>权转让的进展公告》（公告编号：</w:t>
            </w:r>
            <w:r>
              <w:rPr>
                <w:rFonts w:ascii="Times New Roman" w:hAnsi="Times New Roman" w:cs="Times New Roman" w:eastAsia="Times New Roman" w:hint="default"/>
                <w:spacing w:val="-9"/>
                <w:sz w:val="18"/>
                <w:szCs w:val="18"/>
              </w:rPr>
              <w:t>2018-090</w:t>
            </w:r>
            <w:r>
              <w:rPr>
                <w:rFonts w:ascii="宋体" w:hAnsi="宋体" w:cs="宋体" w:eastAsia="宋体" w:hint="default"/>
                <w:spacing w:val="-9"/>
                <w:sz w:val="18"/>
                <w:szCs w:val="18"/>
              </w:rPr>
              <w:t>）、《关于公司实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际控制人发生变更的提示性公告》（公告编号：</w:t>
            </w:r>
            <w:r>
              <w:rPr>
                <w:rFonts w:ascii="Times New Roman" w:hAnsi="Times New Roman" w:cs="Times New Roman" w:eastAsia="Times New Roman" w:hint="default"/>
                <w:spacing w:val="-3"/>
                <w:sz w:val="18"/>
                <w:szCs w:val="18"/>
              </w:rPr>
              <w:t>2018-091</w:t>
            </w:r>
            <w:r>
              <w:rPr>
                <w:rFonts w:ascii="宋体" w:hAnsi="宋体" w:cs="宋体" w:eastAsia="宋体" w:hint="default"/>
                <w:spacing w:val="-3"/>
                <w:sz w:val="18"/>
                <w:szCs w:val="18"/>
              </w:rPr>
              <w:t>）</w:t>
            </w:r>
          </w:p>
        </w:tc>
      </w:tr>
    </w:tbl>
    <w:p>
      <w:pPr>
        <w:spacing w:after="0" w:line="300"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等相关公告。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实际控制人及其一致行动人" w:id="111"/>
      <w:bookmarkEnd w:id="11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王叁寿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3"/>
              <w:jc w:val="left"/>
              <w:rPr>
                <w:rFonts w:ascii="宋体" w:hAnsi="宋体" w:cs="宋体" w:eastAsia="宋体" w:hint="default"/>
                <w:sz w:val="18"/>
                <w:szCs w:val="18"/>
              </w:rPr>
            </w:pPr>
            <w:r>
              <w:rPr>
                <w:rFonts w:ascii="宋体" w:hAnsi="宋体" w:cs="宋体" w:eastAsia="宋体" w:hint="default"/>
                <w:spacing w:val="-2"/>
                <w:sz w:val="18"/>
                <w:szCs w:val="18"/>
              </w:rPr>
              <w:t>王叁寿先生担任成都数字星河科技有限公司执行董事、总经理；担任深圳星河数据科技有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限公司执行董事、总经理；担任北京九连环数据服务中心（有限合伙）执行事务合伙人； </w:t>
            </w:r>
            <w:r>
              <w:rPr>
                <w:rFonts w:ascii="宋体" w:hAnsi="宋体" w:cs="宋体" w:eastAsia="宋体" w:hint="default"/>
                <w:spacing w:val="-2"/>
                <w:sz w:val="18"/>
                <w:szCs w:val="18"/>
              </w:rPr>
              <w:t>担任九次方大数据信息集团有限公司董事长、总经理；担任北京汉鼎盛世咨询服务有限公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司董事长、总经理；担任北京汉鼎世纪咨询有限公司董事长、总经理。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王叁寿</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10"/>
                <w:sz w:val="18"/>
                <w:szCs w:val="18"/>
              </w:rPr>
              <w:t>日公司在《证券时报》、《中国证券报》和</w:t>
            </w:r>
            <w:r>
              <w:rPr>
                <w:rFonts w:ascii="宋体" w:hAnsi="宋体" w:cs="宋体" w:eastAsia="宋体" w:hint="default"/>
                <w:sz w:val="18"/>
                <w:szCs w:val="18"/>
              </w:rPr>
              <w:t> 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）披露了《关于公司控股 </w:t>
            </w:r>
            <w:r>
              <w:rPr>
                <w:rFonts w:ascii="宋体" w:hAnsi="宋体" w:cs="宋体" w:eastAsia="宋体" w:hint="default"/>
                <w:spacing w:val="-9"/>
                <w:sz w:val="18"/>
                <w:szCs w:val="18"/>
              </w:rPr>
              <w:t>权转让的进展公告》（公告编号：</w:t>
            </w:r>
            <w:r>
              <w:rPr>
                <w:rFonts w:ascii="Times New Roman" w:hAnsi="Times New Roman" w:cs="Times New Roman" w:eastAsia="Times New Roman" w:hint="default"/>
                <w:spacing w:val="-9"/>
                <w:sz w:val="18"/>
                <w:szCs w:val="18"/>
              </w:rPr>
              <w:t>2018-090</w:t>
            </w:r>
            <w:r>
              <w:rPr>
                <w:rFonts w:ascii="宋体" w:hAnsi="宋体" w:cs="宋体" w:eastAsia="宋体" w:hint="default"/>
                <w:spacing w:val="-9"/>
                <w:sz w:val="18"/>
                <w:szCs w:val="18"/>
              </w:rPr>
              <w:t>）、《关于公司实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际控制人发生变更的提示性公告》（公告编号：</w:t>
            </w:r>
            <w:r>
              <w:rPr>
                <w:rFonts w:ascii="Times New Roman" w:hAnsi="Times New Roman" w:cs="Times New Roman" w:eastAsia="Times New Roman" w:hint="default"/>
                <w:spacing w:val="-3"/>
                <w:sz w:val="18"/>
                <w:szCs w:val="18"/>
              </w:rPr>
              <w:t>2018-091</w:t>
            </w:r>
            <w:r>
              <w:rPr>
                <w:rFonts w:ascii="宋体" w:hAnsi="宋体" w:cs="宋体" w:eastAsia="宋体" w:hint="default"/>
                <w:spacing w:val="-3"/>
                <w:sz w:val="18"/>
                <w:szCs w:val="18"/>
              </w:rPr>
              <w:t>）</w:t>
            </w:r>
            <w:r>
              <w:rPr>
                <w:rFonts w:ascii="宋体" w:hAnsi="宋体" w:cs="宋体" w:eastAsia="宋体" w:hint="default"/>
                <w:sz w:val="18"/>
                <w:szCs w:val="18"/>
              </w:rPr>
              <w:t> 等相关公告。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公司与实际控制人之间的产权及控制关系的方框图</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4047" w:lineRule="exact"/>
        <w:ind w:left="1503"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317pt;height:202.4pt;mso-position-horizontal-relative:char;mso-position-vertical-relative:line" coordorigin="0,0" coordsize="6340,4048">
            <v:shape style="position:absolute;left:2267;top:0;width:1754;height:439" type="#_x0000_t75" stroked="false">
              <v:imagedata r:id="rId15" o:title=""/>
            </v:shape>
            <v:shape style="position:absolute;left:2756;top:79;width:766;height:284" type="#_x0000_t75" stroked="false">
              <v:imagedata r:id="rId16" o:title=""/>
            </v:shape>
            <v:shape style="position:absolute;left:3308;top:79;width:400;height:284" type="#_x0000_t75" stroked="false">
              <v:imagedata r:id="rId17" o:title=""/>
            </v:shape>
            <v:shape style="position:absolute;left:0;top:1339;width:1920;height:821" type="#_x0000_t75" stroked="false">
              <v:imagedata r:id="rId18" o:title=""/>
            </v:shape>
            <v:shape style="position:absolute;left:98;top:1418;width:1721;height:334" type="#_x0000_t75" stroked="false">
              <v:imagedata r:id="rId19" o:title=""/>
            </v:shape>
            <v:shape style="position:absolute;left:480;top:1700;width:956;height:336" type="#_x0000_t75" stroked="false">
              <v:imagedata r:id="rId20" o:title=""/>
            </v:shape>
            <v:shape style="position:absolute;left:1223;top:1671;width:400;height:413" type="#_x0000_t75" stroked="false">
              <v:imagedata r:id="rId21" o:title=""/>
            </v:shape>
            <v:shape style="position:absolute;left:2184;top:1341;width:1920;height:821" type="#_x0000_t75" stroked="false">
              <v:imagedata r:id="rId22" o:title=""/>
            </v:shape>
            <v:shape style="position:absolute;left:2282;top:1420;width:1721;height:334" type="#_x0000_t75" stroked="false">
              <v:imagedata r:id="rId23" o:title=""/>
            </v:shape>
            <v:shape style="position:absolute;left:2664;top:1700;width:956;height:336" type="#_x0000_t75" stroked="false">
              <v:imagedata r:id="rId24" o:title=""/>
            </v:shape>
            <v:shape style="position:absolute;left:3407;top:1671;width:400;height:413" type="#_x0000_t75" stroked="false">
              <v:imagedata r:id="rId21" o:title=""/>
            </v:shape>
            <v:group style="position:absolute;left:904;top:433;width:2247;height:913" coordorigin="904,433" coordsize="2247,913">
              <v:shape style="position:absolute;left:904;top:433;width:2247;height:913" coordorigin="904,433" coordsize="2247,913" path="m904,1236l959,1345,995,1273,950,1273,950,1267,904,1236xe" filled="true" fillcolor="#000000" stroked="false">
                <v:path arrowok="t"/>
                <v:fill type="solid"/>
              </v:shape>
              <v:shape style="position:absolute;left:904;top:433;width:2247;height:913" coordorigin="904,433" coordsize="2247,913" path="m950,1267l950,1273,959,1273,950,1267xe" filled="true" fillcolor="#000000" stroked="false">
                <v:path arrowok="t"/>
                <v:fill type="solid"/>
              </v:shape>
              <v:shape style="position:absolute;left:904;top:433;width:2247;height:913" coordorigin="904,433" coordsize="2247,913" path="m3133,725l950,725,950,1267,959,1273,968,1267,968,743,959,743,968,734,3133,734,3133,725xe" filled="true" fillcolor="#000000" stroked="false">
                <v:path arrowok="t"/>
                <v:fill type="solid"/>
              </v:shape>
              <v:shape style="position:absolute;left:904;top:433;width:2247;height:913" coordorigin="904,433" coordsize="2247,913" path="m968,1267l959,1273,968,1273,968,1267xe" filled="true" fillcolor="#000000" stroked="false">
                <v:path arrowok="t"/>
                <v:fill type="solid"/>
              </v:shape>
              <v:shape style="position:absolute;left:904;top:433;width:2247;height:913" coordorigin="904,433" coordsize="2247,913" path="m1013,1236l968,1267,968,1273,995,1273,1013,1236xe" filled="true" fillcolor="#000000" stroked="false">
                <v:path arrowok="t"/>
                <v:fill type="solid"/>
              </v:shape>
              <v:shape style="position:absolute;left:904;top:433;width:2247;height:913" coordorigin="904,433" coordsize="2247,913" path="m968,734l959,743,968,743,968,734xe" filled="true" fillcolor="#000000" stroked="false">
                <v:path arrowok="t"/>
                <v:fill type="solid"/>
              </v:shape>
              <v:shape style="position:absolute;left:904;top:433;width:2247;height:913" coordorigin="904,433" coordsize="2247,913" path="m3151,725l3142,725,3133,734,968,734,968,743,3151,743,3151,725xe" filled="true" fillcolor="#000000" stroked="false">
                <v:path arrowok="t"/>
                <v:fill type="solid"/>
              </v:shape>
              <v:shape style="position:absolute;left:904;top:433;width:2247;height:913" coordorigin="904,433" coordsize="2247,913" path="m3151,433l3133,433,3133,734,3142,725,3151,725,3151,433xe" filled="true" fillcolor="#000000" stroked="false">
                <v:path arrowok="t"/>
                <v:fill type="solid"/>
              </v:shape>
            </v:group>
            <v:group style="position:absolute;left:3089;top:433;width:110;height:917" coordorigin="3089,433" coordsize="110,917">
              <v:shape style="position:absolute;left:3089;top:433;width:110;height:917" coordorigin="3089,433" coordsize="110,917" path="m3089,1240l3143,1349,3180,1276,3134,1276,3134,1270,3089,1240xe" filled="true" fillcolor="#000000" stroked="false">
                <v:path arrowok="t"/>
                <v:fill type="solid"/>
              </v:shape>
              <v:shape style="position:absolute;left:3089;top:433;width:110;height:917" coordorigin="3089,433" coordsize="110,917" path="m3134,1270l3134,1276,3143,1276,3134,1270xe" filled="true" fillcolor="#000000" stroked="false">
                <v:path arrowok="t"/>
                <v:fill type="solid"/>
              </v:shape>
              <v:shape style="position:absolute;left:3089;top:433;width:110;height:917" coordorigin="3089,433" coordsize="110,917" path="m3134,891l3134,1270,3143,1276,3152,1270,3152,900,3143,900,3134,891xe" filled="true" fillcolor="#000000" stroked="false">
                <v:path arrowok="t"/>
                <v:fill type="solid"/>
              </v:shape>
              <v:shape style="position:absolute;left:3089;top:433;width:110;height:917" coordorigin="3089,433" coordsize="110,917" path="m3152,1270l3143,1276,3152,1276,3152,1270xe" filled="true" fillcolor="#000000" stroked="false">
                <v:path arrowok="t"/>
                <v:fill type="solid"/>
              </v:shape>
              <v:shape style="position:absolute;left:3089;top:433;width:110;height:917" coordorigin="3089,433" coordsize="110,917" path="m3198,1240l3152,1270,3152,1276,3180,1276,3198,1240xe" filled="true" fillcolor="#000000" stroked="false">
                <v:path arrowok="t"/>
                <v:fill type="solid"/>
              </v:shape>
              <v:shape style="position:absolute;left:3089;top:433;width:110;height:917" coordorigin="3089,433" coordsize="110,917" path="m3152,433l3133,433,3133,900,3134,900,3134,891,3152,891,3142,882,3152,882,3152,433xe" filled="true" fillcolor="#000000" stroked="false">
                <v:path arrowok="t"/>
                <v:fill type="solid"/>
              </v:shape>
              <v:shape style="position:absolute;left:3089;top:433;width:110;height:917" coordorigin="3089,433" coordsize="110,917" path="m3152,882l3152,882,3152,891,3134,891,3143,900,3152,900,3152,882xe" filled="true" fillcolor="#000000" stroked="false">
                <v:path arrowok="t"/>
                <v:fill type="solid"/>
              </v:shape>
              <v:shape style="position:absolute;left:3089;top:433;width:110;height:917" coordorigin="3089,433" coordsize="110,917" path="m3152,882l3142,882,3152,891,3152,882xe" filled="true" fillcolor="#000000" stroked="false">
                <v:path arrowok="t"/>
                <v:fill type="solid"/>
              </v:shape>
              <v:shape style="position:absolute;left:201;top:937;width:852;height:339" type="#_x0000_t75" stroked="false">
                <v:imagedata r:id="rId25" o:title=""/>
              </v:shape>
              <v:shape style="position:absolute;left:810;top:937;width:242;height:339" type="#_x0000_t75" stroked="false">
                <v:imagedata r:id="rId26" o:title=""/>
              </v:shape>
              <v:shape style="position:absolute;left:2328;top:937;width:852;height:339" type="#_x0000_t75" stroked="false">
                <v:imagedata r:id="rId27" o:title=""/>
              </v:shape>
              <v:shape style="position:absolute;left:2939;top:937;width:242;height:339" type="#_x0000_t75" stroked="false">
                <v:imagedata r:id="rId26" o:title=""/>
              </v:shape>
              <v:shape style="position:absolute;left:1454;top:3556;width:3383;height:492" type="#_x0000_t75" stroked="false">
                <v:imagedata r:id="rId28" o:title=""/>
              </v:shape>
              <v:shape style="position:absolute;left:1902;top:3633;width:2487;height:332" type="#_x0000_t75" stroked="false">
                <v:imagedata r:id="rId29" o:title=""/>
              </v:shape>
              <v:shape style="position:absolute;left:4169;top:3633;width:413;height:336" type="#_x0000_t75" stroked="false">
                <v:imagedata r:id="rId30" o:title=""/>
              </v:shape>
            </v:group>
            <v:group style="position:absolute;left:950;top:2154;width:2250;height:1410" coordorigin="950,2154" coordsize="2250,1410">
              <v:shape style="position:absolute;left:950;top:2154;width:2250;height:1410" coordorigin="950,2154" coordsize="2250,1410" path="m3089,3454l3144,3563,3180,3490,3135,3490,3135,3484,3089,3454xe" filled="true" fillcolor="#000000" stroked="false">
                <v:path arrowok="t"/>
                <v:fill type="solid"/>
              </v:shape>
              <v:shape style="position:absolute;left:950;top:2154;width:2250;height:1410" coordorigin="950,2154" coordsize="2250,1410" path="m3135,3484l3135,3490,3144,3490,3135,3484xe" filled="true" fillcolor="#000000" stroked="false">
                <v:path arrowok="t"/>
                <v:fill type="solid"/>
              </v:shape>
              <v:shape style="position:absolute;left:950;top:2154;width:2250;height:1410" coordorigin="950,2154" coordsize="2250,1410" path="m3135,3031l3135,3484,3144,3490,3153,3484,3153,3041,3144,3041,3135,3031xe" filled="true" fillcolor="#000000" stroked="false">
                <v:path arrowok="t"/>
                <v:fill type="solid"/>
              </v:shape>
              <v:shape style="position:absolute;left:950;top:2154;width:2250;height:1410" coordorigin="950,2154" coordsize="2250,1410" path="m3153,3484l3144,3490,3153,3490,3153,3484xe" filled="true" fillcolor="#000000" stroked="false">
                <v:path arrowok="t"/>
                <v:fill type="solid"/>
              </v:shape>
              <v:shape style="position:absolute;left:950;top:2154;width:2250;height:1410" coordorigin="950,2154" coordsize="2250,1410" path="m3199,3454l3153,3484,3153,3490,3180,3490,3199,3454xe" filled="true" fillcolor="#000000" stroked="false">
                <v:path arrowok="t"/>
                <v:fill type="solid"/>
              </v:shape>
              <v:shape style="position:absolute;left:950;top:2154;width:2250;height:1410" coordorigin="950,2154" coordsize="2250,1410" path="m968,2154l950,2154,950,3041,3135,3041,3135,3031,968,3031,959,3022,968,3022,968,2154xe" filled="true" fillcolor="#000000" stroked="false">
                <v:path arrowok="t"/>
                <v:fill type="solid"/>
              </v:shape>
              <v:shape style="position:absolute;left:950;top:2154;width:2250;height:1410" coordorigin="950,2154" coordsize="2250,1410" path="m3153,3022l968,3022,968,3031,3135,3031,3144,3041,3153,3041,3153,3022xe" filled="true" fillcolor="#000000" stroked="false">
                <v:path arrowok="t"/>
                <v:fill type="solid"/>
              </v:shape>
              <v:shape style="position:absolute;left:950;top:2154;width:2250;height:1410" coordorigin="950,2154" coordsize="2250,1410" path="m968,3022l959,3022,968,3031,968,3022xe" filled="true" fillcolor="#000000" stroked="false">
                <v:path arrowok="t"/>
                <v:fill type="solid"/>
              </v:shape>
            </v:group>
            <v:group style="position:absolute;left:3089;top:2156;width:110;height:1406" coordorigin="3089,2156" coordsize="110,1406">
              <v:shape style="position:absolute;left:3089;top:2156;width:110;height:1406" coordorigin="3089,2156" coordsize="110,1406" path="m3089,3453l3144,3562,3180,3489,3135,3489,3135,3483,3089,3453xe" filled="true" fillcolor="#000000" stroked="false">
                <v:path arrowok="t"/>
                <v:fill type="solid"/>
              </v:shape>
              <v:shape style="position:absolute;left:3089;top:2156;width:110;height:1406" coordorigin="3089,2156" coordsize="110,1406" path="m3135,3483l3135,3489,3144,3489,3135,3483xe" filled="true" fillcolor="#000000" stroked="false">
                <v:path arrowok="t"/>
                <v:fill type="solid"/>
              </v:shape>
              <v:shape style="position:absolute;left:3089;top:2156;width:110;height:1406" coordorigin="3089,2156" coordsize="110,1406" path="m3135,2859l3135,3483,3144,3489,3153,3483,3153,2868,3144,2868,3135,2859xe" filled="true" fillcolor="#000000" stroked="false">
                <v:path arrowok="t"/>
                <v:fill type="solid"/>
              </v:shape>
              <v:shape style="position:absolute;left:3089;top:2156;width:110;height:1406" coordorigin="3089,2156" coordsize="110,1406" path="m3153,3483l3144,3489,3153,3489,3153,3483xe" filled="true" fillcolor="#000000" stroked="false">
                <v:path arrowok="t"/>
                <v:fill type="solid"/>
              </v:shape>
              <v:shape style="position:absolute;left:3089;top:2156;width:110;height:1406" coordorigin="3089,2156" coordsize="110,1406" path="m3199,3453l3153,3483,3153,3489,3180,3489,3199,3453xe" filled="true" fillcolor="#000000" stroked="false">
                <v:path arrowok="t"/>
                <v:fill type="solid"/>
              </v:shape>
              <v:shape style="position:absolute;left:3089;top:2156;width:110;height:1406" coordorigin="3089,2156" coordsize="110,1406" path="m3152,2156l3133,2156,3133,2868,3135,2868,3135,2859,3152,2859,3142,2850,3152,2850,3152,2156xe" filled="true" fillcolor="#000000" stroked="false">
                <v:path arrowok="t"/>
                <v:fill type="solid"/>
              </v:shape>
              <v:shape style="position:absolute;left:3089;top:2156;width:110;height:1406" coordorigin="3089,2156" coordsize="110,1406" path="m3153,2850l3152,2850,3152,2859,3135,2859,3144,2868,3153,2868,3153,2850xe" filled="true" fillcolor="#000000" stroked="false">
                <v:path arrowok="t"/>
                <v:fill type="solid"/>
              </v:shape>
              <v:shape style="position:absolute;left:3089;top:2156;width:110;height:1406" coordorigin="3089,2156" coordsize="110,1406" path="m3152,2850l3142,2850,3152,2859,3152,2850xe" filled="true" fillcolor="#000000" stroked="false">
                <v:path arrowok="t"/>
                <v:fill type="solid"/>
              </v:shape>
              <v:shape style="position:absolute;left:3083;top:2427;width:852;height:249" type="#_x0000_t75" stroked="false">
                <v:imagedata r:id="rId31" o:title=""/>
              </v:shape>
              <v:shape style="position:absolute;left:3680;top:2427;width:258;height:249" type="#_x0000_t75" stroked="false">
                <v:imagedata r:id="rId32" o:title=""/>
              </v:shape>
              <v:shape style="position:absolute;left:76;top:2300;width:2730;height:559" type="#_x0000_t75" stroked="false">
                <v:imagedata r:id="rId33" o:title=""/>
              </v:shape>
              <v:shape style="position:absolute;left:96;top:2298;width:555;height:367" type="#_x0000_t75" stroked="false">
                <v:imagedata r:id="rId34" o:title=""/>
              </v:shape>
              <v:shape style="position:absolute;left:432;top:2298;width:314;height:367" type="#_x0000_t75" stroked="false">
                <v:imagedata r:id="rId35" o:title=""/>
              </v:shape>
              <v:shape style="position:absolute;left:528;top:2298;width:472;height:367" type="#_x0000_t75" stroked="false">
                <v:imagedata r:id="rId36" o:title=""/>
              </v:shape>
              <v:shape style="position:absolute;left:795;top:2298;width:815;height:334" type="#_x0000_t75" stroked="false">
                <v:imagedata r:id="rId37" o:title=""/>
              </v:shape>
              <v:shape style="position:absolute;left:1404;top:2298;width:314;height:367" type="#_x0000_t75" stroked="false">
                <v:imagedata r:id="rId38" o:title=""/>
              </v:shape>
              <v:shape style="position:absolute;left:1500;top:2298;width:710;height:367" type="#_x0000_t75" stroked="false">
                <v:imagedata r:id="rId39" o:title=""/>
              </v:shape>
              <v:shape style="position:absolute;left:2005;top:2298;width:382;height:334" type="#_x0000_t75" stroked="false">
                <v:imagedata r:id="rId40" o:title=""/>
              </v:shape>
              <v:shape style="position:absolute;left:2195;top:2298;width:574;height:334" type="#_x0000_t75" stroked="false">
                <v:imagedata r:id="rId41" o:title=""/>
              </v:shape>
              <v:shape style="position:absolute;left:2564;top:2298;width:242;height:367" type="#_x0000_t75" stroked="false">
                <v:imagedata r:id="rId42" o:title=""/>
              </v:shape>
              <v:shape style="position:absolute;left:109;top:2580;width:577;height:280" type="#_x0000_t75" stroked="false">
                <v:imagedata r:id="rId43" o:title=""/>
              </v:shape>
              <v:shape style="position:absolute;left:494;top:2580;width:574;height:280" type="#_x0000_t75" stroked="false">
                <v:imagedata r:id="rId44" o:title=""/>
              </v:shape>
              <v:shape style="position:absolute;left:863;top:2567;width:312;height:293" type="#_x0000_t75" stroked="false">
                <v:imagedata r:id="rId45" o:title=""/>
              </v:shape>
              <v:shape style="position:absolute;left:970;top:2580;width:1529;height:280" type="#_x0000_t75" stroked="false">
                <v:imagedata r:id="rId46" o:title=""/>
              </v:shape>
              <v:shape style="position:absolute;left:2293;top:2567;width:382;height:293" type="#_x0000_t75" stroked="false">
                <v:imagedata r:id="rId47" o:title=""/>
              </v:shape>
              <v:shape style="position:absolute;left:96;top:2851;width:382;height:9" type="#_x0000_t75" stroked="false">
                <v:imagedata r:id="rId48" o:title=""/>
              </v:shape>
              <v:shape style="position:absolute;left:4333;top:1343;width:2007;height:819" type="#_x0000_t75" stroked="false">
                <v:imagedata r:id="rId49" o:title=""/>
              </v:shape>
              <v:shape style="position:absolute;left:4381;top:1422;width:1913;height:334" type="#_x0000_t75" stroked="false">
                <v:imagedata r:id="rId50" o:title=""/>
              </v:shape>
              <v:shape style="position:absolute;left:4477;top:1702;width:1721;height:336" type="#_x0000_t75" stroked="false">
                <v:imagedata r:id="rId51" o:title=""/>
              </v:shape>
              <v:shape style="position:absolute;left:5977;top:1656;width:352;height:430" type="#_x0000_t75" stroked="false">
                <v:imagedata r:id="rId52" o:title=""/>
              </v:shape>
            </v:group>
            <v:group style="position:absolute;left:3133;top:433;width:2257;height:918" coordorigin="3133,433" coordsize="2257,918">
              <v:shape style="position:absolute;left:3133;top:433;width:2257;height:918" coordorigin="3133,433" coordsize="2257,918" path="m5281,1241l5335,1350,5372,1277,5326,1277,5326,1271,5281,1241xe" filled="true" fillcolor="#000000" stroked="false">
                <v:path arrowok="t"/>
                <v:fill type="solid"/>
              </v:shape>
              <v:shape style="position:absolute;left:3133;top:433;width:2257;height:918" coordorigin="3133,433" coordsize="2257,918" path="m5326,1271l5326,1277,5335,1277,5326,1271xe" filled="true" fillcolor="#000000" stroked="false">
                <v:path arrowok="t"/>
                <v:fill type="solid"/>
              </v:shape>
              <v:shape style="position:absolute;left:3133;top:433;width:2257;height:918" coordorigin="3133,433" coordsize="2257,918" path="m5326,737l5326,1271,5335,1277,5345,1271,5345,746,5335,746,5326,737xe" filled="true" fillcolor="#000000" stroked="false">
                <v:path arrowok="t"/>
                <v:fill type="solid"/>
              </v:shape>
              <v:shape style="position:absolute;left:3133;top:433;width:2257;height:918" coordorigin="3133,433" coordsize="2257,918" path="m5345,1271l5335,1277,5345,1277,5345,1271xe" filled="true" fillcolor="#000000" stroked="false">
                <v:path arrowok="t"/>
                <v:fill type="solid"/>
              </v:shape>
              <v:shape style="position:absolute;left:3133;top:433;width:2257;height:918" coordorigin="3133,433" coordsize="2257,918" path="m5390,1241l5345,1271,5345,1277,5372,1277,5390,1241xe" filled="true" fillcolor="#000000" stroked="false">
                <v:path arrowok="t"/>
                <v:fill type="solid"/>
              </v:shape>
              <v:shape style="position:absolute;left:3133;top:433;width:2257;height:918" coordorigin="3133,433" coordsize="2257,918" path="m3152,433l3133,433,3133,746,5326,746,5326,737,3152,737,3142,727,3152,727,3152,433xe" filled="true" fillcolor="#000000" stroked="false">
                <v:path arrowok="t"/>
                <v:fill type="solid"/>
              </v:shape>
              <v:shape style="position:absolute;left:3133;top:433;width:2257;height:918" coordorigin="3133,433" coordsize="2257,918" path="m5345,727l3152,727,3152,737,5326,737,5335,746,5345,746,5345,727xe" filled="true" fillcolor="#000000" stroked="false">
                <v:path arrowok="t"/>
                <v:fill type="solid"/>
              </v:shape>
              <v:shape style="position:absolute;left:3133;top:433;width:2257;height:918" coordorigin="3133,433" coordsize="2257,918" path="m3152,727l3142,727,3152,737,3152,727xe" filled="true" fillcolor="#000000" stroked="false">
                <v:path arrowok="t"/>
                <v:fill type="solid"/>
              </v:shape>
              <v:shape style="position:absolute;left:4435;top:941;width:852;height:339" type="#_x0000_t75" stroked="false">
                <v:imagedata r:id="rId53" o:title=""/>
              </v:shape>
              <v:shape style="position:absolute;left:5029;top:941;width:258;height:339" type="#_x0000_t75" stroked="false">
                <v:imagedata r:id="rId54" o:title=""/>
              </v:shape>
            </v:group>
            <v:group style="position:absolute;left:3090;top:2156;width:2255;height:1406" coordorigin="3090,2156" coordsize="2255,1406">
              <v:shape style="position:absolute;left:3090;top:2156;width:2255;height:1406" coordorigin="3090,2156" coordsize="2255,1406" path="m3090,3453l3145,3562,3181,3489,3136,3489,3136,3483,3090,3453xe" filled="true" fillcolor="#000000" stroked="false">
                <v:path arrowok="t"/>
                <v:fill type="solid"/>
              </v:shape>
              <v:shape style="position:absolute;left:3090;top:2156;width:2255;height:1406" coordorigin="3090,2156" coordsize="2255,1406" path="m3136,3483l3136,3489,3145,3489,3136,3483xe" filled="true" fillcolor="#000000" stroked="false">
                <v:path arrowok="t"/>
                <v:fill type="solid"/>
              </v:shape>
              <v:shape style="position:absolute;left:3090;top:2156;width:2255;height:1406" coordorigin="3090,2156" coordsize="2255,1406" path="m5326,3023l3136,3023,3136,3483,3145,3489,3154,3483,3154,3041,3145,3041,3154,3032,5326,3032,5326,3023xe" filled="true" fillcolor="#000000" stroked="false">
                <v:path arrowok="t"/>
                <v:fill type="solid"/>
              </v:shape>
              <v:shape style="position:absolute;left:3090;top:2156;width:2255;height:1406" coordorigin="3090,2156" coordsize="2255,1406" path="m3154,3483l3145,3489,3154,3489,3154,3483xe" filled="true" fillcolor="#000000" stroked="false">
                <v:path arrowok="t"/>
                <v:fill type="solid"/>
              </v:shape>
              <v:shape style="position:absolute;left:3090;top:2156;width:2255;height:1406" coordorigin="3090,2156" coordsize="2255,1406" path="m3199,3453l3154,3483,3154,3489,3181,3489,3199,3453xe" filled="true" fillcolor="#000000" stroked="false">
                <v:path arrowok="t"/>
                <v:fill type="solid"/>
              </v:shape>
              <v:shape style="position:absolute;left:3090;top:2156;width:2255;height:1406" coordorigin="3090,2156" coordsize="2255,1406" path="m3154,3032l3145,3041,3154,3041,3154,3032xe" filled="true" fillcolor="#000000" stroked="false">
                <v:path arrowok="t"/>
                <v:fill type="solid"/>
              </v:shape>
              <v:shape style="position:absolute;left:3090;top:2156;width:2255;height:1406" coordorigin="3090,2156" coordsize="2255,1406" path="m5345,3023l5335,3023,5326,3032,3154,3032,3154,3041,5345,3041,5345,3023xe" filled="true" fillcolor="#000000" stroked="false">
                <v:path arrowok="t"/>
                <v:fill type="solid"/>
              </v:shape>
              <v:shape style="position:absolute;left:3090;top:2156;width:2255;height:1406" coordorigin="3090,2156" coordsize="2255,1406" path="m5345,2156l5326,2156,5326,3032,5335,3023,5345,3023,5345,2156xe" filled="true" fillcolor="#000000" stroked="false">
                <v:path arrowok="t"/>
                <v:fill type="solid"/>
              </v:shape>
              <v:shape style="position:absolute;left:5296;top:2416;width:852;height:336" type="#_x0000_t75" stroked="false">
                <v:imagedata r:id="rId55" o:title=""/>
              </v:shape>
              <v:shape style="position:absolute;left:5892;top:2416;width:258;height:336" type="#_x0000_t75" stroked="false">
                <v:imagedata r:id="rId54" o:title=""/>
              </v:shape>
            </v:group>
          </v:group>
        </w:pict>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79"/>
        <w:gridCol w:w="1595"/>
        <w:gridCol w:w="1633"/>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22" w:right="136"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5" w:right="156" w:hanging="810"/>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5706"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
              <w:jc w:val="left"/>
              <w:rPr>
                <w:rFonts w:ascii="宋体" w:hAnsi="宋体" w:cs="宋体" w:eastAsia="宋体" w:hint="default"/>
                <w:sz w:val="18"/>
                <w:szCs w:val="18"/>
              </w:rPr>
            </w:pPr>
            <w:r>
              <w:rPr>
                <w:rFonts w:ascii="宋体" w:hAnsi="宋体" w:cs="宋体" w:eastAsia="宋体" w:hint="default"/>
                <w:sz w:val="18"/>
                <w:szCs w:val="18"/>
              </w:rPr>
              <w:t>对农林牧渔业、采矿业、 </w:t>
            </w:r>
            <w:r>
              <w:rPr>
                <w:rFonts w:ascii="宋体" w:hAnsi="宋体" w:cs="宋体" w:eastAsia="宋体" w:hint="default"/>
                <w:spacing w:val="-7"/>
                <w:sz w:val="18"/>
                <w:szCs w:val="18"/>
              </w:rPr>
              <w:t>制造业、电力燃气及水的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生产业、建筑业、交通运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输仓储和邮政业、信息传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输计算机服务和软件业、 批发和零售业、金融业、 </w:t>
            </w:r>
            <w:r>
              <w:rPr>
                <w:rFonts w:ascii="宋体" w:hAnsi="宋体" w:cs="宋体" w:eastAsia="宋体" w:hint="default"/>
                <w:spacing w:val="-7"/>
                <w:sz w:val="18"/>
                <w:szCs w:val="18"/>
              </w:rPr>
              <w:t>房地产业、租赁和商务服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务业、水利环境和公共设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施管理业、居民服务和其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他服务业、文化体育和娱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乐业等行业的投资；投资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管理咨询；销售金属材 </w:t>
            </w:r>
            <w:r>
              <w:rPr>
                <w:rFonts w:ascii="宋体" w:hAnsi="宋体" w:cs="宋体" w:eastAsia="宋体" w:hint="default"/>
                <w:spacing w:val="-14"/>
                <w:sz w:val="18"/>
                <w:szCs w:val="18"/>
              </w:rPr>
              <w:t>料、建筑材料、机械设备、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五金交电、日用百货、纸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及纸制品、化工产品及化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工原料（危险化学品除 </w:t>
            </w:r>
            <w:r>
              <w:rPr>
                <w:rFonts w:ascii="宋体" w:hAnsi="宋体" w:cs="宋体" w:eastAsia="宋体" w:hint="default"/>
                <w:spacing w:val="-9"/>
                <w:sz w:val="18"/>
                <w:szCs w:val="18"/>
              </w:rPr>
              <w:t>外）；货物进出口、技术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进出口。</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七节 优先股相关情况" w:id="114"/>
      <w:bookmarkEnd w:id="114"/>
      <w:r>
        <w:rPr>
          <w:b w:val="0"/>
          <w:bCs w:val="0"/>
        </w:rPr>
      </w:r>
      <w:bookmarkStart w:name="_bookmark5" w:id="115"/>
      <w:bookmarkEnd w:id="11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360" w:right="0"/>
        <w:jc w:val="left"/>
        <w:rPr>
          <w:b w:val="0"/>
          <w:bCs w:val="0"/>
        </w:rPr>
      </w:pPr>
      <w:bookmarkStart w:name="第八节 董事、监事、高级管理人员和员工情况" w:id="116"/>
      <w:bookmarkEnd w:id="116"/>
      <w:r>
        <w:rPr>
          <w:b w:val="0"/>
          <w:bCs w:val="0"/>
        </w:rPr>
      </w:r>
      <w:bookmarkStart w:name="_bookmark6"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834"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911"/>
        <w:gridCol w:w="950"/>
        <w:gridCol w:w="590"/>
        <w:gridCol w:w="410"/>
        <w:gridCol w:w="420"/>
        <w:gridCol w:w="1680"/>
        <w:gridCol w:w="1639"/>
        <w:gridCol w:w="671"/>
        <w:gridCol w:w="920"/>
        <w:gridCol w:w="830"/>
        <w:gridCol w:w="690"/>
        <w:gridCol w:w="860"/>
      </w:tblGrid>
      <w:tr>
        <w:trPr>
          <w:trHeight w:val="1337"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0" w:right="10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0" w:right="108"/>
              <w:jc w:val="left"/>
              <w:rPr>
                <w:rFonts w:ascii="宋体" w:hAnsi="宋体" w:cs="宋体" w:eastAsia="宋体" w:hint="default"/>
                <w:sz w:val="18"/>
                <w:szCs w:val="18"/>
              </w:rPr>
            </w:pPr>
            <w:r>
              <w:rPr>
                <w:rFonts w:ascii="宋体" w:hAnsi="宋体" w:cs="宋体" w:eastAsia="宋体" w:hint="default"/>
                <w:sz w:val="18"/>
                <w:szCs w:val="18"/>
              </w:rPr>
              <w:t>性 别</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5"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149"/>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 w:right="18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8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0" w:right="13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4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4" w:right="15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5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820,500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820,500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总经理、 财务总监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73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沈新鹏</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施冉冉</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胡明珠</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2"/>
              <w:jc w:val="center"/>
              <w:rPr>
                <w:rFonts w:ascii="宋体" w:hAnsi="宋体" w:cs="宋体" w:eastAsia="宋体" w:hint="default"/>
                <w:sz w:val="18"/>
                <w:szCs w:val="18"/>
              </w:rPr>
            </w:pPr>
            <w:r>
              <w:rPr>
                <w:rFonts w:ascii="宋体" w:hAnsi="宋体" w:cs="宋体" w:eastAsia="宋体" w:hint="default"/>
                <w:sz w:val="18"/>
                <w:szCs w:val="18"/>
              </w:rPr>
              <w:t>现任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离任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离任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邹赐春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离任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孙昊</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离任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栾明</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离任</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820,500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820,500</w:t>
            </w:r>
          </w:p>
        </w:tc>
      </w:tr>
    </w:tbl>
    <w:p>
      <w:pPr>
        <w:spacing w:line="240" w:lineRule="auto" w:before="2"/>
        <w:rPr>
          <w:rFonts w:ascii="宋体" w:hAnsi="宋体" w:cs="宋体" w:eastAsia="宋体" w:hint="default"/>
          <w:b/>
          <w:bCs/>
          <w:sz w:val="18"/>
          <w:szCs w:val="18"/>
        </w:rPr>
      </w:pPr>
    </w:p>
    <w:p>
      <w:pPr>
        <w:pStyle w:val="Heading2"/>
        <w:spacing w:line="240" w:lineRule="auto" w:before="26"/>
        <w:ind w:left="834"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829" w:type="dxa"/>
        <w:tblLayout w:type="fixed"/>
        <w:tblCellMar>
          <w:top w:w="0" w:type="dxa"/>
          <w:left w:w="0" w:type="dxa"/>
          <w:bottom w:w="0" w:type="dxa"/>
          <w:right w:w="0" w:type="dxa"/>
        </w:tblCellMar>
        <w:tblLook w:val="01E0"/>
      </w:tblPr>
      <w:tblGrid>
        <w:gridCol w:w="1330"/>
        <w:gridCol w:w="1331"/>
        <w:gridCol w:w="1330"/>
        <w:gridCol w:w="1884"/>
        <w:gridCol w:w="369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邹赐春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栾明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公司控股权发生变化</w:t>
            </w:r>
          </w:p>
        </w:tc>
      </w:tr>
    </w:tbl>
    <w:p>
      <w:pPr>
        <w:spacing w:after="0" w:line="240" w:lineRule="auto"/>
        <w:jc w:val="left"/>
        <w:rPr>
          <w:rFonts w:ascii="宋体" w:hAnsi="宋体" w:cs="宋体" w:eastAsia="宋体" w:hint="default"/>
          <w:sz w:val="18"/>
          <w:szCs w:val="18"/>
        </w:rPr>
        <w:sectPr>
          <w:pgSz w:w="11910" w:h="16840"/>
          <w:pgMar w:header="907" w:footer="1019" w:top="1100" w:bottom="1200" w:left="3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884"/>
        <w:gridCol w:w="369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公司控股权发生变化</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公司控股权发生变化</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董事会秘书、 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工作原因、公司控股权发生变化</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0"/>
      <w:bookmarkEnd w:id="12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6" w:lineRule="auto" w:before="116"/>
        <w:ind w:left="534" w:right="0" w:firstLine="62"/>
        <w:jc w:val="left"/>
      </w:pPr>
      <w:r>
        <w:rPr>
          <w:rFonts w:ascii="宋体" w:hAnsi="宋体" w:cs="宋体" w:eastAsia="宋体" w:hint="default"/>
          <w:b/>
          <w:bCs/>
        </w:rPr>
        <w:t>（一）现任董事</w:t>
      </w:r>
      <w:r>
        <w:rPr>
          <w:rFonts w:ascii="宋体" w:hAnsi="宋体" w:cs="宋体" w:eastAsia="宋体" w:hint="default"/>
          <w:b/>
          <w:bCs/>
          <w:w w:val="99"/>
        </w:rPr>
        <w:t> </w:t>
      </w:r>
      <w:r>
        <w:rPr/>
        <w:t>纪晓文，男，中国国籍，汉族，</w:t>
      </w:r>
      <w:r>
        <w:rPr>
          <w:rFonts w:ascii="宋体" w:hAnsi="宋体" w:cs="宋体" w:eastAsia="宋体" w:hint="default"/>
        </w:rPr>
        <w:t>1972</w:t>
      </w:r>
      <w:r>
        <w:rPr/>
        <w:t>年出生，天津大学经济法专业、工业工程管理专业毕业，山东大学</w:t>
      </w:r>
      <w:r>
        <w:rPr>
          <w:rFonts w:ascii="宋体" w:hAnsi="宋体" w:cs="宋体" w:eastAsia="宋体" w:hint="default"/>
        </w:rPr>
        <w:t>EMBA</w:t>
      </w:r>
      <w:r>
        <w:rPr/>
        <w:t>，获得国</w:t>
      </w:r>
    </w:p>
    <w:p>
      <w:pPr>
        <w:pStyle w:val="BodyText"/>
        <w:spacing w:line="316" w:lineRule="auto" w:before="19"/>
        <w:ind w:right="1030"/>
        <w:jc w:val="left"/>
      </w:pPr>
      <w:r>
        <w:rPr>
          <w:spacing w:val="-2"/>
        </w:rPr>
        <w:t>家律师资格、证券从业资格、独立董事任职资格、董事会秘书任职资格。先后担任中国银行山东省分行法律事务处主管、中</w:t>
      </w:r>
      <w:r>
        <w:rPr>
          <w:spacing w:val="-66"/>
        </w:rPr>
        <w:t> </w:t>
      </w:r>
      <w:r>
        <w:rPr>
          <w:spacing w:val="-66"/>
        </w:rPr>
      </w:r>
      <w:r>
        <w:rPr>
          <w:spacing w:val="-4"/>
        </w:rPr>
        <w:t>国东方资产管理公司青岛办事处投资部经理、中银信投资有限公司副总经理、山东九发食用菌股份有限公司董事长兼总经理、</w:t>
      </w:r>
      <w:r>
        <w:rPr>
          <w:spacing w:val="-44"/>
        </w:rPr>
        <w:t> </w:t>
      </w:r>
      <w:r>
        <w:rPr>
          <w:spacing w:val="-44"/>
        </w:rPr>
      </w:r>
      <w:r>
        <w:rPr/>
        <w:t>瑞茂通供应链管理股份有限公司董事、深圳市惠程电气股份有限公司董事长。</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日起担任公司第三届董事会董事</w:t>
      </w:r>
      <w:r>
        <w:rPr>
          <w:spacing w:val="-82"/>
        </w:rPr>
        <w:t> </w:t>
      </w:r>
      <w:r>
        <w:rPr>
          <w:spacing w:val="-82"/>
        </w:rPr>
      </w:r>
      <w:r>
        <w:rPr/>
        <w:t>长。</w:t>
      </w:r>
    </w:p>
    <w:p>
      <w:pPr>
        <w:pStyle w:val="BodyText"/>
        <w:spacing w:line="316" w:lineRule="auto" w:before="19"/>
        <w:ind w:right="1026" w:firstLine="420"/>
        <w:jc w:val="left"/>
      </w:pPr>
      <w:r>
        <w:rPr>
          <w:spacing w:val="-1"/>
        </w:rPr>
        <w:t>安鹏啸，男，中国国籍，汉族，</w:t>
      </w:r>
      <w:r>
        <w:rPr>
          <w:rFonts w:ascii="宋体" w:hAnsi="宋体" w:cs="宋体" w:eastAsia="宋体" w:hint="default"/>
          <w:spacing w:val="-1"/>
        </w:rPr>
        <w:t>1976</w:t>
      </w:r>
      <w:r>
        <w:rPr>
          <w:spacing w:val="-1"/>
        </w:rPr>
        <w:t>年出生，西安交通大学法学专业本科毕业。历任山东中创软件股份有限公司职员、</w:t>
      </w:r>
      <w:r>
        <w:rPr/>
        <w:t> </w:t>
      </w:r>
      <w:r>
        <w:rPr>
          <w:spacing w:val="-2"/>
        </w:rPr>
        <w:t>山东建邦集团部门总经理、蓝色经济区产业投资基金首席风控官、深圳市惠程电气股份有限公司监事，现任山东建邦集团副</w:t>
      </w:r>
      <w:r>
        <w:rPr>
          <w:spacing w:val="-66"/>
        </w:rPr>
        <w:t> </w:t>
      </w:r>
      <w:r>
        <w:rPr>
          <w:spacing w:val="-66"/>
        </w:rPr>
      </w:r>
      <w:r>
        <w:rPr/>
        <w:t>总裁。</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日起担任公司董事会董事。</w:t>
      </w:r>
    </w:p>
    <w:p>
      <w:pPr>
        <w:pStyle w:val="BodyText"/>
        <w:spacing w:line="319" w:lineRule="auto" w:before="19"/>
        <w:ind w:right="1129" w:firstLine="420"/>
        <w:jc w:val="both"/>
      </w:pPr>
      <w:r>
        <w:rPr/>
        <w:t>顾旭芬，女，中国国籍，汉族，</w:t>
      </w:r>
      <w:r>
        <w:rPr>
          <w:rFonts w:ascii="宋体" w:hAnsi="宋体" w:cs="宋体" w:eastAsia="宋体" w:hint="default"/>
        </w:rPr>
        <w:t>1946</w:t>
      </w:r>
      <w:r>
        <w:rPr/>
        <w:t>年出生，东方高级管理学院硕士，先后获得高级会计师、注册会计师、注册税务 </w:t>
      </w:r>
      <w:r>
        <w:rPr>
          <w:spacing w:val="-2"/>
        </w:rPr>
        <w:t>师资格、独立董事任职资格。曾任青岛市地税市北分局副局长、局长，青岛市国税局市北分局书记、青岛市南国家税务局书</w:t>
      </w:r>
      <w:r>
        <w:rPr>
          <w:spacing w:val="-66"/>
        </w:rPr>
        <w:t> </w:t>
      </w:r>
      <w:r>
        <w:rPr>
          <w:spacing w:val="-66"/>
        </w:rPr>
      </w:r>
      <w:r>
        <w:rPr>
          <w:spacing w:val="-2"/>
        </w:rPr>
        <w:t>记，现任青岛振青会计师事务所有限公司董事长、主任会计师，兼任中国注册会计师协会理事、中国注册税务师协会常务理</w:t>
      </w:r>
      <w:r>
        <w:rPr>
          <w:spacing w:val="-66"/>
        </w:rPr>
        <w:t> </w:t>
      </w:r>
      <w:r>
        <w:rPr>
          <w:spacing w:val="-66"/>
        </w:rPr>
      </w:r>
      <w:r>
        <w:rPr/>
        <w:t>事、青岛市人民检察院督察员、山东省高级人民法院执法监督员、中国海洋大学兼职教授等。</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w:t>
      </w:r>
      <w:r>
        <w:rPr>
          <w:spacing w:val="-82"/>
        </w:rPr>
        <w:t> </w:t>
      </w:r>
      <w:r>
        <w:rPr>
          <w:spacing w:val="-82"/>
        </w:rPr>
      </w:r>
      <w:r>
        <w:rPr/>
        <w:t>事会独立董事。</w:t>
      </w:r>
    </w:p>
    <w:p>
      <w:pPr>
        <w:pStyle w:val="BodyText"/>
        <w:spacing w:line="316" w:lineRule="auto" w:before="17"/>
        <w:ind w:right="1032" w:firstLine="420"/>
        <w:jc w:val="left"/>
      </w:pPr>
      <w:r>
        <w:rPr/>
        <w:t>纪晓腾，男，中国国籍，汉族，</w:t>
      </w:r>
      <w:r>
        <w:rPr>
          <w:rFonts w:ascii="宋体" w:hAnsi="宋体" w:cs="宋体" w:eastAsia="宋体" w:hint="default"/>
        </w:rPr>
        <w:t>1968</w:t>
      </w:r>
      <w:r>
        <w:rPr/>
        <w:t>年生，山东省政法干部管理学院法律专业毕业，获中华人民共和国律师资格、全 国法律顾问资格、经济师、独立董事任职资格。曾任山东省苍山县法律顾问处律师、中国农业银行山东省分行法律处科长、 </w:t>
      </w:r>
      <w:r>
        <w:rPr>
          <w:spacing w:val="-2"/>
        </w:rPr>
        <w:t>中国长城投资管理有限公司济南办事处处长助理、副处长，资产经营部重大项目管理部经理，现任山东欧亚投资有限公司总</w:t>
      </w:r>
      <w:r>
        <w:rPr>
          <w:spacing w:val="-66"/>
        </w:rPr>
        <w:t> </w:t>
      </w:r>
      <w:r>
        <w:rPr>
          <w:spacing w:val="-66"/>
        </w:rPr>
      </w:r>
      <w:r>
        <w:rPr/>
        <w:t>经理。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日起担任公司董事会独立董事。</w:t>
      </w:r>
    </w:p>
    <w:p>
      <w:pPr>
        <w:pStyle w:val="BodyText"/>
        <w:spacing w:line="316" w:lineRule="auto" w:before="19"/>
        <w:ind w:right="1131" w:firstLine="420"/>
        <w:jc w:val="both"/>
      </w:pPr>
      <w:r>
        <w:rPr/>
        <w:t>邢伟，男，中国国籍，汉族，</w:t>
      </w:r>
      <w:r>
        <w:rPr>
          <w:rFonts w:ascii="宋体" w:hAnsi="宋体" w:cs="宋体" w:eastAsia="宋体" w:hint="default"/>
        </w:rPr>
        <w:t>1971</w:t>
      </w:r>
      <w:r>
        <w:rPr/>
        <w:t>年出生，西南农业大学经济学学士，先后获得审计师、注册会计师、律师、独立董 </w:t>
      </w:r>
      <w:r>
        <w:rPr>
          <w:spacing w:val="-2"/>
        </w:rPr>
        <w:t>事任职等资格。曾任山东华鲁审计事务所项目经理、山东天恒信有限责任会计师事务所济南分所项目经理、山东德衡律师事</w:t>
      </w:r>
      <w:r>
        <w:rPr>
          <w:spacing w:val="-66"/>
        </w:rPr>
        <w:t> </w:t>
      </w:r>
      <w:r>
        <w:rPr>
          <w:spacing w:val="-66"/>
        </w:rPr>
      </w:r>
      <w:r>
        <w:rPr>
          <w:spacing w:val="-2"/>
        </w:rPr>
        <w:t>务所济南分所律师、山东华兴会计师事务所有限公司项目经理、山东新永信会计师事务所有限公司部门经理、山东大华会计</w:t>
      </w:r>
      <w:r>
        <w:rPr>
          <w:spacing w:val="-66"/>
        </w:rPr>
        <w:t> </w:t>
      </w:r>
      <w:r>
        <w:rPr>
          <w:spacing w:val="-66"/>
        </w:rPr>
      </w:r>
      <w:r>
        <w:rPr>
          <w:spacing w:val="-2"/>
        </w:rPr>
        <w:t>师事务所有限公司副董事长、深圳市惠程电气股份有限公司独立董事。现任山东东和会计师事务所（普通合伙）执行事务合</w:t>
      </w:r>
      <w:r>
        <w:rPr>
          <w:spacing w:val="-66"/>
        </w:rPr>
        <w:t> </w:t>
      </w:r>
      <w:r>
        <w:rPr>
          <w:spacing w:val="-66"/>
        </w:rPr>
      </w:r>
      <w:r>
        <w:rPr/>
        <w:t>伙人。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日起担任公司董事会独立董事。</w:t>
      </w:r>
    </w:p>
    <w:p>
      <w:pPr>
        <w:pStyle w:val="BodyText"/>
        <w:spacing w:line="316" w:lineRule="auto" w:before="19"/>
        <w:ind w:left="534" w:right="0" w:firstLine="62"/>
        <w:jc w:val="left"/>
      </w:pPr>
      <w:r>
        <w:rPr>
          <w:rFonts w:ascii="宋体" w:hAnsi="宋体" w:cs="宋体" w:eastAsia="宋体" w:hint="default"/>
          <w:b/>
          <w:bCs/>
        </w:rPr>
        <w:t>（二）现任监事</w:t>
      </w:r>
      <w:r>
        <w:rPr>
          <w:rFonts w:ascii="宋体" w:hAnsi="宋体" w:cs="宋体" w:eastAsia="宋体" w:hint="default"/>
          <w:b/>
          <w:bCs/>
          <w:w w:val="99"/>
        </w:rPr>
        <w:t> </w:t>
      </w:r>
      <w:r>
        <w:rPr/>
        <w:t>沈新鹏，男，中国国籍，汉族，</w:t>
      </w:r>
      <w:r>
        <w:rPr>
          <w:rFonts w:ascii="宋体" w:hAnsi="宋体" w:cs="宋体" w:eastAsia="宋体" w:hint="default"/>
        </w:rPr>
        <w:t>1970</w:t>
      </w:r>
      <w:r>
        <w:rPr/>
        <w:t>年出生，湖南省中南工学院建筑工程本科毕业、山东大学工商管理硕士毕业，获</w:t>
      </w:r>
    </w:p>
    <w:p>
      <w:pPr>
        <w:pStyle w:val="BodyText"/>
        <w:spacing w:line="316" w:lineRule="auto" w:before="19"/>
        <w:ind w:right="1129"/>
        <w:jc w:val="both"/>
      </w:pPr>
      <w:r>
        <w:rPr/>
        <w:t>国家一级建造师资格、高级工程师资格、江苏省南通市海安县第七批专业技术拔尖人才称号、江苏省南通市第四期“</w:t>
      </w:r>
      <w:r>
        <w:rPr>
          <w:rFonts w:ascii="宋体" w:hAnsi="宋体" w:cs="宋体" w:eastAsia="宋体" w:hint="default"/>
        </w:rPr>
        <w:t>226</w:t>
      </w:r>
      <w:r>
        <w:rPr/>
        <w:t>高</w:t>
      </w:r>
      <w:r>
        <w:rPr>
          <w:spacing w:val="-82"/>
        </w:rPr>
        <w:t> </w:t>
      </w:r>
      <w:r>
        <w:rPr/>
        <w:t>层次人才培养工程”优秀人才称号、江苏省第四期“</w:t>
      </w:r>
      <w:r>
        <w:rPr>
          <w:rFonts w:ascii="宋体" w:hAnsi="宋体" w:cs="宋体" w:eastAsia="宋体" w:hint="default"/>
        </w:rPr>
        <w:t>333</w:t>
      </w:r>
      <w:r>
        <w:rPr/>
        <w:t>高层次人才培养工程”优秀人才称号，曾任江苏省苏中建设集团股</w:t>
      </w:r>
      <w:r>
        <w:rPr>
          <w:spacing w:val="-82"/>
        </w:rPr>
        <w:t> </w:t>
      </w:r>
      <w:r>
        <w:rPr>
          <w:spacing w:val="-82"/>
        </w:rPr>
      </w:r>
      <w:r>
        <w:rPr/>
        <w:t>份有限公司山东公司经理、现任江苏省苏中建设集团股份有限公司西北公司经理、兼任山东省建筑大学客座教授。</w:t>
      </w:r>
      <w:r>
        <w:rPr>
          <w:rFonts w:ascii="宋体" w:hAnsi="宋体" w:cs="宋体" w:eastAsia="宋体" w:hint="default"/>
        </w:rPr>
        <w:t>2016</w:t>
      </w:r>
      <w:r>
        <w:rPr/>
        <w:t>年</w:t>
      </w:r>
      <w:r>
        <w:rPr>
          <w:rFonts w:ascii="宋体" w:hAnsi="宋体" w:cs="宋体" w:eastAsia="宋体" w:hint="default"/>
        </w:rPr>
        <w:t>9</w:t>
      </w:r>
      <w:r>
        <w:rPr>
          <w:rFonts w:ascii="宋体" w:hAnsi="宋体" w:cs="宋体" w:eastAsia="宋体" w:hint="default"/>
          <w:spacing w:val="-81"/>
        </w:rPr>
        <w:t> </w:t>
      </w:r>
      <w:r>
        <w:rPr/>
        <w:t>月</w:t>
      </w:r>
      <w:r>
        <w:rPr>
          <w:rFonts w:ascii="宋体" w:hAnsi="宋体" w:cs="宋体" w:eastAsia="宋体" w:hint="default"/>
        </w:rPr>
        <w:t>20</w:t>
      </w:r>
      <w:r>
        <w:rPr/>
        <w:t>日起担任公司监事会主席。</w:t>
      </w:r>
    </w:p>
    <w:p>
      <w:pPr>
        <w:pStyle w:val="BodyText"/>
        <w:spacing w:line="316" w:lineRule="auto" w:before="19"/>
        <w:ind w:right="0" w:firstLine="420"/>
        <w:jc w:val="left"/>
      </w:pPr>
      <w:r>
        <w:rPr/>
        <w:t>施冉冉，女，</w:t>
      </w:r>
      <w:r>
        <w:rPr>
          <w:rFonts w:ascii="宋体" w:hAnsi="宋体" w:cs="宋体" w:eastAsia="宋体" w:hint="default"/>
        </w:rPr>
        <w:t>1979</w:t>
      </w:r>
      <w:r>
        <w:rPr/>
        <w:t>年出生，中国籍，无境外居留权，山东大学工商管理硕士。历任山东鲁能商贸有限公司贵和商厦人 力资源部经理、山东鲁能商贸有限公司贵和物业人力资源部经理等职。</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12</w:t>
      </w:r>
      <w:r>
        <w:rPr/>
        <w:t>日起担任公司监事会监事。</w:t>
      </w:r>
    </w:p>
    <w:p>
      <w:pPr>
        <w:pStyle w:val="BodyText"/>
        <w:spacing w:line="316" w:lineRule="auto" w:before="19"/>
        <w:ind w:right="1118" w:firstLine="420"/>
        <w:jc w:val="left"/>
      </w:pPr>
      <w:r>
        <w:rPr>
          <w:spacing w:val="-1"/>
        </w:rPr>
        <w:t>付强，男，</w:t>
      </w:r>
      <w:r>
        <w:rPr>
          <w:rFonts w:ascii="宋体" w:hAnsi="宋体" w:cs="宋体" w:eastAsia="宋体" w:hint="default"/>
          <w:spacing w:val="-1"/>
        </w:rPr>
        <w:t>1982</w:t>
      </w:r>
      <w:r>
        <w:rPr>
          <w:spacing w:val="-1"/>
        </w:rPr>
        <w:t>年出生，中国国籍，无境外永久居住权，</w:t>
      </w:r>
      <w:r>
        <w:rPr>
          <w:rFonts w:ascii="宋体" w:hAnsi="宋体" w:cs="宋体" w:eastAsia="宋体" w:hint="default"/>
          <w:spacing w:val="-1"/>
        </w:rPr>
        <w:t>1982</w:t>
      </w:r>
      <w:r>
        <w:rPr>
          <w:spacing w:val="-1"/>
        </w:rPr>
        <w:t>年</w:t>
      </w:r>
      <w:r>
        <w:rPr>
          <w:rFonts w:ascii="宋体" w:hAnsi="宋体" w:cs="宋体" w:eastAsia="宋体" w:hint="default"/>
          <w:spacing w:val="-1"/>
        </w:rPr>
        <w:t>8</w:t>
      </w:r>
      <w:r>
        <w:rPr>
          <w:spacing w:val="-1"/>
        </w:rPr>
        <w:t>月出生，本科学历。历任中国石化股份有限公司北京</w:t>
      </w:r>
      <w:r>
        <w:rPr/>
        <w:t> 石油分公司财务部会计助理、运营管理部职员、区域培训站长等。</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w:t>
      </w:r>
      <w:r>
        <w:rPr/>
        <w:t>日起担任公司监事会监事。</w:t>
      </w:r>
    </w:p>
    <w:p>
      <w:pPr>
        <w:pStyle w:val="BodyText"/>
        <w:spacing w:line="316" w:lineRule="auto" w:before="19"/>
        <w:ind w:left="537" w:right="0" w:firstLine="58"/>
        <w:jc w:val="left"/>
      </w:pPr>
      <w:r>
        <w:rPr>
          <w:rFonts w:ascii="宋体" w:hAnsi="宋体" w:cs="宋体" w:eastAsia="宋体" w:hint="default"/>
          <w:b/>
          <w:bCs/>
        </w:rPr>
        <w:t>（三）现任高级管理人员</w:t>
      </w:r>
      <w:r>
        <w:rPr>
          <w:rFonts w:ascii="宋体" w:hAnsi="宋体" w:cs="宋体" w:eastAsia="宋体" w:hint="default"/>
          <w:b/>
          <w:bCs/>
          <w:w w:val="99"/>
        </w:rPr>
        <w:t> </w:t>
      </w:r>
      <w:r>
        <w:rPr/>
        <w:t>朱小艳，女，中国国籍，汉族，</w:t>
      </w:r>
      <w:r>
        <w:rPr>
          <w:rFonts w:ascii="宋体" w:hAnsi="宋体" w:cs="宋体" w:eastAsia="宋体" w:hint="default"/>
        </w:rPr>
        <w:t>1989</w:t>
      </w:r>
      <w:r>
        <w:rPr/>
        <w:t>年出生，湖南商学院物流管理专业毕业，获得中国注册会计师资格、董事会秘书</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030"/>
        <w:jc w:val="left"/>
      </w:pPr>
      <w:r>
        <w:rPr>
          <w:spacing w:val="-4"/>
        </w:rPr>
        <w:t>任职资格、证券从业资格、会计从业资格。曾任天职国际会计师事务所审计员、深圳市惠程电气股份有限公司证券事务代表、</w:t>
      </w:r>
      <w:r>
        <w:rPr>
          <w:spacing w:val="-46"/>
        </w:rPr>
        <w:t> </w:t>
      </w:r>
      <w:r>
        <w:rPr>
          <w:spacing w:val="-46"/>
        </w:rPr>
      </w:r>
      <w:r>
        <w:rPr/>
        <w:t>投资管理部副经理。</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20</w:t>
      </w:r>
      <w:r>
        <w:rPr/>
        <w:t>日起担任公司董事会董事、总经理、董事会秘书、财务总监。</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05</w:t>
      </w:r>
      <w:r>
        <w:rPr/>
        <w:t>日因工作原因</w:t>
      </w:r>
      <w:r>
        <w:rPr>
          <w:spacing w:val="-82"/>
        </w:rPr>
        <w:t> </w:t>
      </w:r>
      <w:r>
        <w:rPr>
          <w:spacing w:val="-82"/>
        </w:rPr>
      </w:r>
      <w:r>
        <w:rPr>
          <w:spacing w:val="-3"/>
        </w:rPr>
        <w:t>申请辞去公司董事会秘书的职务，</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26</w:t>
      </w:r>
      <w:r>
        <w:rPr>
          <w:spacing w:val="-3"/>
        </w:rPr>
        <w:t>日因公司控股权变更辞去董事职务，继续担任公司总经理（总裁）、财务总监</w:t>
      </w:r>
      <w:r>
        <w:rPr>
          <w:spacing w:val="-88"/>
        </w:rPr>
        <w:t> </w:t>
      </w:r>
      <w:r>
        <w:rPr>
          <w:spacing w:val="-88"/>
        </w:rPr>
      </w:r>
      <w:r>
        <w:rPr/>
        <w:t>的职务。</w:t>
      </w:r>
    </w:p>
    <w:p>
      <w:pPr>
        <w:pStyle w:val="BodyText"/>
        <w:spacing w:line="316" w:lineRule="auto" w:before="19"/>
        <w:ind w:right="1131" w:firstLine="420"/>
        <w:jc w:val="both"/>
      </w:pPr>
      <w:r>
        <w:rPr/>
        <w:t>胡明珠，女，</w:t>
      </w:r>
      <w:r>
        <w:rPr>
          <w:rFonts w:ascii="宋体" w:hAnsi="宋体" w:cs="宋体" w:eastAsia="宋体" w:hint="default"/>
        </w:rPr>
        <w:t>1989</w:t>
      </w:r>
      <w:r>
        <w:rPr/>
        <w:t>年</w:t>
      </w:r>
      <w:r>
        <w:rPr>
          <w:rFonts w:ascii="宋体" w:hAnsi="宋体" w:cs="宋体" w:eastAsia="宋体" w:hint="default"/>
        </w:rPr>
        <w:t>10</w:t>
      </w:r>
      <w:r>
        <w:rPr/>
        <w:t>月出生，中国国籍，无永久境外居留权，中国农业大学经济学学士。</w:t>
      </w:r>
      <w:r>
        <w:rPr>
          <w:rFonts w:ascii="宋体" w:hAnsi="宋体" w:cs="宋体" w:eastAsia="宋体" w:hint="default"/>
        </w:rPr>
        <w:t>2011</w:t>
      </w:r>
      <w:r>
        <w:rPr/>
        <w:t>年至</w:t>
      </w:r>
      <w:r>
        <w:rPr>
          <w:rFonts w:ascii="宋体" w:hAnsi="宋体" w:cs="宋体" w:eastAsia="宋体" w:hint="default"/>
        </w:rPr>
        <w:t>2017</w:t>
      </w:r>
      <w:r>
        <w:rPr/>
        <w:t>年任北京汉 </w:t>
      </w:r>
      <w:r>
        <w:rPr>
          <w:spacing w:val="-2"/>
        </w:rPr>
        <w:t>鼎盛世咨询服务有限公司执行副总裁，</w:t>
      </w:r>
      <w:r>
        <w:rPr>
          <w:rFonts w:ascii="宋体" w:hAnsi="宋体" w:cs="宋体" w:eastAsia="宋体" w:hint="default"/>
          <w:spacing w:val="-2"/>
        </w:rPr>
        <w:t>2017</w:t>
      </w:r>
      <w:r>
        <w:rPr>
          <w:spacing w:val="-2"/>
        </w:rPr>
        <w:t>年至</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日任九次方大数据信息集团有限公司董事会秘书、证券事务代</w:t>
      </w:r>
      <w:r>
        <w:rPr>
          <w:spacing w:val="-52"/>
        </w:rPr>
        <w:t> </w:t>
      </w:r>
      <w:r>
        <w:rPr>
          <w:spacing w:val="-52"/>
        </w:rPr>
      </w:r>
      <w:r>
        <w:rPr/>
        <w:t>表、执行总裁助理。</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19</w:t>
      </w:r>
      <w:r>
        <w:rPr/>
        <w:t>日起担任公司副总经理，</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05</w:t>
      </w:r>
      <w:r>
        <w:rPr/>
        <w:t>日起担任公司董事会秘书。</w:t>
      </w:r>
    </w:p>
    <w:p>
      <w:pPr>
        <w:pStyle w:val="BodyText"/>
        <w:spacing w:line="240" w:lineRule="auto" w:before="59"/>
        <w:ind w:right="0"/>
        <w:jc w:val="left"/>
      </w:pPr>
      <w:r>
        <w:rPr/>
        <w:t>在股东单位任职情况</w:t>
      </w:r>
    </w:p>
    <w:p>
      <w:pPr>
        <w:pStyle w:val="BodyText"/>
        <w:spacing w:line="357" w:lineRule="auto" w:before="117"/>
        <w:ind w:right="9132"/>
        <w:jc w:val="left"/>
      </w:pPr>
      <w:r>
        <w:rPr/>
        <w:t>□ 适用 √ 不适用 在其他单位任职情况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092"/>
        <w:gridCol w:w="1763"/>
        <w:gridCol w:w="827"/>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7" w:right="13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山东建邦集团有限公司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青岛振青会计师事务所有限公司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董事长、主</w:t>
            </w:r>
            <w:r>
              <w:rPr>
                <w:rFonts w:ascii="宋体" w:hAnsi="宋体" w:cs="宋体" w:eastAsia="宋体" w:hint="default"/>
                <w:sz w:val="18"/>
                <w:szCs w:val="18"/>
              </w:rPr>
              <w:t> 任会计师</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山东欧亚投资有限公司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山东东和会计师事务所（普通合伙）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公司董事、监事、高级管理人员的报酬决策程序、报酬确定依据：根据公司章程，公司董事会薪酬与考核委员会提出的公司</w:t>
      </w:r>
      <w:r>
        <w:rPr>
          <w:spacing w:val="-66"/>
        </w:rPr>
        <w:t> </w:t>
      </w:r>
      <w:r>
        <w:rPr>
          <w:spacing w:val="-66"/>
        </w:rPr>
      </w:r>
      <w:r>
        <w:rPr>
          <w:spacing w:val="-2"/>
        </w:rPr>
        <w:t>董事、监事的薪酬方案，须报经董事会同意并提交股东大会审议通过后方可实施；公司高级管理人员的薪酬分配方案须报董</w:t>
      </w:r>
    </w:p>
    <w:p>
      <w:pPr>
        <w:pStyle w:val="BodyText"/>
        <w:spacing w:line="319" w:lineRule="auto" w:before="2"/>
        <w:ind w:right="1122"/>
        <w:jc w:val="left"/>
      </w:pPr>
      <w:r>
        <w:rPr/>
        <w:t>事会批准后方可实施。公司现行的薪酬方案经第三届董事会第一次会议和公司</w:t>
      </w:r>
      <w:r>
        <w:rPr>
          <w:spacing w:val="-45"/>
        </w:rPr>
        <w:t> </w:t>
      </w:r>
      <w:r>
        <w:rPr>
          <w:rFonts w:ascii="宋体" w:hAnsi="宋体" w:cs="宋体" w:eastAsia="宋体" w:hint="default"/>
        </w:rPr>
        <w:t>2016</w:t>
      </w:r>
      <w:r>
        <w:rPr>
          <w:rFonts w:ascii="宋体" w:hAnsi="宋体" w:cs="宋体" w:eastAsia="宋体" w:hint="default"/>
          <w:spacing w:val="-45"/>
        </w:rPr>
        <w:t> </w:t>
      </w:r>
      <w:r>
        <w:rPr/>
        <w:t>年第二次临时股东大会审议确定。公司 报告期内董事、监事和高级管理人员报酬情况</w:t>
      </w:r>
    </w:p>
    <w:p>
      <w:pPr>
        <w:pStyle w:val="BodyText"/>
        <w:spacing w:line="240" w:lineRule="auto" w:before="5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安鹏啸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朱小艳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董事、总经理、</w:t>
            </w:r>
            <w:r>
              <w:rPr>
                <w:rFonts w:ascii="宋体" w:hAnsi="宋体" w:cs="宋体" w:eastAsia="宋体" w:hint="default"/>
                <w:sz w:val="18"/>
                <w:szCs w:val="18"/>
              </w:rPr>
              <w:t>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沈新鹏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施冉冉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胡明珠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陈永阳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邹赐春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栾明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150.82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公司根据国家有关劳动法规和政策，结合公司实际情况，建立了科学合理的薪酬考核体系。薪酬分配遵循“五大原则”，一</w:t>
      </w:r>
      <w:r>
        <w:rPr>
          <w:spacing w:val="-72"/>
        </w:rPr>
        <w:t> </w:t>
      </w:r>
      <w:r>
        <w:rPr>
          <w:spacing w:val="-72"/>
        </w:rPr>
      </w:r>
      <w:r>
        <w:rPr>
          <w:spacing w:val="-2"/>
        </w:rPr>
        <w:t>是市场薪酬水平、二是岗位责任大小、三是技能水平高低、四是工作条件好坏和劳动强度大小、五是创造价值大小和劳动成</w:t>
      </w:r>
      <w:r>
        <w:rPr>
          <w:spacing w:val="-66"/>
        </w:rPr>
        <w:t> </w:t>
      </w:r>
      <w:r>
        <w:rPr>
          <w:spacing w:val="-66"/>
        </w:rPr>
      </w:r>
      <w:r>
        <w:rPr/>
        <w:t>果，合理确定员工工资水平，让员工获得与贡献相匹配的薪酬收入。</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为提高员工整体素质和工作效率，公司在对各部门培训需求进行充分调查分析的基础上制定出培训计划，具体包括培训的内</w:t>
      </w:r>
      <w:r>
        <w:rPr>
          <w:spacing w:val="-64"/>
        </w:rPr>
        <w:t> </w:t>
      </w:r>
      <w:r>
        <w:rPr>
          <w:spacing w:val="-64"/>
        </w:rPr>
      </w:r>
      <w:r>
        <w:rPr/>
        <w:t>容、时间、参加人员。主要培训内容包括员工素质、职业技能、行政管理等各个方面。</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1113"/>
        <w:jc w:val="center"/>
        <w:rPr>
          <w:b w:val="0"/>
          <w:bCs w:val="0"/>
        </w:rPr>
      </w:pPr>
      <w:bookmarkStart w:name="第九节 公司治理" w:id="127"/>
      <w:bookmarkEnd w:id="127"/>
      <w:r>
        <w:rPr>
          <w:b w:val="0"/>
          <w:bCs w:val="0"/>
        </w:rPr>
      </w:r>
      <w:bookmarkStart w:name="_bookmark7" w:id="128"/>
      <w:bookmarkEnd w:id="12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12"/>
        </w:rPr>
        <w:t>报告期内，公司严格按照《公司法》、《证券法》、《上市公司治理准则》、《深圳证券交易所股票上市规则》和中国证监会</w:t>
      </w:r>
      <w:r>
        <w:rPr/>
        <w:t> </w:t>
      </w:r>
      <w:r>
        <w:rPr>
          <w:spacing w:val="-2"/>
        </w:rPr>
        <w:t>有关法律法规等的要求，规范运作，不断完善公司法人治理结构，建立了较为完备的公司治理及内部控制规章制度，同时根</w:t>
      </w:r>
      <w:r>
        <w:rPr>
          <w:spacing w:val="-66"/>
        </w:rPr>
        <w:t> </w:t>
      </w:r>
      <w:r>
        <w:rPr>
          <w:spacing w:val="-66"/>
        </w:rPr>
      </w:r>
      <w:r>
        <w:rPr>
          <w:spacing w:val="-2"/>
        </w:rPr>
        <w:t>据监管部门的最新要求及公司情况，及时对制度进行修订和完善。截至报告期末，公司治理实际情况符合中国证监会发布的</w:t>
      </w:r>
      <w:r>
        <w:rPr>
          <w:spacing w:val="-66"/>
        </w:rPr>
        <w:t> </w:t>
      </w:r>
      <w:r>
        <w:rPr>
          <w:spacing w:val="-66"/>
        </w:rPr>
      </w:r>
      <w:r>
        <w:rPr/>
        <w:t>有关上市公司治理的规范性文件的要求。</w:t>
      </w:r>
    </w:p>
    <w:p>
      <w:pPr>
        <w:pStyle w:val="BodyText"/>
        <w:spacing w:line="240" w:lineRule="auto" w:before="19"/>
        <w:ind w:left="474" w:right="0"/>
        <w:jc w:val="left"/>
      </w:pPr>
      <w:r>
        <w:rPr/>
        <w:t>报告期内，公司变更注册地址，同时对《公司章程》进行了修订。</w:t>
      </w:r>
    </w:p>
    <w:p>
      <w:pPr>
        <w:pStyle w:val="BodyText"/>
        <w:spacing w:line="316" w:lineRule="auto" w:before="76"/>
        <w:ind w:left="474" w:right="0"/>
        <w:jc w:val="left"/>
      </w:pPr>
      <w:r>
        <w:rPr/>
        <w:t>（一）关于股东与股东大会 </w:t>
      </w:r>
      <w:r>
        <w:rPr>
          <w:spacing w:val="-6"/>
        </w:rPr>
        <w:t>公司严格按照《上市公司股东大会规则》、《公司章程》和公司《股东大会议事规则》等的规定和要求，召集、召开股东</w:t>
      </w:r>
    </w:p>
    <w:p>
      <w:pPr>
        <w:pStyle w:val="BodyText"/>
        <w:spacing w:line="316" w:lineRule="auto" w:before="19"/>
        <w:ind w:right="1131"/>
        <w:jc w:val="both"/>
      </w:pPr>
      <w:r>
        <w:rPr>
          <w:spacing w:val="-2"/>
        </w:rPr>
        <w:t>大会，能够确保所有股东享有平等地位，充分行使自己的权利。报告期内召开的股东大会均由董事会召集召开，并邀请见证</w:t>
      </w:r>
      <w:r>
        <w:rPr>
          <w:spacing w:val="-66"/>
        </w:rPr>
        <w:t> </w:t>
      </w:r>
      <w:r>
        <w:rPr>
          <w:spacing w:val="-66"/>
        </w:rPr>
      </w:r>
      <w:r>
        <w:rPr/>
        <w:t>律师进行现场见证。</w:t>
      </w:r>
    </w:p>
    <w:p>
      <w:pPr>
        <w:pStyle w:val="BodyText"/>
        <w:spacing w:line="316" w:lineRule="auto" w:before="19"/>
        <w:ind w:left="474" w:right="0"/>
        <w:jc w:val="left"/>
      </w:pPr>
      <w:r>
        <w:rPr/>
        <w:t>（二）关于公司与控股股东 </w:t>
      </w:r>
      <w:r>
        <w:rPr>
          <w:spacing w:val="-12"/>
        </w:rPr>
        <w:t>公司控股股东能够严格按照《公司法》、《证券法》、《深圳证券交易所股票上市规则》、《深圳证券交易所中小企业板上市</w:t>
      </w:r>
    </w:p>
    <w:p>
      <w:pPr>
        <w:pStyle w:val="BodyText"/>
        <w:spacing w:line="316" w:lineRule="auto" w:before="19"/>
        <w:ind w:right="1043"/>
        <w:jc w:val="both"/>
      </w:pPr>
      <w:r>
        <w:rPr>
          <w:spacing w:val="-5"/>
        </w:rPr>
        <w:t>公司规范运作指引》、《公司章程》和《控股股东、实际控制人行为规范》的规定和要求，规范控股股东行为。公司控股股东</w:t>
      </w:r>
      <w:r>
        <w:rPr>
          <w:spacing w:val="-84"/>
        </w:rPr>
        <w:t> </w:t>
      </w:r>
      <w:r>
        <w:rPr>
          <w:spacing w:val="-84"/>
        </w:rPr>
      </w:r>
      <w:r>
        <w:rPr>
          <w:spacing w:val="-2"/>
        </w:rPr>
        <w:t>成都数字星河科技有限公司，为境内非国有法人，通过股东大会行使股东权利，并承担相应义务，没有超越公司股东大会直</w:t>
      </w:r>
      <w:r>
        <w:rPr>
          <w:spacing w:val="-66"/>
        </w:rPr>
        <w:t> </w:t>
      </w:r>
      <w:r>
        <w:rPr>
          <w:spacing w:val="-66"/>
        </w:rPr>
      </w:r>
      <w:r>
        <w:rPr>
          <w:spacing w:val="-2"/>
        </w:rPr>
        <w:t>接或间接干预公司的决策和经营活动的行为。公司拥有独立完整的业务和自主经营能力，在业务、资产、人员、财务、机构</w:t>
      </w:r>
      <w:r>
        <w:rPr>
          <w:spacing w:val="-67"/>
        </w:rPr>
        <w:t> </w:t>
      </w:r>
      <w:r>
        <w:rPr>
          <w:spacing w:val="-67"/>
        </w:rPr>
      </w:r>
      <w:r>
        <w:rPr>
          <w:spacing w:val="-4"/>
        </w:rPr>
        <w:t>等方面独立于控股股东，公司董事会、监事会和内部机构独立运作。公司实际控制人不存在损害公司及其他股东利益的情况。</w:t>
      </w:r>
    </w:p>
    <w:p>
      <w:pPr>
        <w:pStyle w:val="BodyText"/>
        <w:spacing w:line="319" w:lineRule="auto" w:before="19"/>
        <w:ind w:left="474" w:right="0"/>
        <w:jc w:val="left"/>
      </w:pPr>
      <w:r>
        <w:rPr/>
        <w:t>（三）关于董事与董事会 </w:t>
      </w:r>
      <w:r>
        <w:rPr>
          <w:spacing w:val="-12"/>
        </w:rPr>
        <w:t>公司董事会严格按照《公司法》、《证券法》、《深圳证券交易所股票上市规则》、《深圳证券交易所中小企业板上市公司规</w:t>
      </w:r>
    </w:p>
    <w:p>
      <w:pPr>
        <w:pStyle w:val="BodyText"/>
        <w:spacing w:line="316" w:lineRule="auto" w:before="17"/>
        <w:ind w:right="1131"/>
        <w:jc w:val="both"/>
      </w:pPr>
      <w:r>
        <w:rPr>
          <w:spacing w:val="-11"/>
        </w:rPr>
        <w:t>范运作指引》、《公司章程》、《董事会议事规则》、《独立董事工作制度》等相关规定召集召开董事会，公司董事按时出席董事</w:t>
      </w:r>
      <w:r>
        <w:rPr>
          <w:spacing w:val="-87"/>
        </w:rPr>
        <w:t> </w:t>
      </w:r>
      <w:r>
        <w:rPr>
          <w:spacing w:val="-87"/>
        </w:rPr>
      </w:r>
      <w:r>
        <w:rPr>
          <w:spacing w:val="-2"/>
        </w:rPr>
        <w:t>会及股东大会，勤勉尽责，认真审议各项议案并对公司重大事项做出科学、合理决策。公司严格按照《公司法》和《公司章</w:t>
      </w:r>
      <w:r>
        <w:rPr>
          <w:spacing w:val="-72"/>
        </w:rPr>
        <w:t> </w:t>
      </w:r>
      <w:r>
        <w:rPr>
          <w:spacing w:val="-72"/>
        </w:rPr>
      </w:r>
      <w:r>
        <w:rPr>
          <w:spacing w:val="-2"/>
        </w:rPr>
        <w:t>程》等规定的董事选聘程序以累积投票制方式选举董事，董事会成员的构成符合法律法规的要求。公司独立董事独立履行职</w:t>
      </w:r>
      <w:r>
        <w:rPr>
          <w:spacing w:val="-66"/>
        </w:rPr>
        <w:t> </w:t>
      </w:r>
      <w:r>
        <w:rPr>
          <w:spacing w:val="-66"/>
        </w:rPr>
      </w:r>
      <w:r>
        <w:rPr>
          <w:spacing w:val="-2"/>
        </w:rPr>
        <w:t>责，对公司重大事项发表独立意见，切实维护公司利益和股东权益，尤其关注中小股东的合法权益不受损害，独立董事在公</w:t>
      </w:r>
      <w:r>
        <w:rPr>
          <w:spacing w:val="-66"/>
        </w:rPr>
        <w:t> </w:t>
      </w:r>
      <w:r>
        <w:rPr>
          <w:spacing w:val="-66"/>
        </w:rPr>
      </w:r>
      <w:r>
        <w:rPr>
          <w:spacing w:val="-2"/>
        </w:rPr>
        <w:t>司重大决策以及投资方面发挥了重要作用。公司董事会设立了审计委员会、战略委员会、提名委员会、薪酬与考核委员会四</w:t>
      </w:r>
      <w:r>
        <w:rPr>
          <w:spacing w:val="-65"/>
        </w:rPr>
        <w:t> </w:t>
      </w:r>
      <w:r>
        <w:rPr>
          <w:spacing w:val="-65"/>
        </w:rPr>
      </w:r>
      <w:r>
        <w:rPr>
          <w:spacing w:val="-2"/>
        </w:rPr>
        <w:t>个专门委员会，在促进公司规范运作、健康持续发展等方面发挥了重要的作用。未出现越权行使股东大会权利的行为，也未</w:t>
      </w:r>
      <w:r>
        <w:rPr>
          <w:spacing w:val="-66"/>
        </w:rPr>
        <w:t> </w:t>
      </w:r>
      <w:r>
        <w:rPr>
          <w:spacing w:val="-66"/>
        </w:rPr>
      </w:r>
      <w:r>
        <w:rPr/>
        <w:t>出现越权干预监事会运作和经营管理层的行为。</w:t>
      </w:r>
    </w:p>
    <w:p>
      <w:pPr>
        <w:pStyle w:val="BodyText"/>
        <w:spacing w:line="316" w:lineRule="auto" w:before="19"/>
        <w:ind w:left="474" w:right="0"/>
        <w:jc w:val="left"/>
      </w:pPr>
      <w:r>
        <w:rPr/>
        <w:t>（四）关于监事与监事会 </w:t>
      </w:r>
      <w:r>
        <w:rPr>
          <w:spacing w:val="-9"/>
        </w:rPr>
        <w:t>公司严格按照法律、法规及《公司章程》、《股东大会议事规则》、《监事会议事规则》等的规定产生监事，公司监事会的</w:t>
      </w:r>
    </w:p>
    <w:p>
      <w:pPr>
        <w:pStyle w:val="BodyText"/>
        <w:spacing w:line="316" w:lineRule="auto" w:before="19"/>
        <w:ind w:right="1132"/>
        <w:jc w:val="both"/>
      </w:pPr>
      <w:r>
        <w:rPr/>
        <w:t>人数及人员构成符合法律、法规和《公司章程》的要求，监事会现有三名监事，其中职工代表监事</w:t>
      </w:r>
      <w:r>
        <w:rPr>
          <w:rFonts w:ascii="宋体" w:hAnsi="宋体" w:cs="宋体" w:eastAsia="宋体" w:hint="default"/>
        </w:rPr>
        <w:t>2</w:t>
      </w:r>
      <w:r>
        <w:rPr/>
        <w:t>人。公司全体监事能够 </w:t>
      </w:r>
      <w:r>
        <w:rPr>
          <w:spacing w:val="-2"/>
        </w:rPr>
        <w:t>按照法律、法规和《监事会议事规则》等的要求，从保护股东利益出发，认真履行自己的职责，对公司重大事项、财务状况</w:t>
      </w:r>
      <w:r>
        <w:rPr>
          <w:spacing w:val="-71"/>
        </w:rPr>
        <w:t> </w:t>
      </w:r>
      <w:r>
        <w:rPr>
          <w:spacing w:val="-71"/>
        </w:rPr>
      </w:r>
      <w:r>
        <w:rPr/>
        <w:t>以及公司董事、经理和其他高级管理人员履行职责的合法合规性进行监督，忠实、勤勉地维护公司及股东的合法权益。</w:t>
      </w:r>
    </w:p>
    <w:p>
      <w:pPr>
        <w:pStyle w:val="BodyText"/>
        <w:spacing w:line="316" w:lineRule="auto" w:before="19"/>
        <w:ind w:left="474" w:right="1212"/>
        <w:jc w:val="left"/>
      </w:pPr>
      <w:r>
        <w:rPr/>
        <w:t>（五）关于信息披露 公司指定董事会秘书具体负责信息披露工作，严格按照监管部门颁布的制度法规和公司制定的《信息披露事务管理制</w:t>
      </w:r>
    </w:p>
    <w:p>
      <w:pPr>
        <w:pStyle w:val="BodyText"/>
        <w:spacing w:line="316" w:lineRule="auto" w:before="19"/>
        <w:ind w:right="1130"/>
        <w:jc w:val="both"/>
      </w:pPr>
      <w:r>
        <w:rPr>
          <w:spacing w:val="-5"/>
        </w:rPr>
        <w:t>度》、《重大信息内部报告制度》和《投资者关系管理制度》等有关规定，加强信息披露事务管理，依法认真履行信息披露义</w:t>
      </w:r>
      <w:r>
        <w:rPr>
          <w:spacing w:val="-81"/>
        </w:rPr>
        <w:t> </w:t>
      </w:r>
      <w:r>
        <w:rPr>
          <w:spacing w:val="-81"/>
        </w:rPr>
      </w:r>
      <w:r>
        <w:rPr>
          <w:spacing w:val="-6"/>
        </w:rPr>
        <w:t>务。公司指定《中国证劵报》、《上海证券报》、《证券时报》和巨潮资讯网（</w:t>
      </w:r>
      <w:hyperlink r:id="rId11">
        <w:r>
          <w:rPr>
            <w:rFonts w:ascii="宋体" w:hAnsi="宋体" w:cs="宋体" w:eastAsia="宋体" w:hint="default"/>
            <w:spacing w:val="-6"/>
          </w:rPr>
          <w:t>www.cninfo.com.cn</w:t>
        </w:r>
      </w:hyperlink>
      <w:r>
        <w:rPr>
          <w:spacing w:val="-6"/>
        </w:rPr>
        <w:t>）为公司信息披露的报纸及</w:t>
      </w:r>
      <w:r>
        <w:rPr>
          <w:spacing w:val="-66"/>
        </w:rPr>
        <w:t> </w:t>
      </w:r>
      <w:r>
        <w:rPr/>
        <w:t>网站，真实、完整、准确、公平、及时地披露有关信息，确保公司所有股东公平地获得公司相关信息。</w:t>
      </w:r>
    </w:p>
    <w:p>
      <w:pPr>
        <w:pStyle w:val="BodyText"/>
        <w:spacing w:line="316" w:lineRule="auto" w:before="19"/>
        <w:ind w:left="474" w:right="0"/>
        <w:jc w:val="left"/>
      </w:pPr>
      <w:r>
        <w:rPr/>
        <w:t>（六）投资者关系管理 </w:t>
      </w:r>
      <w:r>
        <w:rPr>
          <w:spacing w:val="-2"/>
        </w:rPr>
        <w:t>公司重视投资者关系管理工作，指定董事会秘书为投资者关系管理负责人，负责接待投资者的来访和咨询，公司董事会</w:t>
      </w:r>
    </w:p>
    <w:p>
      <w:pPr>
        <w:pStyle w:val="BodyText"/>
        <w:spacing w:line="316" w:lineRule="auto" w:before="19"/>
        <w:ind w:right="1133"/>
        <w:jc w:val="both"/>
      </w:pPr>
      <w:r>
        <w:rPr>
          <w:spacing w:val="-2"/>
        </w:rPr>
        <w:t>办公室作为投资者关系管理的具体实施机构，协助实施投资者关系的日常管理工作，包括投资者来访接待工作、股东大会的</w:t>
      </w:r>
      <w:r>
        <w:rPr>
          <w:spacing w:val="-66"/>
        </w:rPr>
        <w:t> </w:t>
      </w:r>
      <w:r>
        <w:rPr>
          <w:spacing w:val="-66"/>
        </w:rPr>
      </w:r>
      <w:r>
        <w:rPr/>
        <w:t>安排组织工作、投资者关系互动平台答疑工作等。</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38" w:lineRule="auto" w:before="44"/>
        <w:ind w:right="0" w:firstLine="360"/>
        <w:jc w:val="left"/>
      </w:pPr>
      <w:r>
        <w:rPr/>
        <w:t>（七）关于利益相关者 </w:t>
      </w:r>
      <w:r>
        <w:rPr>
          <w:spacing w:val="-2"/>
        </w:rPr>
        <w:t>公司充分尊重和维护利益相关者的合法利益，实现社会、股东、公司、员工等各方利益的协调平衡，加强与各方建立良好的</w:t>
      </w:r>
      <w:r>
        <w:rPr>
          <w:spacing w:val="-65"/>
        </w:rPr>
        <w:t> </w:t>
      </w:r>
      <w:r>
        <w:rPr>
          <w:spacing w:val="-65"/>
        </w:rPr>
      </w:r>
      <w:r>
        <w:rPr/>
        <w:t>合作关系，共同推动公司健康、持续地发展。</w:t>
      </w: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公司治理的实际状况与中国证监会发布的有关上市公司治理的规范性文件是否存在重大差异</w:t>
      </w:r>
    </w:p>
    <w:p>
      <w:pPr>
        <w:pStyle w:val="BodyText"/>
        <w:spacing w:line="360" w:lineRule="auto" w:before="116"/>
        <w:ind w:right="3552"/>
        <w:jc w:val="left"/>
      </w:pPr>
      <w:r>
        <w:rPr/>
        <w:t>□ 是 √ 否 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1118"/>
        <w:jc w:val="left"/>
      </w:pPr>
      <w:r>
        <w:rPr>
          <w:rFonts w:ascii="宋体" w:hAnsi="宋体" w:cs="宋体" w:eastAsia="宋体" w:hint="default"/>
        </w:rPr>
        <w:t>1</w:t>
      </w:r>
      <w:r>
        <w:rPr/>
        <w:t>、业务独立： </w:t>
      </w:r>
      <w:r>
        <w:rPr>
          <w:spacing w:val="-2"/>
        </w:rPr>
        <w:t>公司业务结构完整，自主独立经营，不依赖于控股股东或其他任何关联方，与控股股东、实际控制人及其控制的其他企</w:t>
      </w:r>
    </w:p>
    <w:p>
      <w:pPr>
        <w:pStyle w:val="BodyText"/>
        <w:spacing w:line="316" w:lineRule="auto" w:before="19"/>
        <w:ind w:left="474" w:right="2472" w:hanging="360"/>
        <w:jc w:val="left"/>
      </w:pPr>
      <w:r>
        <w:rPr/>
        <w:t>业间不存在同业竞争或者显失公平的关联交易，也不存在控股股东直接或间接干预公司经营运作的情形。 </w:t>
      </w:r>
      <w:r>
        <w:rPr>
          <w:rFonts w:ascii="宋体" w:hAnsi="宋体" w:cs="宋体" w:eastAsia="宋体" w:hint="default"/>
        </w:rPr>
        <w:t>2</w:t>
      </w:r>
      <w:r>
        <w:rPr/>
        <w:t>、人员独立：</w:t>
      </w:r>
    </w:p>
    <w:p>
      <w:pPr>
        <w:pStyle w:val="BodyText"/>
        <w:spacing w:line="316" w:lineRule="auto" w:before="19"/>
        <w:ind w:right="0" w:firstLine="360"/>
        <w:jc w:val="left"/>
      </w:pPr>
      <w:r>
        <w:rPr>
          <w:spacing w:val="-2"/>
        </w:rPr>
        <w:t>公司在劳动、人事及工资等方面均完全独立于控股股东。公司董事长、总经理、副总经理、董事会秘书、财务负责人等</w:t>
      </w:r>
      <w:r>
        <w:rPr/>
        <w:t> 人员均在公司领取薪酬，未在控股股东及其下属企业担任董事、监事以外的任何职务。</w:t>
      </w:r>
    </w:p>
    <w:p>
      <w:pPr>
        <w:pStyle w:val="BodyText"/>
        <w:spacing w:line="316" w:lineRule="auto" w:before="19"/>
        <w:ind w:left="474" w:right="1118"/>
        <w:jc w:val="left"/>
      </w:pPr>
      <w:r>
        <w:rPr>
          <w:rFonts w:ascii="宋体" w:hAnsi="宋体" w:cs="宋体" w:eastAsia="宋体" w:hint="default"/>
        </w:rPr>
        <w:t>3</w:t>
      </w:r>
      <w:r>
        <w:rPr/>
        <w:t>、资产独立： </w:t>
      </w:r>
      <w:r>
        <w:rPr>
          <w:spacing w:val="-2"/>
        </w:rPr>
        <w:t>公司目前拥有的资产产权清晰，生产经营场所独立，对所有资产拥有完全的控制支配权，不存在资产、资金被控股股东</w:t>
      </w:r>
    </w:p>
    <w:p>
      <w:pPr>
        <w:pStyle w:val="BodyText"/>
        <w:spacing w:line="316" w:lineRule="auto" w:before="19"/>
        <w:ind w:left="474" w:right="5352" w:hanging="360"/>
        <w:jc w:val="left"/>
      </w:pPr>
      <w:r>
        <w:rPr/>
        <w:t>违规占用的情况，也不存在以资产为各股东的债务提供担保的情况。 </w:t>
      </w:r>
      <w:r>
        <w:rPr>
          <w:rFonts w:ascii="宋体" w:hAnsi="宋体" w:cs="宋体" w:eastAsia="宋体" w:hint="default"/>
        </w:rPr>
        <w:t>4</w:t>
      </w:r>
      <w:r>
        <w:rPr/>
        <w:t>、机构独立：</w:t>
      </w:r>
    </w:p>
    <w:p>
      <w:pPr>
        <w:pStyle w:val="BodyText"/>
        <w:spacing w:line="319" w:lineRule="auto" w:before="19"/>
        <w:ind w:right="1032" w:firstLine="360"/>
        <w:jc w:val="left"/>
      </w:pPr>
      <w:r>
        <w:rPr>
          <w:spacing w:val="-4"/>
        </w:rPr>
        <w:t>公司通过股东大会、董事会、监事会、独立董事及各专门委员会制度，强化权力制衡机制，形成了有效的法人治理结构。</w:t>
      </w:r>
      <w:r>
        <w:rPr/>
        <w:t> </w:t>
      </w:r>
      <w:r>
        <w:rPr>
          <w:spacing w:val="-2"/>
        </w:rPr>
        <w:t>在内部机构设置上，公司建立了适应自身发展需要的组织机构，明确了各机构职能，定员定岗，并制定了相应的内部管理与</w:t>
      </w:r>
      <w:r>
        <w:rPr>
          <w:spacing w:val="-66"/>
        </w:rPr>
        <w:t> </w:t>
      </w:r>
      <w:r>
        <w:rPr>
          <w:spacing w:val="-66"/>
        </w:rPr>
      </w:r>
      <w:r>
        <w:rPr/>
        <w:t>控制制度。公司各职能部门均独立履行其职能，独立开展生产经营活动，不存在受实际控制人、股东或关联方干预之情形。</w:t>
      </w:r>
    </w:p>
    <w:p>
      <w:pPr>
        <w:pStyle w:val="BodyText"/>
        <w:spacing w:line="316" w:lineRule="auto" w:before="58"/>
        <w:ind w:right="1122"/>
        <w:jc w:val="left"/>
      </w:pPr>
      <w:r>
        <w:rPr>
          <w:rFonts w:ascii="宋体" w:hAnsi="宋体" w:cs="宋体" w:eastAsia="宋体" w:hint="default"/>
        </w:rPr>
        <w:t>5</w:t>
      </w:r>
      <w:r>
        <w:rPr/>
        <w:t>、财务独立：公司设有独立的财务会计部门，配备独立的财务会计人员，建立了独立的会计核算体系和财务管理制度，独</w:t>
      </w:r>
      <w:r>
        <w:rPr>
          <w:spacing w:val="-83"/>
        </w:rPr>
        <w:t> </w:t>
      </w:r>
      <w:r>
        <w:rPr>
          <w:spacing w:val="-83"/>
        </w:rPr>
      </w:r>
      <w:r>
        <w:rPr/>
        <w:t>立进行财务决策；公司独立开设银行账户，独立纳税。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1"/>
        <w:ind w:right="0"/>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498"/>
        <w:gridCol w:w="1521"/>
        <w:gridCol w:w="1640"/>
        <w:gridCol w:w="171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4"/>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 时股东大会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44.89%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103" w:right="102"/>
              <w:jc w:val="left"/>
              <w:rPr>
                <w:rFonts w:ascii="宋体" w:hAnsi="宋体" w:cs="宋体" w:eastAsia="宋体" w:hint="default"/>
                <w:sz w:val="18"/>
                <w:szCs w:val="18"/>
              </w:rPr>
            </w:pPr>
            <w:r>
              <w:rPr>
                <w:rFonts w:ascii="宋体" w:hAnsi="宋体" w:cs="宋体" w:eastAsia="宋体" w:hint="default"/>
                <w:sz w:val="18"/>
                <w:szCs w:val="18"/>
              </w:rPr>
              <w:t>（</w:t>
            </w:r>
            <w:hyperlink r:id="rId56">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m.cn</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 一次临时股东大 </w:t>
            </w:r>
            <w:r>
              <w:rPr>
                <w:rFonts w:ascii="宋体" w:hAnsi="宋体" w:cs="宋体" w:eastAsia="宋体" w:hint="default"/>
                <w:spacing w:val="-12"/>
                <w:sz w:val="18"/>
                <w:szCs w:val="18"/>
              </w:rPr>
              <w:t>会决议公告》（公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告编号：</w:t>
            </w:r>
          </w:p>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2018-043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498"/>
        <w:gridCol w:w="1521"/>
        <w:gridCol w:w="1640"/>
        <w:gridCol w:w="1718"/>
        <w:gridCol w:w="1595"/>
      </w:tblGrid>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 大会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853" w:right="0"/>
              <w:jc w:val="left"/>
              <w:rPr>
                <w:rFonts w:ascii="Times New Roman" w:hAnsi="Times New Roman" w:cs="Times New Roman" w:eastAsia="Times New Roman" w:hint="default"/>
                <w:sz w:val="18"/>
                <w:szCs w:val="18"/>
              </w:rPr>
            </w:pPr>
            <w:r>
              <w:rPr>
                <w:rFonts w:ascii="Times New Roman"/>
                <w:sz w:val="18"/>
              </w:rPr>
              <w:t>44.88%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103" w:right="12"/>
              <w:jc w:val="left"/>
              <w:rPr>
                <w:rFonts w:ascii="宋体" w:hAnsi="宋体" w:cs="宋体" w:eastAsia="宋体" w:hint="default"/>
                <w:sz w:val="18"/>
                <w:szCs w:val="18"/>
              </w:rPr>
            </w:pPr>
            <w:r>
              <w:rPr>
                <w:rFonts w:ascii="宋体" w:hAnsi="宋体" w:cs="宋体" w:eastAsia="宋体" w:hint="default"/>
                <w:sz w:val="18"/>
                <w:szCs w:val="18"/>
              </w:rPr>
              <w:t>（</w:t>
            </w:r>
            <w:hyperlink r:id="rId56">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年年 </w:t>
            </w:r>
            <w:r>
              <w:rPr>
                <w:rFonts w:ascii="宋体" w:hAnsi="宋体" w:cs="宋体" w:eastAsia="宋体" w:hint="default"/>
                <w:sz w:val="18"/>
                <w:szCs w:val="18"/>
              </w:rPr>
              <w:t>度股东大会决议</w:t>
            </w:r>
            <w:r>
              <w:rPr>
                <w:rFonts w:ascii="宋体" w:hAnsi="宋体" w:cs="宋体" w:eastAsia="宋体" w:hint="default"/>
                <w:sz w:val="18"/>
                <w:szCs w:val="18"/>
              </w:rPr>
              <w:t> </w:t>
            </w:r>
            <w:r>
              <w:rPr>
                <w:rFonts w:ascii="宋体" w:hAnsi="宋体" w:cs="宋体" w:eastAsia="宋体" w:hint="default"/>
                <w:spacing w:val="-17"/>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2018-044</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顾旭芬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纪晓腾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邢伟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6972"/>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right="6792"/>
        <w:jc w:val="left"/>
      </w:pPr>
      <w:r>
        <w:rPr/>
        <w:t>√ 是 □ 否 独立董事对公司有关建议被采纳或未被采纳的说明</w:t>
      </w:r>
    </w:p>
    <w:p>
      <w:pPr>
        <w:pStyle w:val="BodyText"/>
        <w:spacing w:line="319" w:lineRule="auto" w:before="25"/>
        <w:ind w:right="1023" w:firstLine="423"/>
        <w:jc w:val="left"/>
      </w:pPr>
      <w:r>
        <w:rPr>
          <w:rFonts w:ascii="宋体" w:hAnsi="宋体" w:cs="宋体" w:eastAsia="宋体" w:hint="default"/>
          <w:spacing w:val="-1"/>
        </w:rPr>
        <w:t>2018</w:t>
      </w:r>
      <w:r>
        <w:rPr>
          <w:spacing w:val="-1"/>
        </w:rPr>
        <w:t>年度，公司独立董事认真行使职责权利，充分发挥专业知识，利用参加股东大会、董事会等会议，了解公司情况，</w:t>
      </w:r>
      <w:r>
        <w:rPr/>
        <w:t> </w:t>
      </w:r>
      <w:r>
        <w:rPr>
          <w:spacing w:val="-2"/>
        </w:rPr>
        <w:t>并与公司董事、董事会秘书、财务总监及其他相关人员进行交流，掌握公司经营动态，参与探讨公司经营策略，并就防范内</w:t>
      </w:r>
      <w:r>
        <w:rPr>
          <w:spacing w:val="-66"/>
        </w:rPr>
        <w:t> </w:t>
      </w:r>
      <w:r>
        <w:rPr>
          <w:spacing w:val="-66"/>
        </w:rPr>
      </w:r>
      <w:r>
        <w:rPr>
          <w:spacing w:val="-2"/>
        </w:rPr>
        <w:t>幕交易、信息披露合规性等提出了宝贵意见，公司诚恳予以采纳。另外，独立认真审议董事会各项议案，对重要事项发表审</w:t>
      </w:r>
      <w:r>
        <w:rPr>
          <w:spacing w:val="-66"/>
        </w:rPr>
        <w:t> </w:t>
      </w:r>
      <w:r>
        <w:rPr>
          <w:spacing w:val="-66"/>
        </w:rPr>
      </w:r>
      <w:r>
        <w:rPr/>
        <w:t>慎、客观的独立意见，有效履行独立董事职责，积极维护全体股东特别是中小股东的合法权益。</w:t>
      </w:r>
    </w:p>
    <w:p>
      <w:pPr>
        <w:spacing w:after="0" w:line="319" w:lineRule="auto"/>
        <w:jc w:val="left"/>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公司董事会战略委员会、审计委员会、提名委员会以及薪酬与考核委员会均按照各自的工作细则开展工作。各委员认真</w:t>
      </w:r>
      <w:r>
        <w:rPr/>
        <w:t> 履行职责，充分行使权利，确保公司规范有序运作。</w:t>
      </w:r>
    </w:p>
    <w:p>
      <w:pPr>
        <w:pStyle w:val="BodyText"/>
        <w:spacing w:line="316" w:lineRule="auto" w:before="19"/>
        <w:ind w:left="474" w:right="0"/>
        <w:jc w:val="left"/>
      </w:pPr>
      <w:r>
        <w:rPr/>
        <w:t>（一）战略委员会的履职情况 </w:t>
      </w:r>
      <w:r>
        <w:rPr>
          <w:spacing w:val="-2"/>
        </w:rPr>
        <w:t>报告期内，公司战略委员会勤勉尽责地履行职责，结合国内外经济形势和公司细分行业的特点，对公司经营状况和发展</w:t>
      </w:r>
    </w:p>
    <w:p>
      <w:pPr>
        <w:pStyle w:val="BodyText"/>
        <w:spacing w:line="316" w:lineRule="auto" w:before="19"/>
        <w:ind w:right="0"/>
        <w:jc w:val="left"/>
      </w:pPr>
      <w:r>
        <w:rPr>
          <w:spacing w:val="-2"/>
        </w:rPr>
        <w:t>前景进行深入地分析，及时对公司战略规划、对外投资等事项进行了研究，提出企业应重点关注的经营事项，为公司发展规</w:t>
      </w:r>
      <w:r>
        <w:rPr>
          <w:spacing w:val="-66"/>
        </w:rPr>
        <w:t> </w:t>
      </w:r>
      <w:r>
        <w:rPr>
          <w:spacing w:val="-66"/>
        </w:rPr>
      </w:r>
      <w:r>
        <w:rPr/>
        <w:t>划提出积极的建设性意见。</w:t>
      </w:r>
    </w:p>
    <w:p>
      <w:pPr>
        <w:pStyle w:val="BodyText"/>
        <w:spacing w:line="316" w:lineRule="auto" w:before="19"/>
        <w:ind w:left="474" w:right="0"/>
        <w:jc w:val="left"/>
      </w:pPr>
      <w:r>
        <w:rPr/>
        <w:t>（二）审计委员会的履职情况 </w:t>
      </w:r>
      <w:r>
        <w:rPr>
          <w:spacing w:val="-12"/>
        </w:rPr>
        <w:t>报告期内，公司董事会审计委员会根据《公司法》、《证券法》、《上市公司治理准则》、《审计委员会工作细则》及《董事</w:t>
      </w:r>
    </w:p>
    <w:p>
      <w:pPr>
        <w:pStyle w:val="BodyText"/>
        <w:spacing w:line="316" w:lineRule="auto" w:before="19"/>
        <w:ind w:right="1032"/>
        <w:jc w:val="left"/>
      </w:pPr>
      <w:r>
        <w:rPr/>
        <w:t>会审计委员会年报工作制度》等有关规定，积极履行职责。报告期内审计委员会召开了</w:t>
      </w:r>
      <w:r>
        <w:rPr>
          <w:rFonts w:ascii="宋体" w:hAnsi="宋体" w:cs="宋体" w:eastAsia="宋体" w:hint="default"/>
        </w:rPr>
        <w:t>4</w:t>
      </w:r>
      <w:r>
        <w:rPr/>
        <w:t>次会议，审议公司审计部提交的各 项内部审计报告，听取审计部年度工作总结和工作计划安排，指导审计部开展各项工作，围绕定期报告审计开展各项工作， 提名审计机构负责人，审议会计政策的变更等相关议案并提交公司董事会审议。</w:t>
      </w:r>
    </w:p>
    <w:p>
      <w:pPr>
        <w:pStyle w:val="BodyText"/>
        <w:spacing w:line="316" w:lineRule="auto" w:before="19"/>
        <w:ind w:left="474" w:right="1117"/>
        <w:jc w:val="left"/>
      </w:pPr>
      <w:r>
        <w:rPr/>
        <w:t>（三）薪酬与考核委员会的履职情况 </w:t>
      </w:r>
      <w:r>
        <w:rPr>
          <w:spacing w:val="-5"/>
        </w:rPr>
        <w:t>报告期内公司薪酬与考核委员会按照《公司章程》、《董事会薪酬与考核委员会工作细则》等相关规定规范运作，对公司</w:t>
      </w:r>
    </w:p>
    <w:p>
      <w:pPr>
        <w:pStyle w:val="BodyText"/>
        <w:spacing w:line="316" w:lineRule="auto" w:before="19"/>
        <w:ind w:right="1131"/>
        <w:jc w:val="both"/>
      </w:pPr>
      <w:r>
        <w:rPr>
          <w:spacing w:val="-2"/>
        </w:rPr>
        <w:t>董事、监事和高级管理人员的薪酬情况进行了审核，认为其薪酬标准和年度薪酬总额的确定符合公司相关薪酬管理制度的规</w:t>
      </w:r>
      <w:r>
        <w:rPr>
          <w:spacing w:val="-64"/>
        </w:rPr>
        <w:t> </w:t>
      </w:r>
      <w:r>
        <w:rPr>
          <w:spacing w:val="-64"/>
        </w:rPr>
      </w:r>
      <w:r>
        <w:rPr>
          <w:spacing w:val="-2"/>
        </w:rPr>
        <w:t>定。同时，为充分调动公司及控股子公司董事、监事以及高级管理人员和核心员工的积极性，薪酬与考核委员会不断探讨完</w:t>
      </w:r>
      <w:r>
        <w:rPr>
          <w:spacing w:val="-66"/>
        </w:rPr>
        <w:t> </w:t>
      </w:r>
      <w:r>
        <w:rPr>
          <w:spacing w:val="-66"/>
        </w:rPr>
      </w:r>
      <w:r>
        <w:rPr/>
        <w:t>善绩效考核体系。</w:t>
      </w:r>
    </w:p>
    <w:p>
      <w:pPr>
        <w:pStyle w:val="BodyText"/>
        <w:spacing w:line="316" w:lineRule="auto" w:before="19"/>
        <w:ind w:left="474" w:right="1117"/>
        <w:jc w:val="left"/>
      </w:pPr>
      <w:r>
        <w:rPr/>
        <w:t>（四）提名委员会的履职情况 </w:t>
      </w:r>
      <w:r>
        <w:rPr>
          <w:spacing w:val="-5"/>
        </w:rPr>
        <w:t>报告期内，公司董事会提名委员会依照法律、法规以及《公司章程》、《董事会提名委员会工作细则》的规定，勤勉履行</w:t>
      </w:r>
    </w:p>
    <w:p>
      <w:pPr>
        <w:pStyle w:val="BodyText"/>
        <w:spacing w:line="319" w:lineRule="auto" w:before="19"/>
        <w:ind w:right="0"/>
        <w:jc w:val="left"/>
      </w:pPr>
      <w:r>
        <w:rPr/>
        <w:t>职责。报告期内提名委员会召开</w:t>
      </w:r>
      <w:r>
        <w:rPr>
          <w:rFonts w:ascii="宋体" w:hAnsi="宋体" w:cs="宋体" w:eastAsia="宋体" w:hint="default"/>
        </w:rPr>
        <w:t>2</w:t>
      </w:r>
      <w:r>
        <w:rPr/>
        <w:t>次会议，对公司董事长、总经理提名的董事会秘书候选人、副总经理候选人任职资格进行 </w:t>
      </w:r>
      <w:r>
        <w:rPr>
          <w:spacing w:val="-4"/>
        </w:rPr>
        <w:t>审核，对公司董事会成员以及公司经营层主要管理人员任职等事项在</w:t>
      </w:r>
      <w:r>
        <w:rPr>
          <w:rFonts w:ascii="宋体" w:hAnsi="宋体" w:cs="宋体" w:eastAsia="宋体" w:hint="default"/>
          <w:spacing w:val="-4"/>
        </w:rPr>
        <w:t>2018</w:t>
      </w:r>
      <w:r>
        <w:rPr>
          <w:spacing w:val="-4"/>
        </w:rPr>
        <w:t>年年度内是否继续符合《公司法》及国家有关法律、</w:t>
      </w:r>
      <w:r>
        <w:rPr>
          <w:spacing w:val="-36"/>
        </w:rPr>
        <w:t> </w:t>
      </w:r>
      <w:r>
        <w:rPr>
          <w:spacing w:val="-36"/>
        </w:rPr>
      </w:r>
      <w:r>
        <w:rPr>
          <w:spacing w:val="-2"/>
        </w:rPr>
        <w:t>法规规定的任职资格进行复核，经复核公司董事会成员以及公司经营层主要管理人员任职等事项均符合《公司法》及国家有</w:t>
      </w:r>
      <w:r>
        <w:rPr>
          <w:spacing w:val="-66"/>
        </w:rPr>
        <w:t> </w:t>
      </w:r>
      <w:r>
        <w:rPr>
          <w:spacing w:val="-66"/>
        </w:rPr>
      </w:r>
      <w:r>
        <w:rPr/>
        <w:t>关法律、法规规定的任职资格。</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6"/>
        <w:ind w:right="7692"/>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5"/>
        </w:rPr>
        <w:t>报告期内，本公司高级管理人员能够严格按照《公司法》、《公司章程》等法律法规，认真履行职责。公司董事会设立了</w:t>
      </w:r>
      <w:r>
        <w:rPr/>
        <w:t> </w:t>
      </w:r>
      <w:r>
        <w:rPr>
          <w:spacing w:val="-2"/>
        </w:rPr>
        <w:t>薪酬与考核委员会，公司高级管理人员直接对董事会负责，接受董事会的考核，以公司规范化管理及经营效益完成情况为基</w:t>
      </w:r>
      <w:r>
        <w:rPr>
          <w:spacing w:val="-66"/>
        </w:rPr>
        <w:t> </w:t>
      </w:r>
      <w:r>
        <w:rPr>
          <w:spacing w:val="-66"/>
        </w:rPr>
      </w:r>
      <w:r>
        <w:rPr>
          <w:spacing w:val="-2"/>
        </w:rPr>
        <w:t>础，明确责任。董事会薪酬与考核委员会具体审议高级管理人员的薪酬奖励方案，根据公司实际经营完成情况以及高级管理</w:t>
      </w:r>
      <w:r>
        <w:rPr>
          <w:spacing w:val="-66"/>
        </w:rPr>
        <w:t> </w:t>
      </w:r>
      <w:r>
        <w:rPr>
          <w:spacing w:val="-66"/>
        </w:rPr>
      </w:r>
      <w:r>
        <w:rPr/>
        <w:t>人员的工作绩效，对高级管理人员进行年度绩效考核，并监督薪酬制度执行情况。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2"/>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bookmarkStart w:name="2、内控自我评价报告" w:id="144"/>
            <w:bookmarkEnd w:id="144"/>
            <w:r>
              <w:rPr/>
            </w: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日披露在巨潮网资讯（</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）的公告。</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14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）重大缺陷：①公司控制环境无效；</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pacing w:val="-3"/>
                <w:sz w:val="18"/>
                <w:szCs w:val="18"/>
              </w:rPr>
              <w:t>②公司董事、监事和高级管理人员舞弊；</w:t>
            </w:r>
          </w:p>
          <w:p>
            <w:pPr>
              <w:pStyle w:val="TableParagraph"/>
              <w:spacing w:line="316" w:lineRule="auto" w:before="76"/>
              <w:ind w:left="103" w:right="149"/>
              <w:jc w:val="both"/>
              <w:rPr>
                <w:rFonts w:ascii="宋体" w:hAnsi="宋体" w:cs="宋体" w:eastAsia="宋体" w:hint="default"/>
                <w:sz w:val="18"/>
                <w:szCs w:val="18"/>
              </w:rPr>
            </w:pPr>
            <w:r>
              <w:rPr>
                <w:rFonts w:ascii="宋体" w:hAnsi="宋体" w:cs="宋体" w:eastAsia="宋体" w:hint="default"/>
                <w:sz w:val="18"/>
                <w:szCs w:val="18"/>
              </w:rPr>
              <w:t>③注册会计师发现当期财务报表存在重 大错报，而公司内部控制在运行过程中 未能发现该错报；④公司审计委员会和 </w:t>
            </w:r>
            <w:r>
              <w:rPr>
                <w:rFonts w:ascii="宋体" w:hAnsi="宋体" w:cs="宋体" w:eastAsia="宋体" w:hint="default"/>
                <w:spacing w:val="-5"/>
                <w:sz w:val="18"/>
                <w:szCs w:val="18"/>
              </w:rPr>
              <w:t>审计部对内部控制的监督无效。（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w:t>
            </w:r>
            <w:r>
              <w:rPr>
                <w:rFonts w:ascii="宋体" w:hAnsi="宋体" w:cs="宋体" w:eastAsia="宋体" w:hint="default"/>
                <w:sz w:val="18"/>
                <w:szCs w:val="18"/>
              </w:rPr>
              <w:t> 要缺陷：①未按照公认会计准则选择和 应用会计政策；②反舞弊程序和控制无 效；③财务报告过程中出现单独或多项 缺陷，虽然未达到重大缺陷认定标准， 但影响到财务报告的真实、准确目标。</w:t>
            </w:r>
          </w:p>
          <w:p>
            <w:pPr>
              <w:pStyle w:val="TableParagraph"/>
              <w:spacing w:line="302" w:lineRule="auto" w:before="19"/>
              <w:ind w:left="103" w:right="10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）一般缺陷：未构成重大缺陷、重要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缺陷标准的其他内部控制缺陷。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5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）重大缺陷：①违反国家法律、 </w:t>
            </w:r>
            <w:r>
              <w:rPr>
                <w:rFonts w:ascii="宋体" w:hAnsi="宋体" w:cs="宋体" w:eastAsia="宋体" w:hint="default"/>
                <w:spacing w:val="-3"/>
                <w:sz w:val="18"/>
                <w:szCs w:val="18"/>
              </w:rPr>
              <w:t>法规或规范性文件；②决策程序不科</w:t>
            </w:r>
            <w:r>
              <w:rPr>
                <w:rFonts w:ascii="宋体" w:hAnsi="宋体" w:cs="宋体" w:eastAsia="宋体" w:hint="default"/>
                <w:sz w:val="18"/>
                <w:szCs w:val="18"/>
              </w:rPr>
              <w:t> </w:t>
            </w:r>
            <w:r>
              <w:rPr>
                <w:rFonts w:ascii="宋体" w:hAnsi="宋体" w:cs="宋体" w:eastAsia="宋体" w:hint="default"/>
                <w:spacing w:val="-3"/>
                <w:sz w:val="18"/>
                <w:szCs w:val="18"/>
              </w:rPr>
              <w:t>学导致重大决策失误；③重要业务制</w:t>
            </w:r>
            <w:r>
              <w:rPr>
                <w:rFonts w:ascii="宋体" w:hAnsi="宋体" w:cs="宋体" w:eastAsia="宋体" w:hint="default"/>
                <w:sz w:val="18"/>
                <w:szCs w:val="18"/>
              </w:rPr>
              <w:t> </w:t>
            </w:r>
            <w:r>
              <w:rPr>
                <w:rFonts w:ascii="宋体" w:hAnsi="宋体" w:cs="宋体" w:eastAsia="宋体" w:hint="default"/>
                <w:spacing w:val="-3"/>
                <w:sz w:val="18"/>
                <w:szCs w:val="18"/>
              </w:rPr>
              <w:t>度性缺失或系统性失效；④重大或重</w:t>
            </w:r>
            <w:r>
              <w:rPr>
                <w:rFonts w:ascii="宋体" w:hAnsi="宋体" w:cs="宋体" w:eastAsia="宋体" w:hint="default"/>
                <w:sz w:val="18"/>
                <w:szCs w:val="18"/>
              </w:rPr>
              <w:t> 要缺陷不能得到有效整改；⑤安全、 环保事故对公司造成重大负面影响 </w:t>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）重要缺陷：①重要业务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制度或系统存在的缺陷；②内部控制</w:t>
            </w:r>
            <w:r>
              <w:rPr>
                <w:rFonts w:ascii="宋体" w:hAnsi="宋体" w:cs="宋体" w:eastAsia="宋体" w:hint="default"/>
                <w:sz w:val="18"/>
                <w:szCs w:val="18"/>
              </w:rPr>
              <w:t> 内部监督发现的重要缺陷未及时整 改；③重要业务系统运转效率低下。</w:t>
            </w:r>
          </w:p>
          <w:p>
            <w:pPr>
              <w:pStyle w:val="TableParagraph"/>
              <w:spacing w:line="302" w:lineRule="auto" w:before="20"/>
              <w:ind w:left="103" w:right="1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）一般缺陷：一般业务制度或系 统存在缺陷。</w:t>
            </w:r>
          </w:p>
        </w:tc>
      </w:tr>
      <w:tr>
        <w:trPr>
          <w:trHeight w:val="321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）重大缺陷：①报金额≥资产总额的</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；②报金额≥主营业务收入的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2" w:lineRule="auto" w:before="63"/>
              <w:ind w:left="103" w:right="11"/>
              <w:jc w:val="left"/>
              <w:rPr>
                <w:rFonts w:ascii="宋体" w:hAnsi="宋体" w:cs="宋体" w:eastAsia="宋体" w:hint="default"/>
                <w:sz w:val="18"/>
                <w:szCs w:val="18"/>
              </w:rPr>
            </w:pPr>
            <w:r>
              <w:rPr>
                <w:rFonts w:ascii="宋体" w:hAnsi="宋体" w:cs="宋体" w:eastAsia="宋体" w:hint="default"/>
                <w:sz w:val="18"/>
                <w:szCs w:val="18"/>
              </w:rPr>
              <w:t>③报金额≥利润总额的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7"/>
                <w:sz w:val="18"/>
                <w:szCs w:val="18"/>
              </w:rPr>
              <w:t>5%</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陷：①资产总额的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≤错报金额＜资产</w:t>
            </w:r>
            <w:r>
              <w:rPr>
                <w:rFonts w:ascii="宋体" w:hAnsi="宋体" w:cs="宋体" w:eastAsia="宋体" w:hint="default"/>
                <w:spacing w:val="-86"/>
                <w:sz w:val="18"/>
                <w:szCs w:val="18"/>
              </w:rPr>
              <w:t> </w:t>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金额＜主营业务收入的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；③利润总额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28"/>
                <w:sz w:val="18"/>
                <w:szCs w:val="18"/>
              </w:rPr>
              <w:t>5%</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w:t>
            </w:r>
            <w:r>
              <w:rPr>
                <w:rFonts w:ascii="宋体" w:hAnsi="宋体" w:cs="宋体" w:eastAsia="宋体" w:hint="default"/>
                <w:sz w:val="18"/>
                <w:szCs w:val="18"/>
              </w:rPr>
              <w:t> 一般缺陷：①错报金额＜资产总额的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；②错报金额＜主营业务收入的</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③错报金额＜利润总额的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37"/>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headerReference w:type="default" r:id="rId57"/>
          <w:pgSz w:w="11910" w:h="16840"/>
          <w:pgMar w:header="917" w:footer="1019" w:top="17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5"/>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 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w:t>
            </w:r>
            <w:r>
              <w:rPr>
                <w:rFonts w:ascii="宋体" w:hAnsi="宋体" w:cs="宋体" w:eastAsia="宋体" w:hint="default"/>
                <w:spacing w:val="-90"/>
                <w:sz w:val="18"/>
                <w:szCs w:val="18"/>
              </w:rPr>
              <w:t>》</w:t>
            </w:r>
            <w:r>
              <w:rPr>
                <w:rFonts w:ascii="宋体" w:hAnsi="宋体" w:cs="宋体" w:eastAsia="宋体" w:hint="default"/>
                <w:sz w:val="18"/>
                <w:szCs w:val="18"/>
              </w:rPr>
              <w:t>详见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的巨潮网资</w:t>
            </w:r>
            <w:r>
              <w:rPr>
                <w:rFonts w:ascii="宋体" w:hAnsi="宋体" w:cs="宋体" w:eastAsia="宋体" w:hint="default"/>
                <w:spacing w:val="-90"/>
                <w:sz w:val="18"/>
                <w:szCs w:val="18"/>
              </w:rPr>
              <w:t>讯</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pacing w:val="-2"/>
                  <w:sz w:val="18"/>
                  <w:szCs w:val="18"/>
                </w:rPr>
                <w:t>f</w:t>
              </w:r>
              <w:r>
                <w:rPr>
                  <w:rFonts w:ascii="Times New Roman" w:hAnsi="Times New Roman" w:cs="Times New Roman" w:eastAsia="Times New Roman" w:hint="default"/>
                  <w:sz w:val="18"/>
                  <w:szCs w:val="18"/>
                </w:rPr>
                <w:t>o.com.c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60" w:lineRule="auto" w:before="116"/>
        <w:ind w:right="4632"/>
        <w:jc w:val="left"/>
      </w:pPr>
      <w:r>
        <w:rPr/>
        <w:t>□ 是 √ 否 会计师事务所出具的内部控制鉴证报告与董事会的自我评价报告意见是否一致</w:t>
      </w:r>
    </w:p>
    <w:p>
      <w:pPr>
        <w:pStyle w:val="BodyText"/>
        <w:spacing w:line="240" w:lineRule="auto" w:before="26"/>
        <w:ind w:right="0"/>
        <w:jc w:val="left"/>
      </w:pPr>
      <w:r>
        <w:rPr/>
        <w:t>√ 是 □ 否</w:t>
      </w:r>
    </w:p>
    <w:p>
      <w:pPr>
        <w:spacing w:after="0" w:line="240" w:lineRule="auto"/>
        <w:jc w:val="left"/>
        <w:sectPr>
          <w:headerReference w:type="default" r:id="rId58"/>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0"/>
        <w:jc w:val="left"/>
        <w:rPr>
          <w:b w:val="0"/>
          <w:bCs w:val="0"/>
        </w:rPr>
      </w:pPr>
      <w:bookmarkStart w:name="第十节 公司债券相关情况" w:id="146"/>
      <w:bookmarkEnd w:id="146"/>
      <w:r>
        <w:rPr>
          <w:b w:val="0"/>
          <w:bCs w:val="0"/>
        </w:rPr>
      </w:r>
      <w:bookmarkStart w:name="_bookmark8" w:id="147"/>
      <w:bookmarkEnd w:id="14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8" w:right="0"/>
        <w:jc w:val="left"/>
        <w:rPr>
          <w:b w:val="0"/>
          <w:bCs w:val="0"/>
        </w:rPr>
      </w:pPr>
      <w:bookmarkStart w:name="第十一节 财务报告" w:id="148"/>
      <w:bookmarkEnd w:id="148"/>
      <w:r>
        <w:rPr>
          <w:b w:val="0"/>
          <w:bCs w:val="0"/>
        </w:rPr>
      </w:r>
      <w:bookmarkStart w:name="_bookmark9" w:id="149"/>
      <w:bookmarkEnd w:id="14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ZI10021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陈延柏、宋保军</w:t>
            </w:r>
          </w:p>
        </w:tc>
      </w:tr>
    </w:tbl>
    <w:p>
      <w:pPr>
        <w:pStyle w:val="BodyText"/>
        <w:spacing w:line="240" w:lineRule="auto" w:before="51"/>
        <w:ind w:left="95" w:right="1111"/>
        <w:jc w:val="center"/>
      </w:pPr>
      <w:r>
        <w:rPr/>
        <w:t>审计报告正文</w:t>
      </w:r>
    </w:p>
    <w:p>
      <w:pPr>
        <w:pStyle w:val="BodyText"/>
        <w:spacing w:line="240" w:lineRule="auto" w:before="115"/>
        <w:ind w:left="0" w:right="1130"/>
        <w:jc w:val="right"/>
      </w:pPr>
      <w:r>
        <w:rPr>
          <w:spacing w:val="-1"/>
        </w:rPr>
        <w:t>信会师报字</w:t>
      </w:r>
      <w:r>
        <w:rPr>
          <w:rFonts w:ascii="Times New Roman" w:hAnsi="Times New Roman" w:cs="Times New Roman" w:eastAsia="Times New Roman" w:hint="default"/>
          <w:spacing w:val="-1"/>
        </w:rPr>
        <w:t>[2019]</w:t>
      </w:r>
      <w:r>
        <w:rPr>
          <w:spacing w:val="-1"/>
        </w:rPr>
        <w:t>第</w:t>
      </w:r>
      <w:r>
        <w:rPr>
          <w:rFonts w:ascii="宋体" w:hAnsi="宋体" w:cs="宋体" w:eastAsia="宋体" w:hint="default"/>
          <w:spacing w:val="-1"/>
        </w:rPr>
        <w:t>ZI10021</w:t>
      </w:r>
      <w:r>
        <w:rPr>
          <w:spacing w:val="-1"/>
        </w:rPr>
        <w:t>号</w:t>
      </w:r>
    </w:p>
    <w:p>
      <w:pPr>
        <w:spacing w:line="240" w:lineRule="auto" w:before="0"/>
        <w:rPr>
          <w:rFonts w:ascii="宋体" w:hAnsi="宋体" w:cs="宋体" w:eastAsia="宋体" w:hint="default"/>
          <w:sz w:val="24"/>
          <w:szCs w:val="24"/>
        </w:rPr>
      </w:pPr>
    </w:p>
    <w:p>
      <w:pPr>
        <w:pStyle w:val="Heading4"/>
        <w:spacing w:line="240" w:lineRule="auto" w:before="35"/>
        <w:ind w:right="0"/>
        <w:jc w:val="left"/>
        <w:rPr>
          <w:b w:val="0"/>
          <w:bCs w:val="0"/>
        </w:rPr>
      </w:pPr>
      <w:r>
        <w:rPr/>
        <w:t>广东群兴玩具股份有限公司全体股东：</w:t>
      </w:r>
      <w:r>
        <w:rPr>
          <w:b w:val="0"/>
          <w:bCs w:val="0"/>
        </w:rPr>
      </w:r>
    </w:p>
    <w:p>
      <w:pPr>
        <w:spacing w:line="240" w:lineRule="auto" w:before="9"/>
        <w:rPr>
          <w:rFonts w:ascii="宋体" w:hAnsi="宋体" w:cs="宋体" w:eastAsia="宋体" w:hint="default"/>
          <w:b/>
          <w:bCs/>
          <w:sz w:val="26"/>
          <w:szCs w:val="26"/>
        </w:rPr>
      </w:pPr>
    </w:p>
    <w:p>
      <w:pPr>
        <w:pStyle w:val="Heading4"/>
        <w:spacing w:line="240" w:lineRule="auto"/>
        <w:ind w:left="219" w:right="0"/>
        <w:jc w:val="left"/>
        <w:rPr>
          <w:b w:val="0"/>
          <w:bCs w:val="0"/>
        </w:rPr>
      </w:pPr>
      <w:r>
        <w:rPr>
          <w:rFonts w:ascii="宋体" w:hAnsi="宋体" w:cs="宋体" w:eastAsia="宋体" w:hint="default"/>
        </w:rPr>
        <w:t>1</w:t>
      </w:r>
      <w:r>
        <w:rPr/>
        <w:t>、审计意见</w:t>
      </w:r>
      <w:r>
        <w:rPr>
          <w:b w:val="0"/>
          <w:bCs w:val="0"/>
        </w:rPr>
      </w:r>
    </w:p>
    <w:p>
      <w:pPr>
        <w:pStyle w:val="BodyText"/>
        <w:spacing w:line="300" w:lineRule="auto" w:before="62"/>
        <w:ind w:right="1128" w:firstLine="421"/>
        <w:jc w:val="both"/>
      </w:pPr>
      <w:r>
        <w:rPr/>
        <w:t>我们审计了广东群兴玩具股份有限公司财务报表，包括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w:t>
      </w:r>
      <w:r>
        <w:rPr>
          <w:spacing w:val="1"/>
        </w:rPr>
        <w:t> </w:t>
      </w:r>
      <w:r>
        <w:rPr/>
        <w:t>及母公司利润表、合并及母公司现金流量表、合并及母公司股东权益变动表以及相关财务报表附注。</w:t>
      </w:r>
    </w:p>
    <w:p>
      <w:pPr>
        <w:pStyle w:val="BodyText"/>
        <w:spacing w:line="300" w:lineRule="auto" w:before="31"/>
        <w:ind w:right="1130" w:firstLine="360"/>
        <w:jc w:val="both"/>
      </w:pPr>
      <w:r>
        <w:rPr>
          <w:spacing w:val="-2"/>
        </w:rPr>
        <w:t>我们认为，后附的财务报表在所有重大方面按照企业会计准则的规定编制，公允反映了群兴玩具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r>
        <w:rPr>
          <w:rFonts w:ascii="宋体" w:hAnsi="宋体" w:cs="宋体" w:eastAsia="宋体" w:hint="default"/>
        </w:rPr>
        <w:t>2</w:t>
      </w:r>
      <w:r>
        <w:rPr/>
        <w:t>、形成审计意见的基础</w:t>
      </w:r>
      <w:r>
        <w:rPr>
          <w:b w:val="0"/>
          <w:bCs w:val="0"/>
        </w:rPr>
      </w:r>
    </w:p>
    <w:p>
      <w:pPr>
        <w:pStyle w:val="BodyText"/>
        <w:spacing w:line="316" w:lineRule="auto" w:before="62"/>
        <w:ind w:right="1133" w:firstLine="421"/>
        <w:jc w:val="both"/>
      </w:pPr>
      <w:r>
        <w:rPr/>
        <w:t>我们按照中国注册会计师审计准则的规定执行了审计工作。审计报告的“注册会计师对财务报表审计的责任”部分进 </w:t>
      </w:r>
      <w:r>
        <w:rPr>
          <w:spacing w:val="-2"/>
        </w:rPr>
        <w:t>一步阐述了我们在这些准则下的责任。按照中国注册会计师职业道德守则，我们独立于群兴玩具，并履行了职业道德方面的</w:t>
      </w:r>
      <w:r>
        <w:rPr>
          <w:spacing w:val="-66"/>
        </w:rPr>
        <w:t> </w:t>
      </w:r>
      <w:r>
        <w:rPr>
          <w:spacing w:val="-66"/>
        </w:rPr>
      </w:r>
      <w:r>
        <w:rPr/>
        <w:t>其他责任。我们相信，我们获取的审计证据是充分、适当的，为发表审计意见提供了基础。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6"/>
        <w:ind w:left="540" w:right="0"/>
        <w:jc w:val="left"/>
        <w:rPr>
          <w:b w:val="0"/>
          <w:bCs w:val="0"/>
        </w:rPr>
      </w:pPr>
      <w:r>
        <w:rPr>
          <w:rFonts w:ascii="宋体" w:hAnsi="宋体" w:cs="宋体" w:eastAsia="宋体" w:hint="default"/>
        </w:rPr>
        <w:t>3</w:t>
      </w:r>
      <w:r>
        <w:rPr/>
        <w:t>、关键审计事项</w:t>
      </w:r>
      <w:r>
        <w:rPr>
          <w:b w:val="0"/>
          <w:bCs w:val="0"/>
        </w:rPr>
      </w:r>
    </w:p>
    <w:p>
      <w:pPr>
        <w:pStyle w:val="BodyText"/>
        <w:spacing w:line="316" w:lineRule="auto" w:before="62"/>
        <w:ind w:right="1131" w:firstLine="423"/>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tbl>
      <w:tblPr>
        <w:tblW w:w="0" w:type="auto"/>
        <w:jc w:val="left"/>
        <w:tblInd w:w="109" w:type="dxa"/>
        <w:tblLayout w:type="fixed"/>
        <w:tblCellMar>
          <w:top w:w="0" w:type="dxa"/>
          <w:left w:w="0" w:type="dxa"/>
          <w:bottom w:w="0" w:type="dxa"/>
          <w:right w:w="0" w:type="dxa"/>
        </w:tblCellMar>
        <w:tblLook w:val="01E0"/>
      </w:tblPr>
      <w:tblGrid>
        <w:gridCol w:w="3262"/>
        <w:gridCol w:w="5353"/>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92"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审计应对</w:t>
            </w:r>
            <w:r>
              <w:rPr>
                <w:rFonts w:ascii="宋体" w:hAnsi="宋体" w:cs="宋体" w:eastAsia="宋体" w:hint="default"/>
                <w:sz w:val="21"/>
                <w:szCs w:val="21"/>
              </w:rPr>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、收入的确认</w:t>
            </w:r>
          </w:p>
        </w:tc>
        <w:tc>
          <w:tcPr>
            <w:tcW w:w="5353" w:type="dxa"/>
            <w:tcBorders>
              <w:top w:val="single" w:sz="4" w:space="0" w:color="000000"/>
              <w:left w:val="single" w:sz="4" w:space="0" w:color="000000"/>
              <w:bottom w:val="single" w:sz="4" w:space="0" w:color="000000"/>
              <w:right w:val="single" w:sz="4" w:space="0" w:color="000000"/>
            </w:tcBorders>
          </w:tcPr>
          <w:p>
            <w:pPr/>
          </w:p>
        </w:tc>
      </w:tr>
      <w:tr>
        <w:trPr>
          <w:trHeight w:val="25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度</w:t>
            </w:r>
            <w:r>
              <w:rPr>
                <w:rFonts w:ascii="宋体" w:hAnsi="宋体" w:cs="宋体" w:eastAsia="宋体" w:hint="default"/>
                <w:spacing w:val="-9"/>
                <w:sz w:val="18"/>
                <w:szCs w:val="18"/>
              </w:rPr>
              <w:t> </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公</w:t>
            </w:r>
            <w:r>
              <w:rPr>
                <w:rFonts w:ascii="宋体" w:hAnsi="宋体" w:cs="宋体" w:eastAsia="宋体" w:hint="default"/>
                <w:spacing w:val="-9"/>
                <w:sz w:val="18"/>
                <w:szCs w:val="18"/>
              </w:rPr>
              <w:t> </w:t>
            </w:r>
            <w:r>
              <w:rPr>
                <w:rFonts w:ascii="宋体" w:hAnsi="宋体" w:cs="宋体" w:eastAsia="宋体" w:hint="default"/>
                <w:sz w:val="18"/>
                <w:szCs w:val="18"/>
              </w:rPr>
              <w:t>司</w:t>
            </w:r>
            <w:r>
              <w:rPr>
                <w:rFonts w:ascii="宋体" w:hAnsi="宋体" w:cs="宋体" w:eastAsia="宋体" w:hint="default"/>
                <w:spacing w:val="-9"/>
                <w:sz w:val="18"/>
                <w:szCs w:val="18"/>
              </w:rPr>
              <w:t> </w:t>
            </w:r>
            <w:r>
              <w:rPr>
                <w:rFonts w:ascii="宋体" w:hAnsi="宋体" w:cs="宋体" w:eastAsia="宋体" w:hint="default"/>
                <w:sz w:val="18"/>
                <w:szCs w:val="18"/>
              </w:rPr>
              <w:t>营</w:t>
            </w:r>
            <w:r>
              <w:rPr>
                <w:rFonts w:ascii="宋体" w:hAnsi="宋体" w:cs="宋体" w:eastAsia="宋体" w:hint="default"/>
                <w:spacing w:val="-9"/>
                <w:sz w:val="18"/>
                <w:szCs w:val="18"/>
              </w:rPr>
              <w:t> </w:t>
            </w:r>
            <w:r>
              <w:rPr>
                <w:rFonts w:ascii="宋体" w:hAnsi="宋体" w:cs="宋体" w:eastAsia="宋体" w:hint="default"/>
                <w:sz w:val="18"/>
                <w:szCs w:val="18"/>
              </w:rPr>
              <w:t>业</w:t>
            </w:r>
            <w:r>
              <w:rPr>
                <w:rFonts w:ascii="宋体" w:hAnsi="宋体" w:cs="宋体" w:eastAsia="宋体" w:hint="default"/>
                <w:spacing w:val="-8"/>
                <w:sz w:val="18"/>
                <w:szCs w:val="18"/>
              </w:rPr>
              <w:t> </w:t>
            </w:r>
            <w:r>
              <w:rPr>
                <w:rFonts w:ascii="宋体" w:hAnsi="宋体" w:cs="宋体" w:eastAsia="宋体" w:hint="default"/>
                <w:sz w:val="18"/>
                <w:szCs w:val="18"/>
              </w:rPr>
              <w:t>收</w:t>
            </w:r>
            <w:r>
              <w:rPr>
                <w:rFonts w:ascii="宋体" w:hAnsi="宋体" w:cs="宋体" w:eastAsia="宋体" w:hint="default"/>
                <w:spacing w:val="-9"/>
                <w:sz w:val="18"/>
                <w:szCs w:val="18"/>
              </w:rPr>
              <w:t> </w:t>
            </w:r>
            <w:r>
              <w:rPr>
                <w:rFonts w:ascii="宋体" w:hAnsi="宋体" w:cs="宋体" w:eastAsia="宋体" w:hint="default"/>
                <w:sz w:val="18"/>
                <w:szCs w:val="18"/>
              </w:rPr>
              <w:t>入</w:t>
            </w:r>
            <w:r>
              <w:rPr>
                <w:rFonts w:ascii="宋体" w:hAnsi="宋体" w:cs="宋体" w:eastAsia="宋体" w:hint="default"/>
                <w:spacing w:val="-9"/>
                <w:sz w:val="18"/>
                <w:szCs w:val="18"/>
              </w:rPr>
              <w:t> </w:t>
            </w:r>
            <w:r>
              <w:rPr>
                <w:rFonts w:ascii="宋体" w:hAnsi="宋体" w:cs="宋体" w:eastAsia="宋体" w:hint="default"/>
                <w:sz w:val="18"/>
                <w:szCs w:val="18"/>
              </w:rPr>
              <w:t>合</w:t>
            </w:r>
            <w:r>
              <w:rPr>
                <w:rFonts w:ascii="宋体" w:hAnsi="宋体" w:cs="宋体" w:eastAsia="宋体" w:hint="default"/>
                <w:spacing w:val="-9"/>
                <w:sz w:val="18"/>
                <w:szCs w:val="18"/>
              </w:rPr>
              <w:t> </w:t>
            </w:r>
            <w:r>
              <w:rPr>
                <w:rFonts w:ascii="宋体" w:hAnsi="宋体" w:cs="宋体" w:eastAsia="宋体" w:hint="default"/>
                <w:sz w:val="18"/>
                <w:szCs w:val="18"/>
              </w:rPr>
              <w:t>计</w:t>
            </w:r>
          </w:p>
          <w:p>
            <w:pPr>
              <w:pStyle w:val="TableParagraph"/>
              <w:spacing w:line="319" w:lineRule="auto" w:before="76"/>
              <w:ind w:left="4" w:right="3"/>
              <w:jc w:val="both"/>
              <w:rPr>
                <w:rFonts w:ascii="宋体" w:hAnsi="宋体" w:cs="宋体" w:eastAsia="宋体" w:hint="default"/>
                <w:sz w:val="18"/>
                <w:szCs w:val="18"/>
              </w:rPr>
            </w:pPr>
            <w:r>
              <w:rPr>
                <w:rFonts w:ascii="宋体" w:hAnsi="宋体" w:cs="宋体" w:eastAsia="宋体" w:hint="default"/>
                <w:spacing w:val="-4"/>
                <w:sz w:val="18"/>
                <w:szCs w:val="18"/>
              </w:rPr>
              <w:t>19,045,648.30</w:t>
            </w:r>
            <w:r>
              <w:rPr>
                <w:rFonts w:ascii="宋体" w:hAnsi="宋体" w:cs="宋体" w:eastAsia="宋体" w:hint="default"/>
                <w:spacing w:val="-4"/>
                <w:sz w:val="18"/>
                <w:szCs w:val="18"/>
              </w:rPr>
              <w:t>元，由于收入是公司的关键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业绩指标之一，从而存在管理层为达到特 定目标或期望有操纵收入确认时点的固有 风险，因此，我们确认营业收入的确认为 关键审计事项。</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我们执行的主要审计程序如下： </w:t>
            </w:r>
            <w:r>
              <w:rPr>
                <w:rFonts w:ascii="宋体" w:hAnsi="宋体" w:cs="宋体" w:eastAsia="宋体" w:hint="default"/>
                <w:sz w:val="18"/>
                <w:szCs w:val="18"/>
              </w:rPr>
              <w:t>1</w:t>
            </w:r>
            <w:r>
              <w:rPr>
                <w:rFonts w:ascii="宋体" w:hAnsi="宋体" w:cs="宋体" w:eastAsia="宋体" w:hint="default"/>
                <w:sz w:val="18"/>
                <w:szCs w:val="18"/>
              </w:rPr>
              <w:t>、了解和评价管理层与收入确认相关的关键内部控制的设计和运行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有效性； </w:t>
            </w:r>
            <w:r>
              <w:rPr>
                <w:rFonts w:ascii="宋体" w:hAnsi="宋体" w:cs="宋体" w:eastAsia="宋体" w:hint="default"/>
                <w:sz w:val="18"/>
                <w:szCs w:val="18"/>
              </w:rPr>
              <w:t>2</w:t>
            </w:r>
            <w:r>
              <w:rPr>
                <w:rFonts w:ascii="宋体" w:hAnsi="宋体" w:cs="宋体" w:eastAsia="宋体" w:hint="default"/>
                <w:sz w:val="18"/>
                <w:szCs w:val="18"/>
              </w:rPr>
              <w:t>、选取样本检查销售合同，识别与收入确认时点相关的合同条款，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评价公司的收入确认时点是否符合企业会计准则的要求； </w:t>
            </w:r>
            <w:r>
              <w:rPr>
                <w:rFonts w:ascii="宋体" w:hAnsi="宋体" w:cs="宋体" w:eastAsia="宋体" w:hint="default"/>
                <w:sz w:val="18"/>
                <w:szCs w:val="18"/>
              </w:rPr>
              <w:t>3</w:t>
            </w:r>
            <w:r>
              <w:rPr>
                <w:rFonts w:ascii="宋体" w:hAnsi="宋体" w:cs="宋体" w:eastAsia="宋体" w:hint="default"/>
                <w:sz w:val="18"/>
                <w:szCs w:val="18"/>
              </w:rPr>
              <w:t>、对本年记录的收入交易选取样本，核对销售合同、出库单、销售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发票等原始凭证，评价相关收入确认是否符合公司收入确认的会计政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策；</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62"/>
        <w:gridCol w:w="5353"/>
      </w:tblGrid>
      <w:tr>
        <w:trPr>
          <w:trHeight w:val="1278" w:hRule="exact"/>
        </w:trPr>
        <w:tc>
          <w:tcPr>
            <w:tcW w:w="3262" w:type="dxa"/>
            <w:tcBorders>
              <w:top w:val="single" w:sz="4" w:space="0" w:color="000000"/>
              <w:left w:val="single" w:sz="4" w:space="0" w:color="000000"/>
              <w:bottom w:val="single" w:sz="4" w:space="0" w:color="000000"/>
              <w:right w:val="single" w:sz="4" w:space="0" w:color="000000"/>
            </w:tcBorders>
          </w:tcPr>
          <w:p>
            <w:pP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、结合应收账款函证程序对收入进行函证，抽查收入确认的相关单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据，检查已确认的收入的真实性； </w:t>
            </w:r>
            <w:r>
              <w:rPr>
                <w:rFonts w:ascii="宋体" w:hAnsi="宋体" w:cs="宋体" w:eastAsia="宋体" w:hint="default"/>
                <w:sz w:val="18"/>
                <w:szCs w:val="18"/>
              </w:rPr>
              <w:t>5</w:t>
            </w:r>
            <w:r>
              <w:rPr>
                <w:rFonts w:ascii="宋体" w:hAnsi="宋体" w:cs="宋体" w:eastAsia="宋体" w:hint="default"/>
                <w:sz w:val="18"/>
                <w:szCs w:val="18"/>
              </w:rPr>
              <w:t>、对营业收入进行截止测试，选取样本，核对销售合同、发票、出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库单、回款等原始凭证，评价收入是否被记录于恰当的会计期间。</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、投资性房地产公允价值计量</w:t>
            </w:r>
          </w:p>
        </w:tc>
        <w:tc>
          <w:tcPr>
            <w:tcW w:w="5353" w:type="dxa"/>
            <w:tcBorders>
              <w:top w:val="single" w:sz="4" w:space="0" w:color="000000"/>
              <w:left w:val="single" w:sz="4" w:space="0" w:color="000000"/>
              <w:bottom w:val="single" w:sz="4" w:space="0" w:color="000000"/>
              <w:right w:val="single" w:sz="4" w:space="0" w:color="000000"/>
            </w:tcBorders>
          </w:tcPr>
          <w:p>
            <w:pPr/>
          </w:p>
        </w:tc>
      </w:tr>
      <w:tr>
        <w:trPr>
          <w:trHeight w:val="346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both"/>
              <w:rPr>
                <w:rFonts w:ascii="宋体" w:hAnsi="宋体" w:cs="宋体" w:eastAsia="宋体" w:hint="default"/>
                <w:sz w:val="18"/>
                <w:szCs w:val="18"/>
              </w:rPr>
            </w:pPr>
            <w:r>
              <w:rPr>
                <w:rFonts w:ascii="宋体" w:hAnsi="宋体" w:cs="宋体" w:eastAsia="宋体" w:hint="default"/>
                <w:sz w:val="18"/>
                <w:szCs w:val="18"/>
              </w:rPr>
              <w:t>群兴玩具管理层聘请具有相关资质的第三 方评估机构对投资性房地产的公允价值进 行评估，评估采用市场法、收益法评估房 产的市场价值；投资性房地产所在地区的 经济环境及未来趋势分析、预计租金、出 租率、折现率等估计和假设的变化，都会 对评估的投资性房地产之公允价值产生很 大的影响。对投资性房地产的公允价值评 估过程中涉及很多估计和假设，因此，我 们将投资性房地产公允价值计量识别为关 键审计事项。</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6"/>
              <w:jc w:val="left"/>
              <w:rPr>
                <w:rFonts w:ascii="宋体" w:hAnsi="宋体" w:cs="宋体" w:eastAsia="宋体" w:hint="default"/>
                <w:sz w:val="18"/>
                <w:szCs w:val="18"/>
              </w:rPr>
            </w:pPr>
            <w:r>
              <w:rPr>
                <w:rFonts w:ascii="宋体" w:hAnsi="宋体" w:cs="宋体" w:eastAsia="宋体" w:hint="default"/>
                <w:sz w:val="18"/>
                <w:szCs w:val="18"/>
              </w:rPr>
              <w:t>我们执行的主要审计程序如下： </w:t>
            </w:r>
            <w:r>
              <w:rPr>
                <w:rFonts w:ascii="宋体" w:hAnsi="宋体" w:cs="宋体" w:eastAsia="宋体" w:hint="default"/>
                <w:sz w:val="18"/>
                <w:szCs w:val="18"/>
              </w:rPr>
              <w:t>1</w:t>
            </w:r>
            <w:r>
              <w:rPr>
                <w:rFonts w:ascii="宋体" w:hAnsi="宋体" w:cs="宋体" w:eastAsia="宋体" w:hint="default"/>
                <w:sz w:val="18"/>
                <w:szCs w:val="18"/>
              </w:rPr>
              <w:t>、对公司的公允价值计量的内部控制设计和执行有效性进行评估；</w:t>
            </w:r>
          </w:p>
          <w:p>
            <w:pPr>
              <w:pStyle w:val="TableParagraph"/>
              <w:spacing w:line="316" w:lineRule="auto" w:before="19"/>
              <w:ind w:left="4" w:right="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、对管理层聘用的外部独立评估机构的胜任能力、专业素质和客观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性进行评价； </w:t>
            </w:r>
            <w:r>
              <w:rPr>
                <w:rFonts w:ascii="宋体" w:hAnsi="宋体" w:cs="宋体" w:eastAsia="宋体" w:hint="default"/>
                <w:sz w:val="18"/>
                <w:szCs w:val="18"/>
              </w:rPr>
              <w:t>3</w:t>
            </w:r>
            <w:r>
              <w:rPr>
                <w:rFonts w:ascii="宋体" w:hAnsi="宋体" w:cs="宋体" w:eastAsia="宋体" w:hint="default"/>
                <w:sz w:val="18"/>
                <w:szCs w:val="18"/>
              </w:rPr>
              <w:t>、对管理层选用的估值方法进行了解和评价，并对在估值过程中运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用的评估方法和假设、选用的估值参数的合理性进行复核，检查前后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期的评估方法是否一致、可比； </w:t>
            </w:r>
            <w:r>
              <w:rPr>
                <w:rFonts w:ascii="宋体" w:hAnsi="宋体" w:cs="宋体" w:eastAsia="宋体" w:hint="default"/>
                <w:sz w:val="18"/>
                <w:szCs w:val="18"/>
              </w:rPr>
              <w:t>4</w:t>
            </w:r>
            <w:r>
              <w:rPr>
                <w:rFonts w:ascii="宋体" w:hAnsi="宋体" w:cs="宋体" w:eastAsia="宋体" w:hint="default"/>
                <w:sz w:val="18"/>
                <w:szCs w:val="18"/>
              </w:rPr>
              <w:t>、评价公允价值计量模式下投资性房地产转换时点是否恰当，是否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经适当审批，并对投资性房地产进行实地观察； </w:t>
            </w:r>
            <w:r>
              <w:rPr>
                <w:rFonts w:ascii="宋体" w:hAnsi="宋体" w:cs="宋体" w:eastAsia="宋体" w:hint="default"/>
                <w:sz w:val="18"/>
                <w:szCs w:val="18"/>
              </w:rPr>
              <w:t>5</w:t>
            </w:r>
            <w:r>
              <w:rPr>
                <w:rFonts w:ascii="宋体" w:hAnsi="宋体" w:cs="宋体" w:eastAsia="宋体" w:hint="default"/>
                <w:sz w:val="18"/>
                <w:szCs w:val="18"/>
              </w:rPr>
              <w:t>、关注以前年度以公允价值计量的投资性房地产本期公允值变动的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证据是否充分适当。</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0"/>
        <w:jc w:val="left"/>
        <w:rPr>
          <w:b w:val="0"/>
          <w:bCs w:val="0"/>
        </w:rPr>
      </w:pPr>
      <w:r>
        <w:rPr>
          <w:rFonts w:ascii="宋体" w:hAnsi="宋体" w:cs="宋体" w:eastAsia="宋体" w:hint="default"/>
        </w:rPr>
        <w:t>4</w:t>
      </w:r>
      <w:r>
        <w:rPr/>
        <w:t>、其他信息</w:t>
      </w:r>
      <w:r>
        <w:rPr>
          <w:b w:val="0"/>
          <w:bCs w:val="0"/>
        </w:rPr>
      </w:r>
    </w:p>
    <w:p>
      <w:pPr>
        <w:spacing w:line="240" w:lineRule="auto" w:before="8"/>
        <w:rPr>
          <w:rFonts w:ascii="宋体" w:hAnsi="宋体" w:cs="宋体" w:eastAsia="宋体" w:hint="default"/>
          <w:b/>
          <w:bCs/>
          <w:sz w:val="28"/>
          <w:szCs w:val="28"/>
        </w:rPr>
      </w:pPr>
    </w:p>
    <w:p>
      <w:pPr>
        <w:pStyle w:val="BodyText"/>
        <w:spacing w:line="319" w:lineRule="auto"/>
        <w:ind w:right="1134" w:firstLine="405"/>
        <w:jc w:val="both"/>
      </w:pPr>
      <w:r>
        <w:rPr/>
        <w:t>群兴玩具管理层对其他信息负责。其他信息包括群兴玩具</w:t>
      </w:r>
      <w:r>
        <w:rPr>
          <w:rFonts w:ascii="宋体" w:hAnsi="宋体" w:cs="宋体" w:eastAsia="宋体" w:hint="default"/>
        </w:rPr>
        <w:t>2018</w:t>
      </w:r>
      <w:r>
        <w:rPr/>
        <w:t>年年度报告中涵盖的信息，但不包括财务报表和我们的 审计报告。</w:t>
      </w:r>
    </w:p>
    <w:p>
      <w:pPr>
        <w:pStyle w:val="BodyText"/>
        <w:spacing w:line="316" w:lineRule="auto" w:before="17"/>
        <w:ind w:left="47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47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rFonts w:ascii="宋体" w:hAnsi="宋体" w:cs="宋体" w:eastAsia="宋体" w:hint="default"/>
        </w:rPr>
        <w:t>5</w:t>
      </w:r>
      <w:r>
        <w:rPr/>
        <w:t>、管理层和治理层对财务报表的责任</w:t>
      </w:r>
      <w:r>
        <w:rPr>
          <w:b w:val="0"/>
          <w:bCs w:val="0"/>
        </w:rPr>
      </w:r>
    </w:p>
    <w:p>
      <w:pPr>
        <w:pStyle w:val="BodyText"/>
        <w:spacing w:line="316" w:lineRule="auto" w:before="62"/>
        <w:ind w:right="1133" w:firstLine="421"/>
        <w:jc w:val="both"/>
      </w:pPr>
      <w:r>
        <w:rPr/>
        <w:t>管理层负责按照企业会计准则的规定编制财务报表，使其实现公允反映，并设计、执行和维护必要的内部控制，以使 财务报表不存在由于舞弊或错误导致的重大错报。</w:t>
      </w:r>
    </w:p>
    <w:p>
      <w:pPr>
        <w:pStyle w:val="BodyText"/>
        <w:spacing w:line="316" w:lineRule="auto" w:before="19"/>
        <w:ind w:right="1131" w:firstLine="360"/>
        <w:jc w:val="both"/>
      </w:pPr>
      <w:r>
        <w:rPr>
          <w:spacing w:val="-2"/>
        </w:rPr>
        <w:t>在编制财务报表时，管理层负责评估群兴玩具的持续经营能力，披露与持续经营相关的事项，并运用持续经营假设，除</w:t>
      </w:r>
      <w:r>
        <w:rPr/>
        <w:t> 非计划进行清算、终止运营或别无其他现实的选择。</w:t>
      </w:r>
    </w:p>
    <w:p>
      <w:pPr>
        <w:pStyle w:val="BodyText"/>
        <w:spacing w:line="240" w:lineRule="auto" w:before="19"/>
        <w:ind w:left="474" w:right="0"/>
        <w:jc w:val="left"/>
      </w:pPr>
      <w:r>
        <w:rPr/>
        <w:t>治理层负责监督群兴玩具的财务报告过程。</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r>
        <w:rPr>
          <w:rFonts w:ascii="宋体" w:hAnsi="宋体" w:cs="宋体" w:eastAsia="宋体" w:hint="default"/>
        </w:rPr>
        <w:t>6</w:t>
      </w:r>
      <w:r>
        <w:rPr/>
        <w:t>、注册会计师对财务报表审计的责任</w:t>
      </w:r>
      <w:r>
        <w:rPr>
          <w:b w:val="0"/>
          <w:bCs w:val="0"/>
        </w:rPr>
      </w:r>
    </w:p>
    <w:p>
      <w:pPr>
        <w:pStyle w:val="BodyText"/>
        <w:spacing w:line="319" w:lineRule="auto" w:before="62"/>
        <w:ind w:right="1131" w:firstLine="421"/>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7"/>
        <w:ind w:left="474" w:right="0"/>
        <w:jc w:val="left"/>
      </w:pPr>
      <w:r>
        <w:rPr/>
        <w:t>在按照审计准则执行审计工作的过程中，我们运用职业判断，并保持职业怀疑。同时，我们也执行以下工作：</w:t>
      </w:r>
    </w:p>
    <w:p>
      <w:pPr>
        <w:pStyle w:val="BodyText"/>
        <w:spacing w:line="316" w:lineRule="auto" w:before="76"/>
        <w:ind w:right="1122"/>
        <w:jc w:val="left"/>
      </w:pPr>
      <w:r>
        <w:rPr/>
        <w:t>（</w:t>
      </w:r>
      <w:r>
        <w:rPr>
          <w:rFonts w:ascii="宋体" w:hAnsi="宋体" w:cs="宋体" w:eastAsia="宋体" w:hint="default"/>
        </w:rPr>
        <w:t>1</w:t>
      </w:r>
      <w:r>
        <w:rPr/>
        <w:t>）识别和评估由于舞弊或错误导致的财务报表重大错报风险，设计和实施审计程序以应对这些风险，并获取充分、适当</w:t>
      </w:r>
      <w:r>
        <w:rPr>
          <w:spacing w:val="-83"/>
        </w:rPr>
        <w:t> </w:t>
      </w:r>
      <w:r>
        <w:rPr>
          <w:spacing w:val="-83"/>
        </w:rPr>
      </w:r>
      <w:r>
        <w:rPr>
          <w:spacing w:val="-2"/>
        </w:rPr>
        <w:t>的审计证据，作为发表审计意见的基础。由于舞弊可能涉及串通、伪造、故意遗漏、虚假陈述或凌驾于内部控制之上，未能</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发现由于舞弊导致的重大错报的风险高于未能发现由于错误导致的重大错报的风险。</w:t>
      </w:r>
    </w:p>
    <w:p>
      <w:pPr>
        <w:pStyle w:val="BodyText"/>
        <w:spacing w:line="240" w:lineRule="auto" w:before="76"/>
        <w:ind w:right="0"/>
        <w:jc w:val="both"/>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rPr>
        <w:t>, </w:t>
      </w:r>
      <w:r>
        <w:rPr/>
        <w:t>但目的并非对内部控制的有效性发表意见。</w:t>
      </w:r>
    </w:p>
    <w:p>
      <w:pPr>
        <w:pStyle w:val="BodyText"/>
        <w:spacing w:line="240" w:lineRule="auto" w:before="76"/>
        <w:ind w:right="0"/>
        <w:jc w:val="both"/>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76"/>
        <w:ind w:right="1131"/>
        <w:jc w:val="both"/>
      </w:pPr>
      <w:r>
        <w:rPr/>
        <w:t>（</w:t>
      </w:r>
      <w:r>
        <w:rPr>
          <w:rFonts w:ascii="宋体" w:hAnsi="宋体" w:cs="宋体" w:eastAsia="宋体" w:hint="default"/>
        </w:rPr>
        <w:t>4</w:t>
      </w:r>
      <w:r>
        <w:rPr/>
        <w:t>）对管理层使用持续经营假设的恰当性得出结论。同时，根据获取的审计证据，就可能导致对群兴玩具持续经营能力产</w:t>
      </w:r>
      <w:r>
        <w:rPr>
          <w:spacing w:val="-83"/>
        </w:rPr>
        <w:t> </w:t>
      </w:r>
      <w:r>
        <w:rPr>
          <w:spacing w:val="-83"/>
        </w:rPr>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至审计报告日可获得的信息。然而，未来的事项或情况可能导致群兴玩具不能持续经营。</w:t>
      </w:r>
    </w:p>
    <w:p>
      <w:pPr>
        <w:pStyle w:val="BodyText"/>
        <w:spacing w:line="240" w:lineRule="auto" w:before="17"/>
        <w:ind w:right="0"/>
        <w:jc w:val="both"/>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pStyle w:val="BodyText"/>
        <w:spacing w:line="316" w:lineRule="auto" w:before="76"/>
        <w:ind w:right="1122"/>
        <w:jc w:val="left"/>
      </w:pPr>
      <w:r>
        <w:rPr/>
        <w:t>（</w:t>
      </w:r>
      <w:r>
        <w:rPr>
          <w:rFonts w:ascii="宋体" w:hAnsi="宋体" w:cs="宋体" w:eastAsia="宋体" w:hint="default"/>
        </w:rPr>
        <w:t>6</w:t>
      </w:r>
      <w:r>
        <w:rPr/>
        <w:t>）就群兴玩具中实体或业务活动的财务信息获取充分、适当的审计证据，以对财务报表发表审计意见。我们负责指导、</w:t>
      </w:r>
      <w:r>
        <w:rPr>
          <w:spacing w:val="-83"/>
        </w:rPr>
        <w:t> </w:t>
      </w:r>
      <w:r>
        <w:rPr>
          <w:spacing w:val="-83"/>
        </w:rPr>
      </w:r>
      <w:r>
        <w:rPr/>
        <w:t>监督和执行集团审计，并对审计意见承担全部责任。</w:t>
      </w:r>
    </w:p>
    <w:p>
      <w:pPr>
        <w:pStyle w:val="BodyText"/>
        <w:spacing w:line="316" w:lineRule="auto" w:before="1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9"/>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6"/>
        <w:rPr>
          <w:rFonts w:ascii="宋体" w:hAnsi="宋体" w:cs="宋体" w:eastAsia="宋体" w:hint="default"/>
          <w:sz w:val="21"/>
          <w:szCs w:val="21"/>
        </w:rPr>
      </w:pPr>
    </w:p>
    <w:p>
      <w:pPr>
        <w:pStyle w:val="Heading2"/>
        <w:tabs>
          <w:tab w:pos="2838" w:val="left" w:leader="none"/>
        </w:tabs>
        <w:spacing w:line="313" w:lineRule="exact"/>
        <w:ind w:left="350" w:right="0"/>
        <w:jc w:val="left"/>
        <w:rPr>
          <w:b w:val="0"/>
          <w:bCs w:val="0"/>
        </w:rPr>
      </w:pPr>
      <w:r>
        <w:rPr>
          <w:w w:val="95"/>
        </w:rPr>
        <w:t>立信会计师事务所</w:t>
        <w:tab/>
      </w:r>
      <w:r>
        <w:rPr/>
        <w:t>中国注册会计师：陈延柏（项目合伙人）</w:t>
      </w:r>
      <w:r>
        <w:rPr>
          <w:b w:val="0"/>
          <w:bCs w:val="0"/>
        </w:rPr>
      </w:r>
    </w:p>
    <w:p>
      <w:pPr>
        <w:pStyle w:val="Heading2"/>
        <w:spacing w:line="313" w:lineRule="exact"/>
        <w:ind w:left="350" w:right="0"/>
        <w:jc w:val="left"/>
        <w:rPr>
          <w:b w:val="0"/>
          <w:bCs w:val="0"/>
        </w:rPr>
      </w:pPr>
      <w:r>
        <w:rPr/>
        <w:t>（特殊普通合伙）</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2"/>
        <w:spacing w:line="240" w:lineRule="auto"/>
        <w:ind w:left="95" w:right="213"/>
        <w:jc w:val="center"/>
        <w:rPr>
          <w:b w:val="0"/>
          <w:bCs w:val="0"/>
        </w:rPr>
      </w:pPr>
      <w:r>
        <w:rPr/>
        <w:t>中国注册会计师：宋保军</w:t>
      </w:r>
      <w:r>
        <w:rPr>
          <w:b w:val="0"/>
          <w:bCs w:val="0"/>
        </w:rPr>
      </w:r>
    </w:p>
    <w:p>
      <w:pPr>
        <w:pStyle w:val="Heading2"/>
        <w:tabs>
          <w:tab w:pos="2838" w:val="left" w:leader="none"/>
        </w:tabs>
        <w:spacing w:line="910" w:lineRule="atLeast" w:before="44"/>
        <w:ind w:right="6483" w:firstLine="236"/>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r>
        <w:rPr>
          <w:w w:val="99"/>
        </w:rPr>
        <w:t> </w:t>
      </w:r>
      <w:bookmarkStart w:name="二、财务报表" w:id="151"/>
      <w:bookmarkEnd w:id="151"/>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编制单位：广东群兴玩具股份有限公司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3" w:equalWidth="0">
            <w:col w:w="3175" w:space="903"/>
            <w:col w:w="1599" w:space="3243"/>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131,453,466.03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11,154.87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19,658.20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473,416.66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224,580,395.31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141,525,093.72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307,574,955.47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309,254,119.02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160,804,326.27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390,308,587.87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336,598,281.14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190,636.27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3,599,560.31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23,932,647.20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41,523,639.24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67,832,907.81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58,529.47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199,000.03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599,923,045.72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592,966,722.76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907,498,001.19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902,220,841.78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585,529.43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296,073.91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1,149,743.31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2,441,043.54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2,409,947.47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2,220,201.83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945,624.48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1,978,020.51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5,090,844.69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6,935,339.79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3,783,480.00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3,875,760.00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3,783,480.00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3,875,760.00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8,874,324.69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10,811,099.79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5,611,291.58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5,319,169.80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29,195,887.54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29,195,887.54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121,379,083.25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114,457,270.52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898,623,676.50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891,409,741.99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898,623,676.50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891,409,741.99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907,498,001.19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902,220,841.78</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法定代表人：纪晓文</w:t>
        <w:tab/>
        <w:t>主管会计工作负责人：朱小艳</w:t>
        <w:tab/>
        <w:t>会计机构负责人：陈轲</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80,769,341.04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129,800,669.25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1,900.40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11,154.87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103,567,276.14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195,158,338.04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224,463,986.79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43,725,093.72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408,826,504.37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404,486,243.62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222,432,701.87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225,550,375.27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302,386,778.11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248,189,013.66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155,776.17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3,300,333.13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23,932,647.20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263,987.42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25,586,969.51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58,529.47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199,000.03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525,452,773.04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526,758,338.80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934,279,277.41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931,244,582.42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585,529.43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296,073.91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1,140,743.31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278,234.22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2,319,623.34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2,138,913.83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945,624.48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1,584,785.03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4,991,520.56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4,298,006.99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4,991,520.56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4,298,006.99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588,720,000.00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4,929,828.63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4,648,990.71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29,195,887.54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29,195,887.54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152,724,626.55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150,664,283.05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929,287,756.85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926,946,575.43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934,279,277.41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931,244,582.42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19,045,648.30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53,935,818.86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19,045,648.30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53,935,818.86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31,112,187.21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94,517,279.40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15,565,577.71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51,255,366.74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9"/>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2,931,027.94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3,902,334.67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521,139.27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913,252.79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14,651,471.73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25,279,647.95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-286,413.45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-940,085.88</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310,383.63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1,009,846.35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-2,270,615.99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14,106,763.13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15,515,346.52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17,043,346.01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6,882,326.60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11,283,582.48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1,587,311.73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2,290,276.14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2,277,652.79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-351,617.68</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7,313,772.13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-21,599,456.07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51,530.91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3,227,676.62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2,000,200.00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6,922,503.04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-20,371,979.45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1,040,800.02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6,921,812.73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-21,412,779.47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6,921,812.73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-21,412,779.47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6,921,812.73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-21,412,779.47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292,121.78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5,215,433.86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292,121.78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5,215,433.86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292,121.78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5,215,433.86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11,283.86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-16,696.71</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280,837.92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5,232,130.57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7,213,934.51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7,213,934.51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bl>
    <w:p>
      <w:pPr>
        <w:pStyle w:val="BodyText"/>
        <w:tabs>
          <w:tab w:pos="3624" w:val="left" w:leader="none"/>
          <w:tab w:pos="785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法定代表人：纪晓文</w:t>
        <w:tab/>
        <w:t>主管会计工作负责人：朱小艳</w:t>
        <w:tab/>
        <w:t>会计机构负责人：陈轲 </w:t>
      </w:r>
      <w:bookmarkStart w:name="4、母公司利润表" w:id="155"/>
      <w:bookmarkEnd w:id="15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17,712,019.75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53,935,818.86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15,565,577.71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51,255,366.74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2,319,359.48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3,201,365.89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521,139.27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913,252.79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5,293,567.13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14,887,196.11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-287,109.41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-937,735.29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993,969.66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-2,285,384.98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14,104,659.02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1,514,319.80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13,894,376.42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6,882,326.60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11,283,582.48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2,074,769.45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1,482,808.66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2,277,652.79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-353,327.08</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2,451,612.59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-14,464,428.40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3,227,676.46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2,060,343.50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-13,236,751.94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1,040,730.99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2,060,343.50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-14,277,482.93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2,060,343.50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-14,277,482.93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4,648,990.71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4,648,990.71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4,648,990.71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2,341,181.42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-9,628,492.22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52,813,673.12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81,908,481.59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286,989.22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2,366,933.50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5,423,148.31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55,180,606.62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87,618,619.12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17,503,925.27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1,589,821.22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5,030,158.73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12,118,038.34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1,560,843.48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11,374,168.99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12,193,567.07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15,593,231.83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36,288,494.55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40,675,260.38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18,892,112.07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46,943,358.74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2,675,349,203.78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5,996,540,990.00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12,385,353.95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5,759,763.53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5,008,578.78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90,753,653.02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2,692,743,136.51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6,093,054,406.55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4,841,945.39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13,854,886.20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2,754,580,000.00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6,146,044,470.00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729,051.52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2,760,150,996.91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6,159,899,356.20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-67,407,860.40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-66,844,949.65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-16,696.71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-48,504,464.47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-19,918,287.62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131,453,466.03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131,453,466.03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31"/>
        <w:gridCol w:w="2837"/>
        <w:gridCol w:w="3300"/>
      </w:tblGrid>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51,413,363.12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81,908,481.59</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286,989.22</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259,694,869.49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11,041,504.58</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311,108,232.61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93,236,975.39</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17,503,925.27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1,589,821.22</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1,664,563.57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9,876,464.65</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110,624.24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10,672,914.61</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173,031,055.11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108,939,197.79</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192,310,168.19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131,078,398.27</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118,798,064.42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-37,841,422.88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431"/>
        <w:gridCol w:w="2837"/>
        <w:gridCol w:w="3300"/>
      </w:tblGrid>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2,041,569,203.78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5,528,440,990.00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9,034,770.20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2,610,793.94</w:t>
            </w:r>
          </w:p>
        </w:tc>
      </w:tr>
      <w:tr>
        <w:trPr>
          <w:trHeight w:val="714"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w:t>
            </w:r>
            <w:r>
              <w:rPr>
                <w:rFonts w:ascii="宋体" w:hAnsi="宋体" w:cs="宋体" w:eastAsia="宋体" w:hint="default"/>
                <w:sz w:val="18"/>
                <w:szCs w:val="18"/>
              </w:rPr>
              <w:t> 资产收回的现金净额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5,008,578.78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90,753,653.02</w:t>
            </w:r>
          </w:p>
        </w:tc>
      </w:tr>
      <w:tr>
        <w:trPr>
          <w:trHeight w:val="714"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2,055,612,552.76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5,621,805,436.96</w:t>
            </w:r>
          </w:p>
        </w:tc>
      </w:tr>
      <w:tr>
        <w:trPr>
          <w:trHeight w:val="714"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w:t>
            </w:r>
            <w:r>
              <w:rPr>
                <w:rFonts w:ascii="宋体" w:hAnsi="宋体" w:cs="宋体" w:eastAsia="宋体" w:hint="default"/>
                <w:sz w:val="18"/>
                <w:szCs w:val="18"/>
              </w:rPr>
              <w:t> 资产支付的现金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4,841,945.39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13,762,606.20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2,218,600,000.00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5,581,144,470.00</w:t>
            </w:r>
          </w:p>
        </w:tc>
      </w:tr>
      <w:tr>
        <w:trPr>
          <w:trHeight w:val="714"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2,223,441,945.39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5,594,907,076.20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-167,829,392.63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26,898,360.76</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-49,031,328.21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-10,943,062.12</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129,800,669.25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140,743,731.37</w:t>
            </w:r>
          </w:p>
        </w:tc>
      </w:tr>
      <w:tr>
        <w:trPr>
          <w:trHeight w:val="402"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80,769,341.04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129,800,669.25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Heading4"/>
        <w:spacing w:line="240" w:lineRule="auto" w:before="43"/>
        <w:ind w:left="420" w:right="0"/>
        <w:jc w:val="left"/>
        <w:rPr>
          <w:b w:val="0"/>
          <w:bCs w:val="0"/>
        </w:rPr>
      </w:pPr>
      <w:r>
        <w:rPr/>
        <w:pict>
          <v:shape style="position:absolute;margin-left:589.234558pt;margin-top:570.43042pt;width:42.067787pt;height:18.946561pt;mso-position-horizontal-relative:page;mso-position-vertical-relative:page;z-index:1048" type="#_x0000_t75" stroked="false">
            <v:imagedata r:id="rId61" o:title=""/>
          </v:shape>
        </w:pict>
      </w: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20" w:right="0"/>
        <w:jc w:val="left"/>
      </w:pPr>
      <w:r>
        <w:rPr/>
        <w:t>本期金额</w:t>
      </w:r>
    </w:p>
    <w:p>
      <w:pPr>
        <w:pStyle w:val="BodyText"/>
        <w:spacing w:line="240" w:lineRule="auto" w:before="117"/>
        <w:ind w:left="0" w:right="336"/>
        <w:jc w:val="right"/>
      </w:pPr>
      <w:r>
        <w:rPr/>
        <w:t>单位：元</w:t>
      </w:r>
    </w:p>
    <w:p>
      <w:pPr>
        <w:spacing w:line="240" w:lineRule="auto" w:before="13"/>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1696"/>
        <w:gridCol w:w="1342"/>
        <w:gridCol w:w="596"/>
        <w:gridCol w:w="595"/>
        <w:gridCol w:w="545"/>
        <w:gridCol w:w="1340"/>
        <w:gridCol w:w="733"/>
        <w:gridCol w:w="1200"/>
        <w:gridCol w:w="649"/>
        <w:gridCol w:w="1250"/>
        <w:gridCol w:w="754"/>
        <w:gridCol w:w="1340"/>
        <w:gridCol w:w="754"/>
        <w:gridCol w:w="1380"/>
      </w:tblGrid>
      <w:tr>
        <w:trPr>
          <w:trHeight w:val="402"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8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696" w:type="dxa"/>
            <w:vMerge/>
            <w:tcBorders>
              <w:left w:val="single" w:sz="4" w:space="0" w:color="000000"/>
              <w:right w:val="single" w:sz="4" w:space="0" w:color="000000"/>
            </w:tcBorders>
            <w:shd w:val="clear" w:color="auto" w:fill="D2D2D2"/>
          </w:tcPr>
          <w:p>
            <w:pPr/>
          </w:p>
        </w:tc>
        <w:tc>
          <w:tcPr>
            <w:tcW w:w="1034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91" w:right="190"/>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95" w:right="1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1696" w:type="dxa"/>
            <w:vMerge/>
            <w:tcBorders>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1" w:right="101" w:hanging="78"/>
              <w:jc w:val="left"/>
              <w:rPr>
                <w:rFonts w:ascii="宋体" w:hAnsi="宋体" w:cs="宋体" w:eastAsia="宋体" w:hint="default"/>
                <w:sz w:val="18"/>
                <w:szCs w:val="18"/>
              </w:rPr>
            </w:pPr>
            <w:r>
              <w:rPr>
                <w:rFonts w:ascii="宋体" w:hAnsi="宋体" w:cs="宋体" w:eastAsia="宋体" w:hint="default"/>
                <w:spacing w:val="-8"/>
                <w:sz w:val="18"/>
                <w:szCs w:val="18"/>
              </w:rPr>
              <w:t>减：库</w:t>
            </w:r>
            <w:r>
              <w:rPr>
                <w:rFonts w:ascii="宋体" w:hAnsi="宋体" w:cs="宋体" w:eastAsia="宋体" w:hint="default"/>
                <w:sz w:val="18"/>
                <w:szCs w:val="18"/>
              </w:rPr>
              <w:t> 存股</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05" w:right="1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39" w:right="13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92" w:right="19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54"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714"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2" w:right="11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1" w:right="11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6"/>
              <w:jc w:val="left"/>
              <w:rPr>
                <w:rFonts w:ascii="宋体" w:hAnsi="宋体" w:cs="宋体" w:eastAsia="宋体" w:hint="default"/>
                <w:sz w:val="18"/>
                <w:szCs w:val="18"/>
              </w:rPr>
            </w:pPr>
            <w:r>
              <w:rPr>
                <w:rFonts w:ascii="宋体" w:hAnsi="宋体" w:cs="宋体" w:eastAsia="宋体" w:hint="default"/>
                <w:sz w:val="18"/>
                <w:szCs w:val="18"/>
              </w:rPr>
              <w:t>其 他</w:t>
            </w:r>
          </w:p>
        </w:tc>
        <w:tc>
          <w:tcPr>
            <w:tcW w:w="1340" w:type="dxa"/>
            <w:vMerge/>
            <w:tcBorders>
              <w:left w:val="single" w:sz="4" w:space="0" w:color="000000"/>
              <w:bottom w:val="single" w:sz="4" w:space="0" w:color="000000"/>
              <w:right w:val="single" w:sz="4" w:space="0" w:color="000000"/>
            </w:tcBorders>
            <w:shd w:val="clear" w:color="auto" w:fill="D2D2D2"/>
          </w:tcPr>
          <w:p>
            <w:pPr/>
          </w:p>
        </w:tc>
        <w:tc>
          <w:tcPr>
            <w:tcW w:w="733"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649"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5,319,169.80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114,457,270.52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891,409,741.99</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5,319,169.80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114,457,270.52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891,409,741.99</w:t>
            </w:r>
          </w:p>
        </w:tc>
      </w:tr>
      <w:tr>
        <w:trPr>
          <w:trHeight w:val="1026"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6"/>
                <w:sz w:val="18"/>
                <w:szCs w:val="18"/>
              </w:rPr>
              <w:t>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292,121.78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6,921,812.73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7,213,934.51</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292,121.78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6,921,812.73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7,213,934.51</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1"/>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．所有者投入的普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59"/>
          <w:footerReference w:type="default" r:id="rId60"/>
          <w:pgSz w:w="16840" w:h="11910" w:orient="landscape"/>
          <w:pgMar w:header="907" w:footer="1019" w:top="1100" w:bottom="1200" w:left="1020" w:right="110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696"/>
        <w:gridCol w:w="1342"/>
        <w:gridCol w:w="596"/>
        <w:gridCol w:w="595"/>
        <w:gridCol w:w="545"/>
        <w:gridCol w:w="1340"/>
        <w:gridCol w:w="733"/>
        <w:gridCol w:w="1200"/>
        <w:gridCol w:w="649"/>
        <w:gridCol w:w="1250"/>
        <w:gridCol w:w="754"/>
        <w:gridCol w:w="1340"/>
        <w:gridCol w:w="754"/>
        <w:gridCol w:w="1380"/>
      </w:tblGrid>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有者投入资本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有者权益的金额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．提取一般风险准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1"/>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．盈余公积弥补亏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动额结转留存收益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6840" w:h="11910" w:orient="landscape"/>
          <w:pgMar w:footer="1019" w:header="907" w:top="1100" w:bottom="1200" w:left="1320" w:right="1100"/>
          <w:pgNumType w:start="75"/>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696"/>
        <w:gridCol w:w="1342"/>
        <w:gridCol w:w="596"/>
        <w:gridCol w:w="595"/>
        <w:gridCol w:w="545"/>
        <w:gridCol w:w="1340"/>
        <w:gridCol w:w="733"/>
        <w:gridCol w:w="1200"/>
        <w:gridCol w:w="649"/>
        <w:gridCol w:w="1250"/>
        <w:gridCol w:w="754"/>
        <w:gridCol w:w="1340"/>
        <w:gridCol w:w="754"/>
        <w:gridCol w:w="1380"/>
      </w:tblGrid>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5,611,291.58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 w:right="0"/>
              <w:jc w:val="center"/>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121,379,083.25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898,623,676.50</w:t>
            </w:r>
          </w:p>
        </w:tc>
      </w:tr>
    </w:tbl>
    <w:p>
      <w:pPr>
        <w:pStyle w:val="BodyText"/>
        <w:spacing w:line="240" w:lineRule="auto" w:before="51"/>
        <w:ind w:left="120" w:right="0"/>
        <w:jc w:val="left"/>
      </w:pPr>
      <w:r>
        <w:rPr/>
        <w:t>上期金额</w:t>
      </w:r>
    </w:p>
    <w:p>
      <w:pPr>
        <w:pStyle w:val="BodyText"/>
        <w:spacing w:line="240" w:lineRule="auto" w:before="116"/>
        <w:ind w:left="0" w:right="336"/>
        <w:jc w:val="right"/>
      </w:pPr>
      <w:r>
        <w:rPr/>
        <w:t>单位：元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06"/>
        <w:gridCol w:w="1342"/>
        <w:gridCol w:w="530"/>
        <w:gridCol w:w="532"/>
        <w:gridCol w:w="530"/>
        <w:gridCol w:w="1342"/>
        <w:gridCol w:w="768"/>
        <w:gridCol w:w="1209"/>
        <w:gridCol w:w="594"/>
        <w:gridCol w:w="1250"/>
        <w:gridCol w:w="721"/>
        <w:gridCol w:w="1340"/>
        <w:gridCol w:w="722"/>
        <w:gridCol w:w="1390"/>
      </w:tblGrid>
      <w:tr>
        <w:trPr>
          <w:trHeight w:val="402"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906" w:type="dxa"/>
            <w:vMerge/>
            <w:tcBorders>
              <w:left w:val="single" w:sz="4" w:space="0" w:color="000000"/>
              <w:right w:val="single" w:sz="4" w:space="0" w:color="000000"/>
            </w:tcBorders>
            <w:shd w:val="clear" w:color="auto" w:fill="D2D2D2"/>
          </w:tcPr>
          <w:p>
            <w:pPr/>
          </w:p>
        </w:tc>
        <w:tc>
          <w:tcPr>
            <w:tcW w:w="101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598" w:right="149"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1906" w:type="dxa"/>
            <w:vMerge/>
            <w:tcBorders>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99" w:right="107"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2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509" w:right="14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75" w:right="17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75" w:right="17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390" w:type="dxa"/>
            <w:vMerge/>
            <w:tcBorders>
              <w:left w:val="single" w:sz="4" w:space="0" w:color="000000"/>
              <w:right w:val="single" w:sz="4" w:space="0" w:color="000000"/>
            </w:tcBorders>
            <w:shd w:val="clear" w:color="auto" w:fill="D2D2D2"/>
          </w:tcPr>
          <w:p>
            <w:pPr/>
          </w:p>
        </w:tc>
      </w:tr>
      <w:tr>
        <w:trPr>
          <w:trHeight w:val="1026"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1209"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13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103,735.94</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29,195,887.54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135,870,049.99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1"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103,735.94</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29,195,887.54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135,870,049.99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907,607,087.60</w:t>
            </w:r>
          </w:p>
        </w:tc>
      </w:tr>
      <w:tr>
        <w:trPr>
          <w:trHeight w:val="1026"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5,215,433.86</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-21,412,779.47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5,215,433.86</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-21,412,779.47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-16,197,345.61</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906"/>
        <w:gridCol w:w="1342"/>
        <w:gridCol w:w="530"/>
        <w:gridCol w:w="532"/>
        <w:gridCol w:w="530"/>
        <w:gridCol w:w="1342"/>
        <w:gridCol w:w="768"/>
        <w:gridCol w:w="1209"/>
        <w:gridCol w:w="594"/>
        <w:gridCol w:w="1250"/>
        <w:gridCol w:w="721"/>
        <w:gridCol w:w="1340"/>
        <w:gridCol w:w="722"/>
        <w:gridCol w:w="1390"/>
      </w:tblGrid>
      <w:tr>
        <w:trPr>
          <w:trHeight w:val="36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．所有者投入的普通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者投入资本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者权益的金额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．对所有者（或股东）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额结转留存收益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906"/>
        <w:gridCol w:w="1342"/>
        <w:gridCol w:w="530"/>
        <w:gridCol w:w="532"/>
        <w:gridCol w:w="530"/>
        <w:gridCol w:w="1342"/>
        <w:gridCol w:w="768"/>
        <w:gridCol w:w="1209"/>
        <w:gridCol w:w="594"/>
        <w:gridCol w:w="1250"/>
        <w:gridCol w:w="721"/>
        <w:gridCol w:w="1340"/>
        <w:gridCol w:w="722"/>
        <w:gridCol w:w="1390"/>
      </w:tblGrid>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768"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5,319,169.80</w:t>
            </w:r>
          </w:p>
        </w:tc>
        <w:tc>
          <w:tcPr>
            <w:tcW w:w="59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29,195,887.54</w:t>
            </w:r>
          </w:p>
        </w:tc>
        <w:tc>
          <w:tcPr>
            <w:tcW w:w="721"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114,457,270.52</w:t>
            </w:r>
          </w:p>
        </w:tc>
        <w:tc>
          <w:tcPr>
            <w:tcW w:w="72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891,409,741.99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20"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20" w:right="0"/>
        <w:jc w:val="left"/>
      </w:pPr>
      <w:r>
        <w:rPr/>
        <w:t>本期金额</w:t>
      </w:r>
    </w:p>
    <w:p>
      <w:pPr>
        <w:pStyle w:val="BodyText"/>
        <w:spacing w:line="240" w:lineRule="auto" w:before="116"/>
        <w:ind w:left="0" w:right="336"/>
        <w:jc w:val="right"/>
      </w:pPr>
      <w:r>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796"/>
        <w:gridCol w:w="1342"/>
        <w:gridCol w:w="623"/>
        <w:gridCol w:w="623"/>
        <w:gridCol w:w="530"/>
        <w:gridCol w:w="1342"/>
        <w:gridCol w:w="916"/>
        <w:gridCol w:w="1247"/>
        <w:gridCol w:w="737"/>
        <w:gridCol w:w="1250"/>
        <w:gridCol w:w="1342"/>
        <w:gridCol w:w="1428"/>
      </w:tblGrid>
      <w:tr>
        <w:trPr>
          <w:trHeight w:val="402" w:hRule="exact"/>
        </w:trPr>
        <w:tc>
          <w:tcPr>
            <w:tcW w:w="2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7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796" w:type="dxa"/>
            <w:vMerge/>
            <w:tcBorders>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62" w:right="101" w:hanging="260"/>
              <w:jc w:val="left"/>
              <w:rPr>
                <w:rFonts w:ascii="宋体" w:hAnsi="宋体" w:cs="宋体" w:eastAsia="宋体" w:hint="default"/>
                <w:sz w:val="18"/>
                <w:szCs w:val="18"/>
              </w:rPr>
            </w:pPr>
            <w:r>
              <w:rPr>
                <w:rFonts w:ascii="宋体" w:hAnsi="宋体" w:cs="宋体" w:eastAsia="宋体" w:hint="default"/>
                <w:spacing w:val="-6"/>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28" w:right="16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3" w:right="18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619" w:right="167"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3" w:hRule="exact"/>
        </w:trPr>
        <w:tc>
          <w:tcPr>
            <w:tcW w:w="2796"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6" w:right="12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5" w:right="12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4,648,990.71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150,664,283.05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926,946,575.43</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4,648,990.71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150,664,283.05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926,946,575.43</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61"/>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280,837.92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2,060,343.50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2,341,181.42</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280,837.92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2,060,343.50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2,341,181.42</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796"/>
        <w:gridCol w:w="1342"/>
        <w:gridCol w:w="623"/>
        <w:gridCol w:w="623"/>
        <w:gridCol w:w="530"/>
        <w:gridCol w:w="1342"/>
        <w:gridCol w:w="916"/>
        <w:gridCol w:w="1247"/>
        <w:gridCol w:w="737"/>
        <w:gridCol w:w="1250"/>
        <w:gridCol w:w="1342"/>
        <w:gridCol w:w="1428"/>
      </w:tblGrid>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．设定受益计划变动额结转留存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4,929,828.63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152,724,626.55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929,287,756.85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pStyle w:val="BodyText"/>
        <w:spacing w:line="240" w:lineRule="auto" w:before="69"/>
        <w:ind w:left="120" w:right="0"/>
        <w:jc w:val="left"/>
      </w:pPr>
      <w:r>
        <w:rPr/>
        <w:t>上期金额</w:t>
      </w:r>
    </w:p>
    <w:p>
      <w:pPr>
        <w:pStyle w:val="BodyText"/>
        <w:spacing w:line="240" w:lineRule="auto" w:before="117"/>
        <w:ind w:left="0" w:right="336"/>
        <w:jc w:val="right"/>
      </w:pPr>
      <w:r>
        <w:rPr/>
        <w:t>单位：元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796"/>
        <w:gridCol w:w="1342"/>
        <w:gridCol w:w="623"/>
        <w:gridCol w:w="623"/>
        <w:gridCol w:w="530"/>
        <w:gridCol w:w="1342"/>
        <w:gridCol w:w="916"/>
        <w:gridCol w:w="1247"/>
        <w:gridCol w:w="737"/>
        <w:gridCol w:w="1250"/>
        <w:gridCol w:w="1342"/>
        <w:gridCol w:w="1428"/>
      </w:tblGrid>
      <w:tr>
        <w:trPr>
          <w:trHeight w:val="402" w:hRule="exact"/>
        </w:trPr>
        <w:tc>
          <w:tcPr>
            <w:tcW w:w="2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7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796" w:type="dxa"/>
            <w:vMerge/>
            <w:tcBorders>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62" w:right="101" w:hanging="260"/>
              <w:jc w:val="left"/>
              <w:rPr>
                <w:rFonts w:ascii="宋体" w:hAnsi="宋体" w:cs="宋体" w:eastAsia="宋体" w:hint="default"/>
                <w:sz w:val="18"/>
                <w:szCs w:val="18"/>
              </w:rPr>
            </w:pPr>
            <w:r>
              <w:rPr>
                <w:rFonts w:ascii="宋体" w:hAnsi="宋体" w:cs="宋体" w:eastAsia="宋体" w:hint="default"/>
                <w:spacing w:val="-6"/>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28" w:right="16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19" w:right="167"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4" w:hRule="exact"/>
        </w:trPr>
        <w:tc>
          <w:tcPr>
            <w:tcW w:w="2796"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6" w:right="12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5" w:right="12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250"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164,941,765.98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936,575,067.65</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164,941,765.98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936,575,067.65</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4,648,990.71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-14,277,482.93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-9,628,492.22</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4,648,990.71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-14,277,482.93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-9,628,492.22</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796"/>
        <w:gridCol w:w="1342"/>
        <w:gridCol w:w="623"/>
        <w:gridCol w:w="623"/>
        <w:gridCol w:w="530"/>
        <w:gridCol w:w="1342"/>
        <w:gridCol w:w="916"/>
        <w:gridCol w:w="1247"/>
        <w:gridCol w:w="737"/>
        <w:gridCol w:w="1250"/>
        <w:gridCol w:w="1342"/>
        <w:gridCol w:w="1428"/>
      </w:tblGrid>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．设定受益计划变动额结转留存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588,720,000.00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4,648,990.71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29,195,887.54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150,664,283.05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926,946,575.43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7" w:footer="1019" w:top="1100" w:bottom="1200" w:left="1320" w:right="1100"/>
        </w:sectPr>
      </w:pPr>
    </w:p>
    <w:p>
      <w:pPr>
        <w:spacing w:line="240" w:lineRule="auto" w:before="6"/>
        <w:rPr>
          <w:rFonts w:ascii="Times New Roman" w:hAnsi="Times New Roman" w:cs="Times New Roman" w:eastAsia="Times New Roman" w:hint="default"/>
          <w:sz w:val="23"/>
          <w:szCs w:val="23"/>
        </w:rPr>
      </w:pPr>
      <w:r>
        <w:rPr/>
        <w:pict>
          <v:shape style="position:absolute;margin-left:535.634705pt;margin-top:806.72052pt;width:59.493346pt;height:26.794713pt;mso-position-horizontal-relative:page;mso-position-vertical-relative:page;z-index:1072" type="#_x0000_t75" stroked="false">
            <v:imagedata r:id="rId61" o:title=""/>
          </v:shape>
        </w:pict>
      </w:r>
    </w:p>
    <w:p>
      <w:pPr>
        <w:pStyle w:val="Heading2"/>
        <w:spacing w:line="240" w:lineRule="auto" w:before="26"/>
        <w:ind w:right="0"/>
        <w:jc w:val="both"/>
        <w:rPr>
          <w:b w:val="0"/>
          <w:bCs w:val="0"/>
        </w:rPr>
      </w:pPr>
      <w:bookmarkStart w:name="三、公司基本情况" w:id="160"/>
      <w:bookmarkEnd w:id="160"/>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601" w:right="0"/>
        <w:jc w:val="left"/>
        <w:rPr>
          <w:b w:val="0"/>
          <w:bCs w:val="0"/>
        </w:rPr>
      </w:pPr>
      <w:r>
        <w:rPr/>
        <w:t>（一）公司概况</w:t>
      </w:r>
      <w:r>
        <w:rPr>
          <w:b w:val="0"/>
          <w:bCs w:val="0"/>
        </w:rPr>
      </w:r>
    </w:p>
    <w:p>
      <w:pPr>
        <w:spacing w:line="240" w:lineRule="auto" w:before="7"/>
        <w:rPr>
          <w:rFonts w:ascii="宋体" w:hAnsi="宋体" w:cs="宋体" w:eastAsia="宋体" w:hint="default"/>
          <w:b/>
          <w:bCs/>
          <w:sz w:val="27"/>
          <w:szCs w:val="27"/>
        </w:rPr>
      </w:pPr>
    </w:p>
    <w:p>
      <w:pPr>
        <w:pStyle w:val="BodyText"/>
        <w:spacing w:line="300" w:lineRule="auto"/>
        <w:ind w:right="1129" w:firstLine="423"/>
        <w:jc w:val="both"/>
      </w:pPr>
      <w:r>
        <w:rPr/>
        <w:t>广东群兴玩具股份有限公司，前身为</w:t>
      </w:r>
      <w:r>
        <w:rPr>
          <w:rFonts w:ascii="Times New Roman" w:hAnsi="Times New Roman" w:cs="Times New Roman" w:eastAsia="Times New Roman" w:hint="default"/>
        </w:rPr>
        <w:t>“</w:t>
      </w:r>
      <w:r>
        <w:rPr/>
        <w:t>澄海市运达计量器具厂</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日，系由澄海市澄华街道城西工贸 管理站出资组建，成立时注册资本为人民币</w:t>
      </w:r>
      <w:r>
        <w:rPr>
          <w:rFonts w:ascii="Times New Roman" w:hAnsi="Times New Roman" w:cs="Times New Roman" w:eastAsia="Times New Roman" w:hint="default"/>
        </w:rPr>
        <w:t>58</w:t>
      </w:r>
      <w:r>
        <w:rPr/>
        <w:t>万元，其中以实物作价出资</w:t>
      </w:r>
      <w:r>
        <w:rPr>
          <w:rFonts w:ascii="Times New Roman" w:hAnsi="Times New Roman" w:cs="Times New Roman" w:eastAsia="Times New Roman" w:hint="default"/>
        </w:rPr>
        <w:t>57</w:t>
      </w:r>
      <w:r>
        <w:rPr/>
        <w:t>万元，货币资金出资</w:t>
      </w:r>
      <w:r>
        <w:rPr>
          <w:rFonts w:ascii="Times New Roman" w:hAnsi="Times New Roman" w:cs="Times New Roman" w:eastAsia="Times New Roman" w:hint="default"/>
        </w:rPr>
        <w:t>1</w:t>
      </w:r>
      <w:r>
        <w:rPr/>
        <w:t>万元。上述注册资本业经</w:t>
      </w:r>
      <w:r>
        <w:rPr>
          <w:spacing w:val="-83"/>
        </w:rPr>
        <w:t> </w:t>
      </w:r>
      <w:r>
        <w:rPr>
          <w:spacing w:val="-83"/>
        </w:rPr>
      </w:r>
      <w:r>
        <w:rPr/>
        <w:t>澄海市审计师事务所澄审事验字</w:t>
      </w:r>
      <w:r>
        <w:rPr>
          <w:rFonts w:ascii="Times New Roman" w:hAnsi="Times New Roman" w:cs="Times New Roman" w:eastAsia="Times New Roman" w:hint="default"/>
        </w:rPr>
        <w:t>[1996]164</w:t>
      </w:r>
      <w:r>
        <w:rPr/>
        <w:t>号验资报告验证确认。</w:t>
      </w:r>
    </w:p>
    <w:p>
      <w:pPr>
        <w:pStyle w:val="BodyText"/>
        <w:spacing w:line="240" w:lineRule="auto" w:before="13"/>
        <w:ind w:left="537" w:right="0"/>
        <w:jc w:val="left"/>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日，经澄海市工商行政管理局核准，本公司名称变更为</w:t>
      </w:r>
      <w:r>
        <w:rPr>
          <w:rFonts w:ascii="Times New Roman" w:hAnsi="Times New Roman" w:cs="Times New Roman" w:eastAsia="Times New Roman" w:hint="default"/>
        </w:rPr>
        <w:t>“</w:t>
      </w:r>
      <w:r>
        <w:rPr/>
        <w:t>澄海市群兴电子塑胶玩具厂</w:t>
      </w:r>
      <w:r>
        <w:rPr>
          <w:rFonts w:ascii="Times New Roman" w:hAnsi="Times New Roman" w:cs="Times New Roman" w:eastAsia="Times New Roman" w:hint="default"/>
        </w:rPr>
        <w:t>”</w:t>
      </w:r>
      <w:r>
        <w:rPr/>
        <w:t>。</w:t>
      </w:r>
    </w:p>
    <w:p>
      <w:pPr>
        <w:pStyle w:val="BodyText"/>
        <w:spacing w:line="309" w:lineRule="auto" w:before="63"/>
        <w:ind w:right="1132" w:firstLine="423"/>
        <w:jc w:val="both"/>
      </w:pP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日，根据澄海市澄华街道办事处澄华企改</w:t>
      </w:r>
      <w:r>
        <w:rPr>
          <w:rFonts w:ascii="Times New Roman" w:hAnsi="Times New Roman" w:cs="Times New Roman" w:eastAsia="Times New Roman" w:hint="default"/>
          <w:spacing w:val="-2"/>
        </w:rPr>
        <w:t>[2002]001</w:t>
      </w:r>
      <w:r>
        <w:rPr>
          <w:spacing w:val="-2"/>
        </w:rPr>
        <w:t>号批复，本公司实行脱钩改制。经企业行政管理部门澄</w:t>
      </w:r>
      <w:r>
        <w:rPr/>
        <w:t> </w:t>
      </w:r>
      <w:r>
        <w:rPr>
          <w:spacing w:val="-2"/>
        </w:rPr>
        <w:t>海市澄华街道经济技术发展办公室、澄海市澄华街道城西工贸管理站、澄海市澄华街道财政所及澄海市澄华街道办事处共同</w:t>
      </w:r>
      <w:r>
        <w:rPr>
          <w:spacing w:val="-64"/>
        </w:rPr>
        <w:t> </w:t>
      </w:r>
      <w:r>
        <w:rPr>
          <w:spacing w:val="-64"/>
        </w:rPr>
      </w:r>
      <w:r>
        <w:rPr/>
        <w:t>界定及确认：公司净资产</w:t>
      </w:r>
      <w:r>
        <w:rPr>
          <w:rFonts w:ascii="Times New Roman" w:hAnsi="Times New Roman" w:cs="Times New Roman" w:eastAsia="Times New Roman" w:hint="default"/>
        </w:rPr>
        <w:t>389</w:t>
      </w:r>
      <w:r>
        <w:rPr/>
        <w:t>万元归属于投资者林伟章、黄仕群所有，并同意企业改制设立为有限责任公司。</w:t>
      </w:r>
    </w:p>
    <w:p>
      <w:pPr>
        <w:pStyle w:val="BodyText"/>
        <w:spacing w:line="300" w:lineRule="auto" w:before="5"/>
        <w:ind w:right="0" w:firstLine="423"/>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日，根据公司股东会决议，本公司申请改制为有限公司，注册资本为人民币</w:t>
      </w:r>
      <w:r>
        <w:rPr>
          <w:rFonts w:ascii="Times New Roman" w:hAnsi="Times New Roman" w:cs="Times New Roman" w:eastAsia="Times New Roman" w:hint="default"/>
        </w:rPr>
        <w:t>387</w:t>
      </w:r>
      <w:r>
        <w:rPr/>
        <w:t>万，其中净资产出资人民 </w:t>
      </w:r>
      <w:r>
        <w:rPr>
          <w:spacing w:val="-2"/>
        </w:rPr>
        <w:t>币</w:t>
      </w:r>
      <w:r>
        <w:rPr>
          <w:rFonts w:ascii="Times New Roman" w:hAnsi="Times New Roman" w:cs="Times New Roman" w:eastAsia="Times New Roman" w:hint="default"/>
          <w:spacing w:val="-2"/>
        </w:rPr>
        <w:t>200</w:t>
      </w:r>
      <w:r>
        <w:rPr>
          <w:spacing w:val="-2"/>
        </w:rPr>
        <w:t>万元（上述界定的剩余资产由投资者收回），货币资金出资</w:t>
      </w:r>
      <w:r>
        <w:rPr>
          <w:rFonts w:ascii="Times New Roman" w:hAnsi="Times New Roman" w:cs="Times New Roman" w:eastAsia="Times New Roman" w:hint="default"/>
          <w:spacing w:val="-2"/>
        </w:rPr>
        <w:t>187</w:t>
      </w:r>
      <w:r>
        <w:rPr>
          <w:spacing w:val="-2"/>
        </w:rPr>
        <w:t>万元。改制完成后，本公司注册资本为人民币</w:t>
      </w:r>
      <w:r>
        <w:rPr>
          <w:rFonts w:ascii="Times New Roman" w:hAnsi="Times New Roman" w:cs="Times New Roman" w:eastAsia="Times New Roman" w:hint="default"/>
          <w:spacing w:val="-2"/>
        </w:rPr>
        <w:t>387</w:t>
      </w:r>
      <w:r>
        <w:rPr>
          <w:spacing w:val="-2"/>
        </w:rPr>
        <w:t>万元，</w:t>
      </w:r>
      <w:r>
        <w:rPr>
          <w:spacing w:val="-62"/>
        </w:rPr>
        <w:t> </w:t>
      </w:r>
      <w:r>
        <w:rPr>
          <w:spacing w:val="-5"/>
        </w:rPr>
        <w:t>其中林伟章出资人民币</w:t>
      </w:r>
      <w:r>
        <w:rPr>
          <w:rFonts w:ascii="Times New Roman" w:hAnsi="Times New Roman" w:cs="Times New Roman" w:eastAsia="Times New Roman" w:hint="default"/>
          <w:spacing w:val="-5"/>
        </w:rPr>
        <w:t>193.50</w:t>
      </w:r>
      <w:r>
        <w:rPr>
          <w:spacing w:val="-5"/>
        </w:rPr>
        <w:t>万元，以净资产出资</w:t>
      </w:r>
      <w:r>
        <w:rPr>
          <w:rFonts w:ascii="Times New Roman" w:hAnsi="Times New Roman" w:cs="Times New Roman" w:eastAsia="Times New Roman" w:hint="default"/>
          <w:spacing w:val="-5"/>
        </w:rPr>
        <w:t>100</w:t>
      </w:r>
      <w:r>
        <w:rPr>
          <w:spacing w:val="-5"/>
        </w:rPr>
        <w:t>万元，以货币出资</w:t>
      </w:r>
      <w:r>
        <w:rPr>
          <w:rFonts w:ascii="Times New Roman" w:hAnsi="Times New Roman" w:cs="Times New Roman" w:eastAsia="Times New Roman" w:hint="default"/>
          <w:spacing w:val="-5"/>
        </w:rPr>
        <w:t>93.5</w:t>
      </w:r>
      <w:r>
        <w:rPr>
          <w:spacing w:val="-5"/>
        </w:rPr>
        <w:t>万元，占注册资本的</w:t>
      </w:r>
      <w:r>
        <w:rPr>
          <w:rFonts w:ascii="Times New Roman" w:hAnsi="Times New Roman" w:cs="Times New Roman" w:eastAsia="Times New Roman" w:hint="default"/>
          <w:spacing w:val="-5"/>
        </w:rPr>
        <w:t>50%</w:t>
      </w:r>
      <w:r>
        <w:rPr>
          <w:spacing w:val="-5"/>
        </w:rPr>
        <w:t>；黄仕群出资人民币</w:t>
      </w:r>
      <w:r>
        <w:rPr>
          <w:rFonts w:ascii="Times New Roman" w:hAnsi="Times New Roman" w:cs="Times New Roman" w:eastAsia="Times New Roman" w:hint="default"/>
          <w:spacing w:val="-5"/>
        </w:rPr>
        <w:t>193.5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万元，以净资产出资</w:t>
      </w:r>
      <w:r>
        <w:rPr>
          <w:rFonts w:ascii="Times New Roman" w:hAnsi="Times New Roman" w:cs="Times New Roman" w:eastAsia="Times New Roman" w:hint="default"/>
        </w:rPr>
        <w:t>100</w:t>
      </w:r>
      <w:r>
        <w:rPr/>
        <w:t>万元，以货币出资</w:t>
      </w:r>
      <w:r>
        <w:rPr>
          <w:rFonts w:ascii="Times New Roman" w:hAnsi="Times New Roman" w:cs="Times New Roman" w:eastAsia="Times New Roman" w:hint="default"/>
        </w:rPr>
        <w:t>93.5</w:t>
      </w:r>
      <w:r>
        <w:rPr/>
        <w:t>万元，占注册资本的</w:t>
      </w:r>
      <w:r>
        <w:rPr>
          <w:rFonts w:ascii="Times New Roman" w:hAnsi="Times New Roman" w:cs="Times New Roman" w:eastAsia="Times New Roman" w:hint="default"/>
        </w:rPr>
        <w:t>50%</w:t>
      </w:r>
      <w:r>
        <w:rPr/>
        <w:t>。上述注册资本业经澄海市丰业会计师事务所有限</w:t>
      </w:r>
      <w:r>
        <w:rPr>
          <w:spacing w:val="-21"/>
        </w:rPr>
        <w:t> </w:t>
      </w:r>
      <w:r>
        <w:rPr>
          <w:spacing w:val="-21"/>
        </w:rPr>
      </w:r>
      <w:r>
        <w:rPr/>
        <w:t>公司澄丰会内验（</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124</w:t>
      </w:r>
      <w:r>
        <w:rPr/>
        <w:t>号验资报告验证确认。</w:t>
      </w:r>
    </w:p>
    <w:p>
      <w:pPr>
        <w:pStyle w:val="BodyText"/>
        <w:spacing w:line="300" w:lineRule="auto" w:before="13"/>
        <w:ind w:right="1130" w:firstLine="423"/>
        <w:jc w:val="both"/>
      </w:pP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日，经澄海市工商行政管理局〔（澄司）名称预核字</w:t>
      </w:r>
      <w:r>
        <w:rPr>
          <w:rFonts w:ascii="Times New Roman" w:hAnsi="Times New Roman" w:cs="Times New Roman" w:eastAsia="Times New Roman" w:hint="default"/>
          <w:spacing w:val="-3"/>
        </w:rPr>
        <w:t>[2002]</w:t>
      </w:r>
      <w:r>
        <w:rPr>
          <w:spacing w:val="-3"/>
        </w:rPr>
        <w:t>第</w:t>
      </w:r>
      <w:r>
        <w:rPr>
          <w:rFonts w:ascii="Times New Roman" w:hAnsi="Times New Roman" w:cs="Times New Roman" w:eastAsia="Times New Roman" w:hint="default"/>
          <w:spacing w:val="-3"/>
        </w:rPr>
        <w:t>095</w:t>
      </w:r>
      <w:r>
        <w:rPr>
          <w:spacing w:val="-3"/>
        </w:rPr>
        <w:t>号〕核准，本公司名称变更为</w:t>
      </w:r>
      <w:r>
        <w:rPr>
          <w:rFonts w:ascii="Times New Roman" w:hAnsi="Times New Roman" w:cs="Times New Roman" w:eastAsia="Times New Roman" w:hint="default"/>
          <w:spacing w:val="-3"/>
        </w:rPr>
        <w:t>“</w:t>
      </w:r>
      <w:r>
        <w:rPr>
          <w:spacing w:val="-3"/>
        </w:rPr>
        <w:t>澄海市群兴</w:t>
      </w:r>
      <w:r>
        <w:rPr/>
        <w:t> 玩具有限公司</w:t>
      </w:r>
      <w:r>
        <w:rPr>
          <w:rFonts w:ascii="Times New Roman" w:hAnsi="Times New Roman" w:cs="Times New Roman" w:eastAsia="Times New Roman" w:hint="default"/>
        </w:rPr>
        <w:t>”</w:t>
      </w:r>
      <w:r>
        <w:rPr/>
        <w:t>。</w:t>
      </w:r>
    </w:p>
    <w:p>
      <w:pPr>
        <w:pStyle w:val="BodyText"/>
        <w:spacing w:line="300" w:lineRule="auto" w:before="13"/>
        <w:ind w:right="1132" w:firstLine="423"/>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日，根据公司股东会决议，本公司增加注册资本</w:t>
      </w:r>
      <w:r>
        <w:rPr>
          <w:rFonts w:ascii="Times New Roman" w:hAnsi="Times New Roman" w:cs="Times New Roman" w:eastAsia="Times New Roman" w:hint="default"/>
        </w:rPr>
        <w:t>700</w:t>
      </w:r>
      <w:r>
        <w:rPr/>
        <w:t>万元，其中林伟章以货币资金增资</w:t>
      </w:r>
      <w:r>
        <w:rPr>
          <w:rFonts w:ascii="Times New Roman" w:hAnsi="Times New Roman" w:cs="Times New Roman" w:eastAsia="Times New Roman" w:hint="default"/>
        </w:rPr>
        <w:t>350</w:t>
      </w:r>
      <w:r>
        <w:rPr/>
        <w:t>万元，黄仕群以 </w:t>
      </w:r>
      <w:r>
        <w:rPr>
          <w:spacing w:val="-2"/>
        </w:rPr>
        <w:t>货币资金增资</w:t>
      </w:r>
      <w:r>
        <w:rPr>
          <w:rFonts w:ascii="Times New Roman" w:hAnsi="Times New Roman" w:cs="Times New Roman" w:eastAsia="Times New Roman" w:hint="default"/>
          <w:spacing w:val="-2"/>
        </w:rPr>
        <w:t>350</w:t>
      </w:r>
      <w:r>
        <w:rPr>
          <w:spacing w:val="-2"/>
        </w:rPr>
        <w:t>万元。增资完成后，本公司注册资本为人民币</w:t>
      </w:r>
      <w:r>
        <w:rPr>
          <w:rFonts w:ascii="Times New Roman" w:hAnsi="Times New Roman" w:cs="Times New Roman" w:eastAsia="Times New Roman" w:hint="default"/>
          <w:spacing w:val="-2"/>
        </w:rPr>
        <w:t>1,087</w:t>
      </w:r>
      <w:r>
        <w:rPr>
          <w:spacing w:val="-2"/>
        </w:rPr>
        <w:t>万元，其中林伟章出资人民币</w:t>
      </w:r>
      <w:r>
        <w:rPr>
          <w:rFonts w:ascii="Times New Roman" w:hAnsi="Times New Roman" w:cs="Times New Roman" w:eastAsia="Times New Roman" w:hint="default"/>
          <w:spacing w:val="-2"/>
        </w:rPr>
        <w:t>543.5</w:t>
      </w:r>
      <w:r>
        <w:rPr>
          <w:spacing w:val="-2"/>
        </w:rPr>
        <w:t>万元，占注册资本的</w:t>
      </w:r>
      <w:r>
        <w:rPr>
          <w:spacing w:val="-56"/>
        </w:rPr>
        <w:t> </w:t>
      </w:r>
      <w:r>
        <w:rPr>
          <w:spacing w:val="-56"/>
        </w:rPr>
      </w:r>
      <w:r>
        <w:rPr>
          <w:rFonts w:ascii="Times New Roman" w:hAnsi="Times New Roman" w:cs="Times New Roman" w:eastAsia="Times New Roman" w:hint="default"/>
        </w:rPr>
        <w:t>50%</w:t>
      </w:r>
      <w:r>
        <w:rPr/>
        <w:t>；黄仕群出资人民币</w:t>
      </w:r>
      <w:r>
        <w:rPr>
          <w:rFonts w:ascii="Times New Roman" w:hAnsi="Times New Roman" w:cs="Times New Roman" w:eastAsia="Times New Roman" w:hint="default"/>
        </w:rPr>
        <w:t>543.5</w:t>
      </w:r>
      <w:r>
        <w:rPr/>
        <w:t>万元，占注册资本的</w:t>
      </w:r>
      <w:r>
        <w:rPr>
          <w:rFonts w:ascii="Times New Roman" w:hAnsi="Times New Roman" w:cs="Times New Roman" w:eastAsia="Times New Roman" w:hint="default"/>
        </w:rPr>
        <w:t>50%</w:t>
      </w:r>
      <w:r>
        <w:rPr/>
        <w:t>。上述增资业经汕头市丰业会计师事务所汕丰会内验（</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016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号验资报告验证确认。</w:t>
      </w:r>
    </w:p>
    <w:p>
      <w:pPr>
        <w:pStyle w:val="BodyText"/>
        <w:spacing w:line="300" w:lineRule="auto" w:before="32"/>
        <w:ind w:right="1130" w:firstLine="423"/>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日，经广东省工商行政管理局（粤名预私冠字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55</w:t>
      </w:r>
      <w:r>
        <w:rPr/>
        <w:t>号）核准，本公司名称变更为</w:t>
      </w:r>
      <w:r>
        <w:rPr>
          <w:rFonts w:ascii="Times New Roman" w:hAnsi="Times New Roman" w:cs="Times New Roman" w:eastAsia="Times New Roman" w:hint="default"/>
        </w:rPr>
        <w:t>“</w:t>
      </w:r>
      <w:r>
        <w:rPr/>
        <w:t>广东群兴玩具实业</w:t>
      </w:r>
      <w:r>
        <w:rPr>
          <w:spacing w:val="1"/>
        </w:rPr>
        <w:t> </w:t>
      </w:r>
      <w:r>
        <w:rPr/>
        <w:t>有限公司</w:t>
      </w:r>
      <w:r>
        <w:rPr>
          <w:rFonts w:ascii="Times New Roman" w:hAnsi="Times New Roman" w:cs="Times New Roman" w:eastAsia="Times New Roman" w:hint="default"/>
        </w:rPr>
        <w:t>”</w:t>
      </w:r>
      <w:r>
        <w:rPr/>
        <w:t>。</w:t>
      </w:r>
    </w:p>
    <w:p>
      <w:pPr>
        <w:pStyle w:val="BodyText"/>
        <w:spacing w:line="300" w:lineRule="auto" w:before="13"/>
        <w:ind w:right="1032" w:firstLine="423"/>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日，根据公司股东会决议，本公司增加注册资本</w:t>
      </w:r>
      <w:r>
        <w:rPr>
          <w:rFonts w:ascii="Times New Roman" w:hAnsi="Times New Roman" w:cs="Times New Roman" w:eastAsia="Times New Roman" w:hint="default"/>
        </w:rPr>
        <w:t>4,000</w:t>
      </w:r>
      <w:r>
        <w:rPr/>
        <w:t>万元，其中林伟章以货币资金增资</w:t>
      </w:r>
      <w:r>
        <w:rPr>
          <w:rFonts w:ascii="Times New Roman" w:hAnsi="Times New Roman" w:cs="Times New Roman" w:eastAsia="Times New Roman" w:hint="default"/>
        </w:rPr>
        <w:t>1,491.30</w:t>
      </w:r>
      <w:r>
        <w:rPr/>
        <w:t>万元， 黄仕群以货币资金增资</w:t>
      </w:r>
      <w:r>
        <w:rPr>
          <w:rFonts w:ascii="Times New Roman" w:hAnsi="Times New Roman" w:cs="Times New Roman" w:eastAsia="Times New Roman" w:hint="default"/>
        </w:rPr>
        <w:t>982.60</w:t>
      </w:r>
      <w:r>
        <w:rPr/>
        <w:t>万元，林少洁以货币资金增资</w:t>
      </w:r>
      <w:r>
        <w:rPr>
          <w:rFonts w:ascii="Times New Roman" w:hAnsi="Times New Roman" w:cs="Times New Roman" w:eastAsia="Times New Roman" w:hint="default"/>
        </w:rPr>
        <w:t>1,017.40</w:t>
      </w:r>
      <w:r>
        <w:rPr/>
        <w:t>万元，林伟亮以货币资金增资</w:t>
      </w:r>
      <w:r>
        <w:rPr>
          <w:rFonts w:ascii="Times New Roman" w:hAnsi="Times New Roman" w:cs="Times New Roman" w:eastAsia="Times New Roman" w:hint="default"/>
        </w:rPr>
        <w:t>508.70</w:t>
      </w:r>
      <w:r>
        <w:rPr/>
        <w:t>万元。增资完成后， 本公司注册资本为人民币</w:t>
      </w:r>
      <w:r>
        <w:rPr>
          <w:rFonts w:ascii="Times New Roman" w:hAnsi="Times New Roman" w:cs="Times New Roman" w:eastAsia="Times New Roman" w:hint="default"/>
        </w:rPr>
        <w:t>5,087</w:t>
      </w:r>
      <w:r>
        <w:rPr/>
        <w:t>万元，其中林伟章出资人民币</w:t>
      </w:r>
      <w:r>
        <w:rPr>
          <w:rFonts w:ascii="Times New Roman" w:hAnsi="Times New Roman" w:cs="Times New Roman" w:eastAsia="Times New Roman" w:hint="default"/>
        </w:rPr>
        <w:t>2,034.80</w:t>
      </w:r>
      <w:r>
        <w:rPr/>
        <w:t>万元，占注册资本的</w:t>
      </w:r>
      <w:r>
        <w:rPr>
          <w:rFonts w:ascii="Times New Roman" w:hAnsi="Times New Roman" w:cs="Times New Roman" w:eastAsia="Times New Roman" w:hint="default"/>
        </w:rPr>
        <w:t>40%</w:t>
      </w:r>
      <w:r>
        <w:rPr/>
        <w:t>；黄仕群出资人民币</w:t>
      </w:r>
      <w:r>
        <w:rPr>
          <w:rFonts w:ascii="Times New Roman" w:hAnsi="Times New Roman" w:cs="Times New Roman" w:eastAsia="Times New Roman" w:hint="default"/>
        </w:rPr>
        <w:t>1,526.10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万元，占注册资本的</w:t>
      </w:r>
      <w:r>
        <w:rPr>
          <w:rFonts w:ascii="Times New Roman" w:hAnsi="Times New Roman" w:cs="Times New Roman" w:eastAsia="Times New Roman" w:hint="default"/>
          <w:spacing w:val="-2"/>
        </w:rPr>
        <w:t>30%</w:t>
      </w:r>
      <w:r>
        <w:rPr>
          <w:spacing w:val="-2"/>
        </w:rPr>
        <w:t>；林少洁出资人民币</w:t>
      </w:r>
      <w:r>
        <w:rPr>
          <w:rFonts w:ascii="Times New Roman" w:hAnsi="Times New Roman" w:cs="Times New Roman" w:eastAsia="Times New Roman" w:hint="default"/>
          <w:spacing w:val="-2"/>
        </w:rPr>
        <w:t>1,017.40</w:t>
      </w:r>
      <w:r>
        <w:rPr>
          <w:spacing w:val="-2"/>
        </w:rPr>
        <w:t>万元，占注册资本的</w:t>
      </w:r>
      <w:r>
        <w:rPr>
          <w:rFonts w:ascii="Times New Roman" w:hAnsi="Times New Roman" w:cs="Times New Roman" w:eastAsia="Times New Roman" w:hint="default"/>
          <w:spacing w:val="-2"/>
        </w:rPr>
        <w:t>20%</w:t>
      </w:r>
      <w:r>
        <w:rPr>
          <w:spacing w:val="-2"/>
        </w:rPr>
        <w:t>；林伟亮出资人民币</w:t>
      </w:r>
      <w:r>
        <w:rPr>
          <w:rFonts w:ascii="Times New Roman" w:hAnsi="Times New Roman" w:cs="Times New Roman" w:eastAsia="Times New Roman" w:hint="default"/>
          <w:spacing w:val="-2"/>
        </w:rPr>
        <w:t>508.70</w:t>
      </w:r>
      <w:r>
        <w:rPr>
          <w:spacing w:val="-2"/>
        </w:rPr>
        <w:t>万元，占注册资本</w:t>
      </w:r>
      <w:r>
        <w:rPr>
          <w:spacing w:val="-37"/>
        </w:rPr>
        <w:t> </w:t>
      </w:r>
      <w:r>
        <w:rPr>
          <w:spacing w:val="-37"/>
        </w:rPr>
      </w:r>
      <w:r>
        <w:rPr/>
        <w:t>的</w:t>
      </w:r>
      <w:r>
        <w:rPr>
          <w:rFonts w:ascii="Times New Roman" w:hAnsi="Times New Roman" w:cs="Times New Roman" w:eastAsia="Times New Roman" w:hint="default"/>
        </w:rPr>
        <w:t>10%</w:t>
      </w:r>
      <w:r>
        <w:rPr/>
        <w:t>。上述增资业经汕头市丰业会计师事务所汕丰会内验（</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1085</w:t>
      </w:r>
      <w:r>
        <w:rPr/>
        <w:t>号验资报告验证确认。</w:t>
      </w:r>
    </w:p>
    <w:p>
      <w:pPr>
        <w:pStyle w:val="BodyText"/>
        <w:spacing w:line="300" w:lineRule="auto" w:before="13"/>
        <w:ind w:right="1130" w:firstLine="423"/>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日，林伟章、黄仕群、林少洁、林伟亮与广东群兴投资有限公司签订股权转让协议，林伟章将持有的本公 </w:t>
      </w:r>
      <w:r>
        <w:rPr>
          <w:spacing w:val="-1"/>
        </w:rPr>
        <w:t>司</w:t>
      </w:r>
      <w:r>
        <w:rPr>
          <w:rFonts w:ascii="Times New Roman" w:hAnsi="Times New Roman" w:cs="Times New Roman" w:eastAsia="Times New Roman" w:hint="default"/>
          <w:spacing w:val="-1"/>
        </w:rPr>
        <w:t>40%</w:t>
      </w:r>
      <w:r>
        <w:rPr>
          <w:spacing w:val="-1"/>
        </w:rPr>
        <w:t>的股份以人民币</w:t>
      </w:r>
      <w:r>
        <w:rPr>
          <w:rFonts w:ascii="Times New Roman" w:hAnsi="Times New Roman" w:cs="Times New Roman" w:eastAsia="Times New Roman" w:hint="default"/>
          <w:spacing w:val="-1"/>
        </w:rPr>
        <w:t>2,034.8</w:t>
      </w:r>
      <w:r>
        <w:rPr>
          <w:spacing w:val="-1"/>
        </w:rPr>
        <w:t>万元的价格转让给群兴投资，黄仕群将持有的本公司</w:t>
      </w:r>
      <w:r>
        <w:rPr>
          <w:rFonts w:ascii="Times New Roman" w:hAnsi="Times New Roman" w:cs="Times New Roman" w:eastAsia="Times New Roman" w:hint="default"/>
          <w:spacing w:val="-1"/>
        </w:rPr>
        <w:t>30%</w:t>
      </w:r>
      <w:r>
        <w:rPr>
          <w:spacing w:val="-1"/>
        </w:rPr>
        <w:t>的股份以人民币</w:t>
      </w:r>
      <w:r>
        <w:rPr>
          <w:rFonts w:ascii="Times New Roman" w:hAnsi="Times New Roman" w:cs="Times New Roman" w:eastAsia="Times New Roman" w:hint="default"/>
          <w:spacing w:val="-1"/>
        </w:rPr>
        <w:t>1,526.1</w:t>
      </w:r>
      <w:r>
        <w:rPr>
          <w:spacing w:val="-1"/>
        </w:rPr>
        <w:t>万元的价格转</w:t>
      </w:r>
      <w:r>
        <w:rPr>
          <w:spacing w:val="-51"/>
        </w:rPr>
        <w:t> </w:t>
      </w:r>
      <w:r>
        <w:rPr>
          <w:spacing w:val="-51"/>
        </w:rPr>
      </w:r>
      <w:r>
        <w:rPr>
          <w:spacing w:val="-1"/>
        </w:rPr>
        <w:t>让给群兴投资，林少洁将持有的本公司</w:t>
      </w:r>
      <w:r>
        <w:rPr>
          <w:rFonts w:ascii="Times New Roman" w:hAnsi="Times New Roman" w:cs="Times New Roman" w:eastAsia="Times New Roman" w:hint="default"/>
          <w:spacing w:val="-1"/>
        </w:rPr>
        <w:t>20%</w:t>
      </w:r>
      <w:r>
        <w:rPr>
          <w:spacing w:val="-1"/>
        </w:rPr>
        <w:t>的股份以人民币</w:t>
      </w:r>
      <w:r>
        <w:rPr>
          <w:rFonts w:ascii="Times New Roman" w:hAnsi="Times New Roman" w:cs="Times New Roman" w:eastAsia="Times New Roman" w:hint="default"/>
          <w:spacing w:val="-1"/>
        </w:rPr>
        <w:t>1,017.4</w:t>
      </w:r>
      <w:r>
        <w:rPr>
          <w:spacing w:val="-1"/>
        </w:rPr>
        <w:t>万元的价格转让给群兴投资，林伟亮将持有的本公司</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9"/>
        </w:rPr>
        <w:t> </w:t>
      </w:r>
      <w:r>
        <w:rPr/>
        <w:t>的股份以人民币</w:t>
      </w:r>
      <w:r>
        <w:rPr>
          <w:rFonts w:ascii="Times New Roman" w:hAnsi="Times New Roman" w:cs="Times New Roman" w:eastAsia="Times New Roman" w:hint="default"/>
        </w:rPr>
        <w:t>508.7</w:t>
      </w:r>
      <w:r>
        <w:rPr/>
        <w:t>万元的价格转让给群兴投资。转让完成后，群兴投资持有本公司</w:t>
      </w:r>
      <w:r>
        <w:rPr>
          <w:rFonts w:ascii="Times New Roman" w:hAnsi="Times New Roman" w:cs="Times New Roman" w:eastAsia="Times New Roman" w:hint="default"/>
        </w:rPr>
        <w:t>100%</w:t>
      </w:r>
      <w:r>
        <w:rPr/>
        <w:t>股权。</w:t>
      </w:r>
    </w:p>
    <w:p>
      <w:pPr>
        <w:pStyle w:val="BodyText"/>
        <w:spacing w:line="300" w:lineRule="auto" w:before="13"/>
        <w:ind w:right="1130" w:firstLine="423"/>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日，根据公司股东会决议，本公司增加注册资本</w:t>
      </w:r>
      <w:r>
        <w:rPr>
          <w:rFonts w:ascii="Times New Roman" w:hAnsi="Times New Roman" w:cs="Times New Roman" w:eastAsia="Times New Roman" w:hint="default"/>
        </w:rPr>
        <w:t>1,271.75</w:t>
      </w:r>
      <w:r>
        <w:rPr/>
        <w:t>万元，其中梁健锋以货币资金对本公司增资</w:t>
      </w:r>
      <w:r>
        <w:rPr>
          <w:rFonts w:ascii="Times New Roman" w:hAnsi="Times New Roman" w:cs="Times New Roman" w:eastAsia="Times New Roman" w:hint="default"/>
        </w:rPr>
        <w:t>585</w:t>
      </w:r>
      <w:r>
        <w:rPr>
          <w:rFonts w:ascii="Times New Roman" w:hAnsi="Times New Roman" w:cs="Times New Roman" w:eastAsia="Times New Roman" w:hint="default"/>
          <w:spacing w:val="1"/>
        </w:rPr>
        <w:t> </w:t>
      </w:r>
      <w:r>
        <w:rPr>
          <w:spacing w:val="-2"/>
        </w:rPr>
        <w:t>万元，其中认缴注册资本</w:t>
      </w:r>
      <w:r>
        <w:rPr>
          <w:rFonts w:ascii="Times New Roman" w:hAnsi="Times New Roman" w:cs="Times New Roman" w:eastAsia="Times New Roman" w:hint="default"/>
          <w:spacing w:val="-2"/>
        </w:rPr>
        <w:t>286.14</w:t>
      </w:r>
      <w:r>
        <w:rPr>
          <w:spacing w:val="-2"/>
        </w:rPr>
        <w:t>万元；陈明光以货币资金对本公司增资</w:t>
      </w:r>
      <w:r>
        <w:rPr>
          <w:rFonts w:ascii="Times New Roman" w:hAnsi="Times New Roman" w:cs="Times New Roman" w:eastAsia="Times New Roman" w:hint="default"/>
          <w:spacing w:val="-2"/>
        </w:rPr>
        <w:t>585</w:t>
      </w:r>
      <w:r>
        <w:rPr>
          <w:spacing w:val="-2"/>
        </w:rPr>
        <w:t>万元，其中认缴注册资本</w:t>
      </w:r>
      <w:r>
        <w:rPr>
          <w:rFonts w:ascii="Times New Roman" w:hAnsi="Times New Roman" w:cs="Times New Roman" w:eastAsia="Times New Roman" w:hint="default"/>
          <w:spacing w:val="-2"/>
        </w:rPr>
        <w:t>286.14</w:t>
      </w:r>
      <w:r>
        <w:rPr>
          <w:spacing w:val="-2"/>
        </w:rPr>
        <w:t>万元；李新岗以货</w:t>
      </w:r>
      <w:r>
        <w:rPr>
          <w:spacing w:val="-54"/>
        </w:rPr>
        <w:t> </w:t>
      </w:r>
      <w:r>
        <w:rPr>
          <w:spacing w:val="-54"/>
        </w:rPr>
      </w:r>
      <w:r>
        <w:rPr>
          <w:spacing w:val="-1"/>
        </w:rPr>
        <w:t>币资金对本公司增资</w:t>
      </w:r>
      <w:r>
        <w:rPr>
          <w:rFonts w:ascii="Times New Roman" w:hAnsi="Times New Roman" w:cs="Times New Roman" w:eastAsia="Times New Roman" w:hint="default"/>
          <w:spacing w:val="-1"/>
        </w:rPr>
        <w:t>390</w:t>
      </w:r>
      <w:r>
        <w:rPr>
          <w:spacing w:val="-1"/>
        </w:rPr>
        <w:t>万元，其中认缴注册资本</w:t>
      </w:r>
      <w:r>
        <w:rPr>
          <w:rFonts w:ascii="Times New Roman" w:hAnsi="Times New Roman" w:cs="Times New Roman" w:eastAsia="Times New Roman" w:hint="default"/>
          <w:spacing w:val="-1"/>
        </w:rPr>
        <w:t>190.77</w:t>
      </w:r>
      <w:r>
        <w:rPr>
          <w:spacing w:val="-1"/>
        </w:rPr>
        <w:t>万元；林少明以货币资金对本公司增资</w:t>
      </w:r>
      <w:r>
        <w:rPr>
          <w:rFonts w:ascii="Times New Roman" w:hAnsi="Times New Roman" w:cs="Times New Roman" w:eastAsia="Times New Roman" w:hint="default"/>
          <w:spacing w:val="-1"/>
        </w:rPr>
        <w:t>520</w:t>
      </w:r>
      <w:r>
        <w:rPr>
          <w:spacing w:val="-1"/>
        </w:rPr>
        <w:t>万元，其中认缴注册资本</w:t>
      </w:r>
      <w:r>
        <w:rPr>
          <w:spacing w:val="-71"/>
        </w:rPr>
        <w:t> </w:t>
      </w:r>
      <w:r>
        <w:rPr>
          <w:spacing w:val="-71"/>
        </w:rPr>
      </w:r>
      <w:r>
        <w:rPr>
          <w:rFonts w:ascii="Times New Roman" w:hAnsi="Times New Roman" w:cs="Times New Roman" w:eastAsia="Times New Roman" w:hint="default"/>
        </w:rPr>
        <w:t>254.35</w:t>
      </w:r>
      <w:r>
        <w:rPr/>
        <w:t>万元；林桂升以货币资金对本公司增资</w:t>
      </w:r>
      <w:r>
        <w:rPr>
          <w:rFonts w:ascii="Times New Roman" w:hAnsi="Times New Roman" w:cs="Times New Roman" w:eastAsia="Times New Roman" w:hint="default"/>
        </w:rPr>
        <w:t>520</w:t>
      </w:r>
      <w:r>
        <w:rPr/>
        <w:t>万元，其中认缴注册资本</w:t>
      </w:r>
      <w:r>
        <w:rPr>
          <w:rFonts w:ascii="Times New Roman" w:hAnsi="Times New Roman" w:cs="Times New Roman" w:eastAsia="Times New Roman" w:hint="default"/>
        </w:rPr>
        <w:t>254.35</w:t>
      </w:r>
      <w:r>
        <w:rPr/>
        <w:t>万元；此次增资款与认缴注册资本的差额</w:t>
      </w:r>
    </w:p>
    <w:p>
      <w:pPr>
        <w:pStyle w:val="BodyText"/>
        <w:spacing w:line="300" w:lineRule="auto" w:before="13"/>
        <w:ind w:right="1131"/>
        <w:jc w:val="both"/>
      </w:pPr>
      <w:r>
        <w:rPr>
          <w:rFonts w:ascii="Times New Roman" w:hAnsi="Times New Roman" w:cs="Times New Roman" w:eastAsia="Times New Roman" w:hint="default"/>
        </w:rPr>
        <w:t>1,328.25</w:t>
      </w:r>
      <w:r>
        <w:rPr/>
        <w:t>万元转作资本公积。增资完成后，本公司注册资本为人民币</w:t>
      </w:r>
      <w:r>
        <w:rPr>
          <w:rFonts w:ascii="Times New Roman" w:hAnsi="Times New Roman" w:cs="Times New Roman" w:eastAsia="Times New Roman" w:hint="default"/>
        </w:rPr>
        <w:t>6,358.75</w:t>
      </w:r>
      <w:r>
        <w:rPr/>
        <w:t>万元，群兴投资出资人民币</w:t>
      </w:r>
      <w:r>
        <w:rPr>
          <w:rFonts w:ascii="Times New Roman" w:hAnsi="Times New Roman" w:cs="Times New Roman" w:eastAsia="Times New Roman" w:hint="default"/>
        </w:rPr>
        <w:t>5,087</w:t>
      </w:r>
      <w:r>
        <w:rPr/>
        <w:t>万元，占注册</w:t>
      </w:r>
      <w:r>
        <w:rPr>
          <w:spacing w:val="-45"/>
        </w:rPr>
        <w:t> </w:t>
      </w:r>
      <w:r>
        <w:rPr>
          <w:spacing w:val="-45"/>
        </w:rPr>
      </w:r>
      <w:r>
        <w:rPr/>
        <w:t>资本的</w:t>
      </w:r>
      <w:r>
        <w:rPr>
          <w:rFonts w:ascii="Times New Roman" w:hAnsi="Times New Roman" w:cs="Times New Roman" w:eastAsia="Times New Roman" w:hint="default"/>
        </w:rPr>
        <w:t>80%</w:t>
      </w:r>
      <w:r>
        <w:rPr/>
        <w:t>；梁健锋出资人民币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；陈明光出资人民币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；李新</w:t>
      </w:r>
      <w:r>
        <w:rPr>
          <w:spacing w:val="-86"/>
        </w:rPr>
        <w:t> </w:t>
      </w:r>
      <w:r>
        <w:rPr/>
        <w:t>岗出资人民币</w:t>
      </w:r>
      <w:r>
        <w:rPr>
          <w:rFonts w:ascii="Times New Roman" w:hAnsi="Times New Roman" w:cs="Times New Roman" w:eastAsia="Times New Roman" w:hint="default"/>
        </w:rPr>
        <w:t>190.75</w:t>
      </w:r>
      <w:r>
        <w:rPr/>
        <w:t>万元，占注册资本的</w:t>
      </w:r>
      <w:r>
        <w:rPr>
          <w:rFonts w:ascii="Times New Roman" w:hAnsi="Times New Roman" w:cs="Times New Roman" w:eastAsia="Times New Roman" w:hint="default"/>
        </w:rPr>
        <w:t>3%</w:t>
      </w:r>
      <w:r>
        <w:rPr/>
        <w:t>；林少明出资人民币</w:t>
      </w:r>
      <w:r>
        <w:rPr>
          <w:rFonts w:ascii="Times New Roman" w:hAnsi="Times New Roman" w:cs="Times New Roman" w:eastAsia="Times New Roman" w:hint="default"/>
        </w:rPr>
        <w:t>254.35</w:t>
      </w:r>
      <w:r>
        <w:rPr/>
        <w:t>万元，占注册资本的</w:t>
      </w:r>
      <w:r>
        <w:rPr>
          <w:rFonts w:ascii="Times New Roman" w:hAnsi="Times New Roman" w:cs="Times New Roman" w:eastAsia="Times New Roman" w:hint="default"/>
        </w:rPr>
        <w:t>4%</w:t>
      </w:r>
      <w:r>
        <w:rPr/>
        <w:t>；林桂升出资人民币</w:t>
      </w:r>
      <w:r>
        <w:rPr>
          <w:rFonts w:ascii="Times New Roman" w:hAnsi="Times New Roman" w:cs="Times New Roman" w:eastAsia="Times New Roman" w:hint="default"/>
        </w:rPr>
        <w:t>254.35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万元，占注册资本的</w:t>
      </w:r>
      <w:r>
        <w:rPr>
          <w:rFonts w:ascii="Times New Roman" w:hAnsi="Times New Roman" w:cs="Times New Roman" w:eastAsia="Times New Roman" w:hint="default"/>
        </w:rPr>
        <w:t>4%</w:t>
      </w:r>
      <w:r>
        <w:rPr/>
        <w:t>。上述增资业经广东大华德律会计师事务所华德验字</w:t>
      </w:r>
      <w:r>
        <w:rPr>
          <w:rFonts w:ascii="Times New Roman" w:hAnsi="Times New Roman" w:cs="Times New Roman" w:eastAsia="Times New Roman" w:hint="default"/>
        </w:rPr>
        <w:t>[2009]113</w:t>
      </w:r>
      <w:r>
        <w:rPr/>
        <w:t>号验资报告验证确认。</w:t>
      </w:r>
    </w:p>
    <w:p>
      <w:pPr>
        <w:pStyle w:val="BodyText"/>
        <w:spacing w:line="300" w:lineRule="auto" w:before="13"/>
        <w:ind w:right="1131" w:firstLine="423"/>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日，经原广东群兴玩具实业有限公司各股东发起人协议本公司改制变更为股份有限公司，通过对原广东群</w:t>
      </w:r>
      <w:r>
        <w:rPr/>
        <w:t> </w:t>
      </w:r>
      <w:r>
        <w:rPr>
          <w:spacing w:val="-1"/>
        </w:rPr>
        <w:t>兴玩具实业有限公司经审计确认的截止</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日的净资产总额</w:t>
      </w:r>
      <w:r>
        <w:rPr>
          <w:rFonts w:ascii="Times New Roman" w:hAnsi="Times New Roman" w:cs="Times New Roman" w:eastAsia="Times New Roman" w:hint="default"/>
          <w:spacing w:val="-1"/>
        </w:rPr>
        <w:t>128,939,663.01</w:t>
      </w:r>
      <w:r>
        <w:rPr>
          <w:spacing w:val="-1"/>
        </w:rPr>
        <w:t>元按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0.7756</w:t>
      </w:r>
      <w:r>
        <w:rPr>
          <w:spacing w:val="-1"/>
        </w:rPr>
        <w:t>折为</w:t>
      </w:r>
      <w:r>
        <w:rPr>
          <w:rFonts w:ascii="Times New Roman" w:hAnsi="Times New Roman" w:cs="Times New Roman" w:eastAsia="Times New Roman" w:hint="default"/>
          <w:spacing w:val="-1"/>
        </w:rPr>
        <w:t>100,000,000.00</w:t>
      </w:r>
      <w:r>
        <w:rPr>
          <w:spacing w:val="-1"/>
        </w:rPr>
        <w:t>股普通</w:t>
      </w:r>
      <w:r>
        <w:rPr>
          <w:spacing w:val="-59"/>
        </w:rPr>
        <w:t> </w:t>
      </w:r>
      <w:r>
        <w:rPr>
          <w:spacing w:val="-59"/>
        </w:rPr>
      </w:r>
      <w:r>
        <w:rPr/>
        <w:t>股，每股面值</w:t>
      </w:r>
      <w:r>
        <w:rPr>
          <w:rFonts w:ascii="Times New Roman" w:hAnsi="Times New Roman" w:cs="Times New Roman" w:eastAsia="Times New Roman" w:hint="default"/>
        </w:rPr>
        <w:t>1</w:t>
      </w:r>
      <w:r>
        <w:rPr/>
        <w:t>元，整体改制变更为股份有限公司。各股东所占股份比例保持不变。改制完成后，本公司注册为资本为人民</w:t>
      </w:r>
    </w:p>
    <w:p>
      <w:pPr>
        <w:spacing w:after="0" w:line="300" w:lineRule="auto"/>
        <w:jc w:val="both"/>
        <w:sectPr>
          <w:headerReference w:type="default" r:id="rId63"/>
          <w:footerReference w:type="default" r:id="rId64"/>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币</w:t>
      </w:r>
      <w:r>
        <w:rPr>
          <w:rFonts w:ascii="Times New Roman" w:hAnsi="Times New Roman" w:cs="Times New Roman" w:eastAsia="Times New Roman" w:hint="default"/>
        </w:rPr>
        <w:t>100,000,000.00</w:t>
      </w:r>
      <w:r>
        <w:rPr/>
        <w:t>元。</w:t>
      </w:r>
    </w:p>
    <w:p>
      <w:pPr>
        <w:pStyle w:val="BodyText"/>
        <w:spacing w:line="300" w:lineRule="auto" w:before="63"/>
        <w:ind w:right="1132" w:firstLine="423"/>
        <w:jc w:val="both"/>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3</w:t>
      </w:r>
      <w:r>
        <w:rPr>
          <w:spacing w:val="-3"/>
        </w:rPr>
        <w:t>日，本公司完成工商变更登记手续，领取汕头市工商行政管理局核发的《企业法人营业执照》，名称变更为</w:t>
      </w:r>
      <w:r>
        <w:rPr/>
        <w:t> </w:t>
      </w:r>
      <w:r>
        <w:rPr>
          <w:rFonts w:ascii="Times New Roman" w:hAnsi="Times New Roman" w:cs="Times New Roman" w:eastAsia="Times New Roman" w:hint="default"/>
        </w:rPr>
        <w:t>“</w:t>
      </w:r>
      <w:r>
        <w:rPr/>
        <w:t>广东群兴玩具股份有限公司</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240" w:lineRule="auto"/>
        <w:ind w:left="537"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日，根据公司</w:t>
      </w:r>
      <w:r>
        <w:rPr>
          <w:rFonts w:ascii="Times New Roman" w:hAnsi="Times New Roman" w:cs="Times New Roman" w:eastAsia="Times New Roman" w:hint="default"/>
        </w:rPr>
        <w:t>2009</w:t>
      </w:r>
      <w:r>
        <w:rPr/>
        <w:t>年年度股东大会决议和修改后章程，并经中国证券监督管理委员会证监发行字［</w:t>
      </w:r>
      <w:r>
        <w:rPr>
          <w:rFonts w:ascii="Times New Roman" w:hAnsi="Times New Roman" w:cs="Times New Roman" w:eastAsia="Times New Roman" w:hint="default"/>
        </w:rPr>
        <w:t>2011</w:t>
      </w:r>
      <w:r>
        <w:rPr/>
        <w:t>］</w:t>
      </w:r>
    </w:p>
    <w:p>
      <w:pPr>
        <w:pStyle w:val="BodyText"/>
        <w:spacing w:line="300" w:lineRule="auto" w:before="63"/>
        <w:ind w:right="1032"/>
        <w:jc w:val="left"/>
      </w:pPr>
      <w:r>
        <w:rPr>
          <w:rFonts w:ascii="Times New Roman" w:hAnsi="Times New Roman" w:cs="Times New Roman" w:eastAsia="Times New Roman" w:hint="default"/>
          <w:spacing w:val="-3"/>
        </w:rPr>
        <w:t>486</w:t>
      </w:r>
      <w:r>
        <w:rPr>
          <w:spacing w:val="-3"/>
        </w:rPr>
        <w:t>号文《关于核准广东群兴玩具股份有限公司首次公开发行股票的通知》的核准，本公司向社会公开发行人民币普通股（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3,380</w:t>
      </w:r>
      <w:r>
        <w:rPr/>
        <w:t>万股，每股面值人民币</w:t>
      </w:r>
      <w:r>
        <w:rPr>
          <w:rFonts w:ascii="Times New Roman" w:hAnsi="Times New Roman" w:cs="Times New Roman" w:eastAsia="Times New Roman" w:hint="default"/>
        </w:rPr>
        <w:t>1.00</w:t>
      </w:r>
      <w:r>
        <w:rPr/>
        <w:t>元，合计人民币</w:t>
      </w:r>
      <w:r>
        <w:rPr>
          <w:rFonts w:ascii="Times New Roman" w:hAnsi="Times New Roman" w:cs="Times New Roman" w:eastAsia="Times New Roman" w:hint="default"/>
        </w:rPr>
        <w:t>3,380</w:t>
      </w:r>
      <w:r>
        <w:rPr/>
        <w:t>万元。发行完成后，本公司注册资本为人民币</w:t>
      </w:r>
      <w:r>
        <w:rPr>
          <w:rFonts w:ascii="Times New Roman" w:hAnsi="Times New Roman" w:cs="Times New Roman" w:eastAsia="Times New Roman" w:hint="default"/>
        </w:rPr>
        <w:t>13,380</w:t>
      </w:r>
      <w:r>
        <w:rPr/>
        <w:t>万元。其中： 有限售条件的流通股份占</w:t>
      </w:r>
      <w:r>
        <w:rPr>
          <w:rFonts w:ascii="Times New Roman" w:hAnsi="Times New Roman" w:cs="Times New Roman" w:eastAsia="Times New Roman" w:hint="default"/>
        </w:rPr>
        <w:t>74.74%</w:t>
      </w:r>
      <w:r>
        <w:rPr/>
        <w:t>，无限售条件的流通股份占</w:t>
      </w:r>
      <w:r>
        <w:rPr>
          <w:rFonts w:ascii="Times New Roman" w:hAnsi="Times New Roman" w:cs="Times New Roman" w:eastAsia="Times New Roman" w:hint="default"/>
        </w:rPr>
        <w:t>25.26%</w:t>
      </w:r>
      <w:r>
        <w:rPr/>
        <w:t>。</w:t>
      </w:r>
    </w:p>
    <w:p>
      <w:pPr>
        <w:pStyle w:val="BodyText"/>
        <w:spacing w:line="300" w:lineRule="auto" w:before="13"/>
        <w:ind w:right="1132" w:firstLine="423"/>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日，根据公司</w:t>
      </w:r>
      <w:r>
        <w:rPr>
          <w:rFonts w:ascii="Times New Roman" w:hAnsi="Times New Roman" w:cs="Times New Roman" w:eastAsia="Times New Roman" w:hint="default"/>
          <w:spacing w:val="-1"/>
        </w:rPr>
        <w:t>2012</w:t>
      </w:r>
      <w:r>
        <w:rPr>
          <w:spacing w:val="-1"/>
        </w:rPr>
        <w:t>年年度股东大会决议，本公司以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日股本</w:t>
      </w:r>
      <w:r>
        <w:rPr>
          <w:rFonts w:ascii="Times New Roman" w:hAnsi="Times New Roman" w:cs="Times New Roman" w:eastAsia="Times New Roman" w:hint="default"/>
          <w:spacing w:val="-1"/>
        </w:rPr>
        <w:t>13,380</w:t>
      </w:r>
      <w:r>
        <w:rPr>
          <w:spacing w:val="-1"/>
        </w:rPr>
        <w:t>万股为基数，以资本公积向</w:t>
      </w:r>
      <w:r>
        <w:rPr/>
        <w:t> </w:t>
      </w:r>
      <w:r>
        <w:rPr>
          <w:spacing w:val="-1"/>
        </w:rPr>
        <w:t>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股，共转增</w:t>
      </w:r>
      <w:r>
        <w:rPr>
          <w:rFonts w:ascii="Times New Roman" w:hAnsi="Times New Roman" w:cs="Times New Roman" w:eastAsia="Times New Roman" w:hint="default"/>
          <w:spacing w:val="-1"/>
        </w:rPr>
        <w:t>13,380</w:t>
      </w:r>
      <w:r>
        <w:rPr>
          <w:rFonts w:ascii="Times New Roman" w:hAnsi="Times New Roman" w:cs="Times New Roman" w:eastAsia="Times New Roman" w:hint="default"/>
          <w:spacing w:val="12"/>
        </w:rPr>
        <w:t> </w:t>
      </w:r>
      <w:r>
        <w:rPr>
          <w:spacing w:val="-2"/>
        </w:rPr>
        <w:t>万股。转增完成后，本公司注册资本为人民币</w:t>
      </w:r>
      <w:r>
        <w:rPr>
          <w:rFonts w:ascii="Times New Roman" w:hAnsi="Times New Roman" w:cs="Times New Roman" w:eastAsia="Times New Roman" w:hint="default"/>
          <w:spacing w:val="-2"/>
        </w:rPr>
        <w:t>26,760</w:t>
      </w:r>
      <w:r>
        <w:rPr>
          <w:spacing w:val="-2"/>
        </w:rPr>
        <w:t>万元。其中：有限售条件的流</w:t>
      </w:r>
      <w:r>
        <w:rPr/>
        <w:t> 通股份占</w:t>
      </w:r>
      <w:r>
        <w:rPr>
          <w:rFonts w:ascii="Times New Roman" w:hAnsi="Times New Roman" w:cs="Times New Roman" w:eastAsia="Times New Roman" w:hint="default"/>
        </w:rPr>
        <w:t>74.74%</w:t>
      </w:r>
      <w:r>
        <w:rPr/>
        <w:t>，无限售条件的流通股份占</w:t>
      </w:r>
      <w:r>
        <w:rPr>
          <w:rFonts w:ascii="Times New Roman" w:hAnsi="Times New Roman" w:cs="Times New Roman" w:eastAsia="Times New Roman" w:hint="default"/>
        </w:rPr>
        <w:t>25.26%</w:t>
      </w:r>
      <w:r>
        <w:rPr/>
        <w:t>。</w:t>
      </w:r>
    </w:p>
    <w:p>
      <w:pPr>
        <w:pStyle w:val="BodyText"/>
        <w:spacing w:line="300" w:lineRule="auto" w:before="13"/>
        <w:ind w:right="1131" w:firstLine="423"/>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日，根据公司</w:t>
      </w:r>
      <w:r>
        <w:rPr>
          <w:rFonts w:ascii="Times New Roman" w:hAnsi="Times New Roman" w:cs="Times New Roman" w:eastAsia="Times New Roman" w:hint="default"/>
        </w:rPr>
        <w:t>2014</w:t>
      </w:r>
      <w:r>
        <w:rPr/>
        <w:t>年年度股东大会决议，本公司以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26,760</w:t>
      </w:r>
      <w:r>
        <w:rPr/>
        <w:t>万股为基数，以资本公积向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股，共转增</w:t>
      </w:r>
      <w:r>
        <w:rPr>
          <w:rFonts w:ascii="Times New Roman" w:hAnsi="Times New Roman" w:cs="Times New Roman" w:eastAsia="Times New Roman" w:hint="default"/>
        </w:rPr>
        <w:t>32,112</w:t>
      </w:r>
      <w:r>
        <w:rPr/>
        <w:t>万股。转增完成后，本公司注册资本为人民币</w:t>
      </w:r>
      <w:r>
        <w:rPr>
          <w:rFonts w:ascii="Times New Roman" w:hAnsi="Times New Roman" w:cs="Times New Roman" w:eastAsia="Times New Roman" w:hint="default"/>
        </w:rPr>
        <w:t>58,872</w:t>
      </w:r>
      <w:r>
        <w:rPr/>
        <w:t>万元。其中：有限售条件的流 </w:t>
      </w:r>
      <w:r>
        <w:rPr>
          <w:spacing w:val="-6"/>
        </w:rPr>
        <w:t>通股份占</w:t>
      </w:r>
      <w:r>
        <w:rPr>
          <w:rFonts w:ascii="Times New Roman" w:hAnsi="Times New Roman" w:cs="Times New Roman" w:eastAsia="Times New Roman" w:hint="default"/>
          <w:spacing w:val="-6"/>
        </w:rPr>
        <w:t>1.49%</w:t>
      </w:r>
      <w:r>
        <w:rPr>
          <w:spacing w:val="-6"/>
        </w:rPr>
        <w:t>，无限售条件的流通股份占</w:t>
      </w:r>
      <w:r>
        <w:rPr>
          <w:rFonts w:ascii="Times New Roman" w:hAnsi="Times New Roman" w:cs="Times New Roman" w:eastAsia="Times New Roman" w:hint="default"/>
          <w:spacing w:val="-6"/>
        </w:rPr>
        <w:t>98.51%</w:t>
      </w:r>
      <w:r>
        <w:rPr>
          <w:spacing w:val="-6"/>
        </w:rPr>
        <w:t>。上述增资业经立信会计师事务所（特殊普通合伙）出具的信会师报字</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2"/>
        </w:rPr>
        <w:t> </w:t>
      </w:r>
      <w:r>
        <w:rPr/>
        <w:t>第</w:t>
      </w:r>
      <w:r>
        <w:rPr>
          <w:rFonts w:ascii="Times New Roman" w:hAnsi="Times New Roman" w:cs="Times New Roman" w:eastAsia="Times New Roman" w:hint="default"/>
        </w:rPr>
        <w:t>310592</w:t>
      </w:r>
      <w:r>
        <w:rPr/>
        <w:t>号验资报告验证确认。</w:t>
      </w:r>
    </w:p>
    <w:p>
      <w:pPr>
        <w:pStyle w:val="BodyText"/>
        <w:spacing w:line="302" w:lineRule="auto" w:before="13"/>
        <w:ind w:right="1130" w:firstLine="423"/>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日，公司控股股东广东群兴投资有限公司与王叁寿实际控制的深圳星河数据科技有限公司、成都数字星河</w:t>
      </w:r>
      <w:r>
        <w:rPr/>
        <w:t> </w:t>
      </w:r>
      <w:r>
        <w:rPr>
          <w:spacing w:val="-2"/>
        </w:rPr>
        <w:t>科技有限公司以及北京九连环数据服务中心（有限合伙）签署了《股份转让协议》，其中深圳星河数据科技有限公司协议受</w:t>
      </w:r>
      <w:r>
        <w:rPr>
          <w:spacing w:val="-65"/>
        </w:rPr>
        <w:t> </w:t>
      </w:r>
      <w:r>
        <w:rPr>
          <w:spacing w:val="-65"/>
        </w:rPr>
      </w:r>
      <w:r>
        <w:rPr/>
        <w:t>让</w:t>
      </w:r>
      <w:r>
        <w:rPr>
          <w:rFonts w:ascii="Times New Roman" w:hAnsi="Times New Roman" w:cs="Times New Roman" w:eastAsia="Times New Roman" w:hint="default"/>
        </w:rPr>
        <w:t>50,470,000</w:t>
      </w:r>
      <w:r>
        <w:rPr/>
        <w:t>股股票（占公司总股本的</w:t>
      </w:r>
      <w:r>
        <w:rPr>
          <w:rFonts w:ascii="Times New Roman" w:hAnsi="Times New Roman" w:cs="Times New Roman" w:eastAsia="Times New Roman" w:hint="default"/>
        </w:rPr>
        <w:t>8.572%</w:t>
      </w:r>
      <w:r>
        <w:rPr/>
        <w:t>）、成都数字星河科技有限公司协议受让</w:t>
      </w:r>
      <w:r>
        <w:rPr>
          <w:rFonts w:ascii="Times New Roman" w:hAnsi="Times New Roman" w:cs="Times New Roman" w:eastAsia="Times New Roman" w:hint="default"/>
        </w:rPr>
        <w:t>33,640,000</w:t>
      </w:r>
      <w:r>
        <w:rPr/>
        <w:t>股股票（占公司总股本的</w:t>
      </w:r>
      <w:r>
        <w:rPr>
          <w:spacing w:val="-33"/>
        </w:rPr>
        <w:t> </w:t>
      </w:r>
      <w:r>
        <w:rPr>
          <w:spacing w:val="-33"/>
        </w:rPr>
      </w:r>
      <w:r>
        <w:rPr>
          <w:rFonts w:ascii="Times New Roman" w:hAnsi="Times New Roman" w:cs="Times New Roman" w:eastAsia="Times New Roman" w:hint="default"/>
          <w:spacing w:val="-4"/>
        </w:rPr>
        <w:t>5.714%</w:t>
      </w:r>
      <w:r>
        <w:rPr>
          <w:spacing w:val="-4"/>
        </w:rPr>
        <w:t>）、北京九连环数据服务中心（有限合伙协议受让</w:t>
      </w:r>
      <w:r>
        <w:rPr>
          <w:rFonts w:ascii="Times New Roman" w:hAnsi="Times New Roman" w:cs="Times New Roman" w:eastAsia="Times New Roman" w:hint="default"/>
          <w:spacing w:val="-4"/>
        </w:rPr>
        <w:t>33,640,000</w:t>
      </w:r>
      <w:r>
        <w:rPr>
          <w:spacing w:val="-4"/>
        </w:rPr>
        <w:t>股股票（占公司总股本的</w:t>
      </w:r>
      <w:r>
        <w:rPr>
          <w:rFonts w:ascii="Times New Roman" w:hAnsi="Times New Roman" w:cs="Times New Roman" w:eastAsia="Times New Roman" w:hint="default"/>
          <w:spacing w:val="-4"/>
        </w:rPr>
        <w:t>5.714%</w:t>
      </w:r>
      <w:r>
        <w:rPr>
          <w:spacing w:val="-4"/>
        </w:rPr>
        <w:t>），同时群兴投资与成都</w:t>
      </w:r>
      <w:r>
        <w:rPr>
          <w:spacing w:val="-33"/>
        </w:rPr>
        <w:t> </w:t>
      </w:r>
      <w:r>
        <w:rPr>
          <w:spacing w:val="-33"/>
        </w:rPr>
      </w:r>
      <w:r>
        <w:rPr>
          <w:spacing w:val="-3"/>
        </w:rPr>
        <w:t>星河签署了《股东表决权委托协议》，群兴投资同意将其所持有的群兴玩具</w:t>
      </w:r>
      <w:r>
        <w:rPr>
          <w:rFonts w:ascii="Times New Roman" w:hAnsi="Times New Roman" w:cs="Times New Roman" w:eastAsia="Times New Roman" w:hint="default"/>
          <w:spacing w:val="-3"/>
        </w:rPr>
        <w:t>58,000,000</w:t>
      </w:r>
      <w:r>
        <w:rPr>
          <w:spacing w:val="-3"/>
        </w:rPr>
        <w:t>股股票的表决权无偿、不可撤销地委托</w:t>
      </w:r>
      <w:r>
        <w:rPr>
          <w:spacing w:val="-85"/>
        </w:rPr>
        <w:t> </w:t>
      </w:r>
      <w:r>
        <w:rPr>
          <w:spacing w:val="-85"/>
        </w:rPr>
      </w:r>
      <w:r>
        <w:rPr/>
        <w:t>给成都星河行使。本次股权转让后，群兴投资持有公司表决权股份</w:t>
      </w:r>
      <w:r>
        <w:rPr>
          <w:rFonts w:ascii="Times New Roman" w:hAnsi="Times New Roman" w:cs="Times New Roman" w:eastAsia="Times New Roman" w:hint="default"/>
        </w:rPr>
        <w:t>118,519,000</w:t>
      </w:r>
      <w:r>
        <w:rPr/>
        <w:t>股，占公司总股本的</w:t>
      </w:r>
      <w:r>
        <w:rPr>
          <w:spacing w:val="64"/>
        </w:rPr>
        <w:t> </w:t>
      </w:r>
      <w:r>
        <w:rPr>
          <w:rFonts w:ascii="Times New Roman" w:hAnsi="Times New Roman" w:cs="Times New Roman" w:eastAsia="Times New Roman" w:hint="default"/>
        </w:rPr>
        <w:t>20.128%</w:t>
      </w:r>
      <w:r>
        <w:rPr/>
        <w:t>，王叁寿实际</w:t>
      </w:r>
      <w:r>
        <w:rPr>
          <w:spacing w:val="-80"/>
        </w:rPr>
        <w:t> </w:t>
      </w:r>
      <w:r>
        <w:rPr>
          <w:spacing w:val="-80"/>
        </w:rPr>
      </w:r>
      <w:r>
        <w:rPr/>
        <w:t>控制的深圳星河、成都星河合计持有公司表决权股份</w:t>
      </w:r>
      <w:r>
        <w:rPr>
          <w:rFonts w:ascii="Times New Roman" w:hAnsi="Times New Roman" w:cs="Times New Roman" w:eastAsia="Times New Roman" w:hint="default"/>
        </w:rPr>
        <w:t>142,110,000</w:t>
      </w:r>
      <w:r>
        <w:rPr/>
        <w:t>股，占公司总股本的</w:t>
      </w:r>
      <w:r>
        <w:rPr>
          <w:spacing w:val="62"/>
        </w:rPr>
        <w:t> </w:t>
      </w:r>
      <w:r>
        <w:rPr>
          <w:rFonts w:ascii="Times New Roman" w:hAnsi="Times New Roman" w:cs="Times New Roman" w:eastAsia="Times New Roman" w:hint="default"/>
        </w:rPr>
        <w:t>24.142%</w:t>
      </w:r>
      <w:r>
        <w:rPr/>
        <w:t>，公司控股股东由群兴投资</w:t>
      </w:r>
      <w:r>
        <w:rPr>
          <w:spacing w:val="-79"/>
        </w:rPr>
        <w:t> </w:t>
      </w:r>
      <w:r>
        <w:rPr>
          <w:spacing w:val="-79"/>
        </w:rPr>
      </w:r>
      <w:r>
        <w:rPr/>
        <w:t>变更为成都星河，实际控制人由林伟章先生、黄仕群先生变更为王叁寿先生。</w:t>
      </w:r>
    </w:p>
    <w:p>
      <w:pPr>
        <w:spacing w:line="240" w:lineRule="auto" w:before="1"/>
        <w:rPr>
          <w:rFonts w:ascii="宋体" w:hAnsi="宋体" w:cs="宋体" w:eastAsia="宋体" w:hint="default"/>
          <w:sz w:val="26"/>
          <w:szCs w:val="26"/>
        </w:rPr>
      </w:pPr>
    </w:p>
    <w:p>
      <w:pPr>
        <w:pStyle w:val="BodyText"/>
        <w:spacing w:line="300" w:lineRule="auto"/>
        <w:ind w:right="0" w:firstLine="423"/>
        <w:jc w:val="left"/>
      </w:pPr>
      <w:r>
        <w:rPr/>
        <w:t>本公司主要的经营范围：生产、加工、销售</w:t>
      </w:r>
      <w:r>
        <w:rPr>
          <w:rFonts w:ascii="Times New Roman" w:hAnsi="Times New Roman" w:cs="Times New Roman" w:eastAsia="Times New Roman" w:hint="default"/>
        </w:rPr>
        <w:t>:</w:t>
      </w:r>
      <w:r>
        <w:rPr/>
        <w:t>玩具</w:t>
      </w:r>
      <w:r>
        <w:rPr>
          <w:rFonts w:ascii="Times New Roman" w:hAnsi="Times New Roman" w:cs="Times New Roman" w:eastAsia="Times New Roman" w:hint="default"/>
        </w:rPr>
        <w:t>,</w:t>
      </w:r>
      <w:r>
        <w:rPr/>
        <w:t>塑料制品</w:t>
      </w:r>
      <w:r>
        <w:rPr>
          <w:rFonts w:ascii="Times New Roman" w:hAnsi="Times New Roman" w:cs="Times New Roman" w:eastAsia="Times New Roman" w:hint="default"/>
        </w:rPr>
        <w:t>,</w:t>
      </w:r>
      <w:r>
        <w:rPr/>
        <w:t>五金制品</w:t>
      </w:r>
      <w:r>
        <w:rPr>
          <w:rFonts w:ascii="Times New Roman" w:hAnsi="Times New Roman" w:cs="Times New Roman" w:eastAsia="Times New Roman" w:hint="default"/>
        </w:rPr>
        <w:t>;</w:t>
      </w:r>
      <w:r>
        <w:rPr/>
        <w:t>动漫软件设计、开发、制作</w:t>
      </w:r>
      <w:r>
        <w:rPr>
          <w:rFonts w:ascii="Times New Roman" w:hAnsi="Times New Roman" w:cs="Times New Roman" w:eastAsia="Times New Roman" w:hint="default"/>
        </w:rPr>
        <w:t>;</w:t>
      </w:r>
      <w:r>
        <w:rPr/>
        <w:t>童车、手推车、婴儿 </w:t>
      </w:r>
      <w:r>
        <w:rPr>
          <w:spacing w:val="-2"/>
        </w:rPr>
        <w:t>床、学步车、三轮车、婴儿车、行李车、自行车、电动车、摇篮车、摇椅、儿童摇床</w:t>
      </w:r>
      <w:r>
        <w:rPr>
          <w:rFonts w:ascii="Times New Roman" w:hAnsi="Times New Roman" w:cs="Times New Roman" w:eastAsia="Times New Roman" w:hint="default"/>
          <w:spacing w:val="-2"/>
        </w:rPr>
        <w:t>;</w:t>
      </w:r>
      <w:r>
        <w:rPr>
          <w:spacing w:val="-2"/>
        </w:rPr>
        <w:t>废旧塑料回收、加工</w:t>
      </w:r>
      <w:r>
        <w:rPr>
          <w:rFonts w:ascii="Times New Roman" w:hAnsi="Times New Roman" w:cs="Times New Roman" w:eastAsia="Times New Roman" w:hint="default"/>
          <w:spacing w:val="-2"/>
        </w:rPr>
        <w:t>;</w:t>
      </w:r>
      <w:r>
        <w:rPr>
          <w:spacing w:val="-2"/>
        </w:rPr>
        <w:t>对高新科技项目、</w:t>
      </w:r>
      <w:r>
        <w:rPr>
          <w:spacing w:val="-75"/>
        </w:rPr>
        <w:t> </w:t>
      </w:r>
      <w:r>
        <w:rPr/>
        <w:t>文化产业项目、教育产业项目、体育产业项目、文化休闲娱乐服务业、软件业、金融业、租赁和商务服务业的投资</w:t>
      </w:r>
      <w:r>
        <w:rPr>
          <w:rFonts w:ascii="Times New Roman" w:hAnsi="Times New Roman" w:cs="Times New Roman" w:eastAsia="Times New Roman" w:hint="default"/>
        </w:rPr>
        <w:t>;</w:t>
      </w:r>
      <w:r>
        <w:rPr/>
        <w:t>工业产</w:t>
      </w:r>
      <w:r>
        <w:rPr>
          <w:spacing w:val="-46"/>
        </w:rPr>
        <w:t> </w:t>
      </w:r>
      <w:r>
        <w:rPr>
          <w:spacing w:val="-46"/>
        </w:rPr>
      </w:r>
      <w:r>
        <w:rPr/>
        <w:t>品设计</w:t>
      </w:r>
      <w:r>
        <w:rPr>
          <w:rFonts w:ascii="Times New Roman" w:hAnsi="Times New Roman" w:cs="Times New Roman" w:eastAsia="Times New Roman" w:hint="default"/>
        </w:rPr>
        <w:t>,</w:t>
      </w:r>
      <w:r>
        <w:rPr/>
        <w:t>多媒体和动漫技术的研发</w:t>
      </w:r>
      <w:r>
        <w:rPr>
          <w:rFonts w:ascii="Times New Roman" w:hAnsi="Times New Roman" w:cs="Times New Roman" w:eastAsia="Times New Roman" w:hint="default"/>
        </w:rPr>
        <w:t>,</w:t>
      </w:r>
      <w:r>
        <w:rPr/>
        <w:t>电子信息技术的应用和开发</w:t>
      </w:r>
      <w:r>
        <w:rPr>
          <w:rFonts w:ascii="Times New Roman" w:hAnsi="Times New Roman" w:cs="Times New Roman" w:eastAsia="Times New Roman" w:hint="default"/>
        </w:rPr>
        <w:t>,</w:t>
      </w:r>
      <w:r>
        <w:rPr/>
        <w:t>房屋租赁</w:t>
      </w:r>
      <w:r>
        <w:rPr>
          <w:rFonts w:ascii="Times New Roman" w:hAnsi="Times New Roman" w:cs="Times New Roman" w:eastAsia="Times New Roman" w:hint="default"/>
        </w:rPr>
        <w:t>,</w:t>
      </w:r>
      <w:r>
        <w:rPr/>
        <w:t>机械设备租赁</w:t>
      </w:r>
      <w:r>
        <w:rPr>
          <w:rFonts w:ascii="Times New Roman" w:hAnsi="Times New Roman" w:cs="Times New Roman" w:eastAsia="Times New Roman" w:hint="default"/>
        </w:rPr>
        <w:t>,</w:t>
      </w:r>
      <w:r>
        <w:rPr/>
        <w:t>仪器仪表租赁</w:t>
      </w:r>
      <w:r>
        <w:rPr>
          <w:rFonts w:ascii="Times New Roman" w:hAnsi="Times New Roman" w:cs="Times New Roman" w:eastAsia="Times New Roman" w:hint="default"/>
        </w:rPr>
        <w:t>;</w:t>
      </w:r>
      <w:r>
        <w:rPr/>
        <w:t>货物进出口、技术进出 </w:t>
      </w:r>
      <w:r>
        <w:rPr>
          <w:spacing w:val="-2"/>
        </w:rPr>
        <w:t>口。</w:t>
      </w:r>
      <w:r>
        <w:rPr>
          <w:rFonts w:ascii="Times New Roman" w:hAnsi="Times New Roman" w:cs="Times New Roman" w:eastAsia="Times New Roman" w:hint="default"/>
          <w:spacing w:val="-2"/>
        </w:rPr>
        <w:t>(</w:t>
      </w:r>
      <w:r>
        <w:rPr>
          <w:spacing w:val="-2"/>
        </w:rPr>
        <w:t>依法须经批准的项目</w:t>
      </w:r>
      <w:r>
        <w:rPr>
          <w:rFonts w:ascii="Times New Roman" w:hAnsi="Times New Roman" w:cs="Times New Roman" w:eastAsia="Times New Roman" w:hint="default"/>
          <w:spacing w:val="-2"/>
        </w:rPr>
        <w:t>,</w:t>
      </w:r>
      <w:r>
        <w:rPr>
          <w:spacing w:val="-2"/>
        </w:rPr>
        <w:t>经相关部门批准后方可开展经营活动</w:t>
      </w:r>
      <w:r>
        <w:rPr>
          <w:rFonts w:ascii="Times New Roman" w:hAnsi="Times New Roman" w:cs="Times New Roman" w:eastAsia="Times New Roman" w:hint="default"/>
          <w:spacing w:val="-2"/>
        </w:rPr>
        <w:t>)</w:t>
      </w:r>
      <w:r>
        <w:rPr>
          <w:spacing w:val="-2"/>
        </w:rPr>
        <w:t>。法定代表人：纪晓文。注册地址：汕头市澄海区岭海工业</w:t>
      </w:r>
      <w:r>
        <w:rPr>
          <w:spacing w:val="-50"/>
        </w:rPr>
        <w:t> </w:t>
      </w:r>
      <w:r>
        <w:rPr>
          <w:spacing w:val="-50"/>
        </w:rPr>
      </w:r>
      <w:r>
        <w:rPr/>
        <w:t>区清平路北侧群兴工业园</w:t>
      </w:r>
      <w:r>
        <w:rPr>
          <w:rFonts w:ascii="Times New Roman" w:hAnsi="Times New Roman" w:cs="Times New Roman" w:eastAsia="Times New Roman" w:hint="default"/>
        </w:rPr>
        <w:t>2</w:t>
      </w:r>
      <w:r>
        <w:rPr/>
        <w:t>幢</w:t>
      </w:r>
      <w:r>
        <w:rPr>
          <w:rFonts w:ascii="Times New Roman" w:hAnsi="Times New Roman" w:cs="Times New Roman" w:eastAsia="Times New Roman" w:hint="default"/>
        </w:rPr>
        <w:t>1</w:t>
      </w:r>
      <w:r>
        <w:rPr/>
        <w:t>楼之二。</w:t>
      </w:r>
    </w:p>
    <w:p>
      <w:pPr>
        <w:spacing w:line="240" w:lineRule="auto" w:before="11"/>
        <w:rPr>
          <w:rFonts w:ascii="宋体" w:hAnsi="宋体" w:cs="宋体" w:eastAsia="宋体" w:hint="default"/>
          <w:sz w:val="24"/>
          <w:szCs w:val="24"/>
        </w:rPr>
      </w:pPr>
    </w:p>
    <w:p>
      <w:pPr>
        <w:pStyle w:val="BodyText"/>
        <w:spacing w:line="240" w:lineRule="auto"/>
        <w:ind w:left="537" w:right="0"/>
        <w:jc w:val="left"/>
      </w:pPr>
      <w:r>
        <w:rPr/>
        <w:t>本财务报表业经公司全体董事（董事会）于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日批准报出。</w:t>
      </w:r>
    </w:p>
    <w:p>
      <w:pPr>
        <w:pStyle w:val="Heading2"/>
        <w:spacing w:line="240" w:lineRule="auto" w:before="13"/>
        <w:ind w:left="476" w:right="0"/>
        <w:jc w:val="left"/>
        <w:rPr>
          <w:b w:val="0"/>
          <w:bCs w:val="0"/>
        </w:rPr>
      </w:pPr>
      <w:r>
        <w:rPr/>
        <w:t>（二）合并财务报表范围</w:t>
      </w:r>
      <w:r>
        <w:rPr>
          <w:b w:val="0"/>
          <w:bCs w:val="0"/>
        </w:rPr>
      </w:r>
    </w:p>
    <w:p>
      <w:pPr>
        <w:pStyle w:val="BodyText"/>
        <w:spacing w:line="240" w:lineRule="auto" w:before="47"/>
        <w:ind w:left="828"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p>
      <w:pPr>
        <w:spacing w:line="240" w:lineRule="auto" w:before="0"/>
        <w:rPr>
          <w:rFonts w:ascii="宋体" w:hAnsi="宋体" w:cs="宋体" w:eastAsia="宋体" w:hint="default"/>
          <w:sz w:val="5"/>
          <w:szCs w:val="5"/>
        </w:rPr>
      </w:pPr>
    </w:p>
    <w:tbl>
      <w:tblPr>
        <w:tblW w:w="0" w:type="auto"/>
        <w:jc w:val="left"/>
        <w:tblInd w:w="823" w:type="dxa"/>
        <w:tblLayout w:type="fixed"/>
        <w:tblCellMar>
          <w:top w:w="0" w:type="dxa"/>
          <w:left w:w="0" w:type="dxa"/>
          <w:bottom w:w="0" w:type="dxa"/>
          <w:right w:w="0" w:type="dxa"/>
        </w:tblCellMar>
        <w:tblLook w:val="01E0"/>
      </w:tblPr>
      <w:tblGrid>
        <w:gridCol w:w="7915"/>
      </w:tblGrid>
      <w:tr>
        <w:trPr>
          <w:trHeight w:val="342" w:hRule="exact"/>
        </w:trPr>
        <w:tc>
          <w:tcPr>
            <w:tcW w:w="7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2" w:hRule="exact"/>
        </w:trPr>
        <w:tc>
          <w:tcPr>
            <w:tcW w:w="7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群兴（香港）有限公司</w:t>
            </w:r>
          </w:p>
        </w:tc>
      </w:tr>
      <w:tr>
        <w:trPr>
          <w:trHeight w:val="342" w:hRule="exact"/>
        </w:trPr>
        <w:tc>
          <w:tcPr>
            <w:tcW w:w="7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342" w:hRule="exact"/>
        </w:trPr>
        <w:tc>
          <w:tcPr>
            <w:tcW w:w="7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r>
      <w:tr>
        <w:trPr>
          <w:trHeight w:val="342" w:hRule="exact"/>
        </w:trPr>
        <w:tc>
          <w:tcPr>
            <w:tcW w:w="7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r>
    </w:tbl>
    <w:p>
      <w:pPr>
        <w:pStyle w:val="BodyText"/>
        <w:spacing w:line="240" w:lineRule="auto" w:before="10"/>
        <w:ind w:left="828" w:right="0"/>
        <w:jc w:val="left"/>
      </w:pPr>
      <w:r>
        <w:rPr/>
        <w:t>本期合并财务报表范围及其变化情况详见本节“八、合并范围的变更” 和 “九、在其他主体中的权益</w:t>
      </w:r>
      <w:r>
        <w:rPr>
          <w:spacing w:val="-90"/>
        </w:rPr>
        <w:t>”</w:t>
      </w:r>
      <w:r>
        <w:rPr/>
        <w:t>。</w:t>
      </w:r>
    </w:p>
    <w:p>
      <w:pPr>
        <w:spacing w:after="0" w:line="240" w:lineRule="auto"/>
        <w:jc w:val="left"/>
        <w:sectPr>
          <w:footerReference w:type="default" r:id="rId65"/>
          <w:pgSz w:w="11910" w:h="16840"/>
          <w:pgMar w:footer="1019" w:header="907" w:top="1100" w:bottom="1200" w:left="1020" w:right="0"/>
          <w:pgNumType w:start="83"/>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9" w:firstLine="421"/>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w:t>
      </w:r>
      <w:r>
        <w:rPr>
          <w:spacing w:val="-5"/>
        </w:rPr>
        <w:t>会计准则、企业会计准则应用指南、企业会计准则解释及其他相关规定（以下合称“企业会计准则”），以及中国证券监督管</w:t>
      </w:r>
      <w:r>
        <w:rPr>
          <w:spacing w:val="-79"/>
        </w:rPr>
        <w:t> </w:t>
      </w:r>
      <w:r>
        <w:rPr>
          <w:spacing w:val="-79"/>
        </w:rPr>
      </w:r>
      <w:r>
        <w:rPr/>
        <w:t>理委员会《公开发行证券的公司信息披露编报规则第</w:t>
      </w:r>
      <w:r>
        <w:rPr>
          <w:rFonts w:ascii="宋体" w:hAnsi="宋体" w:cs="宋体" w:eastAsia="宋体"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89" w:right="0"/>
        <w:jc w:val="left"/>
      </w:pPr>
      <w:r>
        <w:rPr/>
        <w:t>公司自报告年末起</w:t>
      </w:r>
      <w:r>
        <w:rPr>
          <w:rFonts w:ascii="宋体" w:hAnsi="宋体" w:cs="宋体" w:eastAsia="宋体" w:hint="default"/>
        </w:rPr>
        <w:t>12</w:t>
      </w:r>
      <w:r>
        <w:rPr/>
        <w:t>个月具有持续经营能力。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474" w:right="3552" w:hanging="360"/>
        <w:jc w:val="left"/>
      </w:pPr>
      <w:r>
        <w:rPr/>
        <w:t>具体会计政策和会计估计提示： 以下披露内容已涵盖了本公司根据实际生产经营特点制定的具体会计政策和会计估计。</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9"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9" w:right="0"/>
        <w:jc w:val="left"/>
      </w:pPr>
      <w:r>
        <w:rPr/>
        <w:t>本公司营业周期为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5" w:right="0"/>
        <w:jc w:val="left"/>
        <w:rPr>
          <w:sz w:val="21"/>
          <w:szCs w:val="21"/>
        </w:rPr>
      </w:pPr>
      <w:r>
        <w:rPr/>
        <w:t>本公司采用人民币为记账本位币</w:t>
      </w:r>
      <w:r>
        <w:rPr>
          <w:sz w:val="21"/>
          <w:szCs w:val="21"/>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3"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07" w:lineRule="auto"/>
        <w:ind w:right="1131" w:firstLine="360"/>
        <w:jc w:val="both"/>
      </w:pPr>
      <w:r>
        <w:rPr>
          <w:spacing w:val="-2"/>
        </w:rPr>
        <w:t>非同一控制下企业合并：本公司在购买日对作为企业合并对价付出的资产、发生或承担的负债按照公</w:t>
      </w:r>
      <w:r>
        <w:rPr>
          <w:spacing w:val="-2"/>
          <w:sz w:val="21"/>
          <w:szCs w:val="21"/>
        </w:rPr>
        <w:t>允价值计量，</w:t>
      </w:r>
      <w:r>
        <w:rPr>
          <w:spacing w:val="-2"/>
        </w:rPr>
        <w:t>公</w:t>
      </w:r>
      <w:r>
        <w:rPr/>
        <w:t> </w:t>
      </w:r>
      <w:r>
        <w:rPr>
          <w:spacing w:val="-2"/>
        </w:rPr>
        <w:t>允价值与其账面价值的差额，计入当期损益。本公司对合并成本大于合并中取得的被购买方可辨认净资产公允价值份额的差</w:t>
      </w:r>
      <w:r>
        <w:rPr>
          <w:spacing w:val="-64"/>
        </w:rPr>
        <w:t> </w:t>
      </w:r>
      <w:r>
        <w:rPr>
          <w:spacing w:val="-64"/>
        </w:rPr>
      </w:r>
      <w:r>
        <w:rPr/>
        <w:t>额，确认为商誉；合并成本小于合并中取得的被购买方可辨认净资产公允价值份额的差额，经复核后，计入当期损益。</w:t>
      </w:r>
    </w:p>
    <w:p>
      <w:pPr>
        <w:spacing w:after="0" w:line="307"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0"/>
        <w:jc w:val="left"/>
      </w:pPr>
      <w:r>
        <w:rPr/>
        <w:t>（一）合并范围 </w:t>
      </w:r>
      <w:r>
        <w:rPr>
          <w:spacing w:val="-2"/>
        </w:rPr>
        <w:t>本公司合并财务报表的合并范围以控制为基础确定，所有子公司（包括本公司所控制的被投资方可分割的部分）均纳入</w:t>
      </w:r>
    </w:p>
    <w:p>
      <w:pPr>
        <w:pStyle w:val="BodyText"/>
        <w:spacing w:line="240" w:lineRule="auto" w:before="19"/>
        <w:ind w:right="0"/>
        <w:jc w:val="both"/>
      </w:pPr>
      <w:r>
        <w:rPr/>
        <w:t>合并财务报表。</w:t>
      </w:r>
    </w:p>
    <w:p>
      <w:pPr>
        <w:pStyle w:val="BodyText"/>
        <w:spacing w:line="316" w:lineRule="auto" w:before="76"/>
        <w:ind w:left="474" w:right="0"/>
        <w:jc w:val="left"/>
      </w:pPr>
      <w:r>
        <w:rPr/>
        <w:t>（二）合并程序 </w:t>
      </w:r>
      <w:r>
        <w:rPr>
          <w:spacing w:val="-2"/>
        </w:rPr>
        <w:t>本公司以自身和各子公司的财务报表为基础，根据其他有关资料，编制合并财务报表。本公司编制合并财务报表，将整</w:t>
      </w:r>
    </w:p>
    <w:p>
      <w:pPr>
        <w:pStyle w:val="BodyText"/>
        <w:spacing w:line="316" w:lineRule="auto" w:before="19"/>
        <w:ind w:right="1131"/>
        <w:jc w:val="both"/>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1030"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474" w:right="0"/>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1133"/>
        <w:jc w:val="both"/>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0"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3"/>
        </w:rPr>
        <w:t> </w:t>
      </w:r>
      <w:r>
        <w:rPr>
          <w:spacing w:val="-63"/>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474" w:right="0"/>
        <w:jc w:val="left"/>
      </w:pPr>
      <w:r>
        <w:rPr/>
        <w:t>（</w:t>
      </w:r>
      <w:r>
        <w:rPr>
          <w:rFonts w:ascii="宋体" w:hAnsi="宋体" w:cs="宋体" w:eastAsia="宋体" w:hint="default"/>
        </w:rPr>
        <w:t>2</w:t>
      </w:r>
      <w:r>
        <w:rPr/>
        <w:t>）处置子公司或业务</w:t>
      </w:r>
    </w:p>
    <w:p>
      <w:pPr>
        <w:pStyle w:val="BodyText"/>
        <w:spacing w:line="316" w:lineRule="auto" w:before="76"/>
        <w:ind w:left="474"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9" w:lineRule="auto" w:before="19"/>
        <w:ind w:left="47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7"/>
        <w:ind w:right="1050"/>
        <w:jc w:val="both"/>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2112" w:hanging="360"/>
        <w:jc w:val="left"/>
      </w:pPr>
      <w:r>
        <w:rPr/>
        <w:t>由于被投资方重新计量设定受益计划净负债或净资产变动而产生的其他综合收益除外。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left="474"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474" w:right="3552"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474" w:right="0"/>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474" w:right="0"/>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71"/>
      <w:bookmarkEnd w:id="17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247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474" w:right="0"/>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474" w:right="0"/>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474" w:right="0"/>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474" w:right="0"/>
        <w:jc w:val="left"/>
      </w:pPr>
      <w:r>
        <w:rPr/>
        <w:t>（</w:t>
      </w:r>
      <w:r>
        <w:rPr>
          <w:rFonts w:ascii="宋体" w:hAnsi="宋体" w:cs="宋体" w:eastAsia="宋体" w:hint="default"/>
        </w:rPr>
        <w:t>4</w:t>
      </w:r>
      <w:r>
        <w:rPr/>
        <w:t>）按本公司份额确认共同经营因出售产出所产生的收入；</w:t>
      </w:r>
    </w:p>
    <w:p>
      <w:pPr>
        <w:pStyle w:val="BodyText"/>
        <w:spacing w:line="316" w:lineRule="auto" w:before="76"/>
        <w:ind w:left="474" w:right="4362"/>
        <w:jc w:val="left"/>
      </w:pPr>
      <w:r>
        <w:rPr/>
        <w:t>（</w:t>
      </w:r>
      <w:r>
        <w:rPr>
          <w:rFonts w:ascii="宋体" w:hAnsi="宋体" w:cs="宋体" w:eastAsia="宋体" w:hint="default"/>
        </w:rPr>
        <w:t>5</w:t>
      </w:r>
      <w:r>
        <w:rPr/>
        <w:t>）确认单独所发生的费用，以及按本公司份额确认共同经营发生的费用。 </w:t>
      </w:r>
      <w:r>
        <w:rPr>
          <w:spacing w:val="-6"/>
        </w:rPr>
        <w:t>本公司对合营企业投资的会计政策见本附注“三、（十四）长期股权投资”。</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8、现金及现金等价物的确定标准" w:id="172"/>
      <w:bookmarkEnd w:id="17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67" w:firstLine="405"/>
        <w:jc w:val="left"/>
      </w:pPr>
      <w:r>
        <w:rPr/>
        <w:t>在编制现金流量表时，将本公司库存现金以及可以随时用于支付的存款确认为现金。将同时具备期限短（从购买日起 </w:t>
      </w:r>
      <w:r>
        <w:rPr>
          <w:spacing w:val="-2"/>
        </w:rPr>
        <w:t>三个月内到期）、流动性强、易于转换为已知现金、价值变动风险很小四个条件的投资，确定为现金等价物。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3912"/>
        <w:jc w:val="left"/>
      </w:pPr>
      <w:r>
        <w:rPr/>
        <w:t>（一）外币业务 外币业务采用交易发生日的平均汇率作为折算汇率将外币金额折合成人民币记账。</w:t>
      </w:r>
    </w:p>
    <w:p>
      <w:pPr>
        <w:pStyle w:val="BodyText"/>
        <w:spacing w:line="240" w:lineRule="auto" w:before="19"/>
        <w:ind w:left="474" w:right="0"/>
        <w:jc w:val="left"/>
      </w:pPr>
      <w:r>
        <w:rPr/>
        <w:t>资产负债表日外币货币性项目余额按资产负债表日即期汇率折算，由此产生的汇兑差额，除属于与购建符合资本化条件</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（二）外币财务报表的折算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19"/>
        <w:ind w:left="474" w:right="2112" w:hanging="360"/>
        <w:jc w:val="left"/>
      </w:pPr>
      <w:r>
        <w:rPr/>
        <w:t>项目采用发生时的即期汇率折算。利润表中的收入和费用项目，采用交易发生日的平均汇率折算。 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金融工具包括金融资产、金融负债和权益工具。</w:t>
      </w:r>
    </w:p>
    <w:p>
      <w:pPr>
        <w:pStyle w:val="BodyText"/>
        <w:spacing w:line="316" w:lineRule="auto" w:before="76"/>
        <w:ind w:left="474" w:right="0"/>
        <w:jc w:val="left"/>
      </w:pPr>
      <w:r>
        <w:rPr/>
        <w:t>（一）金融工具的分类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19"/>
        <w:ind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240" w:lineRule="auto" w:before="4"/>
        <w:rPr>
          <w:rFonts w:ascii="宋体" w:hAnsi="宋体" w:cs="宋体" w:eastAsia="宋体" w:hint="default"/>
          <w:sz w:val="25"/>
          <w:szCs w:val="25"/>
        </w:rPr>
      </w:pPr>
    </w:p>
    <w:p>
      <w:pPr>
        <w:pStyle w:val="BodyText"/>
        <w:spacing w:line="240" w:lineRule="auto"/>
        <w:ind w:left="474" w:right="0"/>
        <w:jc w:val="left"/>
      </w:pPr>
      <w:r>
        <w:rPr/>
        <w:t>（二）金融工具的确认依据和计量方法</w:t>
      </w:r>
    </w:p>
    <w:p>
      <w:pPr>
        <w:pStyle w:val="BodyText"/>
        <w:spacing w:line="316" w:lineRule="auto" w:before="76"/>
        <w:ind w:left="474" w:right="0"/>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474" w:right="2832"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474" w:right="1118"/>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474" w:right="4992" w:hanging="360"/>
        <w:jc w:val="left"/>
      </w:pPr>
      <w:r>
        <w:rPr/>
        <w:t>用的更短期间内保持不变。 处置时，将所取得价款与该投资账面价值之间的差额计入投资收益。</w:t>
      </w:r>
    </w:p>
    <w:p>
      <w:pPr>
        <w:pStyle w:val="BodyText"/>
        <w:spacing w:line="316" w:lineRule="auto" w:before="19"/>
        <w:ind w:left="474" w:right="1118"/>
        <w:jc w:val="left"/>
      </w:pPr>
      <w:r>
        <w:rPr/>
        <w:t>（</w:t>
      </w:r>
      <w:r>
        <w:rPr>
          <w:rFonts w:ascii="宋体" w:hAnsi="宋体" w:cs="宋体" w:eastAsia="宋体"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474" w:right="0"/>
        <w:jc w:val="left"/>
      </w:pPr>
      <w:r>
        <w:rPr/>
        <w:t>收回或处置时，将取得的价款与该应收款项账面价值之间的差额计入当期损益。</w:t>
      </w:r>
    </w:p>
    <w:p>
      <w:pPr>
        <w:pStyle w:val="BodyText"/>
        <w:spacing w:line="316" w:lineRule="auto" w:before="76"/>
        <w:ind w:left="474" w:right="0"/>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474" w:right="1032"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474" w:right="3732"/>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5"/>
          <w:szCs w:val="25"/>
        </w:rPr>
      </w:pPr>
    </w:p>
    <w:p>
      <w:pPr>
        <w:pStyle w:val="BodyText"/>
        <w:spacing w:line="240" w:lineRule="auto"/>
        <w:ind w:left="474" w:right="0"/>
        <w:jc w:val="left"/>
      </w:pPr>
      <w:r>
        <w:rPr/>
        <w:t>（三）金融资产转移的确认依据和计量方法</w:t>
      </w:r>
    </w:p>
    <w:p>
      <w:pPr>
        <w:spacing w:after="0" w:line="240" w:lineRule="auto"/>
        <w:jc w:val="left"/>
        <w:sectPr>
          <w:footerReference w:type="default" r:id="rId66"/>
          <w:pgSz w:w="11910" w:h="16840"/>
          <w:pgMar w:footer="1019" w:header="907" w:top="1100" w:bottom="1200" w:left="1020" w:right="0"/>
          <w:pgNumType w:start="87"/>
        </w:sectPr>
      </w:pPr>
    </w:p>
    <w:p>
      <w:pPr>
        <w:spacing w:line="240" w:lineRule="auto" w:before="11"/>
        <w:rPr>
          <w:rFonts w:ascii="宋体" w:hAnsi="宋体" w:cs="宋体" w:eastAsia="宋体" w:hint="default"/>
          <w:sz w:val="22"/>
          <w:szCs w:val="22"/>
        </w:rPr>
      </w:pPr>
    </w:p>
    <w:p>
      <w:pPr>
        <w:pStyle w:val="BodyText"/>
        <w:spacing w:line="316" w:lineRule="auto" w:before="44"/>
        <w:ind w:right="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474" w:right="0"/>
        <w:jc w:val="left"/>
      </w:pPr>
      <w:r>
        <w:rPr/>
        <w:t>（</w:t>
      </w:r>
      <w:r>
        <w:rPr>
          <w:rFonts w:ascii="宋体" w:hAnsi="宋体" w:cs="宋体" w:eastAsia="宋体" w:hint="default"/>
        </w:rPr>
        <w:t>1</w:t>
      </w:r>
      <w:r>
        <w:rPr/>
        <w:t>）所转移金融资产的账面价值；</w:t>
      </w:r>
    </w:p>
    <w:p>
      <w:pPr>
        <w:pStyle w:val="BodyText"/>
        <w:spacing w:line="316" w:lineRule="auto" w:before="76"/>
        <w:ind w:right="1122" w:firstLine="360"/>
        <w:jc w:val="left"/>
      </w:pPr>
      <w:r>
        <w:rPr/>
        <w:t>（</w:t>
      </w:r>
      <w:r>
        <w:rPr>
          <w:rFonts w:ascii="宋体" w:hAnsi="宋体" w:cs="宋体" w:eastAsia="宋体" w:hint="default"/>
        </w:rPr>
        <w:t>2</w:t>
      </w:r>
      <w:r>
        <w:rPr/>
        <w:t>）因转移而收到的对价，与原直接计入所有者权益的公允价值变动累计额（涉及转移的金融资产为可供出售金融资 产的情形）之和。</w:t>
      </w:r>
    </w:p>
    <w:p>
      <w:pPr>
        <w:spacing w:line="240" w:lineRule="auto" w:before="4"/>
        <w:rPr>
          <w:rFonts w:ascii="宋体" w:hAnsi="宋体" w:cs="宋体" w:eastAsia="宋体" w:hint="default"/>
          <w:sz w:val="25"/>
          <w:szCs w:val="25"/>
        </w:rPr>
      </w:pPr>
    </w:p>
    <w:p>
      <w:pPr>
        <w:pStyle w:val="BodyText"/>
        <w:spacing w:line="316" w:lineRule="auto"/>
        <w:ind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474" w:right="0"/>
        <w:jc w:val="left"/>
      </w:pPr>
      <w:r>
        <w:rPr/>
        <w:t>（</w:t>
      </w:r>
      <w:r>
        <w:rPr>
          <w:rFonts w:ascii="宋体" w:hAnsi="宋体" w:cs="宋体" w:eastAsia="宋体" w:hint="default"/>
        </w:rPr>
        <w:t>1</w:t>
      </w:r>
      <w:r>
        <w:rPr/>
        <w:t>）终止确认部分的账面价值；</w:t>
      </w:r>
    </w:p>
    <w:p>
      <w:pPr>
        <w:pStyle w:val="BodyText"/>
        <w:spacing w:line="316" w:lineRule="auto" w:before="76"/>
        <w:ind w:right="1122" w:firstLine="360"/>
        <w:jc w:val="left"/>
      </w:pPr>
      <w:r>
        <w:rPr/>
        <w:t>（</w:t>
      </w:r>
      <w:r>
        <w:rPr>
          <w:rFonts w:ascii="宋体" w:hAnsi="宋体" w:cs="宋体" w:eastAsia="宋体"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19"/>
        <w:ind w:left="474"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（四）金融负债终止确认条件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19"/>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7"/>
        <w:ind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（五）金融资产和金融负债的公允价值的确定方法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19"/>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（六）金融资产（不含应收款项）减值的测试方法及会计处理方法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19"/>
        <w:ind w:right="0"/>
        <w:jc w:val="left"/>
      </w:pPr>
      <w:r>
        <w:rPr/>
        <w:t>有客观证据表明某项金融资产发生减值的，计提减值准备。</w:t>
      </w:r>
    </w:p>
    <w:p>
      <w:pPr>
        <w:pStyle w:val="BodyText"/>
        <w:spacing w:line="316" w:lineRule="auto" w:before="76"/>
        <w:ind w:left="474" w:right="0"/>
        <w:jc w:val="left"/>
      </w:pPr>
      <w:r>
        <w:rPr/>
        <w:t>（</w:t>
      </w:r>
      <w:r>
        <w:rPr>
          <w:rFonts w:ascii="宋体" w:hAnsi="宋体" w:cs="宋体" w:eastAsia="宋体"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left="474"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474" w:right="5712" w:hanging="360"/>
        <w:jc w:val="left"/>
      </w:pPr>
      <w:r>
        <w:rPr/>
        <w:t>事项有关的，原确认的减值损失予以转回，计入当期损益。 可供出售权益工具投资发生的减值损失，不通过损益转回。</w:t>
      </w:r>
    </w:p>
    <w:p>
      <w:pPr>
        <w:pStyle w:val="BodyText"/>
        <w:spacing w:line="316" w:lineRule="auto" w:before="19"/>
        <w:ind w:left="474" w:right="4812"/>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11、应收票据及应收账款" w:id="175"/>
      <w:bookmarkEnd w:id="17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期末余额占应收账款期末余额</w:t>
            </w:r>
            <w:r>
              <w:rPr>
                <w:rFonts w:ascii="宋体" w:hAnsi="宋体" w:cs="宋体" w:eastAsia="宋体" w:hint="default"/>
                <w:sz w:val="18"/>
                <w:szCs w:val="18"/>
              </w:rPr>
              <w:t>10%</w:t>
            </w:r>
            <w:r>
              <w:rPr>
                <w:rFonts w:ascii="宋体" w:hAnsi="宋体" w:cs="宋体" w:eastAsia="宋体" w:hint="default"/>
                <w:sz w:val="18"/>
                <w:szCs w:val="18"/>
              </w:rPr>
              <w:t>以上的应收款项。</w:t>
            </w:r>
          </w:p>
        </w:tc>
      </w:tr>
      <w:tr>
        <w:trPr>
          <w:trHeight w:val="94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 w:firstLine="360"/>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 账面价值的差额计提坏账准备，计入当期损益。单独测试 </w:t>
            </w:r>
            <w:r>
              <w:rPr>
                <w:rFonts w:ascii="宋体" w:hAnsi="宋体" w:cs="宋体" w:eastAsia="宋体" w:hint="default"/>
                <w:spacing w:val="-1"/>
                <w:sz w:val="18"/>
                <w:szCs w:val="18"/>
              </w:rPr>
              <w:t>未发生减值的应收款项，将其归入相应组合计提坏账准备。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出口退税单独作为一类风险较小的应收款项组合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60" w:lineRule="auto" w:before="116"/>
        <w:ind w:right="7512"/>
        <w:jc w:val="left"/>
      </w:pPr>
      <w:r>
        <w:rPr/>
        <w:t>□ 适用 √ 不适用 组合中，采用其他方法计提坏账准备的：</w:t>
      </w:r>
    </w:p>
    <w:p>
      <w:pPr>
        <w:pStyle w:val="BodyText"/>
        <w:spacing w:line="240" w:lineRule="auto" w:before="26"/>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95"/>
              <w:jc w:val="left"/>
              <w:rPr>
                <w:rFonts w:ascii="宋体" w:hAnsi="宋体" w:cs="宋体" w:eastAsia="宋体" w:hint="default"/>
                <w:sz w:val="18"/>
                <w:szCs w:val="18"/>
              </w:rPr>
            </w:pPr>
            <w:r>
              <w:rPr>
                <w:rFonts w:ascii="宋体" w:hAnsi="宋体" w:cs="宋体" w:eastAsia="宋体" w:hint="default"/>
                <w:sz w:val="18"/>
                <w:szCs w:val="18"/>
              </w:rPr>
              <w:t>出口退税单独作为一类风险较小的应 收款项组合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 或死亡，以其破产财产或遗产清偿后仍不能收回，现金流 量严重不足等情况。</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 关组合中分离出来，单独进行减值测试，根据其未来现金 流量现值低于其账面价值的差额，确认减值损失，计提坏 账准备。</w:t>
            </w:r>
          </w:p>
        </w:tc>
      </w:tr>
    </w:tbl>
    <w:p>
      <w:pPr>
        <w:spacing w:after="0" w:line="319"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4"/>
        <w:spacing w:line="240" w:lineRule="auto" w:before="35"/>
        <w:ind w:right="0"/>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474" w:right="4092"/>
        <w:jc w:val="left"/>
      </w:pPr>
      <w:r>
        <w:rPr/>
        <w:t>（一）存货的分类 存货分类为：原材料、半成品、产成品、发出商品、委托加工物资、包装物等。</w:t>
      </w:r>
    </w:p>
    <w:p>
      <w:pPr>
        <w:spacing w:line="240" w:lineRule="auto" w:before="4"/>
        <w:rPr>
          <w:rFonts w:ascii="宋体" w:hAnsi="宋体" w:cs="宋体" w:eastAsia="宋体" w:hint="default"/>
          <w:sz w:val="25"/>
          <w:szCs w:val="25"/>
        </w:rPr>
      </w:pPr>
    </w:p>
    <w:p>
      <w:pPr>
        <w:pStyle w:val="BodyText"/>
        <w:spacing w:line="316" w:lineRule="auto"/>
        <w:ind w:left="474" w:right="7152"/>
        <w:jc w:val="left"/>
      </w:pPr>
      <w:r>
        <w:rPr/>
        <w:t>（二）发出存货的计价方法 存货发出时按月末一次加权平均法计价。</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（三）不同类别存货可变现净值的确定依据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316" w:lineRule="auto" w:before="19"/>
        <w:ind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474" w:right="157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16" w:lineRule="auto"/>
        <w:ind w:left="474" w:right="8592"/>
        <w:jc w:val="left"/>
      </w:pPr>
      <w:r>
        <w:rPr/>
        <w:t>（四）存货的盘存制度 采用永续盘存制。</w:t>
      </w:r>
    </w:p>
    <w:p>
      <w:pPr>
        <w:spacing w:line="240" w:lineRule="auto" w:before="4"/>
        <w:rPr>
          <w:rFonts w:ascii="宋体" w:hAnsi="宋体" w:cs="宋体" w:eastAsia="宋体" w:hint="default"/>
          <w:sz w:val="25"/>
          <w:szCs w:val="25"/>
        </w:rPr>
      </w:pPr>
    </w:p>
    <w:p>
      <w:pPr>
        <w:pStyle w:val="BodyText"/>
        <w:spacing w:line="240" w:lineRule="auto"/>
        <w:ind w:left="474" w:right="0"/>
        <w:jc w:val="left"/>
      </w:pPr>
      <w:r>
        <w:rPr/>
        <w:t>（五）低值易耗品和包装物的摊销方法</w:t>
      </w:r>
    </w:p>
    <w:p>
      <w:pPr>
        <w:pStyle w:val="BodyText"/>
        <w:spacing w:line="240" w:lineRule="auto" w:before="76"/>
        <w:ind w:left="474" w:right="0"/>
        <w:jc w:val="left"/>
      </w:pPr>
      <w:r>
        <w:rPr/>
        <w:t>（</w:t>
      </w:r>
      <w:r>
        <w:rPr>
          <w:rFonts w:ascii="宋体" w:hAnsi="宋体" w:cs="宋体" w:eastAsia="宋体" w:hint="default"/>
        </w:rPr>
        <w:t>1</w:t>
      </w:r>
      <w:r>
        <w:rPr/>
        <w:t>）低值易耗品采用一次转销法；</w:t>
      </w:r>
    </w:p>
    <w:p>
      <w:pPr>
        <w:pStyle w:val="BodyText"/>
        <w:spacing w:line="240" w:lineRule="auto" w:before="76"/>
        <w:ind w:left="474" w:right="0"/>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13、持有待售资产" w:id="180"/>
      <w:bookmarkEnd w:id="18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本公司将同时满足下列条件的非流动资产或处置组划分为持有待售类别：</w:t>
      </w:r>
    </w:p>
    <w:p>
      <w:pPr>
        <w:pStyle w:val="BodyText"/>
        <w:spacing w:line="240" w:lineRule="auto" w:before="76"/>
        <w:ind w:left="834"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92" w:lineRule="auto" w:before="76"/>
        <w:ind w:right="0" w:firstLine="720"/>
        <w:jc w:val="left"/>
        <w:rPr>
          <w:sz w:val="21"/>
          <w:szCs w:val="21"/>
        </w:rPr>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）出售极可能发生，即本公司已经就一项出售计划作出决议且获得确定的购买承诺，预计出售将在一年内完成。</w:t>
      </w:r>
      <w:r>
        <w:rPr/>
        <w:t> 有关规定要求本公司相关权力机构或者监管部门批准后方可出售的，已经获得批准</w:t>
      </w:r>
      <w:r>
        <w:rPr>
          <w:sz w:val="21"/>
          <w:szCs w:val="21"/>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bookmarkStart w:name="14、长期股权投资" w:id="181"/>
      <w:bookmarkEnd w:id="18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0"/>
        <w:jc w:val="left"/>
      </w:pPr>
      <w:r>
        <w:rPr/>
        <w:t>（一）共同控制、重大影响的判断标准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19"/>
        <w:ind w:right="1131"/>
        <w:jc w:val="both"/>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BodyText"/>
        <w:spacing w:line="240" w:lineRule="auto"/>
        <w:ind w:left="474" w:right="0"/>
        <w:jc w:val="left"/>
      </w:pPr>
      <w:r>
        <w:rPr/>
        <w:t>（二）初始投资成本的确定</w:t>
      </w:r>
    </w:p>
    <w:p>
      <w:pPr>
        <w:pStyle w:val="BodyText"/>
        <w:spacing w:line="316" w:lineRule="auto" w:before="77"/>
        <w:ind w:left="474" w:right="0"/>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13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474" w:right="1118"/>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13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474"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left="474" w:right="0"/>
        <w:jc w:val="left"/>
      </w:pPr>
      <w:r>
        <w:rPr/>
        <w:t>（三）后续计量及损益确认方法</w:t>
      </w:r>
    </w:p>
    <w:p>
      <w:pPr>
        <w:pStyle w:val="BodyText"/>
        <w:spacing w:line="316" w:lineRule="auto" w:before="76"/>
        <w:ind w:left="474" w:right="0"/>
        <w:jc w:val="left"/>
      </w:pPr>
      <w:r>
        <w:rPr/>
        <w:t>（</w:t>
      </w:r>
      <w:r>
        <w:rPr>
          <w:rFonts w:ascii="宋体" w:hAnsi="宋体" w:cs="宋体" w:eastAsia="宋体"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0"/>
        <w:jc w:val="left"/>
      </w:pPr>
      <w:r>
        <w:rPr/>
        <w:t>金股利或利润外，公司按照享有被投资单位宣告发放的现金股利或利润确认当期投资收益。</w:t>
      </w:r>
    </w:p>
    <w:p>
      <w:pPr>
        <w:pStyle w:val="BodyText"/>
        <w:spacing w:line="316" w:lineRule="auto" w:before="76"/>
        <w:ind w:left="474" w:right="0"/>
        <w:jc w:val="left"/>
      </w:pPr>
      <w:r>
        <w:rPr/>
        <w:t>（</w:t>
      </w:r>
      <w:r>
        <w:rPr>
          <w:rFonts w:ascii="宋体" w:hAnsi="宋体" w:cs="宋体" w:eastAsia="宋体"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right="0"/>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13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9" w:lineRule="auto" w:before="19"/>
        <w:ind w:right="1132"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4"/>
        </w:rPr>
        <w:t>企业之间发生投出或出售资产的交易，该资产构成业务的，按照本附注“五、（</w:t>
      </w:r>
      <w:r>
        <w:rPr>
          <w:rFonts w:ascii="宋体" w:hAnsi="宋体" w:cs="宋体" w:eastAsia="宋体" w:hint="default"/>
          <w:spacing w:val="-4"/>
        </w:rPr>
        <w:t>5</w:t>
      </w:r>
      <w:r>
        <w:rPr>
          <w:spacing w:val="-4"/>
        </w:rPr>
        <w:t>）同一控制下和非同一控制下企业合并的会</w:t>
      </w:r>
      <w:r>
        <w:rPr>
          <w:spacing w:val="-44"/>
        </w:rPr>
        <w:t> </w:t>
      </w:r>
      <w:r>
        <w:rPr>
          <w:spacing w:val="-44"/>
        </w:rPr>
      </w:r>
      <w:r>
        <w:rPr>
          <w:spacing w:val="-3"/>
        </w:rPr>
        <w:t>计处理方法”和“五、（</w:t>
      </w:r>
      <w:r>
        <w:rPr>
          <w:rFonts w:ascii="宋体" w:hAnsi="宋体" w:cs="宋体" w:eastAsia="宋体" w:hint="default"/>
          <w:spacing w:val="-3"/>
        </w:rPr>
        <w:t>6</w:t>
      </w:r>
      <w:r>
        <w:rPr>
          <w:spacing w:val="-3"/>
        </w:rPr>
        <w:t>）合并财务报表的编制方法”中披露的相关政策进行会计处理。</w:t>
      </w:r>
    </w:p>
    <w:p>
      <w:pPr>
        <w:pStyle w:val="BodyText"/>
        <w:spacing w:line="316" w:lineRule="auto" w:before="17"/>
        <w:ind w:right="1050" w:firstLine="360"/>
        <w:jc w:val="both"/>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474" w:right="4632"/>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6" w:lineRule="auto" w:before="19"/>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1032"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132"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15、投资性房地产" w:id="182"/>
      <w:bookmarkEnd w:id="18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772"/>
        <w:jc w:val="left"/>
      </w:pPr>
      <w:r>
        <w:rPr/>
        <w:t>投资性房地产计量模式 公允价值计量 选择公允价值计量的依据</w:t>
      </w:r>
    </w:p>
    <w:p>
      <w:pPr>
        <w:pStyle w:val="BodyText"/>
        <w:spacing w:line="316" w:lineRule="auto" w:before="25"/>
        <w:ind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spacing w:val="-12"/>
        </w:rPr>
        <w:t>出租的建筑物）。</w:t>
      </w:r>
    </w:p>
    <w:p>
      <w:pPr>
        <w:pStyle w:val="BodyText"/>
        <w:spacing w:line="316" w:lineRule="auto" w:before="19"/>
        <w:ind w:left="474" w:right="0"/>
        <w:jc w:val="left"/>
      </w:pPr>
      <w:r>
        <w:rPr/>
        <w:t>本公司采用公允价值模式对投资性房地产进行后续计量。 </w:t>
      </w:r>
      <w:r>
        <w:rPr>
          <w:spacing w:val="-2"/>
        </w:rPr>
        <w:t>本公司不对投资性房地产计提折旧或进行摊销，在资产负债表日以投资性房地产的公允价值为基础调整其账面价值，公</w:t>
      </w:r>
    </w:p>
    <w:p>
      <w:pPr>
        <w:pStyle w:val="BodyText"/>
        <w:spacing w:line="316" w:lineRule="auto" w:before="19"/>
        <w:ind w:left="474" w:right="0" w:hanging="360"/>
        <w:jc w:val="left"/>
      </w:pPr>
      <w:r>
        <w:rPr/>
        <w:t>允价值与原账面价值之间的差额计入当期损益。 </w:t>
      </w:r>
      <w:r>
        <w:rPr>
          <w:spacing w:val="-2"/>
        </w:rPr>
        <w:t>本公司有确凿证据表明房地产用途发生改变，将投资性房地产转换为自用房地产时，以其转换当日的公允价值作为自用</w:t>
      </w:r>
    </w:p>
    <w:p>
      <w:pPr>
        <w:pStyle w:val="BodyText"/>
        <w:spacing w:line="316" w:lineRule="auto" w:before="19"/>
        <w:ind w:right="1131"/>
        <w:jc w:val="both"/>
      </w:pPr>
      <w:r>
        <w:rPr>
          <w:spacing w:val="-2"/>
        </w:rPr>
        <w:t>房地产的账面价值，公允价值与原账面价值的差额计入当期损益。自用房地产或存货转换为采用公允价值模式计量的投资性</w:t>
      </w:r>
      <w:r>
        <w:rPr>
          <w:spacing w:val="-64"/>
        </w:rPr>
        <w:t> </w:t>
      </w:r>
      <w:r>
        <w:rPr>
          <w:spacing w:val="-64"/>
        </w:rPr>
      </w:r>
      <w:r>
        <w:rPr>
          <w:spacing w:val="-2"/>
        </w:rPr>
        <w:t>房地产时，投资性房地产按照转换当日的公允价值计价，转换当日的公允价值小于原账面价值的，其差额计入当期损益；转</w:t>
      </w:r>
      <w:r>
        <w:rPr>
          <w:spacing w:val="-66"/>
        </w:rPr>
        <w:t> </w:t>
      </w:r>
      <w:r>
        <w:rPr>
          <w:spacing w:val="-66"/>
        </w:rPr>
      </w:r>
      <w:r>
        <w:rPr/>
        <w:t>换当日的公允价值大于原账面价值的，其差额计入其他综合收益。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6、固定资产" w:id="183"/>
      <w:bookmarkEnd w:id="18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固定资产指为生产商品、提供劳务、出租或经营管理而持有，并且使用寿命超过一个会计年度的有形资产。固定资产在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同时满足下列条件时予以确认：</w:t>
      </w:r>
    </w:p>
    <w:p>
      <w:pPr>
        <w:pStyle w:val="BodyText"/>
        <w:spacing w:line="240" w:lineRule="auto" w:before="116"/>
        <w:ind w:left="474"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3"/>
        <w:ind w:left="474"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0"/>
        <w:jc w:val="left"/>
      </w:pPr>
      <w:r>
        <w:rPr/>
        <w:t>公司与租赁方所签订的租赁协议条款中规定了下列条件之一的，确认为融资租入资产：</w:t>
      </w:r>
    </w:p>
    <w:p>
      <w:pPr>
        <w:pStyle w:val="BodyText"/>
        <w:spacing w:line="240" w:lineRule="auto" w:before="116"/>
        <w:ind w:left="474" w:right="0"/>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3"/>
        <w:ind w:left="474"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2"/>
        <w:ind w:left="474" w:right="0"/>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38" w:lineRule="auto" w:before="102"/>
        <w:ind w:left="474" w:right="0"/>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w:t>
      </w:r>
    </w:p>
    <w:p>
      <w:pPr>
        <w:pStyle w:val="BodyText"/>
        <w:spacing w:line="240" w:lineRule="auto" w:before="4"/>
        <w:ind w:right="0"/>
        <w:jc w:val="left"/>
      </w:pPr>
      <w:r>
        <w:rPr/>
        <w:t>款额作为长期应付款的入账价值，其差额作为未确认的融资费。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4"/>
        <w:spacing w:line="240" w:lineRule="auto"/>
        <w:ind w:right="0"/>
        <w:jc w:val="left"/>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0"/>
        <w:jc w:val="left"/>
      </w:pPr>
      <w:r>
        <w:rPr/>
        <w:t>（一）借款费用资本化的确认原则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9" w:lineRule="auto" w:before="19"/>
        <w:ind w:left="474" w:right="0"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7"/>
        <w:ind w:left="474" w:right="6972" w:hanging="360"/>
        <w:jc w:val="left"/>
      </w:pPr>
      <w:r>
        <w:rPr/>
        <w:t>产、投资性房地产和存货等资产。 借款费用同时满足下列条件时开始资本化：</w:t>
      </w:r>
    </w:p>
    <w:p>
      <w:pPr>
        <w:pStyle w:val="BodyText"/>
        <w:spacing w:line="240" w:lineRule="auto" w:before="19"/>
        <w:ind w:left="474" w:right="0"/>
        <w:jc w:val="left"/>
      </w:pPr>
      <w:r>
        <w:rPr/>
        <w:t>（</w:t>
      </w:r>
      <w:r>
        <w:rPr>
          <w:rFonts w:ascii="宋体" w:hAnsi="宋体" w:cs="宋体" w:eastAsia="宋体" w:hint="default"/>
        </w:rPr>
        <w:t>1</w:t>
      </w:r>
      <w:r>
        <w:rPr/>
        <w:t>）资产支出已经发生，资产支出包括为购建或者生产符合资本化条件的资产而以支付现金、转移非现金资产或者承</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担带息债务形式发生的支出；</w:t>
      </w:r>
    </w:p>
    <w:p>
      <w:pPr>
        <w:pStyle w:val="BodyText"/>
        <w:spacing w:line="240" w:lineRule="auto" w:before="76"/>
        <w:ind w:left="474" w:right="0"/>
        <w:jc w:val="left"/>
      </w:pPr>
      <w:r>
        <w:rPr/>
        <w:t>（</w:t>
      </w:r>
      <w:r>
        <w:rPr>
          <w:rFonts w:ascii="宋体" w:hAnsi="宋体" w:cs="宋体" w:eastAsia="宋体" w:hint="default"/>
        </w:rPr>
        <w:t>2</w:t>
      </w:r>
      <w:r>
        <w:rPr/>
        <w:t>）借款费用已经发生；</w:t>
      </w:r>
    </w:p>
    <w:p>
      <w:pPr>
        <w:pStyle w:val="BodyText"/>
        <w:spacing w:line="240" w:lineRule="auto" w:before="76"/>
        <w:ind w:left="474"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（二）借款费用资本化期间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0"/>
        <w:jc w:val="left"/>
      </w:pPr>
      <w:r>
        <w:rPr/>
        <w:t>款费用资本化。</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（三）暂停资本化期间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16" w:lineRule="auto" w:before="19"/>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（四）借款费用资本化率、资本化金额的计算方法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6" w:lineRule="auto" w:before="19"/>
        <w:ind w:left="474"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1118"/>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9、无形资产" w:id="189"/>
      <w:bookmarkEnd w:id="18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（一）无形资产的计价方法</w:t>
      </w:r>
    </w:p>
    <w:p>
      <w:pPr>
        <w:pStyle w:val="BodyText"/>
        <w:spacing w:line="316" w:lineRule="auto" w:before="76"/>
        <w:ind w:left="474" w:right="0"/>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left="474"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47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474" w:right="7152"/>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19"/>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（二）使用寿命有限的无形资产的使用寿命估计情况： </w:t>
      </w:r>
      <w:r>
        <w:rPr>
          <w:spacing w:val="-2"/>
        </w:rPr>
        <w:t>使用寿命有限的无形资产，以其成本扣除预计残值后的金额，在预计的使用年限内采用直线法进行摊销，其摊销期限如</w:t>
      </w:r>
    </w:p>
    <w:p>
      <w:pPr>
        <w:pStyle w:val="BodyText"/>
        <w:spacing w:line="240" w:lineRule="auto" w:before="19"/>
        <w:ind w:right="0"/>
        <w:jc w:val="left"/>
      </w:pPr>
      <w:r>
        <w:rPr/>
        <w:t>下：</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0"/>
        <w:jc w:val="left"/>
      </w:pPr>
      <w:r>
        <w:rPr/>
        <w:t>（</w:t>
      </w:r>
      <w:r>
        <w:rPr>
          <w:rFonts w:ascii="宋体" w:hAnsi="宋体" w:cs="宋体" w:eastAsia="宋体" w:hint="default"/>
        </w:rPr>
        <w:t>1</w:t>
      </w:r>
      <w:r>
        <w:rPr/>
        <w:t>）土地使用权按取得时尚可使用年限摊销；</w:t>
      </w:r>
    </w:p>
    <w:p>
      <w:pPr>
        <w:pStyle w:val="BodyText"/>
        <w:spacing w:line="316" w:lineRule="auto" w:before="76"/>
        <w:ind w:left="474" w:right="6432"/>
        <w:jc w:val="left"/>
      </w:pPr>
      <w:r>
        <w:rPr/>
        <w:t>（</w:t>
      </w:r>
      <w:r>
        <w:rPr>
          <w:rFonts w:ascii="宋体" w:hAnsi="宋体" w:cs="宋体" w:eastAsia="宋体" w:hint="default"/>
        </w:rPr>
        <w:t>2</w:t>
      </w:r>
      <w:r>
        <w:rPr/>
        <w:t>）其他无形资产按预计使用年限摊销。 对于无形资产的使用寿命按照下述程序进行判断：</w:t>
      </w:r>
    </w:p>
    <w:p>
      <w:pPr>
        <w:pStyle w:val="BodyText"/>
        <w:spacing w:line="240" w:lineRule="auto" w:before="19"/>
        <w:ind w:left="474" w:right="0"/>
        <w:jc w:val="left"/>
      </w:pPr>
      <w:r>
        <w:rPr/>
        <w:t>（</w:t>
      </w:r>
      <w:r>
        <w:rPr>
          <w:rFonts w:ascii="宋体" w:hAnsi="宋体" w:cs="宋体" w:eastAsia="宋体" w:hint="default"/>
        </w:rPr>
        <w:t>1</w:t>
      </w:r>
      <w:r>
        <w:rPr/>
        <w:t>）来源于合同性权利或其他法定权利的无形资产，其使用寿命不应超过合同性权利或其他法定权利的期限；</w:t>
      </w:r>
    </w:p>
    <w:p>
      <w:pPr>
        <w:pStyle w:val="BodyText"/>
        <w:spacing w:line="316" w:lineRule="auto" w:before="77"/>
        <w:ind w:right="1131" w:firstLine="360"/>
        <w:jc w:val="both"/>
      </w:pPr>
      <w:r>
        <w:rPr/>
        <w:t>（</w:t>
      </w:r>
      <w:r>
        <w:rPr>
          <w:rFonts w:ascii="宋体" w:hAnsi="宋体" w:cs="宋体" w:eastAsia="宋体" w:hint="default"/>
        </w:rPr>
        <w:t>2</w:t>
      </w:r>
      <w:r>
        <w:rPr/>
        <w:t>）合同性权利或其他法定权利在到期时因续约等延续、且有证据表明企业续约不需要付出大额成本的，续约期应当 </w:t>
      </w:r>
      <w:r>
        <w:rPr>
          <w:spacing w:val="-2"/>
        </w:rPr>
        <w:t>计入使用寿命。合同或法律没有规定使用寿命的，本公司综合各方面因素判断，以确定无形资产能为企业带来经济利益的期</w:t>
      </w:r>
      <w:r>
        <w:rPr>
          <w:spacing w:val="-65"/>
        </w:rPr>
        <w:t> </w:t>
      </w:r>
      <w:r>
        <w:rPr>
          <w:spacing w:val="-65"/>
        </w:rPr>
      </w:r>
      <w:r>
        <w:rPr/>
        <w:t>限。</w:t>
      </w:r>
    </w:p>
    <w:p>
      <w:pPr>
        <w:pStyle w:val="BodyText"/>
        <w:spacing w:line="316" w:lineRule="auto" w:before="19"/>
        <w:ind w:left="474" w:right="4452"/>
        <w:jc w:val="left"/>
      </w:pPr>
      <w:r>
        <w:rPr/>
        <w:t>每年度终了，对使用寿命有限的无形资产的使用寿命及摊销方法进行复核。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316" w:lineRule="auto"/>
        <w:ind w:left="474" w:right="4092"/>
        <w:jc w:val="left"/>
      </w:pPr>
      <w:r>
        <w:rPr/>
        <w:t>（三）使用寿命不确定的无形资产的判断依据以及对其使用寿命进行复核的程序 每年末，对使用寿命不确定的无形资产的使用寿命进行复核。 经复核，该类无形资产的使用寿命仍为不确定。</w:t>
      </w:r>
    </w:p>
    <w:p>
      <w:pPr>
        <w:spacing w:line="240" w:lineRule="auto" w:before="4"/>
        <w:rPr>
          <w:rFonts w:ascii="宋体" w:hAnsi="宋体" w:cs="宋体" w:eastAsia="宋体" w:hint="default"/>
          <w:sz w:val="25"/>
          <w:szCs w:val="25"/>
        </w:rPr>
      </w:pPr>
    </w:p>
    <w:p>
      <w:pPr>
        <w:pStyle w:val="BodyText"/>
        <w:spacing w:line="316" w:lineRule="auto"/>
        <w:ind w:left="474" w:right="4452"/>
        <w:jc w:val="left"/>
      </w:pPr>
      <w:r>
        <w:rPr/>
        <w:t>（四）无形资产减值准备的计提 对于使用寿命确定的无形资产，如有明显减值迹象的，年末进行减值测试。 对于使用寿命不确定的无形资产，每年末进行减值测试。</w:t>
      </w:r>
    </w:p>
    <w:p>
      <w:pPr>
        <w:pStyle w:val="BodyText"/>
        <w:spacing w:line="316" w:lineRule="auto" w:before="19"/>
        <w:ind w:right="1132" w:firstLine="360"/>
        <w:jc w:val="both"/>
      </w:pPr>
      <w:r>
        <w:rPr>
          <w:spacing w:val="-2"/>
        </w:rPr>
        <w:t>对无形资产进行减值测试，估计其可收回金额。有迹象表明一项无形资产可能发生减值的，公司以单项无形资产为基础</w:t>
      </w:r>
      <w:r>
        <w:rPr/>
        <w:t> </w:t>
      </w: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316" w:lineRule="auto" w:before="19"/>
        <w:ind w:left="474" w:right="1032"/>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16" w:lineRule="auto" w:before="19"/>
        <w:ind w:left="474" w:right="0" w:hanging="360"/>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16" w:lineRule="auto" w:before="19"/>
        <w:ind w:left="474" w:right="2139" w:hanging="360"/>
        <w:jc w:val="left"/>
      </w:pPr>
      <w:r>
        <w:rPr>
          <w:spacing w:val="-4"/>
        </w:rPr>
        <w:t>内，系统地分摊调整后的无形资产账面价值（扣除预计净残值）。</w:t>
      </w:r>
      <w:r>
        <w:rPr>
          <w:spacing w:val="-64"/>
        </w:rPr>
        <w:t> </w:t>
      </w:r>
      <w:r>
        <w:rPr>
          <w:spacing w:val="-64"/>
        </w:rPr>
      </w:r>
      <w:r>
        <w:rPr/>
        <w:t>无形资产的减值损失一经确认，在以后会计期间不再转回。</w:t>
      </w:r>
    </w:p>
    <w:p>
      <w:pPr>
        <w:pStyle w:val="Heading6"/>
        <w:spacing w:line="240" w:lineRule="auto" w:before="20"/>
        <w:ind w:right="0"/>
        <w:jc w:val="left"/>
        <w:rPr>
          <w:b w:val="0"/>
          <w:bCs w:val="0"/>
        </w:rPr>
      </w:pPr>
      <w:bookmarkStart w:name="（2）内部研究开发支出会计政策" w:id="191"/>
      <w:bookmarkEnd w:id="191"/>
      <w:r>
        <w:rPr>
          <w:b w:val="0"/>
          <w:bCs w:val="0"/>
        </w:rPr>
      </w:r>
      <w:r>
        <w:rPr/>
        <w:t>（</w:t>
      </w:r>
      <w:r>
        <w:rPr>
          <w:rFonts w:ascii="宋体" w:hAnsi="宋体" w:cs="宋体" w:eastAsia="宋体" w:hint="default"/>
        </w:rPr>
        <w:t>2</w:t>
      </w:r>
      <w:r>
        <w:rPr/>
        <w:t>）内部研究开发支出会计政策</w:t>
      </w:r>
      <w:r>
        <w:rPr>
          <w:b w:val="0"/>
          <w:bCs w:val="0"/>
        </w:rPr>
      </w:r>
    </w:p>
    <w:p>
      <w:pPr>
        <w:pStyle w:val="BodyText"/>
        <w:spacing w:line="316" w:lineRule="auto" w:before="76"/>
        <w:ind w:left="474" w:right="2652"/>
        <w:jc w:val="left"/>
      </w:pPr>
      <w:r>
        <w:rPr/>
        <w:t>（一）划分研究阶段和开发阶段的具体标准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133"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4"/>
        <w:rPr>
          <w:rFonts w:ascii="宋体" w:hAnsi="宋体" w:cs="宋体" w:eastAsia="宋体" w:hint="default"/>
          <w:sz w:val="25"/>
          <w:szCs w:val="25"/>
        </w:rPr>
      </w:pPr>
    </w:p>
    <w:p>
      <w:pPr>
        <w:pStyle w:val="BodyText"/>
        <w:spacing w:line="316" w:lineRule="auto"/>
        <w:ind w:left="474" w:right="4452"/>
        <w:jc w:val="left"/>
      </w:pPr>
      <w:r>
        <w:rPr/>
        <w:t>（二）开发阶段支出资本化的具体条件 内部研究开发项目开发阶段的支出，同时满足下列条件时确认为无形资产：</w:t>
      </w:r>
    </w:p>
    <w:p>
      <w:pPr>
        <w:pStyle w:val="BodyText"/>
        <w:spacing w:line="240" w:lineRule="auto" w:before="19"/>
        <w:ind w:left="474"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76"/>
        <w:ind w:left="474" w:right="0"/>
        <w:jc w:val="left"/>
      </w:pPr>
      <w:r>
        <w:rPr/>
        <w:t>（</w:t>
      </w:r>
      <w:r>
        <w:rPr>
          <w:rFonts w:ascii="宋体" w:hAnsi="宋体" w:cs="宋体" w:eastAsia="宋体" w:hint="default"/>
        </w:rPr>
        <w:t>2</w:t>
      </w:r>
      <w:r>
        <w:rPr/>
        <w:t>）具有完成该无形资产并使用或出售的意图；</w:t>
      </w:r>
    </w:p>
    <w:p>
      <w:pPr>
        <w:pStyle w:val="BodyText"/>
        <w:spacing w:line="316" w:lineRule="auto" w:before="76"/>
        <w:ind w:right="1131" w:firstLine="360"/>
        <w:jc w:val="both"/>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19"/>
        <w:ind w:left="474" w:right="0"/>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pStyle w:val="BodyText"/>
        <w:spacing w:line="316" w:lineRule="auto" w:before="77"/>
        <w:ind w:left="474" w:right="1752"/>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20、长期资产减值" w:id="192"/>
      <w:bookmarkEnd w:id="19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长期股权投资、固定资产、在建工程、使用寿命有限的无形资产等长期资产，于资产负债表日存在减值迹象的，进行减</w:t>
      </w:r>
      <w:r>
        <w:rPr/>
        <w:t> </w:t>
      </w:r>
      <w:r>
        <w:rPr>
          <w:spacing w:val="-2"/>
        </w:rPr>
        <w:t>值测试。减值测试结果表明资产的可收回金额低于其账面价值的，按其差额计提减值准备并计入减值损失。可收回金额为资</w:t>
      </w:r>
      <w:r>
        <w:rPr>
          <w:spacing w:val="-66"/>
        </w:rPr>
        <w:t> </w:t>
      </w:r>
      <w:r>
        <w:rPr>
          <w:spacing w:val="-66"/>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6"/>
        </w:rPr>
        <w:t> </w:t>
      </w:r>
      <w:r>
        <w:rPr>
          <w:spacing w:val="-66"/>
        </w:rPr>
      </w:r>
      <w:r>
        <w:rPr/>
        <w:t>独立产生现金流入的最小资产组合。</w:t>
      </w:r>
    </w:p>
    <w:p>
      <w:pPr>
        <w:pStyle w:val="BodyText"/>
        <w:spacing w:line="316" w:lineRule="auto" w:before="17"/>
        <w:ind w:left="474" w:right="1032"/>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2"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1、 商誉" w:id="193"/>
      <w:bookmarkEnd w:id="193"/>
      <w:r>
        <w:rPr>
          <w:b w:val="0"/>
          <w:bCs w:val="0"/>
        </w:rPr>
      </w:r>
      <w:r>
        <w:rPr>
          <w:rFonts w:ascii="Times New Roman" w:hAnsi="Times New Roman" w:cs="Times New Roman" w:eastAsia="Times New Roman" w:hint="default"/>
        </w:rPr>
        <w:t>21</w:t>
      </w:r>
      <w:r>
        <w:rPr/>
        <w:t>、</w:t>
      </w:r>
      <w:r>
        <w:rPr>
          <w:spacing w:val="-1"/>
        </w:rPr>
        <w:t> </w:t>
      </w:r>
      <w:r>
        <w:rPr/>
        <w:t>商誉</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因非同一控制下企业合并形成的商誉，其初始成本是合并成本大于合并中取得的被购买方可辨认净资产公允价值份额的</w:t>
      </w:r>
      <w:r>
        <w:rPr/>
        <w:t> 差额。</w:t>
      </w:r>
    </w:p>
    <w:p>
      <w:pPr>
        <w:pStyle w:val="BodyText"/>
        <w:spacing w:line="316" w:lineRule="auto" w:before="19"/>
        <w:ind w:left="474" w:right="1032"/>
        <w:jc w:val="left"/>
      </w:pPr>
      <w:r>
        <w:rPr/>
        <w:t>商誉在其相关资产组或资产组组合处置时予以转出，计入当期损益。 本公司对商誉不摊销，商誉至少在每年年度终了进行减值测试。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1032"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商誉减值损失在发生时计入当期损益，且在以后会计期间不予转回。</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2、长期待摊费用" w:id="194"/>
      <w:bookmarkEnd w:id="194"/>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3372"/>
        <w:jc w:val="left"/>
      </w:pPr>
      <w:r>
        <w:rPr/>
        <w:t>长期待摊费用为已经发生但应由本期和以后各期负担的分摊期限在一年以上的各项费用。 摊销方法：</w:t>
      </w:r>
    </w:p>
    <w:p>
      <w:pPr>
        <w:pStyle w:val="BodyText"/>
        <w:spacing w:line="316" w:lineRule="auto" w:before="19"/>
        <w:ind w:left="474" w:right="0"/>
        <w:jc w:val="left"/>
      </w:pPr>
      <w:r>
        <w:rPr/>
        <w:t>开办费在开始生产经营的当月一次计入损益。 </w:t>
      </w:r>
      <w:r>
        <w:rPr>
          <w:spacing w:val="-2"/>
        </w:rPr>
        <w:t>其他长期待摊费用在受益期内分期平均摊销，如长期待摊费用项目不能使以后会计期间受益，则将尚未摊销的摊余价值</w:t>
      </w:r>
    </w:p>
    <w:p>
      <w:pPr>
        <w:pStyle w:val="BodyText"/>
        <w:spacing w:line="240" w:lineRule="auto" w:before="19"/>
        <w:ind w:right="0"/>
        <w:jc w:val="left"/>
      </w:pPr>
      <w:r>
        <w:rPr/>
        <w:t>全部转入当期损益。</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23、职工薪酬" w:id="195"/>
      <w:bookmarkEnd w:id="195"/>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474" w:right="4632"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0"/>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474" w:right="1122"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pStyle w:val="BodyText"/>
        <w:spacing w:line="240" w:lineRule="auto" w:before="19"/>
        <w:ind w:right="0"/>
        <w:jc w:val="left"/>
      </w:pPr>
      <w:r>
        <w:rPr/>
        <w:t>计划。本公司按职工工资总额的一定比例向当地社会保险机构缴费</w:t>
      </w:r>
      <w:r>
        <w:rPr>
          <w:rFonts w:ascii="宋体" w:hAnsi="宋体" w:cs="宋体" w:eastAsia="宋体" w:hint="default"/>
        </w:rPr>
        <w:t>/</w:t>
      </w:r>
      <w:r>
        <w:rPr/>
        <w:t>年金计划缴费，相应支出计入当期损益或相关资产成本。</w:t>
      </w:r>
    </w:p>
    <w:p>
      <w:pPr>
        <w:pStyle w:val="BodyText"/>
        <w:spacing w:line="316" w:lineRule="auto" w:before="76"/>
        <w:ind w:left="474" w:right="0"/>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316" w:lineRule="auto" w:before="19"/>
        <w:ind w:left="474" w:right="1032" w:hanging="360"/>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9"/>
        <w:ind w:left="474" w:right="0"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474" w:right="0"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right="0"/>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19"/>
        <w:ind w:left="474" w:right="0"/>
        <w:jc w:val="left"/>
      </w:pPr>
      <w:r>
        <w:rPr/>
        <w:t>在设定受益计划结算时，按在结算日确定的设定受益计划义务现值和结算价格两者的差额，确认结算利得或损失。</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81" w:firstLine="391"/>
        <w:jc w:val="left"/>
      </w:pPr>
      <w:r>
        <w:rPr/>
        <w:t>本公司在不能单方面撤回因解除劳动关系计划或裁减建议所提供的辞退福利时，或确认与涉及支付辞退福利的重组相 </w:t>
      </w:r>
      <w:r>
        <w:rPr>
          <w:spacing w:val="-3"/>
        </w:rPr>
        <w:t>关的成本或费用时（两者孰早），确认辞退福利产生的职工薪酬负债，并计入当期损益。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4、预计负债" w:id="199"/>
      <w:bookmarkEnd w:id="199"/>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1572"/>
        <w:jc w:val="left"/>
      </w:pPr>
      <w:r>
        <w:rPr/>
        <w:t>（一）预计负债的确认标准 与诉讼、债务担保、亏损合同、重组事项等或有事项相关的义务同时满足下列条件时，本公司确认为预计负债：</w:t>
      </w:r>
    </w:p>
    <w:p>
      <w:pPr>
        <w:pStyle w:val="BodyText"/>
        <w:spacing w:line="240" w:lineRule="auto" w:before="19"/>
        <w:ind w:left="474" w:right="0"/>
        <w:jc w:val="left"/>
      </w:pPr>
      <w:r>
        <w:rPr/>
        <w:t>（</w:t>
      </w:r>
      <w:r>
        <w:rPr>
          <w:rFonts w:ascii="宋体" w:hAnsi="宋体" w:cs="宋体" w:eastAsia="宋体" w:hint="default"/>
        </w:rPr>
        <w:t>1</w:t>
      </w:r>
      <w:r>
        <w:rPr/>
        <w:t>）该义务是本公司承担的现时义务；</w:t>
      </w:r>
    </w:p>
    <w:p>
      <w:pPr>
        <w:pStyle w:val="BodyText"/>
        <w:spacing w:line="240" w:lineRule="auto" w:before="76"/>
        <w:ind w:left="474"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76"/>
        <w:ind w:left="474" w:right="0"/>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16" w:lineRule="auto" w:before="153"/>
        <w:ind w:left="474" w:right="4272"/>
        <w:jc w:val="left"/>
      </w:pPr>
      <w:r>
        <w:rPr/>
        <w:t>（二）各类预计负债的计量方法 本公司预计负债按履行相关现时义务所需的支出的最佳估计数进行初始计量。</w:t>
      </w:r>
    </w:p>
    <w:p>
      <w:pPr>
        <w:pStyle w:val="BodyText"/>
        <w:spacing w:line="316" w:lineRule="auto" w:before="19"/>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47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032"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5、收入" w:id="200"/>
      <w:bookmarkEnd w:id="200"/>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474" w:right="0"/>
        <w:jc w:val="left"/>
      </w:pPr>
      <w:r>
        <w:rPr/>
        <w:t>（一）销售商品收入确认时间的具体判断标准：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before="19"/>
        <w:ind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6" w:lineRule="auto" w:before="19"/>
        <w:ind w:right="1122" w:firstLine="360"/>
        <w:jc w:val="left"/>
      </w:pPr>
      <w:r>
        <w:rPr/>
        <w:t>（</w:t>
      </w:r>
      <w:r>
        <w:rPr>
          <w:rFonts w:ascii="宋体" w:hAnsi="宋体" w:cs="宋体" w:eastAsia="宋体" w:hint="default"/>
        </w:rPr>
        <w:t>1</w:t>
      </w:r>
      <w:r>
        <w:rPr/>
        <w:t>）外销收入确认：出口销售采用离岸价结算，货物经商检、出口报关，公司在海关确认出口并在出口报关单上加注 出口日期后确认收入；</w:t>
      </w:r>
    </w:p>
    <w:p>
      <w:pPr>
        <w:pStyle w:val="BodyText"/>
        <w:spacing w:line="240" w:lineRule="auto" w:before="19"/>
        <w:ind w:left="474" w:right="0"/>
        <w:jc w:val="left"/>
      </w:pPr>
      <w:r>
        <w:rPr/>
        <w:t>（</w:t>
      </w:r>
      <w:r>
        <w:rPr>
          <w:rFonts w:ascii="宋体" w:hAnsi="宋体" w:cs="宋体" w:eastAsia="宋体" w:hint="default"/>
        </w:rPr>
        <w:t>2</w:t>
      </w:r>
      <w:r>
        <w:rPr/>
        <w:t>）内销收入确认：在开具发票，并取得客户签字的发货单后确认收入。</w:t>
      </w:r>
    </w:p>
    <w:p>
      <w:pPr>
        <w:spacing w:line="240" w:lineRule="auto" w:before="0"/>
        <w:rPr>
          <w:rFonts w:ascii="宋体" w:hAnsi="宋体" w:cs="宋体" w:eastAsia="宋体" w:hint="default"/>
          <w:sz w:val="18"/>
          <w:szCs w:val="18"/>
        </w:rPr>
      </w:pPr>
    </w:p>
    <w:p>
      <w:pPr>
        <w:pStyle w:val="BodyText"/>
        <w:spacing w:line="316" w:lineRule="auto" w:before="153"/>
        <w:ind w:left="474" w:right="1212"/>
        <w:jc w:val="left"/>
      </w:pPr>
      <w:r>
        <w:rPr/>
        <w:t>（二）确认让渡资产使用权收入的依据 与交易相关的经济利益很可能流入企业，收入的金额能够可靠地计量时。分别下列情况确定让渡资产使用权收入金额</w:t>
      </w:r>
    </w:p>
    <w:p>
      <w:pPr>
        <w:pStyle w:val="BodyText"/>
        <w:spacing w:line="240" w:lineRule="auto" w:before="19"/>
        <w:ind w:left="474" w:right="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76"/>
        <w:ind w:left="474" w:right="0"/>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（三）按完工百分比法确认提供劳务的收入和建造合同收入时，确定合同完工进度的依据和方法 </w:t>
      </w:r>
      <w:r>
        <w:rPr>
          <w:spacing w:val="-4"/>
        </w:rPr>
        <w:t>在资产负债表日提供劳务交易的结果能够可靠估计的，采用完工百分比法确认提供劳务收入。提供劳务交易的完工进度，</w:t>
      </w:r>
    </w:p>
    <w:p>
      <w:pPr>
        <w:pStyle w:val="BodyText"/>
        <w:spacing w:line="316" w:lineRule="auto" w:before="19"/>
        <w:ind w:left="474" w:right="0" w:hanging="360"/>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316" w:lineRule="auto" w:before="19"/>
        <w:ind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474" w:right="0"/>
        <w:jc w:val="left"/>
      </w:pPr>
      <w:r>
        <w:rPr/>
        <w:t>在资产负债表日提供劳务交易结果不能够可靠估计的，分别下列情况处理：</w:t>
      </w:r>
    </w:p>
    <w:p>
      <w:pPr>
        <w:pStyle w:val="BodyText"/>
        <w:spacing w:line="316" w:lineRule="auto" w:before="76"/>
        <w:ind w:right="1122" w:firstLine="360"/>
        <w:jc w:val="left"/>
      </w:pPr>
      <w:r>
        <w:rPr/>
        <w:t>（</w:t>
      </w:r>
      <w:r>
        <w:rPr>
          <w:rFonts w:ascii="宋体" w:hAnsi="宋体" w:cs="宋体" w:eastAsia="宋体" w:hint="default"/>
        </w:rPr>
        <w:t>1</w:t>
      </w:r>
      <w:r>
        <w:rPr/>
        <w:t>）已经发生的劳务成本预计能够得到补偿的，按照已经发生的劳务成本金额确认提供劳务收入，并按相同金额结转 劳务成本；</w:t>
      </w:r>
    </w:p>
    <w:p>
      <w:pPr>
        <w:pStyle w:val="BodyText"/>
        <w:spacing w:line="240" w:lineRule="auto" w:before="19"/>
        <w:ind w:left="474" w:right="0"/>
        <w:jc w:val="left"/>
      </w:pPr>
      <w:r>
        <w:rPr/>
        <w:t>（</w:t>
      </w:r>
      <w:r>
        <w:rPr>
          <w:rFonts w:ascii="宋体" w:hAnsi="宋体" w:cs="宋体" w:eastAsia="宋体" w:hint="default"/>
        </w:rPr>
        <w:t>2</w:t>
      </w:r>
      <w:r>
        <w:rPr/>
        <w:t>）已经发生的劳务成本预计不能够得到补偿的，将已经发生的劳务成本计入当期损益，不确认提供劳务收入。</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6、政府补助" w:id="201"/>
      <w:bookmarkEnd w:id="201"/>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4" w:right="1118"/>
        <w:jc w:val="left"/>
      </w:pPr>
      <w:r>
        <w:rPr/>
        <w:t>（一）类型 </w:t>
      </w:r>
      <w:r>
        <w:rPr>
          <w:spacing w:val="-2"/>
        </w:rPr>
        <w:t>政府补助，是本公司从政府无偿取得的货币性资产与非货币性资产。分为与资产相关的政府补助和与收益相关的政府补</w:t>
      </w:r>
    </w:p>
    <w:p>
      <w:pPr>
        <w:pStyle w:val="BodyText"/>
        <w:spacing w:line="240" w:lineRule="auto" w:before="19"/>
        <w:ind w:right="0"/>
        <w:jc w:val="left"/>
      </w:pPr>
      <w:r>
        <w:rPr/>
        <w:t>助。</w:t>
      </w:r>
    </w:p>
    <w:p>
      <w:pPr>
        <w:pStyle w:val="BodyText"/>
        <w:spacing w:line="240" w:lineRule="auto" w:before="76"/>
        <w:ind w:left="474" w:right="0"/>
        <w:jc w:val="left"/>
      </w:pPr>
      <w:r>
        <w:rPr>
          <w:spacing w:val="-4"/>
        </w:rPr>
        <w:t>与资产相关的政府补助，是指本公司取得的、用于购建或以其他方式形成长期资产的政府补助。与收益相关的政府补助，</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hanging="360"/>
        <w:jc w:val="left"/>
      </w:pPr>
      <w:r>
        <w:rPr/>
        <w:t>是指除与资产相关的政府补助之外的政府补助。 </w:t>
      </w:r>
      <w:r>
        <w:rPr>
          <w:spacing w:val="-2"/>
        </w:rPr>
        <w:t>本公司将政府补助划分为与资产相关的具体标准为：政府补助批准文件明确指出补助用于购建或以其他方式形成长期资</w:t>
      </w:r>
    </w:p>
    <w:p>
      <w:pPr>
        <w:pStyle w:val="BodyText"/>
        <w:spacing w:line="240" w:lineRule="auto" w:before="19"/>
        <w:ind w:right="0"/>
        <w:jc w:val="left"/>
      </w:pPr>
      <w:r>
        <w:rPr/>
        <w:t>产。</w:t>
      </w:r>
    </w:p>
    <w:p>
      <w:pPr>
        <w:pStyle w:val="BodyText"/>
        <w:spacing w:line="319" w:lineRule="auto" w:before="76"/>
        <w:ind w:right="0" w:firstLine="360"/>
        <w:jc w:val="left"/>
      </w:pPr>
      <w:r>
        <w:rPr>
          <w:spacing w:val="-2"/>
        </w:rPr>
        <w:t>本公司将政府补助划分为与收益相关的具体标准为：政府补助批准文件明确指出补助用于购建或以其他方式形成长期资</w:t>
      </w:r>
      <w:r>
        <w:rPr/>
        <w:t> 产之外的情况。</w:t>
      </w:r>
    </w:p>
    <w:p>
      <w:pPr>
        <w:pStyle w:val="BodyText"/>
        <w:spacing w:line="316" w:lineRule="auto" w:before="17"/>
        <w:ind w:right="0" w:firstLine="360"/>
        <w:jc w:val="left"/>
      </w:pPr>
      <w:r>
        <w:rPr>
          <w:spacing w:val="-2"/>
        </w:rPr>
        <w:t>对于政府文件未明确规定补助对象的，本公司将该政府补助划分为与资产相关或与收益相关的判断依据为：是否用于购</w:t>
      </w:r>
      <w:r>
        <w:rPr/>
        <w:t> 建或以其他方式形成长期资产。</w:t>
      </w:r>
    </w:p>
    <w:p>
      <w:pPr>
        <w:spacing w:line="240" w:lineRule="auto" w:before="4"/>
        <w:rPr>
          <w:rFonts w:ascii="宋体" w:hAnsi="宋体" w:cs="宋体" w:eastAsia="宋体" w:hint="default"/>
          <w:sz w:val="23"/>
          <w:szCs w:val="23"/>
        </w:rPr>
      </w:pPr>
    </w:p>
    <w:p>
      <w:pPr>
        <w:pStyle w:val="Heading5"/>
        <w:spacing w:line="240" w:lineRule="auto"/>
        <w:ind w:right="0"/>
        <w:jc w:val="left"/>
      </w:pPr>
      <w:r>
        <w:rPr/>
        <w:t>（二）确认时点</w:t>
      </w:r>
    </w:p>
    <w:p>
      <w:pPr>
        <w:pStyle w:val="BodyText"/>
        <w:spacing w:line="240" w:lineRule="auto" w:before="62"/>
        <w:ind w:left="474" w:right="0"/>
        <w:jc w:val="left"/>
      </w:pPr>
      <w:r>
        <w:rPr/>
        <w:t>企业实际取得政府补助款项作为确认时点。</w:t>
      </w:r>
    </w:p>
    <w:p>
      <w:pPr>
        <w:spacing w:line="240" w:lineRule="auto" w:before="0"/>
        <w:rPr>
          <w:rFonts w:ascii="宋体" w:hAnsi="宋体" w:cs="宋体" w:eastAsia="宋体" w:hint="default"/>
          <w:sz w:val="18"/>
          <w:szCs w:val="18"/>
        </w:rPr>
      </w:pPr>
    </w:p>
    <w:p>
      <w:pPr>
        <w:pStyle w:val="Heading5"/>
        <w:spacing w:line="240" w:lineRule="auto" w:before="127"/>
        <w:ind w:right="0"/>
        <w:jc w:val="left"/>
      </w:pPr>
      <w:r>
        <w:rPr/>
        <w:t>（三）会计处理</w:t>
      </w:r>
    </w:p>
    <w:p>
      <w:pPr>
        <w:pStyle w:val="BodyText"/>
        <w:spacing w:line="316" w:lineRule="auto" w:before="62"/>
        <w:ind w:right="0" w:firstLine="360"/>
        <w:jc w:val="left"/>
      </w:pPr>
      <w:r>
        <w:rPr>
          <w:spacing w:val="-2"/>
        </w:rPr>
        <w:t>与资产相关的政府补助，冲减相关资产账面价值或确认为递延收益。确认为递延收益的，在相关资产使用寿命内按照合</w:t>
      </w:r>
      <w:r>
        <w:rPr/>
        <w:t> </w:t>
      </w:r>
      <w:r>
        <w:rPr>
          <w:spacing w:val="-7"/>
        </w:rPr>
        <w:t>理、系统的方法分期计入当期损益（与本公司日常活动相关的，计入其他收益；与本公司日常活动无关的，计入营业外收入）；</w:t>
      </w:r>
    </w:p>
    <w:p>
      <w:pPr>
        <w:pStyle w:val="BodyText"/>
        <w:spacing w:line="316" w:lineRule="auto" w:before="19"/>
        <w:ind w:right="0" w:firstLine="360"/>
        <w:jc w:val="left"/>
      </w:pPr>
      <w:r>
        <w:rPr>
          <w:spacing w:val="-2"/>
        </w:rPr>
        <w:t>与收益相关的政府补助，用于补偿本公司以后期间的相关成本费用或损失的，确认为递延收益，并在确认相关成本费用</w:t>
      </w:r>
      <w:r>
        <w:rPr/>
        <w:t> </w:t>
      </w:r>
      <w:r>
        <w:rPr>
          <w:spacing w:val="-2"/>
        </w:rPr>
        <w:t>或损失的期间，计入当期损益（与本公司日常活动相关的，计入其他收益；与本公司日常活动无关的，计入营业外收入）或</w:t>
      </w:r>
      <w:r>
        <w:rPr>
          <w:spacing w:val="-67"/>
        </w:rPr>
        <w:t> </w:t>
      </w:r>
      <w:r>
        <w:rPr>
          <w:spacing w:val="-67"/>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7、递延所得税资产/递延所得税负债" w:id="202"/>
      <w:bookmarkEnd w:id="202"/>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7"/>
        <w:ind w:left="47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47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474"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8、 租赁" w:id="203"/>
      <w:bookmarkEnd w:id="203"/>
      <w:r>
        <w:rPr>
          <w:b w:val="0"/>
          <w:bCs w:val="0"/>
        </w:rPr>
      </w:r>
      <w:r>
        <w:rPr>
          <w:rFonts w:ascii="Times New Roman" w:hAnsi="Times New Roman" w:cs="Times New Roman" w:eastAsia="Times New Roman" w:hint="default"/>
        </w:rPr>
        <w:t>28</w:t>
      </w:r>
      <w:r>
        <w:rPr/>
        <w:t>、</w:t>
      </w:r>
      <w:r>
        <w:rPr>
          <w:spacing w:val="-1"/>
        </w:rPr>
        <w:t> </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（一）经营租赁会计处理</w:t>
      </w:r>
    </w:p>
    <w:p>
      <w:pPr>
        <w:pStyle w:val="BodyText"/>
        <w:spacing w:line="316" w:lineRule="auto" w:before="76"/>
        <w:ind w:right="1122" w:firstLine="360"/>
        <w:jc w:val="left"/>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9" w:lineRule="auto" w:before="19"/>
        <w:ind w:right="0"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7"/>
        <w:ind w:right="1131" w:firstLine="360"/>
        <w:jc w:val="both"/>
      </w:pPr>
      <w:r>
        <w:rPr/>
        <w:t>（</w:t>
      </w:r>
      <w:r>
        <w:rPr>
          <w:rFonts w:ascii="宋体" w:hAnsi="宋体" w:cs="宋体" w:eastAsia="宋体"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w:t>
      </w:r>
    </w:p>
    <w:p>
      <w:pPr>
        <w:pStyle w:val="BodyText"/>
        <w:spacing w:line="240" w:lineRule="auto" w:before="19"/>
        <w:ind w:left="474" w:right="0"/>
        <w:jc w:val="left"/>
      </w:pPr>
      <w:r>
        <w:rPr/>
        <w:t>公司承担了应由承租方承担的与租赁相关的费用时，公司将该部分费用从租金收入总额中扣除，按扣除后的租金费用在</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租赁期内分配。</w:t>
      </w:r>
    </w:p>
    <w:p>
      <w:pPr>
        <w:spacing w:line="240" w:lineRule="auto" w:before="0"/>
        <w:rPr>
          <w:rFonts w:ascii="宋体" w:hAnsi="宋体" w:cs="宋体" w:eastAsia="宋体" w:hint="default"/>
          <w:sz w:val="18"/>
          <w:szCs w:val="18"/>
        </w:rPr>
      </w:pPr>
    </w:p>
    <w:p>
      <w:pPr>
        <w:pStyle w:val="BodyText"/>
        <w:spacing w:line="240" w:lineRule="auto" w:before="153"/>
        <w:ind w:left="474" w:right="0"/>
        <w:jc w:val="left"/>
      </w:pPr>
      <w:r>
        <w:rPr/>
        <w:t>（二）融资租赁会计处理</w:t>
      </w:r>
    </w:p>
    <w:p>
      <w:pPr>
        <w:pStyle w:val="BodyText"/>
        <w:spacing w:line="319" w:lineRule="auto" w:before="76"/>
        <w:ind w:right="1131" w:firstLine="360"/>
        <w:jc w:val="both"/>
      </w:pPr>
      <w:r>
        <w:rPr/>
        <w:t>（</w:t>
      </w:r>
      <w:r>
        <w:rPr>
          <w:rFonts w:ascii="宋体" w:hAnsi="宋体" w:cs="宋体" w:eastAsia="宋体"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316" w:lineRule="auto" w:before="17"/>
        <w:ind w:right="0"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3"/>
        </w:rPr>
        <w:t> </w:t>
      </w:r>
      <w:r>
        <w:rPr>
          <w:spacing w:val="-63"/>
        </w:rPr>
      </w:r>
      <w:r>
        <w:rPr/>
        <w:t>中，并减少租赁期内确认的收益金额。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9、 套期会计" w:id="204"/>
      <w:bookmarkEnd w:id="204"/>
      <w:r>
        <w:rPr>
          <w:b w:val="0"/>
          <w:bCs w:val="0"/>
        </w:rPr>
      </w:r>
      <w:r>
        <w:rPr>
          <w:rFonts w:ascii="Times New Roman" w:hAnsi="Times New Roman" w:cs="Times New Roman" w:eastAsia="Times New Roman" w:hint="default"/>
        </w:rPr>
        <w:t>29</w:t>
      </w:r>
      <w:r>
        <w:rPr/>
        <w:t>、</w:t>
      </w:r>
      <w:r>
        <w:rPr>
          <w:spacing w:val="-3"/>
        </w:rPr>
        <w:t> </w:t>
      </w:r>
      <w:r>
        <w:rPr/>
        <w:t>套期会计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（一）套期保值的分类：</w:t>
      </w:r>
    </w:p>
    <w:p>
      <w:pPr>
        <w:pStyle w:val="BodyText"/>
        <w:spacing w:line="240" w:lineRule="auto" w:before="76"/>
        <w:ind w:left="474" w:right="0"/>
        <w:jc w:val="left"/>
      </w:pPr>
      <w:r>
        <w:rPr/>
        <w:t>（</w:t>
      </w:r>
      <w:r>
        <w:rPr>
          <w:rFonts w:ascii="宋体" w:hAnsi="宋体" w:cs="宋体" w:eastAsia="宋体" w:hint="default"/>
        </w:rPr>
        <w:t>1</w:t>
      </w:r>
      <w:r>
        <w:rPr/>
        <w:t>）公允价值套期，是指对已确认资产或负债，尚未确认的确定承诺</w:t>
      </w:r>
      <w:r>
        <w:rPr>
          <w:rFonts w:ascii="宋体" w:hAnsi="宋体" w:cs="宋体" w:eastAsia="宋体" w:hint="default"/>
        </w:rPr>
        <w:t>(</w:t>
      </w:r>
      <w:r>
        <w:rPr/>
        <w:t>除外汇风险外</w:t>
      </w:r>
      <w:r>
        <w:rPr>
          <w:rFonts w:ascii="宋体" w:hAnsi="宋体" w:cs="宋体" w:eastAsia="宋体" w:hint="default"/>
        </w:rPr>
        <w:t>)</w:t>
      </w:r>
      <w:r>
        <w:rPr/>
        <w:t>的公允价值变动风险进行的套期。</w:t>
      </w:r>
    </w:p>
    <w:p>
      <w:pPr>
        <w:pStyle w:val="BodyText"/>
        <w:spacing w:line="316" w:lineRule="auto" w:before="76"/>
        <w:ind w:right="1122" w:firstLine="360"/>
        <w:jc w:val="left"/>
      </w:pPr>
      <w:r>
        <w:rPr/>
        <w:t>（</w:t>
      </w:r>
      <w:r>
        <w:rPr>
          <w:rFonts w:ascii="宋体" w:hAnsi="宋体" w:cs="宋体" w:eastAsia="宋体" w:hint="default"/>
        </w:rPr>
        <w:t>2</w:t>
      </w:r>
      <w:r>
        <w:rPr/>
        <w:t>）现金流量套期，是指对现金流量变动风险进行的套期，此现金流量变动源于与已确认资产或负债、很可能发生的 预期交易有关的某类特定风险，或一项未确认的确定承诺包含的外汇风险。</w:t>
      </w:r>
    </w:p>
    <w:p>
      <w:pPr>
        <w:pStyle w:val="BodyText"/>
        <w:spacing w:line="316" w:lineRule="auto" w:before="19"/>
        <w:ind w:right="1122" w:firstLine="360"/>
        <w:jc w:val="left"/>
      </w:pPr>
      <w:r>
        <w:rPr/>
        <w:t>（</w:t>
      </w:r>
      <w:r>
        <w:rPr>
          <w:rFonts w:ascii="宋体" w:hAnsi="宋体" w:cs="宋体" w:eastAsia="宋体" w:hint="default"/>
        </w:rPr>
        <w:t>3</w:t>
      </w:r>
      <w:r>
        <w:rPr/>
        <w:t>）境外经营净投资套期，是指对境外经营净投资外汇风险进行的套期。境外经营净投资，是指企业在境外经营净资 产中的权益份额。</w:t>
      </w:r>
    </w:p>
    <w:p>
      <w:pPr>
        <w:spacing w:line="240" w:lineRule="auto" w:before="4"/>
        <w:rPr>
          <w:rFonts w:ascii="宋体" w:hAnsi="宋体" w:cs="宋体" w:eastAsia="宋体" w:hint="default"/>
          <w:sz w:val="25"/>
          <w:szCs w:val="25"/>
        </w:rPr>
      </w:pPr>
    </w:p>
    <w:p>
      <w:pPr>
        <w:pStyle w:val="BodyText"/>
        <w:spacing w:line="316" w:lineRule="auto"/>
        <w:ind w:left="474" w:right="0"/>
        <w:jc w:val="left"/>
      </w:pPr>
      <w:r>
        <w:rPr/>
        <w:t>（二）套期关系的指定及套期有效性的认定： </w:t>
      </w:r>
      <w:r>
        <w:rPr>
          <w:spacing w:val="-4"/>
        </w:rPr>
        <w:t>在套期关系开始时，本公司对套期关系有正式指定，并准备了关于套期关系、风险管理目标和套期策略的正式书面文件。</w:t>
      </w:r>
    </w:p>
    <w:p>
      <w:pPr>
        <w:pStyle w:val="BodyText"/>
        <w:spacing w:line="319" w:lineRule="auto" w:before="19"/>
        <w:ind w:left="474" w:right="0" w:hanging="360"/>
        <w:jc w:val="left"/>
      </w:pPr>
      <w:r>
        <w:rPr/>
        <w:t>该文件载明了套期工具、被套期项目或交易，被套期风险的性质，以及本公司对套期工具有效性评价方法。 </w:t>
      </w:r>
      <w:r>
        <w:rPr>
          <w:spacing w:val="-2"/>
        </w:rPr>
        <w:t>套期有效性，是指套期工具的公允价值或现金流量变动能够抵销被套期风险引起的被套期项目公允价值或现金流量变动</w:t>
      </w:r>
    </w:p>
    <w:p>
      <w:pPr>
        <w:pStyle w:val="BodyText"/>
        <w:spacing w:line="316" w:lineRule="auto" w:before="17"/>
        <w:ind w:right="1133"/>
        <w:jc w:val="both"/>
      </w:pPr>
      <w:r>
        <w:rPr>
          <w:spacing w:val="-2"/>
        </w:rPr>
        <w:t>的程度。本公司持续地对套期有效性进行评价，判断该套期在套期关系被指定的会计期间内是否高度有效。套期同时满足下</w:t>
      </w:r>
      <w:r>
        <w:rPr>
          <w:spacing w:val="-66"/>
        </w:rPr>
        <w:t> </w:t>
      </w:r>
      <w:r>
        <w:rPr>
          <w:spacing w:val="-66"/>
        </w:rPr>
      </w:r>
      <w:r>
        <w:rPr/>
        <w:t>列条件时，本公司认定其为高度有效：</w:t>
      </w:r>
    </w:p>
    <w:p>
      <w:pPr>
        <w:pStyle w:val="BodyText"/>
        <w:spacing w:line="240" w:lineRule="auto" w:before="19"/>
        <w:ind w:left="474" w:right="0"/>
        <w:jc w:val="left"/>
      </w:pPr>
      <w:r>
        <w:rPr/>
        <w:t>（</w:t>
      </w:r>
      <w:r>
        <w:rPr>
          <w:rFonts w:ascii="宋体" w:hAnsi="宋体" w:cs="宋体" w:eastAsia="宋体" w:hint="default"/>
        </w:rPr>
        <w:t>1</w:t>
      </w:r>
      <w:r>
        <w:rPr/>
        <w:t>）在套期开始及以后期间，该套期预期会高度有效地抵销套期指定期间被套期风险引起的公允价值或现金流量变动；</w:t>
      </w:r>
    </w:p>
    <w:p>
      <w:pPr>
        <w:pStyle w:val="BodyText"/>
        <w:spacing w:line="240" w:lineRule="auto" w:before="76"/>
        <w:ind w:left="474" w:right="0"/>
        <w:jc w:val="left"/>
      </w:pPr>
      <w:r>
        <w:rPr/>
        <w:t>（</w:t>
      </w:r>
      <w:r>
        <w:rPr>
          <w:rFonts w:ascii="宋体" w:hAnsi="宋体" w:cs="宋体" w:eastAsia="宋体" w:hint="default"/>
        </w:rPr>
        <w:t>2</w:t>
      </w:r>
      <w:r>
        <w:rPr/>
        <w:t>）该套期的实际抵销结果在</w:t>
      </w:r>
      <w:r>
        <w:rPr>
          <w:rFonts w:ascii="宋体" w:hAnsi="宋体" w:cs="宋体" w:eastAsia="宋体" w:hint="default"/>
        </w:rPr>
        <w:t>80%</w:t>
      </w:r>
      <w:r>
        <w:rPr/>
        <w:t>至</w:t>
      </w:r>
      <w:r>
        <w:rPr>
          <w:rFonts w:ascii="宋体" w:hAnsi="宋体" w:cs="宋体" w:eastAsia="宋体" w:hint="default"/>
        </w:rPr>
        <w:t>125%</w:t>
      </w:r>
      <w:r>
        <w:rPr/>
        <w:t>的范围内。</w:t>
      </w:r>
    </w:p>
    <w:p>
      <w:pPr>
        <w:spacing w:line="240" w:lineRule="auto" w:before="0"/>
        <w:rPr>
          <w:rFonts w:ascii="宋体" w:hAnsi="宋体" w:cs="宋体" w:eastAsia="宋体" w:hint="default"/>
          <w:sz w:val="18"/>
          <w:szCs w:val="18"/>
        </w:rPr>
      </w:pPr>
    </w:p>
    <w:p>
      <w:pPr>
        <w:pStyle w:val="BodyText"/>
        <w:spacing w:line="240" w:lineRule="auto" w:before="153"/>
        <w:ind w:left="474" w:right="0"/>
        <w:jc w:val="left"/>
      </w:pPr>
      <w:r>
        <w:rPr/>
        <w:t>（三）套期会计处理方法：</w:t>
      </w:r>
    </w:p>
    <w:p>
      <w:pPr>
        <w:pStyle w:val="BodyText"/>
        <w:spacing w:line="316" w:lineRule="auto" w:before="76"/>
        <w:ind w:left="474" w:right="0"/>
        <w:jc w:val="left"/>
      </w:pPr>
      <w:r>
        <w:rPr/>
        <w:t>（</w:t>
      </w:r>
      <w:r>
        <w:rPr>
          <w:rFonts w:ascii="宋体" w:hAnsi="宋体" w:cs="宋体" w:eastAsia="宋体" w:hint="default"/>
        </w:rPr>
        <w:t>1</w:t>
      </w:r>
      <w:r>
        <w:rPr/>
        <w:t>）公允价值套期 </w:t>
      </w:r>
      <w:r>
        <w:rPr>
          <w:spacing w:val="-2"/>
        </w:rPr>
        <w:t>套期衍生工具的公允价值变动计入当期损益。被套期项目的公允价值因套期风险而形成的变动，计入当期损益，同时调</w:t>
      </w:r>
    </w:p>
    <w:p>
      <w:pPr>
        <w:pStyle w:val="BodyText"/>
        <w:spacing w:line="316" w:lineRule="auto" w:before="19"/>
        <w:ind w:left="474" w:right="0" w:hanging="360"/>
        <w:jc w:val="left"/>
      </w:pPr>
      <w:r>
        <w:rPr/>
        <w:t>整被套期项目的账面价值。 </w:t>
      </w:r>
      <w:r>
        <w:rPr>
          <w:spacing w:val="-2"/>
        </w:rPr>
        <w:t>就与按摊余成本计量的金融工具有关的公允价值套期而言，对被套期项目账面价值所作的调整，在调整日至到期日之间</w:t>
      </w:r>
    </w:p>
    <w:p>
      <w:pPr>
        <w:pStyle w:val="BodyText"/>
        <w:spacing w:line="316" w:lineRule="auto" w:before="19"/>
        <w:ind w:right="1132"/>
        <w:jc w:val="both"/>
      </w:pPr>
      <w:r>
        <w:rPr>
          <w:spacing w:val="-2"/>
        </w:rPr>
        <w:t>的剩余期间内进行摊销，计入当期损益。按照实际利率法的摊销可于账面价值调整后随即开始，并不得晚于被套期项目终止</w:t>
      </w:r>
      <w:r>
        <w:rPr>
          <w:spacing w:val="-65"/>
        </w:rPr>
        <w:t> </w:t>
      </w:r>
      <w:r>
        <w:rPr>
          <w:spacing w:val="-65"/>
        </w:rPr>
      </w:r>
      <w:r>
        <w:rPr/>
        <w:t>针对套期风险产生的公允价值变动而进行的调整。</w:t>
      </w:r>
    </w:p>
    <w:p>
      <w:pPr>
        <w:pStyle w:val="BodyText"/>
        <w:spacing w:line="316" w:lineRule="auto" w:before="19"/>
        <w:ind w:left="474" w:right="0"/>
        <w:jc w:val="left"/>
      </w:pPr>
      <w:r>
        <w:rPr/>
        <w:t>如果被套期项目终止确认，则将未摊销的公允价值确认为当期损益。 </w:t>
      </w:r>
      <w:r>
        <w:rPr>
          <w:spacing w:val="-2"/>
        </w:rPr>
        <w:t>被套期项目为尚未确认的确定承诺的，该确定承诺的公允价值因被套期风险引起的累计公允价值变动确认为一项资产或</w:t>
      </w:r>
    </w:p>
    <w:p>
      <w:pPr>
        <w:pStyle w:val="BodyText"/>
        <w:spacing w:line="240" w:lineRule="auto" w:before="19"/>
        <w:ind w:right="0"/>
        <w:jc w:val="left"/>
      </w:pPr>
      <w:r>
        <w:rPr/>
        <w:t>负债，相关的利得或损失计入当期损益。套期工具的公允价值变动亦计入当期损益。</w:t>
      </w:r>
    </w:p>
    <w:p>
      <w:pPr>
        <w:pStyle w:val="BodyText"/>
        <w:spacing w:line="319" w:lineRule="auto" w:before="76"/>
        <w:ind w:left="474" w:right="1118"/>
        <w:jc w:val="left"/>
      </w:pPr>
      <w:r>
        <w:rPr/>
        <w:t>（</w:t>
      </w:r>
      <w:r>
        <w:rPr>
          <w:rFonts w:ascii="宋体" w:hAnsi="宋体" w:cs="宋体" w:eastAsia="宋体" w:hint="default"/>
        </w:rPr>
        <w:t>2</w:t>
      </w:r>
      <w:r>
        <w:rPr/>
        <w:t>）现金流量套期 套期工具利得或损失中属于有效套期的部分，直接确认为其他综合收益，属于无效套期的部分，计入当期损益。 </w:t>
      </w:r>
      <w:r>
        <w:rPr>
          <w:spacing w:val="-2"/>
        </w:rPr>
        <w:t>如果被套期交易影响当期损益的，如当被套期财务收入或财务费用被确认或预期销售发生时，则将其他综合收益中确认</w:t>
      </w:r>
    </w:p>
    <w:p>
      <w:pPr>
        <w:pStyle w:val="BodyText"/>
        <w:spacing w:line="316" w:lineRule="auto" w:before="17"/>
        <w:ind w:right="1132"/>
        <w:jc w:val="both"/>
      </w:pPr>
      <w:r>
        <w:rPr>
          <w:spacing w:val="-2"/>
        </w:rPr>
        <w:t>的金额转入当期损益。如果被套期项目是一项非金融资产或非金融负债的成本，则原在其他综合收益中确认的金额转出，计</w:t>
      </w:r>
      <w:r>
        <w:rPr>
          <w:spacing w:val="-66"/>
        </w:rPr>
        <w:t> </w:t>
      </w:r>
      <w:r>
        <w:rPr>
          <w:spacing w:val="-66"/>
        </w:rPr>
      </w:r>
      <w:r>
        <w:rPr>
          <w:spacing w:val="-2"/>
        </w:rPr>
        <w:t>入该非金融资产或非金融负债的初始确认金额（或则原在其他综合收益中确认的，在该非金融资产或非金融负债影响损益的</w:t>
      </w:r>
      <w:r>
        <w:rPr>
          <w:spacing w:val="-64"/>
        </w:rPr>
        <w:t> </w:t>
      </w:r>
      <w:r>
        <w:rPr>
          <w:spacing w:val="-64"/>
        </w:rPr>
      </w:r>
      <w:r>
        <w:rPr>
          <w:spacing w:val="-6"/>
        </w:rPr>
        <w:t>相同期间转出，计入当期损益）。</w:t>
      </w:r>
    </w:p>
    <w:p>
      <w:pPr>
        <w:spacing w:after="0" w:line="316" w:lineRule="auto"/>
        <w:jc w:val="both"/>
        <w:sectPr>
          <w:footerReference w:type="default" r:id="rId67"/>
          <w:pgSz w:w="11910" w:h="16840"/>
          <w:pgMar w:footer="1019" w:header="907"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firstLine="360"/>
        <w:jc w:val="both"/>
      </w:pPr>
      <w:r>
        <w:rPr>
          <w:spacing w:val="-2"/>
        </w:rPr>
        <w:t>如果预期交易或确定承诺预计不会发生，则以前计入股东权益中的套期工具累计利得或损失转出，计入当期损益。如果</w:t>
      </w:r>
      <w:r>
        <w:rPr/>
        <w:t> </w:t>
      </w:r>
      <w:r>
        <w:rPr>
          <w:spacing w:val="-2"/>
        </w:rPr>
        <w:t>套期工具已到期、被出售、合同终止或已行使</w:t>
      </w:r>
      <w:r>
        <w:rPr>
          <w:rFonts w:ascii="宋体" w:hAnsi="宋体" w:cs="宋体" w:eastAsia="宋体" w:hint="default"/>
          <w:spacing w:val="-2"/>
        </w:rPr>
        <w:t>(</w:t>
      </w:r>
      <w:r>
        <w:rPr>
          <w:spacing w:val="-2"/>
        </w:rPr>
        <w:t>但并未被替换或展期</w:t>
      </w:r>
      <w:r>
        <w:rPr>
          <w:rFonts w:ascii="宋体" w:hAnsi="宋体" w:cs="宋体" w:eastAsia="宋体" w:hint="default"/>
          <w:spacing w:val="-2"/>
        </w:rPr>
        <w:t>)</w:t>
      </w:r>
      <w:r>
        <w:rPr>
          <w:spacing w:val="-2"/>
        </w:rPr>
        <w:t>，或者撤销了对套期关系的指定，则以前计入其他综合</w:t>
      </w:r>
      <w:r>
        <w:rPr>
          <w:spacing w:val="-64"/>
        </w:rPr>
        <w:t> </w:t>
      </w:r>
      <w:r>
        <w:rPr>
          <w:spacing w:val="-64"/>
        </w:rPr>
      </w:r>
      <w:r>
        <w:rPr/>
        <w:t>收益的金额不转出，直至预期交易或确定承诺影响当期损益。</w:t>
      </w:r>
    </w:p>
    <w:p>
      <w:pPr>
        <w:pStyle w:val="BodyText"/>
        <w:spacing w:line="319" w:lineRule="auto" w:before="19"/>
        <w:ind w:left="474" w:right="0"/>
        <w:jc w:val="left"/>
      </w:pPr>
      <w:r>
        <w:rPr/>
        <w:t>（</w:t>
      </w:r>
      <w:r>
        <w:rPr>
          <w:rFonts w:ascii="宋体" w:hAnsi="宋体" w:cs="宋体" w:eastAsia="宋体" w:hint="default"/>
        </w:rPr>
        <w:t>3</w:t>
      </w:r>
      <w:r>
        <w:rPr/>
        <w:t>）境外经营净投资套期 </w:t>
      </w:r>
      <w:r>
        <w:rPr>
          <w:spacing w:val="-2"/>
        </w:rPr>
        <w:t>对境外经营净投资的套期，包括作为净投资的一部分的货币性项目的套期，其处理与现金流量套期类似。套期工具的利</w:t>
      </w:r>
    </w:p>
    <w:p>
      <w:pPr>
        <w:pStyle w:val="BodyText"/>
        <w:spacing w:line="316" w:lineRule="auto" w:before="17"/>
        <w:ind w:right="0"/>
        <w:jc w:val="left"/>
      </w:pPr>
      <w:r>
        <w:rPr>
          <w:spacing w:val="-2"/>
        </w:rPr>
        <w:t>得或损失中被确定为有效套期的部分计入其他综合收益，而无效套期的部分确认为当期损益。处置境外经营时，任何计入股</w:t>
      </w:r>
      <w:r>
        <w:rPr>
          <w:spacing w:val="-66"/>
        </w:rPr>
        <w:t> </w:t>
      </w:r>
      <w:r>
        <w:rPr>
          <w:spacing w:val="-66"/>
        </w:rPr>
      </w:r>
      <w:r>
        <w:rPr/>
        <w:t>东权益的累计利得或损失转出，计入当期损益。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t>（</w:t>
      </w:r>
      <w:r>
        <w:rPr>
          <w:rFonts w:ascii="宋体" w:hAnsi="宋体" w:cs="宋体" w:eastAsia="宋体"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19"/>
        <w:ind w:right="1131"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131" w:firstLine="360"/>
        <w:jc w:val="both"/>
      </w:pPr>
      <w:r>
        <w:rPr/>
        <w:t>（</w:t>
      </w:r>
      <w:r>
        <w:rPr>
          <w:rFonts w:ascii="宋体" w:hAnsi="宋体" w:cs="宋体" w:eastAsia="宋体"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w:t>
      </w:r>
    </w:p>
    <w:p>
      <w:pPr>
        <w:pStyle w:val="BodyText"/>
        <w:spacing w:line="316" w:lineRule="auto" w:before="19"/>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t>（</w:t>
      </w:r>
      <w:r>
        <w:rPr>
          <w:rFonts w:ascii="宋体" w:hAnsi="宋体" w:cs="宋体" w:eastAsia="宋体"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316" w:lineRule="auto" w:before="19"/>
        <w:ind w:right="0" w:firstLine="360"/>
        <w:jc w:val="left"/>
      </w:pPr>
      <w:r>
        <w:rPr>
          <w:spacing w:val="-2"/>
        </w:rPr>
        <w:t>（</w:t>
      </w:r>
      <w:r>
        <w:rPr>
          <w:rFonts w:ascii="宋体" w:hAnsi="宋体" w:cs="宋体" w:eastAsia="宋体"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0、重要会计政策和会计估计变更" w:id="207"/>
      <w:bookmarkEnd w:id="207"/>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5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pacing w:val="-73"/>
                <w:sz w:val="18"/>
                <w:szCs w:val="18"/>
              </w:rPr>
              <w:t> </w:t>
            </w: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 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 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 </w:t>
            </w:r>
            <w:r>
              <w:rPr>
                <w:rFonts w:ascii="宋体" w:hAnsi="宋体" w:cs="宋体" w:eastAsia="宋体" w:hint="default"/>
                <w:spacing w:val="-2"/>
                <w:sz w:val="18"/>
                <w:szCs w:val="18"/>
              </w:rPr>
              <w:t>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固定资产清理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w:t>
            </w:r>
            <w:r>
              <w:rPr>
                <w:rFonts w:ascii="宋体" w:hAnsi="宋体" w:cs="宋体" w:eastAsia="宋体" w:hint="default"/>
                <w:spacing w:val="-76"/>
                <w:sz w:val="18"/>
                <w:szCs w:val="18"/>
              </w:rPr>
              <w:t> </w:t>
            </w:r>
            <w:r>
              <w:rPr>
                <w:rFonts w:ascii="宋体" w:hAnsi="宋体" w:cs="宋体" w:eastAsia="宋体" w:hint="default"/>
                <w:spacing w:val="-2"/>
                <w:sz w:val="18"/>
                <w:szCs w:val="18"/>
              </w:rPr>
              <w:t>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日召开的第三届董事会 第三十一次会议审议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发</w:t>
            </w:r>
            <w:r>
              <w:rPr>
                <w:rFonts w:ascii="宋体" w:hAnsi="宋体" w:cs="宋体" w:eastAsia="宋体" w:hint="default"/>
                <w:sz w:val="18"/>
                <w:szCs w:val="18"/>
              </w:rPr>
              <w:t>布</w:t>
            </w:r>
            <w:r>
              <w:rPr>
                <w:rFonts w:ascii="宋体" w:hAnsi="宋体" w:cs="宋体" w:eastAsia="宋体" w:hint="default"/>
                <w:spacing w:val="-87"/>
                <w:sz w:val="18"/>
                <w:szCs w:val="18"/>
              </w:rPr>
              <w:t>了</w:t>
            </w:r>
            <w:r>
              <w:rPr>
                <w:rFonts w:ascii="宋体" w:hAnsi="宋体" w:cs="宋体" w:eastAsia="宋体" w:hint="default"/>
                <w:sz w:val="18"/>
                <w:szCs w:val="18"/>
              </w:rPr>
              <w:t>《财</w:t>
            </w:r>
          </w:p>
          <w:p>
            <w:pPr>
              <w:pStyle w:val="TableParagraph"/>
              <w:spacing w:line="300" w:lineRule="auto" w:before="63"/>
              <w:ind w:left="103" w:right="101"/>
              <w:jc w:val="both"/>
              <w:rPr>
                <w:rFonts w:ascii="宋体" w:hAnsi="宋体" w:cs="宋体" w:eastAsia="宋体" w:hint="default"/>
                <w:sz w:val="18"/>
                <w:szCs w:val="18"/>
              </w:rPr>
            </w:pPr>
            <w:r>
              <w:rPr>
                <w:rFonts w:ascii="宋体" w:hAnsi="宋体" w:cs="宋体" w:eastAsia="宋体" w:hint="default"/>
                <w:sz w:val="18"/>
                <w:szCs w:val="18"/>
              </w:rPr>
              <w:t>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号），对一般企业财务报表格式进行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了修订。</w:t>
            </w:r>
          </w:p>
        </w:tc>
      </w:tr>
    </w:tbl>
    <w:p>
      <w:pPr>
        <w:spacing w:after="0" w:line="300" w:lineRule="auto"/>
        <w:jc w:val="both"/>
        <w:rPr>
          <w:rFonts w:ascii="宋体" w:hAnsi="宋体" w:cs="宋体" w:eastAsia="宋体" w:hint="default"/>
          <w:sz w:val="18"/>
          <w:szCs w:val="18"/>
        </w:rPr>
        <w:sectPr>
          <w:footerReference w:type="default" r:id="rId68"/>
          <w:pgSz w:w="11910" w:h="16840"/>
          <w:pgMar w:footer="1019" w:header="907" w:top="1100" w:bottom="1200" w:left="1020" w:right="0"/>
          <w:pgNumType w:start="101"/>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）在利润表中新增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pacing w:val="-88"/>
                <w:sz w:val="18"/>
                <w:szCs w:val="18"/>
              </w:rPr>
              <w:t> </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 </w:t>
            </w:r>
            <w:r>
              <w:rPr>
                <w:rFonts w:ascii="宋体" w:hAnsi="宋体" w:cs="宋体" w:eastAsia="宋体" w:hint="default"/>
                <w:spacing w:val="-3"/>
                <w:sz w:val="18"/>
                <w:szCs w:val="18"/>
              </w:rPr>
              <w:t>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单独列示；在利润表中财</w:t>
            </w:r>
            <w:r>
              <w:rPr>
                <w:rFonts w:ascii="宋体" w:hAnsi="宋体" w:cs="宋体" w:eastAsia="宋体" w:hint="default"/>
                <w:sz w:val="18"/>
                <w:szCs w:val="18"/>
              </w:rPr>
              <w:t> 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日召开的第三届董事会 第三十一次会议审议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发</w:t>
            </w:r>
            <w:r>
              <w:rPr>
                <w:rFonts w:ascii="宋体" w:hAnsi="宋体" w:cs="宋体" w:eastAsia="宋体" w:hint="default"/>
                <w:sz w:val="18"/>
                <w:szCs w:val="18"/>
              </w:rPr>
              <w:t>布</w:t>
            </w:r>
            <w:r>
              <w:rPr>
                <w:rFonts w:ascii="宋体" w:hAnsi="宋体" w:cs="宋体" w:eastAsia="宋体" w:hint="default"/>
                <w:spacing w:val="-87"/>
                <w:sz w:val="18"/>
                <w:szCs w:val="18"/>
              </w:rPr>
              <w:t>了</w:t>
            </w:r>
            <w:r>
              <w:rPr>
                <w:rFonts w:ascii="宋体" w:hAnsi="宋体" w:cs="宋体" w:eastAsia="宋体" w:hint="default"/>
                <w:sz w:val="18"/>
                <w:szCs w:val="18"/>
              </w:rPr>
              <w:t>《财</w:t>
            </w:r>
          </w:p>
          <w:p>
            <w:pPr>
              <w:pStyle w:val="TableParagraph"/>
              <w:spacing w:line="300" w:lineRule="auto" w:before="61"/>
              <w:ind w:left="103" w:right="101"/>
              <w:jc w:val="both"/>
              <w:rPr>
                <w:rFonts w:ascii="宋体" w:hAnsi="宋体" w:cs="宋体" w:eastAsia="宋体" w:hint="default"/>
                <w:sz w:val="18"/>
                <w:szCs w:val="18"/>
              </w:rPr>
            </w:pPr>
            <w:r>
              <w:rPr>
                <w:rFonts w:ascii="宋体" w:hAnsi="宋体" w:cs="宋体" w:eastAsia="宋体" w:hint="default"/>
                <w:sz w:val="18"/>
                <w:szCs w:val="18"/>
              </w:rPr>
              <w:t>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号），对一般企业财务报表格式进行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了修订。</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03" w:right="10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）所有者权益变动表中新增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设定受</w:t>
            </w:r>
            <w:r>
              <w:rPr>
                <w:rFonts w:ascii="宋体" w:hAnsi="宋体" w:cs="宋体" w:eastAsia="宋体" w:hint="default"/>
                <w:sz w:val="18"/>
                <w:szCs w:val="18"/>
              </w:rPr>
              <w:t> 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 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日召开的第三届董事会 第三十一次会议审议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发</w:t>
            </w:r>
            <w:r>
              <w:rPr>
                <w:rFonts w:ascii="宋体" w:hAnsi="宋体" w:cs="宋体" w:eastAsia="宋体" w:hint="default"/>
                <w:sz w:val="18"/>
                <w:szCs w:val="18"/>
              </w:rPr>
              <w:t>布</w:t>
            </w:r>
            <w:r>
              <w:rPr>
                <w:rFonts w:ascii="宋体" w:hAnsi="宋体" w:cs="宋体" w:eastAsia="宋体" w:hint="default"/>
                <w:spacing w:val="-87"/>
                <w:sz w:val="18"/>
                <w:szCs w:val="18"/>
              </w:rPr>
              <w:t>了</w:t>
            </w:r>
            <w:r>
              <w:rPr>
                <w:rFonts w:ascii="宋体" w:hAnsi="宋体" w:cs="宋体" w:eastAsia="宋体" w:hint="default"/>
                <w:sz w:val="18"/>
                <w:szCs w:val="18"/>
              </w:rPr>
              <w:t>《财</w:t>
            </w:r>
          </w:p>
          <w:p>
            <w:pPr>
              <w:pStyle w:val="TableParagraph"/>
              <w:spacing w:line="300" w:lineRule="auto" w:before="61"/>
              <w:ind w:left="103" w:right="101"/>
              <w:jc w:val="both"/>
              <w:rPr>
                <w:rFonts w:ascii="宋体" w:hAnsi="宋体" w:cs="宋体" w:eastAsia="宋体" w:hint="default"/>
                <w:sz w:val="18"/>
                <w:szCs w:val="18"/>
              </w:rPr>
            </w:pPr>
            <w:r>
              <w:rPr>
                <w:rFonts w:ascii="宋体" w:hAnsi="宋体" w:cs="宋体" w:eastAsia="宋体" w:hint="default"/>
                <w:sz w:val="18"/>
                <w:szCs w:val="18"/>
              </w:rPr>
              <w:t>政部关于修订印发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号），对一般企业财务报表格式进行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了修订。</w:t>
            </w:r>
          </w:p>
        </w:tc>
      </w:tr>
    </w:tbl>
    <w:p>
      <w:pPr>
        <w:pStyle w:val="BodyText"/>
        <w:spacing w:line="240" w:lineRule="auto" w:before="10"/>
        <w:ind w:left="537" w:right="0"/>
        <w:jc w:val="left"/>
      </w:pPr>
      <w:r>
        <w:rPr/>
        <w:t>本次会计政策变更，没有受影响的报表项目。</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税项" w:id="210"/>
      <w:bookmarkEnd w:id="21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236,205.08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78,366.81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82,643,658.24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131,244,289.84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69,138.24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130,809.38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82,949,001.56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131,453,466.03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231,552.63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235,943.89</w:t>
            </w:r>
          </w:p>
        </w:tc>
      </w:tr>
    </w:tbl>
    <w:p>
      <w:pPr>
        <w:pStyle w:val="BodyText"/>
        <w:spacing w:line="240" w:lineRule="auto" w:before="51"/>
        <w:ind w:right="0"/>
        <w:jc w:val="left"/>
      </w:pPr>
      <w:r>
        <w:rPr/>
        <w:t>其他说明</w:t>
      </w:r>
    </w:p>
    <w:p>
      <w:pPr>
        <w:pStyle w:val="BodyText"/>
        <w:spacing w:line="240" w:lineRule="auto" w:before="115"/>
        <w:ind w:left="535" w:right="0"/>
        <w:jc w:val="left"/>
      </w:pPr>
      <w:r>
        <w:rPr/>
        <w:t>本报告期末无因抵押、质押或冻结等对使用有限制，以及放在境外且资金汇回受到限制的货币资金。</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以公允价值计量且其变动计入当期损益的金融资产" w:id="214"/>
      <w:bookmarkEnd w:id="21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6,675,575.00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6,675,575.00</w:t>
            </w:r>
          </w:p>
        </w:tc>
      </w:tr>
    </w:tbl>
    <w:p>
      <w:pPr>
        <w:pStyle w:val="BodyText"/>
        <w:spacing w:line="240" w:lineRule="auto" w:before="10"/>
        <w:ind w:right="0"/>
        <w:jc w:val="left"/>
      </w:pPr>
      <w:r>
        <w:rPr/>
        <w:t>其他说明：无。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应收票据及应收账款" w:id="215"/>
      <w:bookmarkEnd w:id="215"/>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15"/>
        <w:ind w:left="4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pStyle w:val="Heading4"/>
        <w:spacing w:line="240" w:lineRule="auto" w:before="39"/>
        <w:ind w:left="420" w:right="0"/>
        <w:jc w:val="left"/>
        <w:rPr>
          <w:b w:val="0"/>
          <w:bCs w:val="0"/>
        </w:rPr>
      </w:pPr>
      <w:bookmarkStart w:name="（1）应收账款" w:id="216"/>
      <w:bookmarkEnd w:id="216"/>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20"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216"/>
        <w:jc w:val="right"/>
      </w:pPr>
      <w:r>
        <w:rPr/>
        <w:t>单位： 元</w:t>
      </w:r>
    </w:p>
    <w:p>
      <w:pPr>
        <w:spacing w:line="240" w:lineRule="auto" w:before="13"/>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3996"/>
        <w:gridCol w:w="936"/>
        <w:gridCol w:w="862"/>
        <w:gridCol w:w="846"/>
        <w:gridCol w:w="936"/>
        <w:gridCol w:w="936"/>
        <w:gridCol w:w="1250"/>
        <w:gridCol w:w="862"/>
        <w:gridCol w:w="1250"/>
        <w:gridCol w:w="936"/>
        <w:gridCol w:w="1252"/>
      </w:tblGrid>
      <w:tr>
        <w:trPr>
          <w:trHeight w:val="402" w:hRule="exact"/>
        </w:trPr>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996"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25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14,212,091.49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7,106,045.75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7,106,045.74</w:t>
            </w: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22,458,537.76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449,170.76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22,009,367.00</w:t>
            </w: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2,911,805.05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2,911,805.05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39,582,434.30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10,467,021.56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29,115,412.74</w:t>
            </w:r>
          </w:p>
        </w:tc>
      </w:tr>
    </w:tbl>
    <w:p>
      <w:pPr>
        <w:spacing w:after="0" w:line="240" w:lineRule="auto"/>
        <w:jc w:val="center"/>
        <w:rPr>
          <w:rFonts w:ascii="Times New Roman" w:hAnsi="Times New Roman" w:cs="Times New Roman" w:eastAsia="Times New Roman" w:hint="default"/>
          <w:sz w:val="18"/>
          <w:szCs w:val="18"/>
        </w:rPr>
        <w:sectPr>
          <w:headerReference w:type="default" r:id="rId69"/>
          <w:footerReference w:type="default" r:id="rId70"/>
          <w:pgSz w:w="16840" w:h="11910" w:orient="landscape"/>
          <w:pgMar w:header="0" w:footer="1019" w:top="840" w:bottom="1200" w:left="1020" w:right="1220"/>
        </w:sectPr>
      </w:pPr>
    </w:p>
    <w:p>
      <w:pPr>
        <w:pStyle w:val="BodyText"/>
        <w:spacing w:line="240" w:lineRule="auto" w:before="51"/>
        <w:ind w:left="420" w:right="-20"/>
        <w:jc w:val="left"/>
      </w:pPr>
      <w:r>
        <w:rPr/>
        <w:t>期末单项金额重大并单项计提坏账准备的应收账款：</w:t>
      </w:r>
    </w:p>
    <w:p>
      <w:pPr>
        <w:pStyle w:val="BodyText"/>
        <w:spacing w:line="357" w:lineRule="auto" w:before="117"/>
        <w:ind w:left="420" w:right="160"/>
        <w:jc w:val="left"/>
      </w:pPr>
      <w:r>
        <w:rPr/>
        <w:t>□ 适用 √ 不适用 组合中，按账龄分析法计提坏账准备的应收账款：</w:t>
      </w:r>
    </w:p>
    <w:p>
      <w:pPr>
        <w:pStyle w:val="BodyText"/>
        <w:spacing w:line="240" w:lineRule="auto" w:before="29"/>
        <w:ind w:left="420"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420" w:right="0"/>
        <w:jc w:val="left"/>
      </w:pPr>
      <w:r>
        <w:rPr/>
        <w:t>单位： 元</w:t>
      </w:r>
    </w:p>
    <w:p>
      <w:pPr>
        <w:spacing w:after="0" w:line="240" w:lineRule="auto"/>
        <w:jc w:val="left"/>
        <w:sectPr>
          <w:type w:val="continuous"/>
          <w:pgSz w:w="16840" w:h="11910" w:orient="landscape"/>
          <w:pgMar w:top="1100" w:bottom="1200" w:left="1020" w:right="1220"/>
          <w:cols w:num="2" w:equalWidth="0">
            <w:col w:w="4561" w:space="8589"/>
            <w:col w:w="1450"/>
          </w:cols>
        </w:sectPr>
      </w:pPr>
    </w:p>
    <w:p>
      <w:pPr>
        <w:spacing w:line="240" w:lineRule="auto" w:before="0"/>
        <w:rPr>
          <w:rFonts w:ascii="宋体" w:hAnsi="宋体" w:cs="宋体" w:eastAsia="宋体" w:hint="default"/>
          <w:sz w:val="8"/>
          <w:szCs w:val="8"/>
        </w:rPr>
      </w:pPr>
      <w:r>
        <w:rPr/>
        <w:pict>
          <v:shape style="position:absolute;margin-left:589.234558pt;margin-top:570.43042pt;width:42.067787pt;height:18.946561pt;mso-position-horizontal-relative:page;mso-position-vertical-relative:page;z-index:1096" type="#_x0000_t75" stroked="false">
            <v:imagedata r:id="rId61" o:title=""/>
          </v:shape>
        </w:pict>
      </w:r>
    </w:p>
    <w:tbl>
      <w:tblPr>
        <w:tblW w:w="0" w:type="auto"/>
        <w:jc w:val="left"/>
        <w:tblInd w:w="415"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825" w:right="10693" w:hanging="406"/>
        <w:jc w:val="left"/>
      </w:pPr>
      <w:r>
        <w:rPr/>
        <w:t>确定该组合依据的说明： 以账龄特征划分为若干应收款项组合。</w:t>
      </w:r>
    </w:p>
    <w:p>
      <w:pPr>
        <w:pStyle w:val="BodyText"/>
        <w:spacing w:line="240" w:lineRule="auto" w:before="29"/>
        <w:ind w:left="420" w:right="0"/>
        <w:jc w:val="left"/>
      </w:pPr>
      <w:r>
        <w:rPr/>
        <w:t>组合中，采用余额百分比法计提坏账准备的应收账款：</w:t>
      </w:r>
    </w:p>
    <w:p>
      <w:pPr>
        <w:pStyle w:val="BodyText"/>
        <w:spacing w:line="240" w:lineRule="auto" w:before="117"/>
        <w:ind w:left="420" w:right="0"/>
        <w:jc w:val="left"/>
      </w:pPr>
      <w:r>
        <w:rPr/>
        <w:t>□ 适用 √ 不适用</w:t>
      </w:r>
    </w:p>
    <w:p>
      <w:pPr>
        <w:spacing w:after="0" w:line="240" w:lineRule="auto"/>
        <w:jc w:val="left"/>
        <w:sectPr>
          <w:type w:val="continuous"/>
          <w:pgSz w:w="16840" w:h="11910" w:orient="landscape"/>
          <w:pgMar w:top="1100" w:bottom="1200" w:left="1020" w:right="122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1"/>
          <w:pgSz w:w="11910" w:h="16840"/>
          <w:pgMar w:footer="1019" w:header="0" w:top="1100" w:bottom="1200" w:left="1020" w:right="0"/>
          <w:pgNumType w:start="105"/>
        </w:sectPr>
      </w:pPr>
    </w:p>
    <w:p>
      <w:pPr>
        <w:pStyle w:val="BodyText"/>
        <w:spacing w:line="357" w:lineRule="auto" w:before="44"/>
        <w:ind w:left="474" w:right="-19" w:hanging="360"/>
        <w:jc w:val="left"/>
      </w:pPr>
      <w:r>
        <w:rPr/>
        <w:t>组合中，采用其他方法计提坏账准备的应收账款： 出口退税单独作为一类风险较小的应收款项组合，不计提坏账，该组合中各类应收款项期末余额为</w:t>
      </w:r>
      <w:r>
        <w:rPr>
          <w:rFonts w:ascii="宋体" w:hAnsi="宋体" w:cs="宋体" w:eastAsia="宋体" w:hint="default"/>
        </w:rPr>
        <w:t>0</w:t>
      </w:r>
      <w:r>
        <w:rPr/>
        <w:t>。</w:t>
      </w:r>
    </w:p>
    <w:p>
      <w:pPr>
        <w:pStyle w:val="BodyText"/>
        <w:spacing w:line="240" w:lineRule="auto" w:before="29"/>
        <w:ind w:right="-1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44"/>
        <w:jc w:val="left"/>
      </w:pPr>
      <w:r>
        <w:rPr/>
        <w:t>本期计提坏账准备金额</w:t>
      </w:r>
      <w:r>
        <w:rPr>
          <w:spacing w:val="-47"/>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2,239,084.54</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13" w:right="0"/>
        <w:jc w:val="left"/>
      </w:pPr>
      <w:r>
        <w:rPr/>
        <w:t>单位： 元</w:t>
      </w:r>
    </w:p>
    <w:p>
      <w:pPr>
        <w:spacing w:after="0" w:line="240" w:lineRule="auto"/>
        <w:jc w:val="left"/>
        <w:sectPr>
          <w:type w:val="continuous"/>
          <w:pgSz w:w="11910" w:h="16840"/>
          <w:pgMar w:top="1100" w:bottom="1200" w:left="1020" w:right="0"/>
          <w:cols w:num="2" w:equalWidth="0">
            <w:col w:w="8486" w:space="344"/>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10"/>
        <w:ind w:left="537" w:right="-20"/>
        <w:jc w:val="left"/>
      </w:pPr>
      <w:r>
        <w:rPr/>
        <w:t>因本期收回应收账款以及核销应收账款所致。</w:t>
      </w:r>
    </w:p>
    <w:p>
      <w:pPr>
        <w:pStyle w:val="BodyText"/>
        <w:spacing w:line="240" w:lineRule="auto" w:before="76"/>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138" w:space="4691"/>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8,221,937.02</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1"/>
        <w:gridCol w:w="1349"/>
        <w:gridCol w:w="1595"/>
        <w:gridCol w:w="1594"/>
        <w:gridCol w:w="1594"/>
        <w:gridCol w:w="1595"/>
      </w:tblGrid>
      <w:tr>
        <w:trPr>
          <w:trHeight w:val="713"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2,783,005.98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2,442,151.83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2,446,029.97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87,545.09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421,950.17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41,253.98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8,221,937.02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pStyle w:val="Heading5"/>
        <w:spacing w:line="240" w:lineRule="auto" w:before="89"/>
        <w:ind w:right="0"/>
        <w:jc w:val="left"/>
      </w:pPr>
      <w:r>
        <w:rPr/>
        <w:t>无。</w:t>
      </w:r>
    </w:p>
    <w:p>
      <w:pPr>
        <w:pStyle w:val="BodyText"/>
        <w:spacing w:line="240" w:lineRule="auto" w:before="103"/>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821" w:type="dxa"/>
        <w:tblLayout w:type="fixed"/>
        <w:tblCellMar>
          <w:top w:w="0" w:type="dxa"/>
          <w:left w:w="0" w:type="dxa"/>
          <w:bottom w:w="0" w:type="dxa"/>
          <w:right w:w="0" w:type="dxa"/>
        </w:tblCellMar>
        <w:tblLook w:val="01E0"/>
      </w:tblPr>
      <w:tblGrid>
        <w:gridCol w:w="3219"/>
        <w:gridCol w:w="1561"/>
        <w:gridCol w:w="1390"/>
        <w:gridCol w:w="1395"/>
      </w:tblGrid>
      <w:tr>
        <w:trPr>
          <w:trHeight w:val="355" w:hRule="exact"/>
        </w:trPr>
        <w:tc>
          <w:tcPr>
            <w:tcW w:w="321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4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3219" w:type="dxa"/>
            <w:vMerge/>
            <w:tcBorders>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91" w:right="55" w:hanging="135"/>
              <w:jc w:val="left"/>
              <w:rPr>
                <w:rFonts w:ascii="宋体" w:hAnsi="宋体" w:cs="宋体" w:eastAsia="宋体" w:hint="default"/>
                <w:sz w:val="18"/>
                <w:szCs w:val="18"/>
              </w:rPr>
            </w:pPr>
            <w:r>
              <w:rPr>
                <w:rFonts w:ascii="宋体" w:hAnsi="宋体" w:cs="宋体" w:eastAsia="宋体" w:hint="default"/>
                <w:sz w:val="18"/>
                <w:szCs w:val="18"/>
              </w:rPr>
              <w:t>占应收账款合计 数的比例</w:t>
            </w:r>
            <w:r>
              <w:rPr>
                <w:rFonts w:ascii="宋体" w:hAnsi="宋体" w:cs="宋体" w:eastAsia="宋体" w:hint="default"/>
                <w:sz w:val="18"/>
                <w:szCs w:val="18"/>
              </w:rPr>
              <w:t>(%)</w:t>
            </w:r>
          </w:p>
        </w:tc>
        <w:tc>
          <w:tcPr>
            <w:tcW w:w="13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32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30,000.00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3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6,000.00</w:t>
            </w:r>
          </w:p>
        </w:tc>
      </w:tr>
      <w:tr>
        <w:trPr>
          <w:trHeight w:val="352" w:hRule="exact"/>
        </w:trPr>
        <w:tc>
          <w:tcPr>
            <w:tcW w:w="32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30,000.00</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100.00</w:t>
            </w:r>
          </w:p>
        </w:tc>
        <w:tc>
          <w:tcPr>
            <w:tcW w:w="13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6,000.00</w:t>
            </w:r>
          </w:p>
        </w:tc>
      </w:tr>
    </w:tbl>
    <w:p>
      <w:pPr>
        <w:spacing w:line="240" w:lineRule="auto" w:before="5"/>
        <w:rPr>
          <w:rFonts w:ascii="宋体" w:hAnsi="宋体" w:cs="宋体" w:eastAsia="宋体" w:hint="default"/>
          <w:sz w:val="24"/>
          <w:szCs w:val="24"/>
        </w:rPr>
      </w:pPr>
    </w:p>
    <w:p>
      <w:pPr>
        <w:pStyle w:val="BodyText"/>
        <w:spacing w:line="338" w:lineRule="auto" w:before="44"/>
        <w:ind w:left="519" w:right="6567" w:hanging="406"/>
        <w:jc w:val="left"/>
      </w:pPr>
      <w:r>
        <w:rPr>
          <w:rFonts w:ascii="Times New Roman" w:hAnsi="Times New Roman" w:cs="Times New Roman" w:eastAsia="Times New Roman" w:hint="default"/>
        </w:rPr>
        <w:t>5)</w:t>
      </w:r>
      <w:r>
        <w:rPr/>
        <w:t>因金融资产转移而终止确认的应收账款</w:t>
      </w:r>
      <w:r>
        <w:rPr>
          <w:w w:val="99"/>
        </w:rPr>
        <w:t> </w:t>
      </w:r>
      <w:r>
        <w:rPr/>
        <w:t>本期无因金融资产转移而终止确认的应收账款。</w:t>
      </w:r>
    </w:p>
    <w:p>
      <w:pPr>
        <w:pStyle w:val="BodyText"/>
        <w:spacing w:line="338" w:lineRule="auto" w:before="44"/>
        <w:ind w:left="535" w:right="5831" w:hanging="422"/>
        <w:jc w:val="left"/>
      </w:pPr>
      <w:r>
        <w:rPr>
          <w:rFonts w:ascii="Times New Roman" w:hAnsi="Times New Roman" w:cs="Times New Roman" w:eastAsia="Times New Roman" w:hint="default"/>
        </w:rPr>
        <w:t>6)</w:t>
      </w:r>
      <w:r>
        <w:rPr/>
        <w:t>转移应收账款且继续涉入形成的资产、负债金额</w:t>
      </w:r>
      <w:r>
        <w:rPr>
          <w:w w:val="99"/>
        </w:rPr>
        <w:t> </w:t>
      </w:r>
      <w:r>
        <w:rPr/>
        <w:t>本期无转移应收账款且继续涉入形成的资产、负债金额。</w:t>
      </w:r>
    </w:p>
    <w:p>
      <w:pPr>
        <w:pStyle w:val="BodyText"/>
        <w:spacing w:line="357" w:lineRule="auto" w:before="43"/>
        <w:ind w:left="474" w:right="9852" w:hanging="360"/>
        <w:jc w:val="left"/>
      </w:pPr>
      <w:r>
        <w:rPr/>
        <w:t>其他说明： 无。</w:t>
      </w:r>
    </w:p>
    <w:p>
      <w:pPr>
        <w:spacing w:after="0" w:line="357" w:lineRule="auto"/>
        <w:jc w:val="left"/>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4、预付款项" w:id="217"/>
      <w:bookmarkEnd w:id="21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18"/>
      <w:bookmarkEnd w:id="21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1,900.40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11,154.87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7"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1,900.40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11,154.87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474" w:right="5894"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5、其他应收款" w:id="219"/>
      <w:bookmarkEnd w:id="21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19,658.20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473,416.66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19,658.20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473,416.66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left="214" w:right="4775"/>
        <w:jc w:val="left"/>
        <w:rPr>
          <w:b w:val="0"/>
          <w:bCs w:val="0"/>
        </w:rPr>
      </w:pPr>
      <w:bookmarkStart w:name="（1）其他应收款" w:id="220"/>
      <w:bookmarkEnd w:id="22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4775"/>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11"/>
        <w:gridCol w:w="936"/>
        <w:gridCol w:w="860"/>
        <w:gridCol w:w="846"/>
        <w:gridCol w:w="800"/>
        <w:gridCol w:w="936"/>
        <w:gridCol w:w="1026"/>
        <w:gridCol w:w="862"/>
        <w:gridCol w:w="936"/>
        <w:gridCol w:w="725"/>
        <w:gridCol w:w="1026"/>
      </w:tblGrid>
      <w:tr>
        <w:trPr>
          <w:trHeight w:val="398" w:hRule="exact"/>
        </w:trPr>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2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3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011" w:type="dxa"/>
            <w:vMerge/>
            <w:tcBorders>
              <w:left w:val="single" w:sz="4" w:space="0" w:color="000000"/>
              <w:right w:val="single" w:sz="4" w:space="0" w:color="000000"/>
            </w:tcBorders>
            <w:shd w:val="clear" w:color="auto" w:fill="D2D2D2"/>
          </w:tcPr>
          <w:p>
            <w:pP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011"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5" w:right="123"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6" w:type="dxa"/>
            <w:vMerge/>
            <w:tcBorders>
              <w:left w:val="single" w:sz="4" w:space="0" w:color="000000"/>
              <w:bottom w:val="single" w:sz="4" w:space="0" w:color="000000"/>
              <w:right w:val="single" w:sz="4" w:space="0" w:color="000000"/>
            </w:tcBorders>
            <w:shd w:val="clear" w:color="auto" w:fill="D2D2D2"/>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26"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其他应收 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28,879.80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9,221.60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19,658.20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488,658.84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15,242.18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473,416.66</w:t>
            </w:r>
          </w:p>
        </w:tc>
      </w:tr>
      <w:tr>
        <w:trPr>
          <w:trHeight w:val="402"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28,879.80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9,221.60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19,658.20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488,658.84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15,242.18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3.12%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473,416.66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19" w:top="1100" w:bottom="1200" w:left="920" w:right="0"/>
        </w:sectPr>
      </w:pPr>
    </w:p>
    <w:p>
      <w:pPr>
        <w:pStyle w:val="BodyText"/>
        <w:spacing w:line="240" w:lineRule="auto" w:before="51"/>
        <w:ind w:left="214" w:right="-20"/>
        <w:jc w:val="left"/>
      </w:pPr>
      <w:r>
        <w:rPr/>
        <w:t>期末单项金额重大并单项计提坏账准备的其他应收款：</w:t>
      </w:r>
    </w:p>
    <w:p>
      <w:pPr>
        <w:pStyle w:val="BodyText"/>
        <w:spacing w:line="357" w:lineRule="auto" w:before="117"/>
        <w:ind w:left="214" w:right="160"/>
        <w:jc w:val="left"/>
      </w:pPr>
      <w:r>
        <w:rPr/>
        <w:t>□ 适用 √ 不适用 组合中，按账龄分析法计提坏账准备的其他应收款：</w:t>
      </w:r>
    </w:p>
    <w:p>
      <w:pPr>
        <w:pStyle w:val="BodyText"/>
        <w:spacing w:line="240" w:lineRule="auto" w:before="28"/>
        <w:ind w:left="21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100" w:bottom="1200" w:left="920" w:right="0"/>
          <w:cols w:num="2" w:equalWidth="0">
            <w:col w:w="4535" w:space="4295"/>
            <w:col w:w="2160"/>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14,829.80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14,829.80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28,879.80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9,221.60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4775"/>
        <w:jc w:val="left"/>
      </w:pPr>
      <w:r>
        <w:rPr/>
        <w:t>确定该组合依据的说明：</w:t>
      </w:r>
    </w:p>
    <w:p>
      <w:pPr>
        <w:pStyle w:val="Heading5"/>
        <w:spacing w:line="240" w:lineRule="auto" w:before="90"/>
        <w:ind w:left="637" w:right="4775"/>
        <w:jc w:val="left"/>
      </w:pPr>
      <w:r>
        <w:rPr/>
        <w:t>无。</w:t>
      </w:r>
    </w:p>
    <w:p>
      <w:pPr>
        <w:pStyle w:val="BodyText"/>
        <w:spacing w:line="240" w:lineRule="auto" w:before="103"/>
        <w:ind w:left="214" w:right="4775"/>
        <w:jc w:val="left"/>
      </w:pPr>
      <w:r>
        <w:rPr/>
        <w:t>组合中，采用余额百分比法计提坏账准备的其他应收款：</w:t>
      </w:r>
    </w:p>
    <w:p>
      <w:pPr>
        <w:pStyle w:val="BodyText"/>
        <w:spacing w:line="357" w:lineRule="auto" w:before="117"/>
        <w:ind w:left="214" w:right="6612"/>
        <w:jc w:val="left"/>
      </w:pPr>
      <w:r>
        <w:rPr/>
        <w:t>□ 适用 √ 不适用 组合中，采用其他方法计提坏账准备的其他应收款：</w:t>
      </w:r>
    </w:p>
    <w:p>
      <w:pPr>
        <w:pStyle w:val="BodyText"/>
        <w:spacing w:line="240" w:lineRule="auto" w:before="28"/>
        <w:ind w:left="214" w:right="4775"/>
        <w:jc w:val="left"/>
      </w:pPr>
      <w:r>
        <w:rPr/>
        <w:t>□ 适用 √ 不适用</w:t>
      </w:r>
    </w:p>
    <w:p>
      <w:pPr>
        <w:pStyle w:val="BodyText"/>
        <w:spacing w:line="240" w:lineRule="auto" w:before="117"/>
        <w:ind w:left="214" w:right="477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left="214" w:right="4775"/>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6,020.58</w:t>
      </w:r>
      <w:r>
        <w:rPr>
          <w:rFonts w:ascii="Times New Roman" w:hAnsi="Times New Roman" w:cs="Times New Roman" w:eastAsia="Times New Roman" w:hint="default"/>
          <w:spacing w:val="-2"/>
        </w:rPr>
        <w:t> </w:t>
      </w:r>
      <w:r>
        <w:rPr/>
        <w:t>元。 其中本期坏账准备转回或收回金额重要的：无。</w:t>
      </w:r>
    </w:p>
    <w:p>
      <w:pPr>
        <w:spacing w:after="0" w:line="338" w:lineRule="auto"/>
        <w:jc w:val="left"/>
        <w:sectPr>
          <w:type w:val="continuous"/>
          <w:pgSz w:w="11910" w:h="16840"/>
          <w:pgMar w:top="1100" w:bottom="1200" w:left="920" w:right="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019" w:top="1100" w:bottom="1200" w:left="1020" w:right="0"/>
        </w:sectPr>
      </w:pPr>
    </w:p>
    <w:p>
      <w:pPr>
        <w:pStyle w:val="BodyText"/>
        <w:spacing w:line="300" w:lineRule="auto" w:before="44"/>
        <w:ind w:left="537" w:right="-19" w:hanging="424"/>
        <w:jc w:val="left"/>
      </w:pPr>
      <w:r>
        <w:rPr>
          <w:rFonts w:ascii="Times New Roman" w:hAnsi="Times New Roman" w:cs="Times New Roman" w:eastAsia="Times New Roman" w:hint="default"/>
        </w:rPr>
        <w:t>3)</w:t>
      </w:r>
      <w:r>
        <w:rPr/>
        <w:t>本期实际核销的其他应收款情况</w:t>
      </w:r>
      <w:r>
        <w:rPr>
          <w:w w:val="99"/>
        </w:rPr>
        <w:t> </w:t>
      </w:r>
      <w:r>
        <w:rPr/>
        <w:t>无。</w:t>
      </w:r>
    </w:p>
    <w:p>
      <w:pPr>
        <w:pStyle w:val="BodyText"/>
        <w:spacing w:line="240" w:lineRule="auto" w:before="72"/>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113" w:right="0"/>
        <w:jc w:val="left"/>
      </w:pPr>
      <w:r>
        <w:rPr/>
        <w:t>单位： 元</w:t>
      </w:r>
    </w:p>
    <w:p>
      <w:pPr>
        <w:spacing w:after="0" w:line="240" w:lineRule="auto"/>
        <w:jc w:val="left"/>
        <w:sectPr>
          <w:type w:val="continuous"/>
          <w:pgSz w:w="11910" w:h="16840"/>
          <w:pgMar w:top="1100" w:bottom="120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459,800.00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14,829.80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18,025.51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28,879.80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488,658.84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代缴社保公积金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代缴社保公积金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14,829.80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296.60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聂梦建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深圳市联惠科办 公设备有限公司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深圳市福田区亿 瑞景园艺经营部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深圳市安吉尔饮 水科技有限公司 粤通水厂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28,879.80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9,221.60</w:t>
            </w:r>
          </w:p>
        </w:tc>
      </w:tr>
    </w:tbl>
    <w:p>
      <w:pPr>
        <w:pStyle w:val="BodyText"/>
        <w:spacing w:line="338" w:lineRule="auto" w:before="51"/>
        <w:ind w:left="535" w:right="7631" w:hanging="422"/>
        <w:jc w:val="left"/>
      </w:pPr>
      <w:r>
        <w:rPr>
          <w:rFonts w:ascii="Times New Roman" w:hAnsi="Times New Roman" w:cs="Times New Roman" w:eastAsia="Times New Roman" w:hint="default"/>
        </w:rPr>
        <w:t>6)</w:t>
      </w:r>
      <w:r>
        <w:rPr/>
        <w:t>涉及政府补助的应收款项</w:t>
      </w:r>
      <w:r>
        <w:rPr>
          <w:w w:val="99"/>
        </w:rPr>
        <w:t> </w:t>
      </w:r>
      <w:r>
        <w:rPr/>
        <w:t>本期无涉及政府补助的应收款项。</w:t>
      </w:r>
    </w:p>
    <w:p>
      <w:pPr>
        <w:pStyle w:val="BodyText"/>
        <w:spacing w:line="300" w:lineRule="auto" w:before="2"/>
        <w:ind w:left="535" w:right="6371" w:hanging="422"/>
        <w:jc w:val="left"/>
      </w:pPr>
      <w:r>
        <w:rPr>
          <w:rFonts w:ascii="Times New Roman" w:hAnsi="Times New Roman" w:cs="Times New Roman" w:eastAsia="Times New Roman" w:hint="default"/>
        </w:rPr>
        <w:t>7)</w:t>
      </w:r>
      <w:r>
        <w:rPr/>
        <w:t>因金融资产转移而终止确认的其他应收款</w:t>
      </w:r>
      <w:r>
        <w:rPr>
          <w:w w:val="99"/>
        </w:rPr>
        <w:t> </w:t>
      </w:r>
      <w:r>
        <w:rPr/>
        <w:t>本期无因金融资产转移而终止确认的其他应收款。</w:t>
      </w:r>
    </w:p>
    <w:p>
      <w:pPr>
        <w:pStyle w:val="BodyText"/>
        <w:spacing w:line="338" w:lineRule="auto" w:before="72"/>
        <w:ind w:left="474" w:right="5532" w:hanging="360"/>
        <w:jc w:val="left"/>
      </w:pPr>
      <w:r>
        <w:rPr>
          <w:rFonts w:ascii="Times New Roman" w:hAnsi="Times New Roman" w:cs="Times New Roman" w:eastAsia="Times New Roman" w:hint="default"/>
        </w:rPr>
        <w:t>8)</w:t>
      </w:r>
      <w:r>
        <w:rPr/>
        <w:t>转移其他应收款且继续涉入形成的资产、负债金额</w:t>
      </w:r>
      <w:r>
        <w:rPr>
          <w:w w:val="99"/>
        </w:rPr>
        <w:t> </w:t>
      </w:r>
      <w:r>
        <w:rPr/>
        <w:t>本期无转移其他应收款且继续涉入形成的资产、负债的金额。</w:t>
      </w:r>
    </w:p>
    <w:p>
      <w:pPr>
        <w:pStyle w:val="BodyText"/>
        <w:spacing w:line="240" w:lineRule="auto" w:before="2"/>
        <w:ind w:right="0"/>
        <w:jc w:val="left"/>
      </w:pPr>
      <w:r>
        <w:rPr/>
        <w:t>其他说明：无。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存货" w:id="221"/>
      <w:bookmarkEnd w:id="221"/>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pStyle w:val="BodyText"/>
        <w:spacing w:line="240" w:lineRule="auto" w:before="28"/>
        <w:ind w:left="537" w:right="0"/>
        <w:jc w:val="left"/>
      </w:pPr>
      <w:r>
        <w:rPr/>
        <w:t>本期期初、期末无存货。</w:t>
      </w:r>
    </w:p>
    <w:p>
      <w:pPr>
        <w:spacing w:after="0" w:line="240" w:lineRule="auto"/>
        <w:jc w:val="left"/>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7、其他流动资产" w:id="222"/>
      <w:bookmarkEnd w:id="222"/>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163,986.79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125,093.72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多缴税金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116,408.52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224,580,395.31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141,525,093.72</w:t>
            </w:r>
          </w:p>
        </w:tc>
      </w:tr>
    </w:tbl>
    <w:p>
      <w:pPr>
        <w:pStyle w:val="BodyText"/>
        <w:spacing w:line="240" w:lineRule="auto" w:before="51"/>
        <w:ind w:right="0"/>
        <w:jc w:val="left"/>
      </w:pPr>
      <w:r>
        <w:rPr/>
        <w:t>其他说明：</w:t>
      </w:r>
    </w:p>
    <w:p>
      <w:pPr>
        <w:pStyle w:val="Heading5"/>
        <w:spacing w:line="240" w:lineRule="auto" w:before="89"/>
        <w:ind w:right="0"/>
        <w:jc w:val="left"/>
      </w:pPr>
      <w:r>
        <w:rPr/>
        <w:t>无。</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8、长期股权投资" w:id="223"/>
      <w:bookmarkEnd w:id="223"/>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8"/>
        <w:gridCol w:w="1340"/>
        <w:gridCol w:w="590"/>
        <w:gridCol w:w="589"/>
        <w:gridCol w:w="1314"/>
        <w:gridCol w:w="696"/>
        <w:gridCol w:w="642"/>
        <w:gridCol w:w="775"/>
        <w:gridCol w:w="644"/>
        <w:gridCol w:w="538"/>
        <w:gridCol w:w="1342"/>
        <w:gridCol w:w="697"/>
      </w:tblGrid>
      <w:tr>
        <w:trPr>
          <w:trHeight w:val="402" w:hRule="exact"/>
        </w:trPr>
        <w:tc>
          <w:tcPr>
            <w:tcW w:w="6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63" w:right="1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688"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8"/>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1" w:right="111"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62"/>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5" w:right="134"/>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6" w:right="135"/>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3" w:right="173"/>
              <w:jc w:val="left"/>
              <w:rPr>
                <w:rFonts w:ascii="宋体" w:hAnsi="宋体" w:cs="宋体" w:eastAsia="宋体" w:hint="default"/>
                <w:sz w:val="18"/>
                <w:szCs w:val="18"/>
              </w:rPr>
            </w:pPr>
            <w:r>
              <w:rPr>
                <w:rFonts w:ascii="宋体" w:hAnsi="宋体" w:cs="宋体" w:eastAsia="宋体" w:hint="default"/>
                <w:sz w:val="18"/>
                <w:szCs w:val="18"/>
              </w:rPr>
              <w:t>其 他</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8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2"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3"/>
              <w:jc w:val="both"/>
              <w:rPr>
                <w:rFonts w:ascii="宋体" w:hAnsi="宋体" w:cs="宋体" w:eastAsia="宋体" w:hint="default"/>
                <w:sz w:val="18"/>
                <w:szCs w:val="18"/>
              </w:rPr>
            </w:pPr>
            <w:r>
              <w:rPr>
                <w:rFonts w:ascii="宋体" w:hAnsi="宋体" w:cs="宋体" w:eastAsia="宋体" w:hint="default"/>
                <w:sz w:val="18"/>
                <w:szCs w:val="18"/>
              </w:rPr>
              <w:t>广东 粤科 融资 租赁 有限 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160,804,326.27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6,882,326.60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167,686,652.87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160,804,326.27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6,882,326.60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167,686,652.87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160,804,326.27</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6,882,326.60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167,686,652.87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pStyle w:val="BodyText"/>
        <w:spacing w:line="300" w:lineRule="auto" w:before="116"/>
        <w:ind w:right="0" w:firstLine="405"/>
        <w:jc w:val="left"/>
      </w:pPr>
      <w:r>
        <w:rPr>
          <w:spacing w:val="-3"/>
        </w:rPr>
        <w:t>广东粤科融资租赁有限公司成立于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17</w:t>
      </w:r>
      <w:r>
        <w:rPr>
          <w:spacing w:val="-3"/>
        </w:rPr>
        <w:t>日，注册资本为人民币</w:t>
      </w:r>
      <w:r>
        <w:rPr>
          <w:rFonts w:ascii="Times New Roman" w:hAnsi="Times New Roman" w:cs="Times New Roman" w:eastAsia="Times New Roman" w:hint="default"/>
          <w:spacing w:val="-3"/>
        </w:rPr>
        <w:t>62,000.00</w:t>
      </w:r>
      <w:r>
        <w:rPr>
          <w:spacing w:val="-3"/>
        </w:rPr>
        <w:t>万元，本公司出资人民币</w:t>
      </w:r>
      <w:r>
        <w:rPr>
          <w:rFonts w:ascii="Times New Roman" w:hAnsi="Times New Roman" w:cs="Times New Roman" w:eastAsia="Times New Roman" w:hint="default"/>
          <w:spacing w:val="-3"/>
        </w:rPr>
        <w:t>12,400.00</w:t>
      </w:r>
      <w:r>
        <w:rPr>
          <w:spacing w:val="-3"/>
        </w:rPr>
        <w:t>万元，</w:t>
      </w:r>
      <w:r>
        <w:rPr/>
        <w:t> 占注册资本的</w:t>
      </w:r>
      <w:r>
        <w:rPr>
          <w:rFonts w:ascii="Times New Roman" w:hAnsi="Times New Roman" w:cs="Times New Roman" w:eastAsia="Times New Roman" w:hint="default"/>
        </w:rPr>
        <w:t>20.00%</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9、投资性房地产" w:id="224"/>
      <w:bookmarkEnd w:id="224"/>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25"/>
      <w:bookmarkEnd w:id="22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采用公允价值计量模式的投资性房地产" w:id="226"/>
      <w:bookmarkEnd w:id="22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336,598,281.14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336,598,281.14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53,710,306.73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53,710,306.73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6" w:firstLine="72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53,550,900.00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53,550,900.00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159,406.73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159,406.73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390,308,587.87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390,308,587.87</w:t>
            </w:r>
          </w:p>
        </w:tc>
      </w:tr>
    </w:tbl>
    <w:p>
      <w:pPr>
        <w:pStyle w:val="BodyText"/>
        <w:spacing w:line="316" w:lineRule="auto" w:before="10"/>
        <w:ind w:right="0" w:firstLine="423"/>
        <w:jc w:val="left"/>
      </w:pPr>
      <w:r>
        <w:rPr/>
        <w:t>（说明：因评估是以土地及地上建筑物作为一个整体进行评估，从而无法将公允价值在土地使用权及房屋建筑物中分 开核算，故将其公允价值变动全部在房屋、建筑物项下列示）</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未办妥产权证书的投资性房地产情况" w:id="227"/>
      <w:bookmarkEnd w:id="22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岭海工业区宿舍楼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47,612,459.82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47,612,459.82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固定资产" w:id="228"/>
      <w:bookmarkEnd w:id="228"/>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190,636.27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3,599,560.31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190,636.27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3,599,560.31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29"/>
      <w:bookmarkEnd w:id="22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1,751,766.32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10,977,590.36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1,123,237.00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13,852,593.68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1,751,766.32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10,224,378.90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11,976,145.22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1,751,766.32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9,907,878.90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11,659,645.22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316,500.00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753,211.46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1,123,237.00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1,876,448.46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107,867.22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9,245,080.18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900,085.97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10,253,033.37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36,981.72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541,540.06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103,964.88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682,486.66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36,981.72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541,540.06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103,964.88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682,486.66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9,104,858.90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9,249,707.84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8,967,061.02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9,111,909.96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137,797.88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137,797.88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681,761.34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1,004,050.85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1,685,812.19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71,450.12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119,186.15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190,636.27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1,643,899.10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1,732,510.18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223,151.03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3,599,560.31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1、在建工程" w:id="230"/>
      <w:bookmarkEnd w:id="230"/>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23,932,647.20</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23,932,647.20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31"/>
      <w:bookmarkEnd w:id="23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岭海工业区宿 舍楼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23,932,647.20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23,932,647.20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23,932,647.20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23,932,647.20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left="594" w:right="0"/>
        <w:jc w:val="left"/>
        <w:rPr>
          <w:b w:val="0"/>
          <w:bCs w:val="0"/>
        </w:rPr>
      </w:pPr>
      <w:bookmarkStart w:name="（2）重要在建工程项目本期变动情况" w:id="232"/>
      <w:bookmarkEnd w:id="23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31"/>
        <w:gridCol w:w="1252"/>
        <w:gridCol w:w="1250"/>
        <w:gridCol w:w="1164"/>
        <w:gridCol w:w="1274"/>
        <w:gridCol w:w="563"/>
        <w:gridCol w:w="544"/>
        <w:gridCol w:w="894"/>
        <w:gridCol w:w="645"/>
        <w:gridCol w:w="569"/>
        <w:gridCol w:w="629"/>
        <w:gridCol w:w="708"/>
        <w:gridCol w:w="413"/>
      </w:tblGrid>
      <w:tr>
        <w:trPr>
          <w:trHeight w:val="2898" w:hRule="exact"/>
        </w:trPr>
        <w:tc>
          <w:tcPr>
            <w:tcW w:w="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0" w:right="119"/>
              <w:jc w:val="both"/>
              <w:rPr>
                <w:rFonts w:ascii="宋体" w:hAnsi="宋体" w:cs="宋体" w:eastAsia="宋体" w:hint="default"/>
                <w:sz w:val="18"/>
                <w:szCs w:val="18"/>
              </w:rPr>
            </w:pPr>
            <w:r>
              <w:rPr>
                <w:rFonts w:ascii="宋体" w:hAnsi="宋体" w:cs="宋体" w:eastAsia="宋体" w:hint="default"/>
                <w:sz w:val="18"/>
                <w:szCs w:val="18"/>
              </w:rPr>
              <w:t>项 目 名 称</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87" w:right="125"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1" w:right="18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6" w:right="185"/>
              <w:jc w:val="both"/>
              <w:rPr>
                <w:rFonts w:ascii="宋体" w:hAnsi="宋体" w:cs="宋体" w:eastAsia="宋体" w:hint="default"/>
                <w:sz w:val="18"/>
                <w:szCs w:val="18"/>
              </w:rPr>
            </w:pPr>
            <w:r>
              <w:rPr>
                <w:rFonts w:ascii="宋体" w:hAnsi="宋体" w:cs="宋体" w:eastAsia="宋体" w:hint="default"/>
                <w:sz w:val="18"/>
                <w:szCs w:val="18"/>
              </w:rPr>
              <w:t>本 期 其 他 减 少 金 额</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6" w:right="175"/>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0" w:right="17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5" w:right="13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9" w:right="187"/>
              <w:jc w:val="both"/>
              <w:rPr>
                <w:rFonts w:ascii="宋体" w:hAnsi="宋体" w:cs="宋体" w:eastAsia="宋体" w:hint="default"/>
                <w:sz w:val="18"/>
                <w:szCs w:val="18"/>
              </w:rPr>
            </w:pPr>
            <w:r>
              <w:rPr>
                <w:rFonts w:ascii="宋体" w:hAnsi="宋体" w:cs="宋体" w:eastAsia="宋体" w:hint="default"/>
                <w:sz w:val="18"/>
                <w:szCs w:val="18"/>
              </w:rPr>
              <w:t>利 息 资 本 化 累 计 金 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28" w:right="128"/>
              <w:jc w:val="center"/>
              <w:rPr>
                <w:rFonts w:ascii="宋体" w:hAnsi="宋体" w:cs="宋体" w:eastAsia="宋体" w:hint="default"/>
                <w:sz w:val="18"/>
                <w:szCs w:val="18"/>
              </w:rPr>
            </w:pPr>
            <w:r>
              <w:rPr>
                <w:rFonts w:ascii="宋体" w:hAnsi="宋体" w:cs="宋体" w:eastAsia="宋体" w:hint="default"/>
                <w:sz w:val="18"/>
                <w:szCs w:val="18"/>
              </w:rPr>
              <w:t>其 中： 本期 利息 资本 化金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7" w:right="168"/>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0" w:right="110"/>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2586" w:hRule="exact"/>
        </w:trPr>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both"/>
              <w:rPr>
                <w:rFonts w:ascii="宋体" w:hAnsi="宋体" w:cs="宋体" w:eastAsia="宋体" w:hint="default"/>
                <w:sz w:val="18"/>
                <w:szCs w:val="18"/>
              </w:rPr>
            </w:pPr>
            <w:r>
              <w:rPr>
                <w:rFonts w:ascii="宋体" w:hAnsi="宋体" w:cs="宋体" w:eastAsia="宋体" w:hint="default"/>
                <w:sz w:val="18"/>
                <w:szCs w:val="18"/>
              </w:rPr>
              <w:t>岭 海 工 业 区 宿 舍 楼</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25,583,996.00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23,932,647.20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4,412,381.33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28,345,028.53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110.79%</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6" w:hRule="exact"/>
        </w:trPr>
        <w:tc>
          <w:tcPr>
            <w:tcW w:w="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合 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25,583,996.00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23,932,647.20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4,412,381.33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28,345,028.53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594" w:right="0"/>
        <w:jc w:val="left"/>
        <w:rPr>
          <w:b w:val="0"/>
          <w:bCs w:val="0"/>
        </w:rPr>
      </w:pPr>
      <w:bookmarkStart w:name="12、无形资产" w:id="233"/>
      <w:bookmarkEnd w:id="233"/>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94" w:right="0"/>
        <w:jc w:val="left"/>
        <w:rPr>
          <w:b w:val="0"/>
          <w:bCs w:val="0"/>
        </w:rPr>
      </w:pPr>
      <w:bookmarkStart w:name="（1）无形资产情况" w:id="234"/>
      <w:bookmarkEnd w:id="23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58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73,779,795.68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496,410.26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74,276,205.94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26,190,928.50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26,190,928.50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转入投资性房地 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26,190,928.50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26,190,928.50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47,588,867.18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496,410.26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48,085,277.44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6,259,611.43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183,686.70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6,443,298.13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54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1,335,498.88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48,736.14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1,384,235.02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1,335,498.88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48,736.14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1,384,235.02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1,265,894.95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1,265,894.95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1,265,894.95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1,265,894.95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6,329,215.36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232,422.84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6,561,638.20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41,259,651.82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263,987.42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41,523,639.24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67,520,184.25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312,723.56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67,832,907.81</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35"/>
      <w:bookmarkEnd w:id="23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 报告期末无未办妥产权证书的土地使用权情况。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13、商誉" w:id="236"/>
      <w:bookmarkEnd w:id="236"/>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37"/>
      <w:bookmarkEnd w:id="23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38"/>
      <w:bookmarkEnd w:id="23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1,038,345.12</w:t>
            </w:r>
          </w:p>
        </w:tc>
      </w:tr>
    </w:tbl>
    <w:p>
      <w:pPr>
        <w:pStyle w:val="BodyText"/>
        <w:spacing w:line="240" w:lineRule="auto" w:before="51"/>
        <w:ind w:right="0"/>
        <w:jc w:val="left"/>
      </w:pPr>
      <w:r>
        <w:rPr/>
        <w:t>商誉所在资产组或资产组组合的相关信息：无。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16" w:lineRule="auto"/>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  无。</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717" w:lineRule="auto"/>
        <w:ind w:right="8502"/>
        <w:jc w:val="left"/>
      </w:pPr>
      <w:r>
        <w:rPr/>
        <w:t>商誉减值测试的影响： 无。 其他说明：无。</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bookmarkStart w:name="14、长期待摊费用" w:id="239"/>
      <w:bookmarkEnd w:id="23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199,000.03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140,470.56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58,529.47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199,000.03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140,470.56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58,529.47</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15、递延所得税资产/递延所得税负债" w:id="240"/>
      <w:bookmarkEnd w:id="24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无" w:id="241"/>
      <w:bookmarkEnd w:id="241"/>
      <w:r>
        <w:rPr>
          <w:b w:val="0"/>
          <w:bCs w:val="0"/>
        </w:rPr>
      </w:r>
      <w:r>
        <w:rPr/>
        <w:t>（</w:t>
      </w:r>
      <w:r>
        <w:rPr>
          <w:rFonts w:ascii="Times New Roman" w:hAnsi="Times New Roman" w:cs="Times New Roman" w:eastAsia="Times New Roman" w:hint="default"/>
        </w:rPr>
        <w:t>1</w:t>
      </w:r>
      <w:r>
        <w:rPr/>
        <w:t>）未经抵销的递延所得税资产：无</w:t>
      </w:r>
      <w:r>
        <w:rPr>
          <w:b w:val="0"/>
          <w:bCs w:val="0"/>
        </w:rPr>
      </w:r>
    </w:p>
    <w:p>
      <w:pPr>
        <w:spacing w:line="240" w:lineRule="auto" w:before="10"/>
        <w:rPr>
          <w:rFonts w:ascii="宋体" w:hAnsi="宋体" w:cs="宋体" w:eastAsia="宋体" w:hint="default"/>
          <w:b/>
          <w:bCs/>
          <w:sz w:val="24"/>
          <w:szCs w:val="24"/>
        </w:rPr>
      </w:pPr>
    </w:p>
    <w:p>
      <w:pPr>
        <w:pStyle w:val="Heading4"/>
        <w:spacing w:line="259" w:lineRule="auto"/>
        <w:ind w:right="0"/>
        <w:jc w:val="left"/>
        <w:rPr>
          <w:b w:val="0"/>
          <w:bCs w:val="0"/>
        </w:rPr>
      </w:pPr>
      <w:bookmarkStart w:name="（2）未经抵销的递延所得税负债：无（3）以抵销后净额列示的递延所得税资产或负债：" w:id="242"/>
      <w:bookmarkEnd w:id="242"/>
      <w:r>
        <w:rPr>
          <w:b w:val="0"/>
          <w:bCs w:val="0"/>
        </w:rPr>
      </w:r>
      <w:r>
        <w:rPr/>
        <w:t>（</w:t>
      </w:r>
      <w:r>
        <w:rPr>
          <w:rFonts w:ascii="Times New Roman" w:hAnsi="Times New Roman" w:cs="Times New Roman" w:eastAsia="Times New Roman" w:hint="default"/>
        </w:rPr>
        <w:t>2</w:t>
      </w:r>
      <w:r>
        <w:rPr/>
        <w:t>）未经抵销的递延所得税负债：无（</w:t>
      </w:r>
      <w:r>
        <w:rPr>
          <w:rFonts w:ascii="Times New Roman" w:hAnsi="Times New Roman" w:cs="Times New Roman" w:eastAsia="Times New Roman" w:hint="default"/>
        </w:rPr>
        <w:t>3</w:t>
      </w:r>
      <w:r>
        <w:rPr/>
        <w:t>）以抵销后净额列示的递延所得税资产或负债：无（</w:t>
      </w:r>
      <w:r>
        <w:rPr>
          <w:rFonts w:ascii="Times New Roman" w:hAnsi="Times New Roman" w:cs="Times New Roman" w:eastAsia="Times New Roman" w:hint="default"/>
        </w:rPr>
        <w:t>4</w:t>
      </w:r>
      <w:r>
        <w:rPr/>
        <w:t>）未确认</w:t>
      </w:r>
      <w:r>
        <w:rPr>
          <w:spacing w:val="-64"/>
        </w:rPr>
        <w:t> </w:t>
      </w:r>
      <w:r>
        <w:rPr>
          <w:spacing w:val="-64"/>
        </w:rPr>
      </w:r>
      <w:r>
        <w:rPr/>
        <w:t>递延所得税资产明细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15,221.60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10,482,263.74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43,072,084.59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40,992,601.69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43,087,306.19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51,474,865.43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43"/>
      <w:bookmarkEnd w:id="24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4,490,617.90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4,530,648.53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4,530,648.53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4,549,985.48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4,549,985.48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5,110,243.45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5,110,243.45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22,311,106.33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22,311,106.33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6,570,100.80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43,072,084.59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40,992,601.69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16、其他非流动资产" w:id="244"/>
      <w:bookmarkEnd w:id="244"/>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bookmarkStart w:name="17、应付票据及应付账款" w:id="245"/>
      <w:bookmarkEnd w:id="245"/>
      <w:r>
        <w:rPr>
          <w:b w:val="0"/>
          <w:bCs w:val="0"/>
        </w:rPr>
      </w:r>
      <w:r>
        <w:rPr>
          <w:rFonts w:ascii="Times New Roman" w:hAnsi="Times New Roman" w:cs="Times New Roman" w:eastAsia="Times New Roman" w:hint="default"/>
        </w:rPr>
        <w:t>17</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585,529.43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296,073.91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585,529.43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296,073.91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账款列示" w:id="246"/>
      <w:bookmarkEnd w:id="24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340,986.43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31,530.91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264,543.00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244,543.00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585,529.43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296,073.91</w:t>
            </w:r>
          </w:p>
        </w:tc>
      </w:tr>
    </w:tbl>
    <w:p>
      <w:pPr>
        <w:spacing w:line="276" w:lineRule="exact" w:before="0"/>
        <w:ind w:left="114" w:right="0" w:firstLine="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年的重要应付账款</w:t>
      </w:r>
      <w:r>
        <w:rPr>
          <w:rFonts w:ascii="宋体" w:hAnsi="宋体" w:cs="宋体" w:eastAsia="宋体" w:hint="default"/>
          <w:sz w:val="18"/>
          <w:szCs w:val="18"/>
        </w:rPr>
        <w:t>报告期末无账龄超过</w:t>
      </w:r>
      <w:r>
        <w:rPr>
          <w:rFonts w:ascii="宋体" w:hAnsi="宋体" w:cs="宋体" w:eastAsia="宋体" w:hint="default"/>
          <w:sz w:val="18"/>
          <w:szCs w:val="18"/>
        </w:rPr>
        <w:t>1</w:t>
      </w:r>
      <w:r>
        <w:rPr>
          <w:rFonts w:ascii="宋体" w:hAnsi="宋体" w:cs="宋体" w:eastAsia="宋体" w:hint="default"/>
          <w:sz w:val="18"/>
          <w:szCs w:val="18"/>
        </w:rPr>
        <w:t>年的重要应付账款。</w:t>
      </w:r>
    </w:p>
    <w:p>
      <w:pPr>
        <w:spacing w:after="0" w:line="276" w:lineRule="exact"/>
        <w:jc w:val="left"/>
        <w:rPr>
          <w:rFonts w:ascii="宋体" w:hAnsi="宋体" w:cs="宋体" w:eastAsia="宋体" w:hint="default"/>
          <w:sz w:val="18"/>
          <w:szCs w:val="18"/>
        </w:rPr>
        <w:sectPr>
          <w:pgSz w:w="11910" w:h="16840"/>
          <w:pgMar w:header="0"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5"/>
        <w:ind w:right="0"/>
        <w:jc w:val="left"/>
        <w:rPr>
          <w:b w:val="0"/>
          <w:bCs w:val="0"/>
        </w:rPr>
      </w:pPr>
      <w:bookmarkStart w:name="18、应付职工薪酬" w:id="247"/>
      <w:bookmarkEnd w:id="247"/>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48"/>
      <w:bookmarkEnd w:id="24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2,436,822.38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2,804,079.04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4,841,279.27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399,622.15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112,229.46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112,229.46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4,221.16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822,550.00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745,900.00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2,441,043.54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3,738,858.50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5,030,158.73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1,149,743.31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49"/>
      <w:bookmarkEnd w:id="24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2,430,400.23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2,644,002.83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4,681,203.06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393,200.00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49,921.00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69,206.21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69,206.21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2,217.15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62,937.93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2,021.70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6"/>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6"/>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4,449.92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4,449.92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40,949.00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40,949.00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4,205.00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2,436,822.38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2,804,079.04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4,841,279.27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399,622.15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50"/>
      <w:bookmarkEnd w:id="25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108,456.90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108,456.90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3,841.48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379.68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4,221.16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112,229.46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112,229.46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4,221.16</w:t>
            </w:r>
          </w:p>
        </w:tc>
      </w:tr>
    </w:tbl>
    <w:p>
      <w:pPr>
        <w:pStyle w:val="BodyText"/>
        <w:spacing w:line="240" w:lineRule="auto" w:before="51"/>
        <w:ind w:right="0"/>
        <w:jc w:val="left"/>
      </w:pPr>
      <w:r>
        <w:rPr/>
        <w:t>其他说明：无。</w:t>
      </w:r>
    </w:p>
    <w:p>
      <w:pPr>
        <w:spacing w:after="0" w:line="240" w:lineRule="auto"/>
        <w:jc w:val="left"/>
        <w:sectPr>
          <w:pgSz w:w="11910" w:h="16840"/>
          <w:pgMar w:header="0" w:footer="1019" w:top="1100" w:bottom="1200" w:left="1020" w:right="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19、应交税费" w:id="251"/>
      <w:bookmarkEnd w:id="251"/>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41,175.49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6,080.36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5,020.78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1,280,742.70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1,273,218.33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551,413.70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545,664.98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70,609.74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70,609.74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244,400.00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244,400.00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140,875.07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73,960.10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81,288.00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2,409,947.47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2,220,201.83</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0、其他应付款" w:id="252"/>
      <w:bookmarkEnd w:id="252"/>
      <w:r>
        <w:rPr>
          <w:b w:val="0"/>
          <w:bCs w:val="0"/>
        </w:rPr>
      </w:r>
      <w:r>
        <w:rPr>
          <w:rFonts w:ascii="Times New Roman" w:hAnsi="Times New Roman" w:cs="Times New Roman" w:eastAsia="Times New Roman" w:hint="default"/>
        </w:rPr>
        <w:t>20</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945,624.48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1,978,020.51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945,624.48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1,978,020.51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付款" w:id="253"/>
      <w:bookmarkEnd w:id="253"/>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18,463.48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596,493.07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非关联方公司往来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927,161.00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1,378,487.44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945,624.48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1,978,020.51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1、其他非流动负债" w:id="254"/>
      <w:bookmarkEnd w:id="254"/>
      <w:r>
        <w:rPr>
          <w:b w:val="0"/>
          <w:bCs w:val="0"/>
        </w:rPr>
      </w:r>
      <w:r>
        <w:rPr>
          <w:rFonts w:ascii="Times New Roman" w:hAnsi="Times New Roman" w:cs="Times New Roman" w:eastAsia="Times New Roman" w:hint="default"/>
        </w:rPr>
        <w:t>21</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粮食补贴款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3,875,760.00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3,875,760.00</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bookmarkStart w:name="22、股本" w:id="255"/>
      <w:bookmarkEnd w:id="255"/>
      <w:r>
        <w:rPr>
          <w:b w:val="0"/>
          <w:bCs w:val="0"/>
        </w:rPr>
      </w:r>
      <w:r>
        <w:rPr>
          <w:rFonts w:ascii="Times New Roman" w:hAnsi="Times New Roman" w:cs="Times New Roman" w:eastAsia="Times New Roman" w:hint="default"/>
        </w:rPr>
        <w:t>22</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588,720,000.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588,720,000.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23、资本公积" w:id="256"/>
      <w:bookmarkEnd w:id="256"/>
      <w:r>
        <w:rPr>
          <w:b w:val="0"/>
          <w:bCs w:val="0"/>
        </w:rPr>
      </w:r>
      <w:r>
        <w:rPr>
          <w:rFonts w:ascii="Times New Roman" w:hAnsi="Times New Roman" w:cs="Times New Roman" w:eastAsia="Times New Roman" w:hint="default"/>
        </w:rPr>
        <w:t>23</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153,717,414.13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153,717,414.13</w:t>
            </w:r>
          </w:p>
        </w:tc>
      </w:tr>
    </w:tbl>
    <w:p>
      <w:pPr>
        <w:pStyle w:val="BodyText"/>
        <w:spacing w:line="240" w:lineRule="auto" w:before="51"/>
        <w:ind w:right="0"/>
        <w:jc w:val="left"/>
      </w:pPr>
      <w:r>
        <w:rPr/>
        <w:t>其他说明，包括本期增减变动情况、变动原因说明：无。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其他综合收益" w:id="257"/>
      <w:bookmarkEnd w:id="257"/>
      <w:r>
        <w:rPr>
          <w:b w:val="0"/>
          <w:bCs w:val="0"/>
        </w:rPr>
      </w:r>
      <w:r>
        <w:rPr>
          <w:rFonts w:ascii="Times New Roman" w:hAnsi="Times New Roman" w:cs="Times New Roman" w:eastAsia="Times New Roman" w:hint="default"/>
        </w:rPr>
        <w:t>24</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05"/>
        <w:gridCol w:w="1162"/>
        <w:gridCol w:w="1248"/>
        <w:gridCol w:w="1366"/>
        <w:gridCol w:w="823"/>
        <w:gridCol w:w="1199"/>
        <w:gridCol w:w="791"/>
        <w:gridCol w:w="1162"/>
      </w:tblGrid>
      <w:tr>
        <w:trPr>
          <w:trHeight w:val="403" w:hRule="exact"/>
        </w:trPr>
        <w:tc>
          <w:tcPr>
            <w:tcW w:w="2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105"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167"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4"/>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4" w:right="143" w:hanging="181"/>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0" w:right="119"/>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1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0"/>
              <w:jc w:val="left"/>
              <w:rPr>
                <w:rFonts w:ascii="宋体" w:hAnsi="宋体" w:cs="宋体" w:eastAsia="宋体" w:hint="default"/>
                <w:sz w:val="18"/>
                <w:szCs w:val="18"/>
              </w:rPr>
            </w:pPr>
            <w:r>
              <w:rPr>
                <w:rFonts w:ascii="宋体" w:hAnsi="宋体" w:cs="宋体" w:eastAsia="宋体" w:hint="default"/>
                <w:sz w:val="18"/>
                <w:szCs w:val="18"/>
              </w:rPr>
              <w:t>二、将重分类进损益的 其他综合收益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5,319,169.80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292,121.78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292,121.78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5,611,291.58</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87,039.23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11,283.86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98,323.09</w:t>
            </w:r>
          </w:p>
        </w:tc>
      </w:tr>
      <w:tr>
        <w:trPr>
          <w:trHeight w:val="1338"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90"/>
              <w:jc w:val="both"/>
              <w:rPr>
                <w:rFonts w:ascii="宋体" w:hAnsi="宋体" w:cs="宋体" w:eastAsia="宋体" w:hint="default"/>
                <w:sz w:val="18"/>
                <w:szCs w:val="18"/>
              </w:rPr>
            </w:pPr>
            <w:r>
              <w:rPr>
                <w:rFonts w:ascii="宋体" w:hAnsi="宋体" w:cs="宋体" w:eastAsia="宋体" w:hint="default"/>
                <w:sz w:val="18"/>
                <w:szCs w:val="18"/>
              </w:rPr>
              <w:t>自用房地产转换为采用 公允价值模式计量的投 资性房地产形成的利得 和损失</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5,232,130.57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280,837.92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280,837.92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5,512,968.49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5,319,169.80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292,121.78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292,121.78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5,611,291.58</w:t>
            </w:r>
          </w:p>
        </w:tc>
      </w:tr>
    </w:tbl>
    <w:p>
      <w:pPr>
        <w:pStyle w:val="BodyText"/>
        <w:spacing w:line="240" w:lineRule="auto" w:before="10"/>
        <w:ind w:left="537" w:right="0"/>
        <w:jc w:val="left"/>
      </w:pPr>
      <w:r>
        <w:rPr/>
        <w:t>其他说明，包括对现金流量套期损益的有效部分转为被套期项目初始确认金额调整：无。</w:t>
      </w:r>
    </w:p>
    <w:p>
      <w:pPr>
        <w:spacing w:after="0" w:line="240" w:lineRule="auto"/>
        <w:jc w:val="left"/>
        <w:sectPr>
          <w:pgSz w:w="11910" w:h="16840"/>
          <w:pgMar w:header="0"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5"/>
        <w:ind w:right="0"/>
        <w:jc w:val="left"/>
        <w:rPr>
          <w:b w:val="0"/>
          <w:bCs w:val="0"/>
        </w:rPr>
      </w:pPr>
      <w:bookmarkStart w:name="25、盈余公积" w:id="258"/>
      <w:bookmarkEnd w:id="258"/>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29,195,887.54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29,195,887.54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29,195,887.54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29,195,887.54</w:t>
            </w:r>
          </w:p>
        </w:tc>
      </w:tr>
    </w:tbl>
    <w:p>
      <w:pPr>
        <w:pStyle w:val="BodyText"/>
        <w:spacing w:line="240" w:lineRule="auto" w:before="51"/>
        <w:ind w:right="0"/>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6、未分配利润" w:id="259"/>
      <w:bookmarkEnd w:id="259"/>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114,457,270.52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135,870,049.99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114,457,270.52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135,870,049.99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6,921,812.73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-21,412,779.47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121,379,083.25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114,457,270.52</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7、营业收入和营业成本" w:id="260"/>
      <w:bookmarkEnd w:id="260"/>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16,942,024.51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15,565,577.71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50,034,173.55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45,884,866.68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2,103,623.79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3,901,645.31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5,370,500.06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19,045,648.30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15,565,577.71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53,935,818.86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51,255,366.74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8、税金及附加" w:id="261"/>
      <w:bookmarkEnd w:id="261"/>
      <w:r>
        <w:rPr>
          <w:b w:val="0"/>
          <w:bCs w:val="0"/>
        </w:rPr>
      </w:r>
      <w:r>
        <w:rPr>
          <w:rFonts w:ascii="Times New Roman" w:hAnsi="Times New Roman" w:cs="Times New Roman" w:eastAsia="Times New Roman" w:hint="default"/>
        </w:rPr>
        <w:t>28</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10,170.84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429,364.27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4,358.95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184,013.26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2,622,251.40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2,800,872.26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275,649.11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315,040.54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5,964.16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10,527.04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39,841.80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122,675.50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2,931,027.94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3,902,334.67</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29、销售费用" w:id="262"/>
      <w:bookmarkEnd w:id="262"/>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242,797.92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255,478.28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57,079.00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广告费和业务宣传费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14,720.22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89,882.89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57,133.58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159,090.89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38,089.09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92,942.97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43,319.72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521,139.27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913,252.79</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30、管理费用" w:id="263"/>
      <w:bookmarkEnd w:id="263"/>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1,904,048.68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2,077,517.68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薪酬及五险一金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2,863,490.78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6,595,504.90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2,066,721.68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4,921,678.66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80,355.23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77,601.08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851,014.85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1,127,320.13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628,658.95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802,108.34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租金及水电费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1,750,870.66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1,913,791.61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1,637,992.43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1,947,234.67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440,470.56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288,458.43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1,605,297.91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2,231,132.45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822,550.00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3,297,300.00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14,651,471.73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25,279,647.95</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31、财务费用" w:id="264"/>
      <w:bookmarkEnd w:id="264"/>
      <w:r>
        <w:rPr>
          <w:b w:val="0"/>
          <w:bCs w:val="0"/>
        </w:rPr>
      </w:r>
      <w:r>
        <w:rPr>
          <w:rFonts w:ascii="Times New Roman" w:hAnsi="Times New Roman" w:cs="Times New Roman" w:eastAsia="Times New Roman" w:hint="default"/>
        </w:rPr>
        <w:t>31</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310,383.63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1,009,846.35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34,421.79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23,819.61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35,338.68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-286,413.45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-940,085.88</w:t>
            </w:r>
            <w:r>
              <w:rPr>
                <w:rFonts w:ascii="Times New Roman"/>
                <w:sz w:val="18"/>
              </w:rPr>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32、资产减值损失" w:id="265"/>
      <w:bookmarkEnd w:id="265"/>
      <w:r>
        <w:rPr>
          <w:b w:val="0"/>
          <w:bCs w:val="0"/>
        </w:rPr>
      </w: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-2,270,615.99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7,149,733.14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6,957,029.99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-2,270,615.99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14,106,763.13</w:t>
            </w:r>
          </w:p>
        </w:tc>
      </w:tr>
    </w:tbl>
    <w:p>
      <w:pPr>
        <w:pStyle w:val="BodyText"/>
        <w:spacing w:line="240" w:lineRule="auto" w:before="10"/>
        <w:ind w:left="537"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33、投资收益" w:id="266"/>
      <w:bookmarkEnd w:id="266"/>
      <w:r>
        <w:rPr>
          <w:b w:val="0"/>
          <w:bCs w:val="0"/>
        </w:rPr>
      </w:r>
      <w:r>
        <w:rPr>
          <w:rFonts w:ascii="Times New Roman" w:hAnsi="Times New Roman" w:cs="Times New Roman" w:eastAsia="Times New Roman" w:hint="default"/>
        </w:rPr>
        <w:t>33</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6,882,326.60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11,283,582.48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650,442.97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-4,201,156.75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96,168.12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11,660,841.37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3,138,153.30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522,892.33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2,233,718.03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南方现金增利货币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基金收益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291,724.08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15,515,346.52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17,043,346.01</w:t>
            </w:r>
          </w:p>
        </w:tc>
      </w:tr>
    </w:tbl>
    <w:p>
      <w:pPr>
        <w:pStyle w:val="BodyText"/>
        <w:spacing w:line="240" w:lineRule="auto" w:before="10"/>
        <w:ind w:left="95" w:right="8644"/>
        <w:jc w:val="center"/>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left="95" w:right="8644"/>
        <w:jc w:val="center"/>
        <w:rPr>
          <w:b w:val="0"/>
          <w:bCs w:val="0"/>
        </w:rPr>
      </w:pPr>
      <w:bookmarkStart w:name="34、公允价值变动收益" w:id="267"/>
      <w:bookmarkEnd w:id="267"/>
      <w:r>
        <w:rPr>
          <w:b w:val="0"/>
          <w:bCs w:val="0"/>
        </w:rPr>
      </w:r>
      <w:r>
        <w:rPr>
          <w:rFonts w:ascii="Times New Roman" w:hAnsi="Times New Roman" w:cs="Times New Roman" w:eastAsia="Times New Roman" w:hint="default"/>
        </w:rPr>
        <w:t>34</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1,427,905.00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-1,427,905.00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6"/>
                <w:sz w:val="18"/>
                <w:szCs w:val="18"/>
              </w:rPr>
              <w:t>其中：衍生金融工具产生的公允价</w:t>
            </w:r>
            <w:r>
              <w:rPr>
                <w:rFonts w:ascii="宋体" w:hAnsi="宋体" w:cs="宋体" w:eastAsia="宋体" w:hint="default"/>
                <w:sz w:val="18"/>
                <w:szCs w:val="18"/>
              </w:rPr>
              <w:t> 值变动收益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1,427,905.00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-1,427,905.00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159,406.73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3,718,181.14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1,587,311.73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2,290,276.14</w:t>
            </w:r>
          </w:p>
        </w:tc>
      </w:tr>
    </w:tbl>
    <w:p>
      <w:pPr>
        <w:pStyle w:val="BodyText"/>
        <w:spacing w:line="240" w:lineRule="auto" w:before="11"/>
        <w:ind w:right="0" w:firstLine="423"/>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35、资产处置收益" w:id="268"/>
      <w:bookmarkEnd w:id="268"/>
      <w:r>
        <w:rPr>
          <w:b w:val="0"/>
          <w:bCs w:val="0"/>
        </w:rPr>
      </w:r>
      <w:r>
        <w:rPr>
          <w:rFonts w:ascii="Times New Roman" w:hAnsi="Times New Roman" w:cs="Times New Roman" w:eastAsia="Times New Roman" w:hint="default"/>
        </w:rPr>
        <w:t>35</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2,277,652.79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77,218.52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-428,836.20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2,277,652.79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-351,617.68</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营业外收入" w:id="269"/>
      <w:bookmarkEnd w:id="269"/>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3,201,563.10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51,530.91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51,530.91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51,530.91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3,227,676.62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51,530.91</w:t>
            </w:r>
          </w:p>
        </w:tc>
      </w:tr>
    </w:tbl>
    <w:p>
      <w:pPr>
        <w:pStyle w:val="BodyText"/>
        <w:spacing w:line="240" w:lineRule="auto" w:before="10"/>
        <w:ind w:left="537" w:right="0"/>
        <w:jc w:val="left"/>
      </w:pPr>
      <w:r>
        <w:rPr/>
        <w:t>计入当期损益的政府补助：无。</w:t>
      </w:r>
    </w:p>
    <w:p>
      <w:pPr>
        <w:spacing w:after="0" w:line="240" w:lineRule="auto"/>
        <w:jc w:val="left"/>
        <w:sectPr>
          <w:pgSz w:w="11910" w:h="16840"/>
          <w:pgMar w:header="0"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5"/>
        <w:ind w:right="0"/>
        <w:jc w:val="left"/>
        <w:rPr>
          <w:b w:val="0"/>
          <w:bCs w:val="0"/>
        </w:rPr>
      </w:pPr>
      <w:bookmarkStart w:name="37、营业外支出" w:id="270"/>
      <w:bookmarkEnd w:id="270"/>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442,800.00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442,800.00</w:t>
            </w:r>
          </w:p>
        </w:tc>
      </w:tr>
    </w:tbl>
    <w:p>
      <w:pPr>
        <w:pStyle w:val="BodyText"/>
        <w:spacing w:line="240" w:lineRule="auto" w:before="10"/>
        <w:ind w:left="537" w:right="0"/>
        <w:jc w:val="left"/>
      </w:pPr>
      <w:r>
        <w:rPr/>
        <w:t>其他说明：</w:t>
      </w:r>
      <w:r>
        <w:rPr>
          <w:rFonts w:ascii="宋体" w:hAnsi="宋体" w:cs="宋体" w:eastAsia="宋体" w:hint="default"/>
        </w:rPr>
        <w:t>442,800.00</w:t>
      </w:r>
      <w:r>
        <w:rPr/>
        <w:t>元为提前解除北京办公室房屋租赁合同之违约金。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38、所得税费用" w:id="271"/>
      <w:bookmarkEnd w:id="271"/>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72"/>
      <w:bookmarkEnd w:id="27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-2,588.29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1,043,388.31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1,040,800.02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273"/>
      <w:bookmarkEnd w:id="27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6,922,503.04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1,730,625.76</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-180,179.87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调整对联营企业投资收益的影响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-1,720,581.65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567,654.00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扣除公允价值变动损益的影响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-396,827.93</w:t>
            </w:r>
            <w:r>
              <w:rPr>
                <w:rFonts w:ascii="Times New Roman"/>
                <w:sz w:val="18"/>
              </w:rPr>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690.31</w:t>
            </w:r>
          </w:p>
        </w:tc>
      </w:tr>
    </w:tbl>
    <w:p>
      <w:pPr>
        <w:pStyle w:val="BodyText"/>
        <w:spacing w:line="240" w:lineRule="auto" w:before="10"/>
        <w:ind w:left="537" w:right="0"/>
        <w:jc w:val="left"/>
      </w:pPr>
      <w:r>
        <w:rPr/>
        <w:t>其他说明</w:t>
      </w:r>
      <w:r>
        <w:rPr>
          <w:rFonts w:ascii="Times New Roman" w:hAnsi="Times New Roman" w:cs="Times New Roman" w:eastAsia="Times New Roman" w:hint="default"/>
        </w:rPr>
        <w:t>:</w:t>
      </w:r>
      <w:r>
        <w:rPr/>
        <w:t>无。</w:t>
      </w:r>
    </w:p>
    <w:p>
      <w:pPr>
        <w:spacing w:after="0" w:line="24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spacing w:line="547" w:lineRule="auto" w:before="35"/>
        <w:ind w:left="114" w:right="8368" w:firstLine="0"/>
        <w:jc w:val="left"/>
        <w:rPr>
          <w:rFonts w:ascii="宋体" w:hAnsi="宋体" w:cs="宋体" w:eastAsia="宋体" w:hint="default"/>
          <w:sz w:val="21"/>
          <w:szCs w:val="21"/>
        </w:rPr>
      </w:pPr>
      <w:bookmarkStart w:name="39、其他综合收益" w:id="274"/>
      <w:bookmarkEnd w:id="274"/>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、其他综合收益。 </w:t>
      </w:r>
      <w:bookmarkStart w:name="40、现金流量表项目" w:id="275"/>
      <w:bookmarkEnd w:id="275"/>
      <w:r>
        <w:rPr>
          <w:rFonts w:ascii="宋体" w:hAnsi="宋体" w:cs="宋体" w:eastAsia="宋体" w:hint="default"/>
          <w:sz w:val="18"/>
          <w:szCs w:val="18"/>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276"/>
      <w:bookmarkEnd w:id="27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2,056,549.87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2,976,187.56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310,383.63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1,009,846.35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1,437,114.24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2,366,933.50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5,423,148.31</w:t>
            </w:r>
          </w:p>
        </w:tc>
      </w:tr>
    </w:tbl>
    <w:p>
      <w:pPr>
        <w:pStyle w:val="BodyText"/>
        <w:spacing w:line="240" w:lineRule="auto" w:before="51"/>
        <w:ind w:right="0"/>
        <w:jc w:val="left"/>
      </w:pPr>
      <w:r>
        <w:rPr/>
        <w:t>收到的其他与经营活动有关的现金说明：无。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2）支付的其他与经营活动有关的现金" w:id="277"/>
      <w:bookmarkEnd w:id="27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7,191,791.69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10,603,200.01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185,339.27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856,173.79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3,810,189.79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2,067,820.15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1,006,246.32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66,037.88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12,193,567.07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15,593,231.83</w:t>
            </w:r>
          </w:p>
        </w:tc>
      </w:tr>
    </w:tbl>
    <w:p>
      <w:pPr>
        <w:pStyle w:val="BodyText"/>
        <w:spacing w:line="240" w:lineRule="auto" w:before="51"/>
        <w:ind w:right="0"/>
        <w:jc w:val="left"/>
      </w:pPr>
      <w:r>
        <w:rPr/>
        <w:t>支付的其他与经营活动有关的现金说明：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3）支付的其他与投资活动有关的现金" w:id="278"/>
      <w:bookmarkEnd w:id="278"/>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转让西藏群兴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729,051.52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729,051.52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537" w:right="0"/>
        <w:jc w:val="left"/>
      </w:pPr>
      <w:r>
        <w:rPr/>
        <w:t>支付的其他与投资活动有关的现金说明：无。</w:t>
      </w:r>
    </w:p>
    <w:p>
      <w:pPr>
        <w:spacing w:after="0" w:line="24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41、现金流量表补充资料" w:id="279"/>
      <w:bookmarkEnd w:id="279"/>
      <w:r>
        <w:rPr>
          <w:b w:val="0"/>
          <w:bCs w:val="0"/>
        </w:rPr>
      </w:r>
      <w:r>
        <w:rPr>
          <w:rFonts w:ascii="Times New Roman" w:hAnsi="Times New Roman" w:cs="Times New Roman" w:eastAsia="Times New Roman" w:hint="default"/>
        </w:rPr>
        <w:t>41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80"/>
      <w:bookmarkEnd w:id="2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6,921,812.73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-21,412,779.47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-2,270,615.99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14,106,763.13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682,486.66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3,727,583.61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1,384,235.02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1,748,310.10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140,470.56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140,470.56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-2,277,652.79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351,617.68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-1,587,311.73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-2,290,276.14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-15,515,346.52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-17,043,346.01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1,043,388.31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49,889,275.12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38,666,304.32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27,550,884.46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-7,252,270.19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-9,104,083.75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-1,764,448.86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18,892,112.07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46,943,358.74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131,453,466.03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131,453,466.03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151,371,753.65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-48,504,464.47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-19,918,287.62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现金和现金等价物的构成" w:id="281"/>
      <w:bookmarkEnd w:id="28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131,453,466.03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236,205.08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78,366.81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82,643,658.24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131,244,289.84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69,138.24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130,809.38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82,949,001.56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131,453,466.03</w:t>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42、外币货币性项目" w:id="282"/>
      <w:bookmarkEnd w:id="282"/>
      <w:r>
        <w:rPr>
          <w:b w:val="0"/>
          <w:bCs w:val="0"/>
        </w:rPr>
      </w:r>
      <w:r>
        <w:rPr>
          <w:rFonts w:ascii="Times New Roman" w:hAnsi="Times New Roman" w:cs="Times New Roman" w:eastAsia="Times New Roman" w:hint="default"/>
        </w:rPr>
        <w:t>42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283"/>
      <w:bookmarkEnd w:id="2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231,643.14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27,503.82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188,764.22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48,935.00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42,876.88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left="95" w:right="8643"/>
        <w:jc w:val="center"/>
      </w:pPr>
      <w:r>
        <w:rPr/>
        <w:t>其他说明：无。</w:t>
      </w:r>
    </w:p>
    <w:p>
      <w:pPr>
        <w:spacing w:line="240" w:lineRule="auto" w:before="12"/>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284"/>
      <w:bookmarkEnd w:id="2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285"/>
      <w:bookmarkEnd w:id="28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处置子公司" w:id="286"/>
      <w:bookmarkEnd w:id="286"/>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240" w:lineRule="auto" w:before="116"/>
        <w:ind w:right="0"/>
        <w:jc w:val="left"/>
      </w:pPr>
      <w:r>
        <w:rPr/>
        <w:t>√ 是 □ 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53"/>
        <w:gridCol w:w="591"/>
        <w:gridCol w:w="895"/>
        <w:gridCol w:w="467"/>
        <w:gridCol w:w="664"/>
        <w:gridCol w:w="719"/>
        <w:gridCol w:w="1446"/>
        <w:gridCol w:w="704"/>
        <w:gridCol w:w="734"/>
        <w:gridCol w:w="735"/>
        <w:gridCol w:w="818"/>
        <w:gridCol w:w="737"/>
        <w:gridCol w:w="892"/>
      </w:tblGrid>
      <w:tr>
        <w:trPr>
          <w:trHeight w:val="2274" w:hRule="exact"/>
        </w:trPr>
        <w:tc>
          <w:tcPr>
            <w:tcW w:w="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1" w:right="131"/>
              <w:jc w:val="both"/>
              <w:rPr>
                <w:rFonts w:ascii="宋体" w:hAnsi="宋体" w:cs="宋体" w:eastAsia="宋体" w:hint="default"/>
                <w:sz w:val="18"/>
                <w:szCs w:val="18"/>
              </w:rPr>
            </w:pPr>
            <w:r>
              <w:rPr>
                <w:rFonts w:ascii="宋体" w:hAnsi="宋体" w:cs="宋体" w:eastAsia="宋体" w:hint="default"/>
                <w:sz w:val="18"/>
                <w:szCs w:val="18"/>
              </w:rPr>
              <w:t>子 公 司 名 称</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10" w:right="108"/>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72" w:right="170"/>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7" w:right="137"/>
              <w:jc w:val="both"/>
              <w:rPr>
                <w:rFonts w:ascii="宋体" w:hAnsi="宋体" w:cs="宋体" w:eastAsia="宋体" w:hint="default"/>
                <w:sz w:val="18"/>
                <w:szCs w:val="18"/>
              </w:rPr>
            </w:pPr>
            <w:r>
              <w:rPr>
                <w:rFonts w:ascii="宋体" w:hAnsi="宋体" w:cs="宋体" w:eastAsia="宋体" w:hint="default"/>
                <w:sz w:val="18"/>
                <w:szCs w:val="18"/>
              </w:rPr>
              <w:t>股 权 处 置 方 式</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6" w:right="145"/>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5" w:right="172"/>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7" w:right="176"/>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3" w:right="179"/>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34" w:right="132"/>
              <w:jc w:val="both"/>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3" w:right="181"/>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1" w:right="168"/>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w:t>
            </w:r>
          </w:p>
        </w:tc>
      </w:tr>
    </w:tbl>
    <w:p>
      <w:pPr>
        <w:spacing w:after="0" w:line="316" w:lineRule="auto"/>
        <w:jc w:val="both"/>
        <w:rPr>
          <w:rFonts w:ascii="宋体" w:hAnsi="宋体" w:cs="宋体" w:eastAsia="宋体"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54"/>
        <w:gridCol w:w="591"/>
        <w:gridCol w:w="895"/>
        <w:gridCol w:w="467"/>
        <w:gridCol w:w="664"/>
        <w:gridCol w:w="719"/>
        <w:gridCol w:w="1446"/>
        <w:gridCol w:w="704"/>
        <w:gridCol w:w="734"/>
        <w:gridCol w:w="735"/>
        <w:gridCol w:w="818"/>
        <w:gridCol w:w="737"/>
        <w:gridCol w:w="892"/>
      </w:tblGrid>
      <w:tr>
        <w:trPr>
          <w:trHeight w:val="1923" w:hRule="exact"/>
        </w:trPr>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181"/>
              <w:jc w:val="both"/>
              <w:rPr>
                <w:rFonts w:ascii="宋体" w:hAnsi="宋体" w:cs="宋体" w:eastAsia="宋体" w:hint="default"/>
                <w:sz w:val="18"/>
                <w:szCs w:val="18"/>
              </w:rPr>
            </w:pPr>
            <w:r>
              <w:rPr>
                <w:rFonts w:ascii="宋体" w:hAnsi="宋体" w:cs="宋体" w:eastAsia="宋体" w:hint="default"/>
                <w:sz w:val="18"/>
                <w:szCs w:val="18"/>
              </w:rPr>
              <w:t>值的 确定 方法 及主 要假 设</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1" w:right="168"/>
              <w:jc w:val="left"/>
              <w:rPr>
                <w:rFonts w:ascii="宋体" w:hAnsi="宋体" w:cs="宋体" w:eastAsia="宋体" w:hint="default"/>
                <w:sz w:val="18"/>
                <w:szCs w:val="18"/>
              </w:rPr>
            </w:pPr>
            <w:r>
              <w:rPr>
                <w:rFonts w:ascii="宋体" w:hAnsi="宋体" w:cs="宋体" w:eastAsia="宋体" w:hint="default"/>
                <w:sz w:val="18"/>
                <w:szCs w:val="18"/>
              </w:rPr>
              <w:t>资损益 的金额</w:t>
            </w:r>
          </w:p>
        </w:tc>
      </w:tr>
      <w:tr>
        <w:trPr>
          <w:trHeight w:val="1962" w:hRule="exact"/>
        </w:trPr>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8"/>
              <w:jc w:val="both"/>
              <w:rPr>
                <w:rFonts w:ascii="宋体" w:hAnsi="宋体" w:cs="宋体" w:eastAsia="宋体" w:hint="default"/>
                <w:sz w:val="18"/>
                <w:szCs w:val="18"/>
              </w:rPr>
            </w:pPr>
            <w:r>
              <w:rPr>
                <w:rFonts w:ascii="宋体" w:hAnsi="宋体" w:cs="宋体" w:eastAsia="宋体" w:hint="default"/>
                <w:sz w:val="18"/>
                <w:szCs w:val="18"/>
              </w:rPr>
              <w:t>西 藏 群 兴</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3"/>
              <w:jc w:val="both"/>
              <w:rPr>
                <w:rFonts w:ascii="宋体" w:hAnsi="宋体" w:cs="宋体" w:eastAsia="宋体" w:hint="default"/>
                <w:sz w:val="18"/>
                <w:szCs w:val="18"/>
              </w:rPr>
            </w:pPr>
            <w:r>
              <w:rPr>
                <w:rFonts w:ascii="宋体" w:hAnsi="宋体" w:cs="宋体" w:eastAsia="宋体" w:hint="default"/>
                <w:sz w:val="18"/>
                <w:szCs w:val="18"/>
              </w:rPr>
              <w:t>股 权 转 让</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63"/>
              <w:jc w:val="left"/>
              <w:rPr>
                <w:rFonts w:ascii="宋体" w:hAnsi="宋体" w:cs="宋体" w:eastAsia="宋体" w:hint="default"/>
                <w:sz w:val="18"/>
                <w:szCs w:val="18"/>
              </w:rPr>
            </w:pPr>
            <w:r>
              <w:rPr>
                <w:rFonts w:ascii="宋体" w:hAnsi="宋体" w:cs="宋体" w:eastAsia="宋体" w:hint="default"/>
                <w:sz w:val="18"/>
                <w:szCs w:val="18"/>
              </w:rPr>
              <w:t>股权 转让 协议、 董事 会决</w:t>
            </w:r>
          </w:p>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650,442.97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color w:val="FF0000"/>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color w:val="FF0000"/>
                <w:sz w:val="18"/>
              </w:rPr>
              <w:t>0.00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color w:val="FF0000"/>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color w:val="FF0000"/>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color w:val="FF0000"/>
                <w:sz w:val="18"/>
              </w:rPr>
              <w:t>/</w:t>
            </w:r>
            <w:r>
              <w:rPr>
                <w:rFonts w:ascii="Times New Roman"/>
                <w:sz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color w:val="FF0000"/>
                <w:sz w:val="18"/>
              </w:rPr>
              <w:t>0.00</w:t>
            </w:r>
            <w:r>
              <w:rPr>
                <w:rFonts w:ascii="Times New Roman"/>
                <w:sz w:val="18"/>
              </w:rPr>
            </w:r>
          </w:p>
        </w:tc>
      </w:tr>
    </w:tbl>
    <w:p>
      <w:pPr>
        <w:pStyle w:val="BodyText"/>
        <w:spacing w:line="240" w:lineRule="auto" w:before="51"/>
        <w:ind w:left="0" w:right="1130"/>
        <w:jc w:val="right"/>
      </w:pPr>
      <w:r>
        <w:rPr/>
        <w:t>单位： 元</w:t>
      </w:r>
    </w:p>
    <w:p>
      <w:pPr>
        <w:pStyle w:val="BodyText"/>
        <w:spacing w:line="240" w:lineRule="auto" w:before="117"/>
        <w:ind w:right="0"/>
        <w:jc w:val="left"/>
      </w:pPr>
      <w:r>
        <w:rPr/>
        <w:t>其他说明：</w:t>
      </w:r>
    </w:p>
    <w:p>
      <w:pPr>
        <w:pStyle w:val="BodyText"/>
        <w:spacing w:line="316" w:lineRule="auto" w:before="115"/>
        <w:ind w:right="1132" w:firstLine="360"/>
        <w:jc w:val="both"/>
      </w:pPr>
      <w:r>
        <w:rPr/>
        <w:t>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5</w:t>
      </w:r>
      <w:r>
        <w:rPr/>
        <w:t>日经公司第三届董事会第二十八次会议审议通过了《关于出售公司全资子公司西藏群兴文化发展有 限责任公司</w:t>
      </w:r>
      <w:r>
        <w:rPr>
          <w:spacing w:val="27"/>
        </w:rPr>
        <w:t> </w:t>
      </w:r>
      <w:r>
        <w:rPr>
          <w:rFonts w:ascii="宋体" w:hAnsi="宋体" w:cs="宋体" w:eastAsia="宋体" w:hint="default"/>
          <w:spacing w:val="-4"/>
        </w:rPr>
        <w:t>100%</w:t>
      </w:r>
      <w:r>
        <w:rPr>
          <w:spacing w:val="-4"/>
        </w:rPr>
        <w:t>股权的议案》，截止报告期末，西藏群兴不再纳入合并范围。本报告期只将转让西藏群兴前的利润表和现金</w:t>
      </w:r>
      <w:r>
        <w:rPr>
          <w:spacing w:val="-88"/>
        </w:rPr>
        <w:t> </w:t>
      </w:r>
      <w:r>
        <w:rPr>
          <w:spacing w:val="-88"/>
        </w:rPr>
      </w:r>
      <w:r>
        <w:rPr/>
        <w:t>流量表纳入合并。</w:t>
      </w:r>
    </w:p>
    <w:p>
      <w:pPr>
        <w:pStyle w:val="BodyText"/>
        <w:spacing w:line="240" w:lineRule="auto" w:before="59"/>
        <w:ind w:right="0"/>
        <w:jc w:val="left"/>
      </w:pPr>
      <w:r>
        <w:rPr/>
        <w:t>是否存在通过多次交易分步处置对子公司投资且在本期丧失控制权的情形</w:t>
      </w:r>
    </w:p>
    <w:p>
      <w:pPr>
        <w:pStyle w:val="BodyText"/>
        <w:spacing w:line="240" w:lineRule="auto" w:before="117"/>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287"/>
      <w:bookmarkEnd w:id="287"/>
      <w:r>
        <w:rPr>
          <w:b w:val="0"/>
          <w:bCs w:val="0"/>
        </w:rPr>
      </w: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288"/>
      <w:bookmarkEnd w:id="28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289"/>
      <w:bookmarkEnd w:id="28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西藏蓝道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10"/>
        <w:ind w:left="474" w:right="2112" w:firstLine="63"/>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6"/>
        <w:ind w:left="474" w:right="6972"/>
        <w:jc w:val="left"/>
      </w:pPr>
      <w:r>
        <w:rPr/>
        <w:t>确定公司是代理人还是委托人的依据：无。 其他说明：无。</w:t>
      </w:r>
    </w:p>
    <w:p>
      <w:pPr>
        <w:spacing w:after="0" w:line="36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在合营安排或联营企业中的权益" w:id="290"/>
      <w:bookmarkEnd w:id="29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291"/>
      <w:bookmarkEnd w:id="29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16" w:lineRule="auto" w:before="10"/>
        <w:ind w:left="537" w:right="2649"/>
        <w:jc w:val="left"/>
      </w:pPr>
      <w:r>
        <w:rPr/>
        <w:t>在合营企业或联营企业的持股比例不同于表决权比例的说明：无。 持有</w:t>
      </w:r>
      <w:r>
        <w:rPr>
          <w:rFonts w:ascii="Times New Roman" w:hAnsi="Times New Roman" w:cs="Times New Roman" w:eastAsia="Times New Roman" w:hint="default"/>
        </w:rPr>
        <w:t>20%</w:t>
      </w:r>
      <w:r>
        <w:rPr/>
        <w:t>以下表决权但具有重大影响，或者持有</w:t>
      </w:r>
      <w:r>
        <w:rPr>
          <w:rFonts w:ascii="Times New Roman" w:hAnsi="Times New Roman" w:cs="Times New Roman" w:eastAsia="Times New Roman" w:hint="default"/>
        </w:rPr>
        <w:t>20%</w:t>
      </w:r>
      <w:r>
        <w:rPr/>
        <w:t>或以上表决权但不具有重大影响的依据：无。</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重要联营企业的主要财务信息" w:id="292"/>
      <w:bookmarkEnd w:id="29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1,402,646,848.94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993,599,643.01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3,485,102,933.70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3,019,602,065.24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4,887,749,782.64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4,013,201,708.25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1,058,606,464.75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1,000,554,792.58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2,833,672,272.46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2,064,179,543.59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3,892,278,737.21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3,064,734,336.17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157,037,781.10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144,445,740.73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838,433,264.33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804,021,631.35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167,686,652.87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160,804,326.27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307,855,541.77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249,365,616.13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44,496,117.79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65,169,245.15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2,507,555.56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-2,431,409.00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47,003,673.35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62,737,836.16</w:t>
            </w:r>
          </w:p>
        </w:tc>
      </w:tr>
    </w:tbl>
    <w:p>
      <w:pPr>
        <w:pStyle w:val="BodyText"/>
        <w:spacing w:line="240" w:lineRule="auto" w:before="51"/>
        <w:ind w:right="0"/>
        <w:jc w:val="left"/>
      </w:pPr>
      <w:r>
        <w:rPr/>
        <w:t>其他说明</w:t>
      </w:r>
      <w:r>
        <w:rPr>
          <w:rFonts w:ascii="Times New Roman" w:hAnsi="Times New Roman" w:cs="Times New Roman" w:eastAsia="Times New Roman" w:hint="default"/>
        </w:rPr>
        <w:t>:</w:t>
      </w:r>
      <w:r>
        <w:rPr/>
        <w:t>无。</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与金融工具相关的风险" w:id="293"/>
      <w:bookmarkEnd w:id="293"/>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828" w:right="1038"/>
        <w:jc w:val="left"/>
      </w:pPr>
      <w:r>
        <w:rPr>
          <w:spacing w:val="-2"/>
        </w:rPr>
        <w:t>本公司在经营过程中面临各种金融风险：信用风险、市场风险和流动性风险。公司董事会全面负责风险管理目标和</w:t>
      </w:r>
      <w:r>
        <w:rPr>
          <w:spacing w:val="-68"/>
        </w:rPr>
        <w:t> </w:t>
      </w:r>
      <w:r>
        <w:rPr>
          <w:spacing w:val="-68"/>
        </w:rPr>
      </w:r>
      <w:r>
        <w:rPr>
          <w:spacing w:val="-2"/>
        </w:rPr>
        <w:t>政策的确定，并对风险管理目标和政策承担最终责任，但是董事会已授权本公司财务部门设计和实施能确保风险管</w:t>
      </w:r>
      <w:r>
        <w:rPr>
          <w:spacing w:val="-68"/>
        </w:rPr>
        <w:t> </w:t>
      </w:r>
      <w:r>
        <w:rPr>
          <w:spacing w:val="-68"/>
        </w:rPr>
      </w:r>
      <w:r>
        <w:rPr>
          <w:spacing w:val="-2"/>
        </w:rPr>
        <w:t>理目标和政策得以有效执行的程序。董事会通过财务经理递交的月度报告来审查已执行程序的有效性以及风险管理</w:t>
      </w:r>
      <w:r>
        <w:rPr>
          <w:spacing w:val="-66"/>
        </w:rPr>
        <w:t> </w:t>
      </w:r>
      <w:r>
        <w:rPr>
          <w:spacing w:val="-66"/>
        </w:rPr>
      </w:r>
      <w:r>
        <w:rPr/>
        <w:t>目标和政策的合理性。本公司的内部审计师也会审计风险管理的政策和程序，并且将有关发现汇报给审计委员会。 本公司风险管理的总体目标是在不过度影响公司竞争力和应变力的情况下，制定尽可能降低风险的风险管理政策。</w:t>
      </w:r>
    </w:p>
    <w:p>
      <w:pPr>
        <w:spacing w:line="240" w:lineRule="auto" w:before="3"/>
        <w:rPr>
          <w:rFonts w:ascii="宋体" w:hAnsi="宋体" w:cs="宋体" w:eastAsia="宋体" w:hint="default"/>
          <w:sz w:val="23"/>
          <w:szCs w:val="23"/>
        </w:rPr>
      </w:pPr>
    </w:p>
    <w:p>
      <w:pPr>
        <w:pStyle w:val="Heading4"/>
        <w:spacing w:line="240" w:lineRule="auto"/>
        <w:ind w:left="463" w:right="0"/>
        <w:jc w:val="left"/>
        <w:rPr>
          <w:b w:val="0"/>
          <w:bCs w:val="0"/>
        </w:rPr>
      </w:pPr>
      <w:r>
        <w:rPr/>
        <w:t>信用风险</w:t>
      </w:r>
      <w:r>
        <w:rPr>
          <w:b w:val="0"/>
          <w:bCs w:val="0"/>
        </w:rPr>
      </w:r>
    </w:p>
    <w:p>
      <w:pPr>
        <w:spacing w:after="0" w:line="240" w:lineRule="auto"/>
        <w:jc w:val="left"/>
        <w:sectPr>
          <w:pgSz w:w="11910" w:h="16840"/>
          <w:pgMar w:header="0" w:footer="1019" w:top="1100" w:bottom="1200" w:left="1020" w:right="0"/>
        </w:sectPr>
      </w:pPr>
    </w:p>
    <w:p>
      <w:pPr>
        <w:spacing w:line="240" w:lineRule="auto" w:before="11"/>
        <w:rPr>
          <w:rFonts w:ascii="宋体" w:hAnsi="宋体" w:cs="宋体" w:eastAsia="宋体" w:hint="default"/>
          <w:b/>
          <w:bCs/>
          <w:sz w:val="22"/>
          <w:szCs w:val="22"/>
        </w:rPr>
      </w:pPr>
    </w:p>
    <w:p>
      <w:pPr>
        <w:pStyle w:val="BodyText"/>
        <w:spacing w:line="316" w:lineRule="auto" w:before="44"/>
        <w:ind w:left="828" w:right="1038"/>
        <w:jc w:val="left"/>
      </w:pPr>
      <w:r>
        <w:rPr>
          <w:spacing w:val="-2"/>
        </w:rPr>
        <w:t>信用风险是指金融工具的一方不履行义务，造成另一方发生财务损失的风险。本公司主要面临赊销导致的客户信用</w:t>
      </w:r>
      <w:r>
        <w:rPr>
          <w:spacing w:val="-68"/>
        </w:rPr>
        <w:t> </w:t>
      </w:r>
      <w:r>
        <w:rPr>
          <w:spacing w:val="-68"/>
        </w:rPr>
      </w:r>
      <w:r>
        <w:rPr>
          <w:spacing w:val="-2"/>
        </w:rPr>
        <w:t>风险。在签订新合同之前，本公司会对新客户的信用风险进行评估，包括外部信用评级和在某些情况下的银行资信</w:t>
      </w:r>
      <w:r>
        <w:rPr>
          <w:spacing w:val="-68"/>
        </w:rPr>
        <w:t> </w:t>
      </w:r>
      <w:r>
        <w:rPr>
          <w:spacing w:val="-68"/>
        </w:rPr>
      </w:r>
      <w:r>
        <w:rPr>
          <w:spacing w:val="-2"/>
        </w:rPr>
        <w:t>证明（当此信息可获取时）。公司对每一客户均设置了赊销限额，该限额为无需获得额外批准的最大额度。</w:t>
      </w:r>
      <w:r>
        <w:rPr>
          <w:spacing w:val="-86"/>
        </w:rPr>
        <w:t> </w:t>
      </w:r>
      <w:r>
        <w:rPr>
          <w:spacing w:val="-86"/>
        </w:rPr>
      </w:r>
      <w:r>
        <w:rPr/>
        <w:t>公司通过对已有客户信用评级的季度监控以及应收账款账龄分析的月度审核来确保公司的整体信用风险在可控的 </w:t>
      </w:r>
      <w:r>
        <w:rPr>
          <w:spacing w:val="-2"/>
        </w:rPr>
        <w:t>范围内。在监控客户的信用风险时，按照客户的信用特征对其分组。被评为“高风险”级别的客户会放在受限制客</w:t>
      </w:r>
      <w:r>
        <w:rPr>
          <w:spacing w:val="-69"/>
        </w:rPr>
        <w:t> </w:t>
      </w:r>
      <w:r>
        <w:rPr>
          <w:spacing w:val="-69"/>
        </w:rPr>
      </w:r>
      <w:r>
        <w:rPr/>
        <w:t>户名单里，并且只有在额外批准的前提下，公司才可在未来期间内对其赊销，否则必须要求其提前支付相应款项。</w:t>
      </w:r>
    </w:p>
    <w:p>
      <w:pPr>
        <w:spacing w:line="240" w:lineRule="auto" w:before="4"/>
        <w:rPr>
          <w:rFonts w:ascii="宋体" w:hAnsi="宋体" w:cs="宋体" w:eastAsia="宋体" w:hint="default"/>
          <w:sz w:val="23"/>
          <w:szCs w:val="23"/>
        </w:rPr>
      </w:pPr>
    </w:p>
    <w:p>
      <w:pPr>
        <w:pStyle w:val="Heading4"/>
        <w:spacing w:line="240" w:lineRule="auto"/>
        <w:ind w:left="463" w:right="0"/>
        <w:jc w:val="left"/>
        <w:rPr>
          <w:b w:val="0"/>
          <w:bCs w:val="0"/>
        </w:rPr>
      </w:pPr>
      <w:r>
        <w:rPr/>
        <w:t>市场风险</w:t>
      </w:r>
      <w:r>
        <w:rPr>
          <w:b w:val="0"/>
          <w:bCs w:val="0"/>
        </w:rPr>
      </w:r>
    </w:p>
    <w:p>
      <w:pPr>
        <w:pStyle w:val="BodyText"/>
        <w:spacing w:line="316" w:lineRule="auto" w:before="62"/>
        <w:ind w:left="828" w:right="0"/>
        <w:jc w:val="left"/>
      </w:pPr>
      <w:r>
        <w:rPr>
          <w:spacing w:val="-4"/>
        </w:rPr>
        <w:t>金融工具的市场风险，是指金融工具的公允价值或未来现金流量因市场价格变动而发生波动的风险，包括外汇风险、</w:t>
      </w:r>
      <w:r>
        <w:rPr>
          <w:spacing w:val="-52"/>
        </w:rPr>
        <w:t> </w:t>
      </w:r>
      <w:r>
        <w:rPr>
          <w:spacing w:val="-52"/>
        </w:rPr>
      </w:r>
      <w:r>
        <w:rPr/>
        <w:t>利率风险和其他价格风险。</w:t>
      </w:r>
    </w:p>
    <w:p>
      <w:pPr>
        <w:pStyle w:val="BodyText"/>
        <w:spacing w:line="300" w:lineRule="auto" w:before="19"/>
        <w:ind w:left="828"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w:t>
      </w:r>
      <w:r>
        <w:rPr>
          <w:rFonts w:ascii="Times New Roman" w:hAnsi="Times New Roman" w:cs="Times New Roman" w:eastAsia="Times New Roman" w:hint="default"/>
          <w:spacing w:val="-2"/>
        </w:rPr>
        <w:t>2018</w:t>
      </w:r>
      <w:r>
        <w:rPr>
          <w:spacing w:val="-2"/>
        </w:rPr>
        <w:t>年度，本公司无银行</w:t>
      </w:r>
      <w:r>
        <w:rPr>
          <w:spacing w:val="-63"/>
        </w:rPr>
        <w:t> </w:t>
      </w:r>
      <w:r>
        <w:rPr>
          <w:spacing w:val="-63"/>
        </w:rPr>
      </w:r>
      <w:r>
        <w:rPr/>
        <w:t>借款。</w:t>
      </w:r>
    </w:p>
    <w:p>
      <w:pPr>
        <w:spacing w:line="240" w:lineRule="auto" w:before="3"/>
        <w:rPr>
          <w:rFonts w:ascii="宋体" w:hAnsi="宋体" w:cs="宋体" w:eastAsia="宋体" w:hint="default"/>
          <w:sz w:val="26"/>
          <w:szCs w:val="26"/>
        </w:rPr>
      </w:pPr>
    </w:p>
    <w:p>
      <w:pPr>
        <w:pStyle w:val="BodyText"/>
        <w:spacing w:line="314" w:lineRule="auto"/>
        <w:ind w:left="828" w:right="1118"/>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w:t>
      </w:r>
      <w:r>
        <w:rPr>
          <w:spacing w:val="-68"/>
        </w:rPr>
        <w:t> </w:t>
      </w:r>
      <w:r>
        <w:rPr>
          <w:spacing w:val="-68"/>
        </w:rPr>
      </w:r>
      <w:r>
        <w:rPr>
          <w:spacing w:val="-2"/>
        </w:rPr>
        <w:t>与外币支出相匹配以降低汇率风险。此外，公司还可能签署远期外汇合约或货币互换合约以达到规避汇率风险的目</w:t>
      </w:r>
      <w:r>
        <w:rPr>
          <w:spacing w:val="-67"/>
        </w:rPr>
        <w:t> </w:t>
      </w:r>
      <w:r>
        <w:rPr>
          <w:spacing w:val="-67"/>
        </w:rPr>
      </w:r>
      <w:r>
        <w:rPr/>
        <w:t>的。于本期及上期，本公司未签署任何远期外汇合约或货币互换合约。 </w:t>
      </w:r>
      <w:r>
        <w:rPr>
          <w:spacing w:val="-2"/>
        </w:rPr>
        <w:t>本公司面临的汇率风险主要来源于以美元计价的金融资产和金融负债，外币金融资产和外币金融负债折算成人民币</w:t>
      </w:r>
      <w:r>
        <w:rPr>
          <w:spacing w:val="-66"/>
        </w:rPr>
        <w:t> </w:t>
      </w:r>
      <w:r>
        <w:rPr>
          <w:spacing w:val="-66"/>
        </w:rPr>
      </w:r>
      <w:r>
        <w:rPr/>
        <w:t>的金额列示如下：</w:t>
      </w:r>
    </w:p>
    <w:p>
      <w:pPr>
        <w:spacing w:line="240" w:lineRule="auto" w:before="8"/>
        <w:rPr>
          <w:rFonts w:ascii="宋体" w:hAnsi="宋体" w:cs="宋体" w:eastAsia="宋体" w:hint="default"/>
          <w:sz w:val="24"/>
          <w:szCs w:val="24"/>
        </w:rPr>
      </w:pPr>
    </w:p>
    <w:tbl>
      <w:tblPr>
        <w:tblW w:w="0" w:type="auto"/>
        <w:jc w:val="left"/>
        <w:tblInd w:w="823" w:type="dxa"/>
        <w:tblLayout w:type="fixed"/>
        <w:tblCellMar>
          <w:top w:w="0" w:type="dxa"/>
          <w:left w:w="0" w:type="dxa"/>
          <w:bottom w:w="0" w:type="dxa"/>
          <w:right w:w="0" w:type="dxa"/>
        </w:tblCellMar>
        <w:tblLook w:val="01E0"/>
      </w:tblPr>
      <w:tblGrid>
        <w:gridCol w:w="1435"/>
        <w:gridCol w:w="1122"/>
        <w:gridCol w:w="987"/>
        <w:gridCol w:w="1123"/>
        <w:gridCol w:w="994"/>
        <w:gridCol w:w="987"/>
        <w:gridCol w:w="968"/>
      </w:tblGrid>
      <w:tr>
        <w:trPr>
          <w:trHeight w:val="342"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2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42" w:hRule="exact"/>
        </w:trPr>
        <w:tc>
          <w:tcPr>
            <w:tcW w:w="1435" w:type="dxa"/>
            <w:vMerge/>
            <w:tcBorders>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5"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8"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8" w:right="0"/>
              <w:jc w:val="left"/>
              <w:rPr>
                <w:rFonts w:ascii="宋体" w:hAnsi="宋体" w:cs="宋体" w:eastAsia="宋体" w:hint="default"/>
                <w:sz w:val="15"/>
                <w:szCs w:val="15"/>
              </w:rPr>
            </w:pPr>
            <w:r>
              <w:rPr>
                <w:rFonts w:ascii="宋体" w:hAnsi="宋体" w:cs="宋体" w:eastAsia="宋体" w:hint="default"/>
                <w:sz w:val="15"/>
                <w:szCs w:val="15"/>
              </w:rPr>
              <w:t>其他外币</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42"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6" w:right="0"/>
              <w:jc w:val="left"/>
              <w:rPr>
                <w:rFonts w:ascii="宋体" w:hAnsi="宋体" w:cs="宋体" w:eastAsia="宋体" w:hint="default"/>
                <w:sz w:val="15"/>
                <w:szCs w:val="15"/>
              </w:rPr>
            </w:pPr>
            <w:r>
              <w:rPr>
                <w:rFonts w:ascii="宋体"/>
                <w:sz w:val="15"/>
              </w:rPr>
              <w:t>188,764.22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42,878.92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231,643.14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179,446.32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56,582.02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236,028.34</w:t>
            </w:r>
          </w:p>
        </w:tc>
      </w:tr>
      <w:tr>
        <w:trPr>
          <w:trHeight w:val="342"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6" w:right="0"/>
              <w:jc w:val="left"/>
              <w:rPr>
                <w:rFonts w:ascii="宋体" w:hAnsi="宋体" w:cs="宋体" w:eastAsia="宋体" w:hint="default"/>
                <w:sz w:val="15"/>
                <w:szCs w:val="15"/>
              </w:rPr>
            </w:pPr>
            <w:r>
              <w:rPr>
                <w:rFonts w:ascii="宋体"/>
                <w:sz w:val="15"/>
              </w:rPr>
              <w:t>188,764.22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42,878.92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231,643.14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179,446.32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宋体" w:hAnsi="宋体" w:cs="宋体" w:eastAsia="宋体" w:hint="default"/>
                <w:sz w:val="15"/>
                <w:szCs w:val="15"/>
              </w:rPr>
            </w:pPr>
            <w:r>
              <w:rPr>
                <w:rFonts w:ascii="宋体"/>
                <w:spacing w:val="-1"/>
                <w:sz w:val="15"/>
              </w:rPr>
              <w:t>56,582.02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spacing w:val="-1"/>
                <w:sz w:val="15"/>
              </w:rPr>
              <w:t>236,028.34</w:t>
            </w:r>
          </w:p>
        </w:tc>
      </w:tr>
    </w:tbl>
    <w:p>
      <w:pPr>
        <w:pStyle w:val="BodyText"/>
        <w:spacing w:line="300" w:lineRule="auto" w:before="10"/>
        <w:ind w:left="828" w:right="1175"/>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1%</w:t>
      </w:r>
      <w:r>
        <w:rPr/>
        <w:t>，则公司将增加或减少 </w:t>
      </w:r>
      <w:r>
        <w:rPr>
          <w:spacing w:val="-2"/>
        </w:rPr>
        <w:t>净利润</w:t>
      </w:r>
      <w:r>
        <w:rPr>
          <w:rFonts w:ascii="Times New Roman" w:hAnsi="Times New Roman" w:cs="Times New Roman" w:eastAsia="Times New Roman" w:hint="default"/>
          <w:spacing w:val="-2"/>
        </w:rPr>
        <w:t>275.04</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274.63</w:t>
      </w:r>
      <w:r>
        <w:rPr>
          <w:spacing w:val="-2"/>
        </w:rPr>
        <w:t>元）。管理层认为</w:t>
      </w:r>
      <w:r>
        <w:rPr>
          <w:rFonts w:ascii="Times New Roman" w:hAnsi="Times New Roman" w:cs="Times New Roman" w:eastAsia="Times New Roman" w:hint="default"/>
          <w:spacing w:val="-2"/>
        </w:rPr>
        <w:t>1%</w:t>
      </w:r>
      <w:r>
        <w:rPr>
          <w:spacing w:val="-2"/>
        </w:rPr>
        <w:t>合理反映了下一年度人民币对美元可能发生变动的</w:t>
      </w:r>
      <w:r>
        <w:rPr>
          <w:spacing w:val="-62"/>
        </w:rPr>
        <w:t> </w:t>
      </w:r>
      <w:r>
        <w:rPr/>
        <w:t>合理范围。</w:t>
      </w:r>
    </w:p>
    <w:p>
      <w:pPr>
        <w:spacing w:line="240" w:lineRule="auto" w:before="3"/>
        <w:rPr>
          <w:rFonts w:ascii="宋体" w:hAnsi="宋体" w:cs="宋体" w:eastAsia="宋体" w:hint="default"/>
          <w:sz w:val="26"/>
          <w:szCs w:val="26"/>
        </w:rPr>
      </w:pPr>
    </w:p>
    <w:p>
      <w:pPr>
        <w:pStyle w:val="BodyText"/>
        <w:spacing w:line="300" w:lineRule="auto"/>
        <w:ind w:left="828" w:right="2118"/>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w:t>
      </w:r>
    </w:p>
    <w:p>
      <w:pPr>
        <w:spacing w:line="240" w:lineRule="auto" w:before="4"/>
        <w:rPr>
          <w:rFonts w:ascii="宋体" w:hAnsi="宋体" w:cs="宋体" w:eastAsia="宋体" w:hint="default"/>
          <w:sz w:val="24"/>
          <w:szCs w:val="24"/>
        </w:rPr>
      </w:pPr>
    </w:p>
    <w:p>
      <w:pPr>
        <w:pStyle w:val="BodyText"/>
        <w:spacing w:line="307" w:lineRule="auto"/>
        <w:ind w:left="828" w:right="1038" w:hanging="292"/>
        <w:jc w:val="left"/>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流动性风险</w:t>
      </w:r>
      <w:r>
        <w:rPr>
          <w:rFonts w:ascii="宋体" w:hAnsi="宋体" w:cs="宋体" w:eastAsia="宋体" w:hint="default"/>
          <w:b/>
          <w:bCs/>
          <w:w w:val="99"/>
          <w:sz w:val="21"/>
          <w:szCs w:val="21"/>
        </w:rPr>
        <w:t> </w:t>
      </w:r>
      <w:r>
        <w:rPr>
          <w:spacing w:val="-2"/>
        </w:rPr>
        <w:t>流动性风险，是指企业在履行以交付现金或其他金融资产的方式结算的义务时发生资金短缺的风险。本公司的政策</w:t>
      </w:r>
      <w:r>
        <w:rPr/>
        <w:t> 是确保拥有充足的现金以偿还到期债务。流动性风险由本公司的财务部门集中控制。财务部门通过监控现金余额、 </w:t>
      </w:r>
      <w:r>
        <w:rPr>
          <w:spacing w:val="-2"/>
        </w:rPr>
        <w:t>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w:t>
      </w:r>
      <w:r>
        <w:rPr/>
        <w:t> 偿还债务。</w:t>
      </w:r>
    </w:p>
    <w:p>
      <w:pPr>
        <w:pStyle w:val="BodyText"/>
        <w:spacing w:line="240" w:lineRule="auto" w:before="26"/>
        <w:ind w:left="828" w:right="0"/>
        <w:jc w:val="both"/>
      </w:pPr>
      <w:r>
        <w:rPr/>
        <w:t>本公司各项金融负债以未折现的合同现金流量按到期日列示如下：</w:t>
      </w:r>
    </w:p>
    <w:p>
      <w:pPr>
        <w:spacing w:line="240" w:lineRule="auto" w:before="11"/>
        <w:rPr>
          <w:rFonts w:ascii="宋体" w:hAnsi="宋体" w:cs="宋体" w:eastAsia="宋体" w:hint="default"/>
          <w:sz w:val="28"/>
          <w:szCs w:val="28"/>
        </w:rPr>
      </w:pPr>
    </w:p>
    <w:tbl>
      <w:tblPr>
        <w:tblW w:w="0" w:type="auto"/>
        <w:jc w:val="left"/>
        <w:tblInd w:w="823" w:type="dxa"/>
        <w:tblLayout w:type="fixed"/>
        <w:tblCellMar>
          <w:top w:w="0" w:type="dxa"/>
          <w:left w:w="0" w:type="dxa"/>
          <w:bottom w:w="0" w:type="dxa"/>
          <w:right w:w="0" w:type="dxa"/>
        </w:tblCellMar>
        <w:tblLook w:val="01E0"/>
      </w:tblPr>
      <w:tblGrid>
        <w:gridCol w:w="1210"/>
        <w:gridCol w:w="1026"/>
        <w:gridCol w:w="1160"/>
        <w:gridCol w:w="1116"/>
        <w:gridCol w:w="892"/>
        <w:gridCol w:w="1026"/>
        <w:gridCol w:w="1187"/>
      </w:tblGrid>
      <w:tr>
        <w:trPr>
          <w:trHeight w:val="342" w:hRule="exact"/>
        </w:trPr>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210" w:type="dxa"/>
            <w:vMerge/>
            <w:tcBorders>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个月以内</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w:t>
            </w:r>
            <w:r>
              <w:rPr>
                <w:rFonts w:ascii="宋体" w:hAnsi="宋体" w:cs="宋体" w:eastAsia="宋体" w:hint="default"/>
                <w:sz w:val="18"/>
                <w:szCs w:val="18"/>
              </w:rPr>
              <w:t>-1</w:t>
            </w:r>
            <w:r>
              <w:rPr>
                <w:rFonts w:ascii="宋体" w:hAnsi="宋体" w:cs="宋体" w:eastAsia="宋体" w:hint="default"/>
                <w:sz w:val="18"/>
                <w:szCs w:val="18"/>
              </w:rPr>
              <w:t>年</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sz w:val="18"/>
              </w:rPr>
              <w:t>340,986.43</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center"/>
              <w:rPr>
                <w:rFonts w:ascii="宋体" w:hAnsi="宋体" w:cs="宋体" w:eastAsia="宋体" w:hint="default"/>
                <w:sz w:val="18"/>
                <w:szCs w:val="18"/>
              </w:rPr>
            </w:pPr>
            <w:r>
              <w:rPr>
                <w:rFonts w:ascii="宋体"/>
                <w:sz w:val="18"/>
              </w:rPr>
              <w:t>244,543.00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585,529.43</w:t>
            </w:r>
          </w:p>
        </w:tc>
      </w:tr>
      <w:tr>
        <w:trPr>
          <w:trHeight w:val="34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2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宋体"/>
                <w:sz w:val="18"/>
              </w:rPr>
              <w:t>765,624.48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sz w:val="18"/>
              </w:rPr>
              <w:t>180,000.00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945,624.48</w:t>
            </w:r>
          </w:p>
        </w:tc>
      </w:tr>
    </w:tbl>
    <w:p>
      <w:pPr>
        <w:spacing w:after="0" w:line="240" w:lineRule="auto"/>
        <w:jc w:val="right"/>
        <w:rPr>
          <w:rFonts w:ascii="宋体" w:hAnsi="宋体" w:cs="宋体" w:eastAsia="宋体" w:hint="default"/>
          <w:sz w:val="18"/>
          <w:szCs w:val="18"/>
        </w:rPr>
        <w:sectPr>
          <w:pgSz w:w="11910" w:h="16840"/>
          <w:pgMar w:header="0"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823" w:type="dxa"/>
        <w:tblLayout w:type="fixed"/>
        <w:tblCellMar>
          <w:top w:w="0" w:type="dxa"/>
          <w:left w:w="0" w:type="dxa"/>
          <w:bottom w:w="0" w:type="dxa"/>
          <w:right w:w="0" w:type="dxa"/>
        </w:tblCellMar>
        <w:tblLook w:val="01E0"/>
      </w:tblPr>
      <w:tblGrid>
        <w:gridCol w:w="1210"/>
        <w:gridCol w:w="1026"/>
        <w:gridCol w:w="1160"/>
        <w:gridCol w:w="1116"/>
        <w:gridCol w:w="892"/>
        <w:gridCol w:w="1026"/>
        <w:gridCol w:w="1187"/>
      </w:tblGrid>
      <w:tr>
        <w:trPr>
          <w:trHeight w:val="342"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sz w:val="18"/>
              </w:rPr>
              <w:t>340,986.43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宋体" w:hAnsi="宋体" w:cs="宋体" w:eastAsia="宋体" w:hint="default"/>
                <w:sz w:val="18"/>
                <w:szCs w:val="18"/>
              </w:rPr>
            </w:pPr>
            <w:r>
              <w:rPr>
                <w:rFonts w:ascii="宋体"/>
                <w:sz w:val="18"/>
              </w:rPr>
              <w:t>765,624.48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sz w:val="18"/>
              </w:rPr>
              <w:t>180,000.00</w:t>
            </w:r>
          </w:p>
        </w:tc>
        <w:tc>
          <w:tcPr>
            <w:tcW w:w="89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sz w:val="18"/>
              </w:rPr>
              <w:t>244,543.00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sz w:val="18"/>
              </w:rPr>
              <w:t>1,531,153.91</w:t>
            </w:r>
          </w:p>
        </w:tc>
      </w:tr>
    </w:tbl>
    <w:p>
      <w:pPr>
        <w:spacing w:line="240" w:lineRule="auto" w:before="11"/>
        <w:rPr>
          <w:rFonts w:ascii="宋体" w:hAnsi="宋体" w:cs="宋体" w:eastAsia="宋体" w:hint="default"/>
          <w:sz w:val="23"/>
          <w:szCs w:val="23"/>
        </w:rPr>
      </w:pPr>
    </w:p>
    <w:tbl>
      <w:tblPr>
        <w:tblW w:w="0" w:type="auto"/>
        <w:jc w:val="left"/>
        <w:tblInd w:w="823" w:type="dxa"/>
        <w:tblLayout w:type="fixed"/>
        <w:tblCellMar>
          <w:top w:w="0" w:type="dxa"/>
          <w:left w:w="0" w:type="dxa"/>
          <w:bottom w:w="0" w:type="dxa"/>
          <w:right w:w="0" w:type="dxa"/>
        </w:tblCellMar>
        <w:tblLook w:val="01E0"/>
      </w:tblPr>
      <w:tblGrid>
        <w:gridCol w:w="1218"/>
        <w:gridCol w:w="1048"/>
        <w:gridCol w:w="1161"/>
        <w:gridCol w:w="1104"/>
        <w:gridCol w:w="1026"/>
        <w:gridCol w:w="898"/>
        <w:gridCol w:w="1162"/>
      </w:tblGrid>
      <w:tr>
        <w:trPr>
          <w:trHeight w:val="342" w:hRule="exact"/>
        </w:trPr>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218" w:type="dxa"/>
            <w:vMerge/>
            <w:tcBorders>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个月以内</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个月</w:t>
            </w:r>
            <w:r>
              <w:rPr>
                <w:rFonts w:ascii="宋体" w:hAnsi="宋体" w:cs="宋体" w:eastAsia="宋体" w:hint="default"/>
                <w:sz w:val="18"/>
                <w:szCs w:val="18"/>
              </w:rPr>
              <w:t>-1</w:t>
            </w:r>
            <w:r>
              <w:rPr>
                <w:rFonts w:ascii="宋体" w:hAnsi="宋体" w:cs="宋体" w:eastAsia="宋体" w:hint="default"/>
                <w:sz w:val="18"/>
                <w:szCs w:val="18"/>
              </w:rPr>
              <w:t>年</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31,530.91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center"/>
              <w:rPr>
                <w:rFonts w:ascii="宋体" w:hAnsi="宋体" w:cs="宋体" w:eastAsia="宋体" w:hint="default"/>
                <w:sz w:val="18"/>
                <w:szCs w:val="18"/>
              </w:rPr>
            </w:pPr>
            <w:r>
              <w:rPr>
                <w:rFonts w:ascii="宋体"/>
                <w:sz w:val="18"/>
              </w:rPr>
              <w:t>264,543.00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296,073.91</w:t>
            </w:r>
          </w:p>
        </w:tc>
      </w:tr>
      <w:tr>
        <w:trPr>
          <w:trHeight w:val="342"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0" w:right="0"/>
              <w:jc w:val="center"/>
              <w:rPr>
                <w:rFonts w:ascii="宋体" w:hAnsi="宋体" w:cs="宋体" w:eastAsia="宋体" w:hint="default"/>
                <w:sz w:val="18"/>
                <w:szCs w:val="18"/>
              </w:rPr>
            </w:pPr>
            <w:r>
              <w:rPr>
                <w:rFonts w:ascii="宋体"/>
                <w:sz w:val="18"/>
              </w:rPr>
              <w:t>1,978,020.51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1,978,020.51</w:t>
            </w:r>
          </w:p>
        </w:tc>
      </w:tr>
      <w:tr>
        <w:trPr>
          <w:trHeight w:val="343"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0" w:right="0"/>
              <w:jc w:val="center"/>
              <w:rPr>
                <w:rFonts w:ascii="宋体" w:hAnsi="宋体" w:cs="宋体" w:eastAsia="宋体" w:hint="default"/>
                <w:sz w:val="18"/>
                <w:szCs w:val="18"/>
              </w:rPr>
            </w:pPr>
            <w:r>
              <w:rPr>
                <w:rFonts w:ascii="宋体"/>
                <w:sz w:val="18"/>
              </w:rPr>
              <w:t>1,978,020.51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31,530.91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center"/>
              <w:rPr>
                <w:rFonts w:ascii="宋体" w:hAnsi="宋体" w:cs="宋体" w:eastAsia="宋体" w:hint="default"/>
                <w:sz w:val="18"/>
                <w:szCs w:val="18"/>
              </w:rPr>
            </w:pPr>
            <w:r>
              <w:rPr>
                <w:rFonts w:ascii="宋体"/>
                <w:sz w:val="18"/>
              </w:rPr>
              <w:t>264,543.00</w:t>
            </w:r>
          </w:p>
        </w:tc>
        <w:tc>
          <w:tcPr>
            <w:tcW w:w="89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2,274,094.42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十一、关联方及关联交易" w:id="294"/>
      <w:bookmarkEnd w:id="294"/>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295"/>
      <w:bookmarkEnd w:id="29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成都数字星河科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技术推广服务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亿人民币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15.57%</w:t>
            </w:r>
          </w:p>
        </w:tc>
      </w:tr>
    </w:tbl>
    <w:p>
      <w:pPr>
        <w:pStyle w:val="BodyText"/>
        <w:spacing w:line="360" w:lineRule="auto" w:before="10"/>
        <w:ind w:left="474" w:right="7629" w:firstLine="63"/>
        <w:jc w:val="left"/>
      </w:pPr>
      <w:r>
        <w:rPr/>
        <w:t>本企业的母公司情况的说明：无。 本企业最终控制方是王叁寿。 其他说明：无。</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本企业的子公司情况" w:id="296"/>
      <w:bookmarkEnd w:id="29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297"/>
      <w:bookmarkEnd w:id="29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37" w:right="1509" w:hanging="424"/>
        <w:jc w:val="left"/>
      </w:pPr>
      <w:r>
        <w:rPr/>
        <w:t>本企业重要的合营或联营企业详见附注九、在其他主体中的权益。 本期与本公司发生关联方交易，或前期与本公司发生关联方交易形成余额的其他合营或联营企业情况如下：无。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其他关联方情况" w:id="298"/>
      <w:bookmarkEnd w:id="29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王叁寿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bl>
    <w:p>
      <w:pPr>
        <w:pStyle w:val="BodyText"/>
        <w:spacing w:line="240" w:lineRule="auto" w:before="51"/>
        <w:ind w:right="0"/>
        <w:jc w:val="left"/>
      </w:pPr>
      <w:r>
        <w:rPr/>
        <w:t>其他说明：无。</w:t>
      </w:r>
    </w:p>
    <w:p>
      <w:pPr>
        <w:spacing w:after="0" w:line="24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5、关联交易情况" w:id="299"/>
      <w:bookmarkEnd w:id="29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无。" w:id="300"/>
      <w:bookmarkEnd w:id="300"/>
      <w:r>
        <w:rPr>
          <w:b w:val="0"/>
          <w:bCs w:val="0"/>
        </w:rPr>
      </w:r>
      <w:r>
        <w:rPr/>
        <w:t>（</w:t>
      </w:r>
      <w:r>
        <w:rPr>
          <w:rFonts w:ascii="Times New Roman" w:hAnsi="Times New Roman" w:cs="Times New Roman" w:eastAsia="Times New Roman" w:hint="default"/>
        </w:rPr>
        <w:t>1</w:t>
      </w:r>
      <w:r>
        <w:rPr/>
        <w:t>）购销商品、提供和接受劳务的关联交易：无。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 关联受托管理/承包及委托管理/出包情况：无。" w:id="301"/>
      <w:bookmarkEnd w:id="30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关联租赁情况：无。" w:id="302"/>
      <w:bookmarkEnd w:id="302"/>
      <w:r>
        <w:rPr>
          <w:b w:val="0"/>
          <w:bCs w:val="0"/>
        </w:rPr>
      </w:r>
      <w:r>
        <w:rPr/>
        <w:t>（</w:t>
      </w:r>
      <w:r>
        <w:rPr>
          <w:rFonts w:ascii="Times New Roman" w:hAnsi="Times New Roman" w:cs="Times New Roman" w:eastAsia="Times New Roman" w:hint="default"/>
        </w:rPr>
        <w:t>3</w:t>
      </w:r>
      <w:r>
        <w:rPr/>
        <w:t>）关联租赁情况：无。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关联担保情况：无。" w:id="303"/>
      <w:bookmarkEnd w:id="303"/>
      <w:r>
        <w:rPr>
          <w:b w:val="0"/>
          <w:bCs w:val="0"/>
        </w:rPr>
      </w:r>
      <w:r>
        <w:rPr/>
        <w:t>（</w:t>
      </w:r>
      <w:r>
        <w:rPr>
          <w:rFonts w:ascii="Times New Roman" w:hAnsi="Times New Roman" w:cs="Times New Roman" w:eastAsia="Times New Roman" w:hint="default"/>
        </w:rPr>
        <w:t>4</w:t>
      </w:r>
      <w:r>
        <w:rPr/>
        <w:t>）关联担保情况：无。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 关联方资金拆借：无。" w:id="304"/>
      <w:bookmarkEnd w:id="304"/>
      <w:r>
        <w:rPr>
          <w:b w:val="0"/>
          <w:bCs w:val="0"/>
        </w:rPr>
      </w:r>
      <w:r>
        <w:rPr/>
        <w:t>（</w:t>
      </w:r>
      <w:r>
        <w:rPr>
          <w:rFonts w:ascii="Times New Roman" w:hAnsi="Times New Roman" w:cs="Times New Roman" w:eastAsia="Times New Roman" w:hint="default"/>
        </w:rPr>
        <w:t>5</w:t>
      </w:r>
      <w:r>
        <w:rPr/>
        <w:t>）关联方资金拆借：无。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资产转让、债务重组情况：无。" w:id="305"/>
      <w:bookmarkEnd w:id="305"/>
      <w:r>
        <w:rPr>
          <w:b w:val="0"/>
          <w:bCs w:val="0"/>
        </w:rPr>
      </w:r>
      <w:r>
        <w:rPr/>
        <w:t>（</w:t>
      </w:r>
      <w:r>
        <w:rPr>
          <w:rFonts w:ascii="Times New Roman" w:hAnsi="Times New Roman" w:cs="Times New Roman" w:eastAsia="Times New Roman" w:hint="default"/>
        </w:rPr>
        <w:t>6</w:t>
      </w:r>
      <w:r>
        <w:rPr/>
        <w:t>）关联方资产转让、债务重组情况：无。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关键管理人员报酬" w:id="306"/>
      <w:bookmarkEnd w:id="30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1,357,700.00</w:t>
            </w:r>
          </w:p>
        </w:tc>
      </w:tr>
    </w:tbl>
    <w:p>
      <w:pPr>
        <w:spacing w:line="240" w:lineRule="auto" w:before="2"/>
        <w:rPr>
          <w:rFonts w:ascii="宋体" w:hAnsi="宋体" w:cs="宋体" w:eastAsia="宋体" w:hint="default"/>
          <w:sz w:val="19"/>
          <w:szCs w:val="19"/>
        </w:rPr>
      </w:pPr>
    </w:p>
    <w:p>
      <w:pPr>
        <w:spacing w:line="487" w:lineRule="auto" w:before="35"/>
        <w:ind w:left="114" w:right="8348" w:firstLine="0"/>
        <w:jc w:val="both"/>
        <w:rPr>
          <w:rFonts w:ascii="宋体" w:hAnsi="宋体" w:cs="宋体" w:eastAsia="宋体" w:hint="default"/>
          <w:sz w:val="21"/>
          <w:szCs w:val="21"/>
        </w:rPr>
      </w:pPr>
      <w:bookmarkStart w:name="（8）其他关联交易：无。"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）其他关联交易：无。</w:t>
      </w:r>
      <w:r>
        <w:rPr>
          <w:rFonts w:ascii="宋体" w:hAnsi="宋体" w:cs="宋体" w:eastAsia="宋体" w:hint="default"/>
          <w:b/>
          <w:bCs/>
          <w:w w:val="99"/>
          <w:sz w:val="21"/>
          <w:szCs w:val="21"/>
        </w:rPr>
        <w:t> </w:t>
      </w:r>
      <w:bookmarkStart w:name="十二、承诺及或有事项" w:id="308"/>
      <w:bookmarkEnd w:id="308"/>
      <w:r>
        <w:rPr>
          <w:rFonts w:ascii="宋体" w:hAnsi="宋体" w:cs="宋体" w:eastAsia="宋体" w:hint="default"/>
          <w:b/>
          <w:bCs/>
          <w:w w:val="99"/>
          <w:sz w:val="21"/>
          <w:szCs w:val="21"/>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309"/>
      <w:bookmarkEnd w:id="3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9"/>
        <w:ind w:left="519" w:right="6207" w:hanging="406"/>
        <w:jc w:val="left"/>
      </w:pPr>
      <w:r>
        <w:rPr/>
        <w:t>资产负债表日存在的重要承诺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日止，本公司无需要披露的承诺。</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bookmarkStart w:name="2、或有事项" w:id="310"/>
      <w:bookmarkEnd w:id="31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资产负债表日存在的重要或有事项" w:id="311"/>
      <w:bookmarkEnd w:id="31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9"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日止，本公司无需要披露的或有事项。</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公司没有需要披露的重要或有事项，也应予以说明" w:id="312"/>
      <w:bookmarkEnd w:id="31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其他：无。" w:id="313"/>
      <w:bookmarkEnd w:id="313"/>
      <w:r>
        <w:rPr>
          <w:b w:val="0"/>
          <w:bCs w:val="0"/>
        </w:rPr>
      </w:r>
      <w:r>
        <w:rPr>
          <w:rFonts w:ascii="Times New Roman" w:hAnsi="Times New Roman" w:cs="Times New Roman" w:eastAsia="Times New Roman" w:hint="default"/>
        </w:rPr>
        <w:t>3</w:t>
      </w:r>
      <w:r>
        <w:rPr/>
        <w:t>、其他：无。</w:t>
      </w:r>
      <w:r>
        <w:rPr>
          <w:b w:val="0"/>
          <w:bCs w:val="0"/>
        </w:rPr>
      </w:r>
    </w:p>
    <w:p>
      <w:pPr>
        <w:spacing w:after="0" w:line="240" w:lineRule="auto"/>
        <w:jc w:val="both"/>
        <w:sectPr>
          <w:pgSz w:w="11910" w:h="16840"/>
          <w:pgMar w:header="0" w:footer="1019" w:top="1100" w:bottom="1200" w:left="1020" w:right="0"/>
        </w:sectPr>
      </w:pPr>
    </w:p>
    <w:p>
      <w:pPr>
        <w:spacing w:line="477" w:lineRule="auto" w:before="20"/>
        <w:ind w:left="420" w:right="8222" w:firstLine="0"/>
        <w:jc w:val="left"/>
        <w:rPr>
          <w:rFonts w:ascii="宋体" w:hAnsi="宋体" w:cs="宋体" w:eastAsia="宋体" w:hint="default"/>
          <w:sz w:val="21"/>
          <w:szCs w:val="21"/>
        </w:rPr>
      </w:pPr>
      <w:r>
        <w:rPr/>
        <w:pict>
          <v:shape style="position:absolute;margin-left:589.234558pt;margin-top:570.43042pt;width:42.067787pt;height:18.946561pt;mso-position-horizontal-relative:page;mso-position-vertical-relative:page;z-index:1120" type="#_x0000_t75" stroked="false">
            <v:imagedata r:id="rId61" o:title=""/>
          </v:shape>
        </w:pict>
      </w:r>
      <w:bookmarkStart w:name="十三、资产负债表日后事项" w:id="314"/>
      <w:bookmarkEnd w:id="314"/>
      <w:r>
        <w:rPr/>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bookmarkStart w:name="十四、母公司财务报表主要项目注释" w:id="315"/>
      <w:bookmarkEnd w:id="315"/>
      <w:r>
        <w:rPr>
          <w:rFonts w:ascii="宋体" w:hAnsi="宋体" w:cs="宋体" w:eastAsia="宋体" w:hint="default"/>
          <w:b/>
          <w:bCs/>
          <w:w w:val="95"/>
          <w:sz w:val="24"/>
          <w:szCs w:val="24"/>
        </w:rPr>
        <w:t>十四、母公司财务报表主要项目注释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316"/>
      <w:bookmarkEnd w:id="31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17"/>
        <w:ind w:left="0" w:right="116"/>
        <w:jc w:val="right"/>
      </w:pPr>
      <w:r>
        <w:rPr/>
        <w:t>单位： 元</w:t>
      </w:r>
    </w:p>
    <w:p>
      <w:pPr>
        <w:spacing w:line="240" w:lineRule="auto" w:before="13"/>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bl>
    <w:p>
      <w:pPr>
        <w:spacing w:line="240" w:lineRule="auto" w:before="3"/>
        <w:rPr>
          <w:rFonts w:ascii="宋体" w:hAnsi="宋体" w:cs="宋体" w:eastAsia="宋体" w:hint="default"/>
          <w:sz w:val="19"/>
          <w:szCs w:val="19"/>
        </w:rPr>
      </w:pPr>
    </w:p>
    <w:p>
      <w:pPr>
        <w:pStyle w:val="Heading4"/>
        <w:spacing w:line="240" w:lineRule="auto" w:before="35"/>
        <w:ind w:left="420" w:right="8222"/>
        <w:jc w:val="left"/>
        <w:rPr>
          <w:b w:val="0"/>
          <w:bCs w:val="0"/>
        </w:rPr>
      </w:pPr>
      <w:bookmarkStart w:name="（1）应收票据：无。" w:id="317"/>
      <w:bookmarkEnd w:id="317"/>
      <w:r>
        <w:rPr>
          <w:b w:val="0"/>
          <w:bCs w:val="0"/>
        </w:rPr>
      </w:r>
      <w:r>
        <w:rPr/>
        <w:t>（</w:t>
      </w:r>
      <w:r>
        <w:rPr>
          <w:rFonts w:ascii="Times New Roman" w:hAnsi="Times New Roman" w:cs="Times New Roman" w:eastAsia="Times New Roman" w:hint="default"/>
        </w:rPr>
        <w:t>1</w:t>
      </w:r>
      <w:r>
        <w:rPr/>
        <w:t>）应收票据：无。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20" w:right="8222"/>
        <w:jc w:val="left"/>
        <w:rPr>
          <w:b w:val="0"/>
          <w:bCs w:val="0"/>
        </w:rPr>
      </w:pPr>
      <w:bookmarkStart w:name="（2）应收账款" w:id="318"/>
      <w:bookmarkEnd w:id="31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0" w:right="8222"/>
        <w:jc w:val="left"/>
      </w:pPr>
      <w:r>
        <w:rPr>
          <w:rFonts w:ascii="Times New Roman" w:hAnsi="Times New Roman" w:cs="Times New Roman" w:eastAsia="Times New Roman" w:hint="default"/>
        </w:rPr>
        <w:t>1)</w:t>
      </w:r>
      <w:r>
        <w:rPr/>
        <w:t>应收账款分类披露</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996"/>
        <w:gridCol w:w="936"/>
        <w:gridCol w:w="862"/>
        <w:gridCol w:w="846"/>
        <w:gridCol w:w="936"/>
        <w:gridCol w:w="936"/>
        <w:gridCol w:w="1250"/>
        <w:gridCol w:w="862"/>
        <w:gridCol w:w="1250"/>
        <w:gridCol w:w="936"/>
        <w:gridCol w:w="1252"/>
      </w:tblGrid>
      <w:tr>
        <w:trPr>
          <w:trHeight w:val="402" w:hRule="exact"/>
        </w:trPr>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996"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25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14,212,091.49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7,106,045.75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7,106,045.74</w:t>
            </w: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22,458,537.76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449,170.76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22,009,367.00</w:t>
            </w: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单项金额不重大但单独计提坏账准备的应收账款</w:t>
            </w:r>
          </w:p>
        </w:tc>
        <w:tc>
          <w:tcPr>
            <w:tcW w:w="93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2,911,805.05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2,911,805.05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39,582,434.30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10,467,021.56</w:t>
            </w:r>
          </w:p>
        </w:tc>
        <w:tc>
          <w:tcPr>
            <w:tcW w:w="93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29,115,412.74</w:t>
            </w:r>
          </w:p>
        </w:tc>
      </w:tr>
    </w:tbl>
    <w:p>
      <w:pPr>
        <w:pStyle w:val="BodyText"/>
        <w:spacing w:line="240" w:lineRule="auto" w:before="51"/>
        <w:ind w:left="0" w:right="116"/>
        <w:jc w:val="right"/>
      </w:pPr>
      <w:r>
        <w:rPr/>
        <w:t>单位： 元</w:t>
      </w:r>
    </w:p>
    <w:p>
      <w:pPr>
        <w:pStyle w:val="BodyText"/>
        <w:spacing w:line="240" w:lineRule="auto" w:before="117"/>
        <w:ind w:left="420" w:right="8222"/>
        <w:jc w:val="left"/>
      </w:pPr>
      <w:r>
        <w:rPr/>
        <w:t>期末单项金额重大并单项计提坏账准备的应收账款：</w:t>
      </w:r>
    </w:p>
    <w:p>
      <w:pPr>
        <w:spacing w:after="0" w:line="240" w:lineRule="auto"/>
        <w:jc w:val="left"/>
        <w:sectPr>
          <w:headerReference w:type="default" r:id="rId72"/>
          <w:footerReference w:type="default" r:id="rId73"/>
          <w:pgSz w:w="16840" w:h="11910" w:orient="landscape"/>
          <w:pgMar w:header="907" w:footer="1019" w:top="1100" w:bottom="1200" w:left="1020" w:right="1320"/>
        </w:sectPr>
      </w:pPr>
    </w:p>
    <w:p>
      <w:pPr>
        <w:pStyle w:val="BodyText"/>
        <w:spacing w:line="240" w:lineRule="auto" w:before="69"/>
        <w:ind w:left="100" w:right="0"/>
        <w:jc w:val="left"/>
      </w:pPr>
      <w:r>
        <w:rPr/>
        <w:t>□ 适用 √ 不适用</w:t>
      </w:r>
    </w:p>
    <w:p>
      <w:pPr>
        <w:spacing w:after="0" w:line="240" w:lineRule="auto"/>
        <w:jc w:val="left"/>
        <w:sectPr>
          <w:footerReference w:type="default" r:id="rId74"/>
          <w:pgSz w:w="16840" w:h="11910" w:orient="landscape"/>
          <w:pgMar w:footer="1019" w:header="907" w:top="1100" w:bottom="1200" w:left="1340" w:right="242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5"/>
          <w:footerReference w:type="default" r:id="rId76"/>
          <w:pgSz w:w="11910" w:h="16840"/>
          <w:pgMar w:header="907" w:footer="1019" w:top="1100" w:bottom="1200" w:left="1000" w:right="0"/>
        </w:sectPr>
      </w:pPr>
    </w:p>
    <w:p>
      <w:pPr>
        <w:pStyle w:val="BodyText"/>
        <w:spacing w:line="240" w:lineRule="auto" w:before="44"/>
        <w:ind w:left="134" w:right="-20"/>
        <w:jc w:val="left"/>
      </w:pPr>
      <w:r>
        <w:rPr/>
        <w:t>组合中，按账龄分析法计提坏账准备的应收账款：</w:t>
      </w:r>
    </w:p>
    <w:p>
      <w:pPr>
        <w:pStyle w:val="BodyText"/>
        <w:spacing w:line="240" w:lineRule="auto" w:before="116"/>
        <w:ind w:left="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33" w:right="0"/>
        <w:jc w:val="left"/>
      </w:pPr>
      <w:r>
        <w:rPr/>
        <w:t>单位： 元</w:t>
      </w:r>
    </w:p>
    <w:p>
      <w:pPr>
        <w:spacing w:after="0" w:line="240" w:lineRule="auto"/>
        <w:jc w:val="left"/>
        <w:sectPr>
          <w:type w:val="continuous"/>
          <w:pgSz w:w="11910" w:h="16840"/>
          <w:pgMar w:top="1100" w:bottom="1200" w:left="1000" w:right="0"/>
          <w:cols w:num="2" w:equalWidth="0">
            <w:col w:w="4095" w:space="4735"/>
            <w:col w:w="2080"/>
          </w:cols>
        </w:sectPr>
      </w:pP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6,000.00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00" w:right="0"/>
        </w:sectPr>
      </w:pPr>
    </w:p>
    <w:p>
      <w:pPr>
        <w:pStyle w:val="BodyText"/>
        <w:spacing w:line="357" w:lineRule="auto" w:before="51"/>
        <w:ind w:left="539" w:right="4946" w:hanging="406"/>
        <w:jc w:val="left"/>
      </w:pPr>
      <w:r>
        <w:rPr/>
        <w:t>确定该组合依据的说明： 以账龄特征划分为若干应收款项组合。</w:t>
      </w:r>
    </w:p>
    <w:p>
      <w:pPr>
        <w:pStyle w:val="BodyText"/>
        <w:spacing w:line="240" w:lineRule="auto" w:before="29"/>
        <w:ind w:left="134" w:right="-20"/>
        <w:jc w:val="left"/>
      </w:pPr>
      <w:r>
        <w:rPr/>
        <w:t>组合中，采用余额百分比法计提坏账准备的应收账款：</w:t>
      </w:r>
    </w:p>
    <w:p>
      <w:pPr>
        <w:pStyle w:val="BodyText"/>
        <w:spacing w:line="357" w:lineRule="auto" w:before="117"/>
        <w:ind w:left="134" w:right="4451"/>
        <w:jc w:val="left"/>
      </w:pPr>
      <w:r>
        <w:rPr/>
        <w:t>□ 适用 √ 不适用 组合中，采用其他方法计提坏账准备的应收账款：</w:t>
      </w:r>
    </w:p>
    <w:p>
      <w:pPr>
        <w:pStyle w:val="BodyText"/>
        <w:spacing w:line="240" w:lineRule="auto" w:before="26"/>
        <w:ind w:left="555" w:right="-20"/>
        <w:jc w:val="left"/>
      </w:pPr>
      <w:r>
        <w:rPr/>
        <w:t>出口退税单独作为一类风险较小的应收款项组合，不计提坏账，该组合中各类应收款项期末余额为</w:t>
      </w:r>
      <w:r>
        <w:rPr>
          <w:rFonts w:ascii="宋体" w:hAnsi="宋体" w:cs="宋体" w:eastAsia="宋体" w:hint="default"/>
        </w:rPr>
        <w:t>0</w:t>
      </w:r>
      <w:r>
        <w:rPr/>
        <w:t>。</w:t>
      </w:r>
    </w:p>
    <w:p>
      <w:pPr>
        <w:pStyle w:val="BodyText"/>
        <w:spacing w:line="240" w:lineRule="auto" w:before="117"/>
        <w:ind w:left="134" w:right="494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left="134" w:right="1444" w:firstLine="360"/>
        <w:jc w:val="left"/>
      </w:pPr>
      <w:r>
        <w:rPr/>
        <w:t>本期计提坏账准备金额</w:t>
      </w:r>
      <w:r>
        <w:rPr>
          <w:spacing w:val="-47"/>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2,239,084.54</w:t>
      </w:r>
      <w:r>
        <w:rPr>
          <w:rFonts w:ascii="Times New Roman" w:hAnsi="Times New Roman" w:cs="Times New Roman" w:eastAsia="Times New Roman" w:hint="default"/>
          <w:spacing w:val="-2"/>
        </w:rPr>
        <w:t> </w:t>
      </w:r>
      <w:r>
        <w:rPr/>
        <w:t>元。 其中本期坏账准备收回或转回金额重要的：无。</w:t>
      </w:r>
    </w:p>
    <w:p>
      <w:pPr>
        <w:pStyle w:val="BodyText"/>
        <w:spacing w:line="240" w:lineRule="auto" w:before="42"/>
        <w:ind w:left="134" w:right="4946"/>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33" w:right="0"/>
        <w:jc w:val="left"/>
      </w:pPr>
      <w:r>
        <w:rPr/>
        <w:t>单位： 元</w:t>
      </w:r>
    </w:p>
    <w:p>
      <w:pPr>
        <w:spacing w:after="0" w:line="240" w:lineRule="auto"/>
        <w:jc w:val="left"/>
        <w:sectPr>
          <w:type w:val="continuous"/>
          <w:pgSz w:w="11910" w:h="16840"/>
          <w:pgMar w:top="1100" w:bottom="1200" w:left="1000" w:right="0"/>
          <w:cols w:num="2" w:equalWidth="0">
            <w:col w:w="8566" w:space="264"/>
            <w:col w:w="2080"/>
          </w:cols>
        </w:sectPr>
      </w:pPr>
    </w:p>
    <w:p>
      <w:pPr>
        <w:spacing w:line="240" w:lineRule="auto" w:before="0"/>
        <w:rPr>
          <w:rFonts w:ascii="宋体" w:hAnsi="宋体" w:cs="宋体" w:eastAsia="宋体" w:hint="default"/>
          <w:sz w:val="8"/>
          <w:szCs w:val="8"/>
        </w:rPr>
      </w:pPr>
      <w:r>
        <w:rPr/>
        <w:pict>
          <v:shape style="position:absolute;margin-left:535.634705pt;margin-top:806.72052pt;width:59.493346pt;height:26.794713pt;mso-position-horizontal-relative:page;mso-position-vertical-relative:page;z-index:1144" type="#_x0000_t75" stroked="false">
            <v:imagedata r:id="rId61" o:title=""/>
          </v:shape>
        </w:pict>
      </w:r>
    </w:p>
    <w:tbl>
      <w:tblPr>
        <w:tblW w:w="0" w:type="auto"/>
        <w:jc w:val="left"/>
        <w:tblInd w:w="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8,221,937.02</w:t>
            </w:r>
          </w:p>
        </w:tc>
      </w:tr>
    </w:tbl>
    <w:p>
      <w:pPr>
        <w:pStyle w:val="BodyText"/>
        <w:spacing w:line="240" w:lineRule="auto" w:before="51"/>
        <w:ind w:left="134" w:right="625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2,783,005.98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2,442,151.83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2,446,029.97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87,545.09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421,950.17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41,253.98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8,221,937.02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34" w:right="6252"/>
        <w:jc w:val="left"/>
      </w:pPr>
      <w:r>
        <w:rPr/>
        <w:t>应收账款核销说明：无。</w:t>
      </w:r>
    </w:p>
    <w:p>
      <w:pPr>
        <w:pStyle w:val="BodyText"/>
        <w:spacing w:line="240" w:lineRule="auto" w:before="117"/>
        <w:ind w:left="134" w:right="625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497"/>
        <w:gridCol w:w="1332"/>
        <w:gridCol w:w="3641"/>
        <w:gridCol w:w="1188"/>
      </w:tblGrid>
      <w:tr>
        <w:trPr>
          <w:trHeight w:val="342" w:hRule="exact"/>
        </w:trPr>
        <w:tc>
          <w:tcPr>
            <w:tcW w:w="3497"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497" w:type="dxa"/>
            <w:vMerge/>
            <w:tcBorders>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30,000.00</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6,000.00</w:t>
            </w:r>
          </w:p>
        </w:tc>
      </w:tr>
      <w:tr>
        <w:trPr>
          <w:trHeight w:val="342"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30,000.00</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6,000.00</w:t>
            </w:r>
          </w:p>
        </w:tc>
      </w:tr>
    </w:tbl>
    <w:p>
      <w:pPr>
        <w:spacing w:after="0" w:line="240" w:lineRule="auto"/>
        <w:jc w:val="right"/>
        <w:rPr>
          <w:rFonts w:ascii="宋体" w:hAnsi="宋体" w:cs="宋体" w:eastAsia="宋体" w:hint="default"/>
          <w:sz w:val="18"/>
          <w:szCs w:val="18"/>
        </w:rPr>
        <w:sectPr>
          <w:type w:val="continuous"/>
          <w:pgSz w:w="11910" w:h="16840"/>
          <w:pgMar w:top="1100" w:bottom="1200" w:left="10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8" w:lineRule="auto" w:before="44"/>
        <w:ind w:left="537" w:right="6189" w:hanging="424"/>
        <w:jc w:val="left"/>
      </w:pPr>
      <w:r>
        <w:rPr>
          <w:rFonts w:ascii="Times New Roman" w:hAnsi="Times New Roman" w:cs="Times New Roman" w:eastAsia="Times New Roman" w:hint="default"/>
        </w:rPr>
        <w:t>5)</w:t>
      </w:r>
      <w:r>
        <w:rPr/>
        <w:t>因金融资产转移而终止确认的应收账款</w:t>
      </w:r>
      <w:r>
        <w:rPr>
          <w:w w:val="99"/>
        </w:rPr>
        <w:t> </w:t>
      </w:r>
      <w:r>
        <w:rPr/>
        <w:t>本期无因金融资产转移而终止确认的应收款项情况。</w:t>
      </w:r>
    </w:p>
    <w:p>
      <w:pPr>
        <w:pStyle w:val="BodyText"/>
        <w:spacing w:line="328" w:lineRule="auto" w:before="43"/>
        <w:ind w:left="537" w:right="5829" w:hanging="424"/>
        <w:jc w:val="left"/>
      </w:pPr>
      <w:r>
        <w:rPr>
          <w:rFonts w:ascii="Times New Roman" w:hAnsi="Times New Roman" w:cs="Times New Roman" w:eastAsia="Times New Roman" w:hint="default"/>
        </w:rPr>
        <w:t>6)</w:t>
      </w:r>
      <w:r>
        <w:rPr/>
        <w:t>转移应收账款且继续涉入形成的资产、负债金额</w:t>
      </w:r>
      <w:r>
        <w:rPr>
          <w:w w:val="99"/>
        </w:rPr>
        <w:t> </w:t>
      </w:r>
      <w:r>
        <w:rPr/>
        <w:t>本期无转移应收账款且继续涉入形成的资产、负债金额。</w:t>
      </w:r>
      <w:r>
        <w:rPr>
          <w:w w:val="99"/>
        </w:rPr>
        <w:t> </w:t>
      </w:r>
      <w:r>
        <w:rPr/>
        <w:t>其他说明：无。</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bookmarkStart w:name="2、其他应收款" w:id="319"/>
      <w:bookmarkEnd w:id="31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103,567,276.14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195,158,338.04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103,567,276.14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195,158,338.04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无。" w:id="320"/>
      <w:bookmarkEnd w:id="320"/>
      <w:r>
        <w:rPr>
          <w:b w:val="0"/>
          <w:bCs w:val="0"/>
        </w:rPr>
      </w:r>
      <w:r>
        <w:rPr/>
        <w:t>（</w:t>
      </w:r>
      <w:r>
        <w:rPr>
          <w:rFonts w:ascii="Times New Roman" w:hAnsi="Times New Roman" w:cs="Times New Roman" w:eastAsia="Times New Roman" w:hint="default"/>
        </w:rPr>
        <w:t>1</w:t>
      </w:r>
      <w:r>
        <w:rPr/>
        <w:t>）应收利息：无。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应收股利：无。" w:id="321"/>
      <w:bookmarkEnd w:id="321"/>
      <w:r>
        <w:rPr>
          <w:b w:val="0"/>
          <w:bCs w:val="0"/>
        </w:rPr>
      </w:r>
      <w:r>
        <w:rPr/>
        <w:t>（</w:t>
      </w:r>
      <w:r>
        <w:rPr>
          <w:rFonts w:ascii="Times New Roman" w:hAnsi="Times New Roman" w:cs="Times New Roman" w:eastAsia="Times New Roman" w:hint="default"/>
        </w:rPr>
        <w:t>2</w:t>
      </w:r>
      <w:r>
        <w:rPr/>
        <w:t>）应收股利：无。</w:t>
      </w:r>
      <w:r>
        <w:rPr>
          <w:b w:val="0"/>
          <w:bCs w:val="0"/>
        </w:rPr>
      </w:r>
    </w:p>
    <w:p>
      <w:pPr>
        <w:spacing w:after="0" w:line="240" w:lineRule="auto"/>
        <w:jc w:val="left"/>
        <w:sectPr>
          <w:footerReference w:type="default" r:id="rId77"/>
          <w:pgSz w:w="11910" w:h="16840"/>
          <w:pgMar w:footer="1019" w:header="907" w:top="1100" w:bottom="1200" w:left="1020" w:right="0"/>
        </w:sectPr>
      </w:pPr>
    </w:p>
    <w:p>
      <w:pPr>
        <w:pStyle w:val="BodyText"/>
        <w:spacing w:line="240" w:lineRule="auto" w:before="15"/>
        <w:ind w:left="4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4"/>
        <w:spacing w:line="240" w:lineRule="auto" w:before="35"/>
        <w:ind w:left="420" w:right="0"/>
        <w:jc w:val="left"/>
        <w:rPr>
          <w:b w:val="0"/>
          <w:bCs w:val="0"/>
        </w:rPr>
      </w:pPr>
      <w:bookmarkStart w:name="（3）其他应收款" w:id="322"/>
      <w:bookmarkEnd w:id="32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20"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336"/>
        <w:jc w:val="right"/>
      </w:pPr>
      <w:r>
        <w:rPr/>
        <w:t>单位： 元</w:t>
      </w:r>
    </w:p>
    <w:p>
      <w:pPr>
        <w:spacing w:line="240" w:lineRule="auto" w:before="13"/>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3508"/>
        <w:gridCol w:w="1342"/>
        <w:gridCol w:w="860"/>
        <w:gridCol w:w="846"/>
        <w:gridCol w:w="908"/>
        <w:gridCol w:w="1342"/>
        <w:gridCol w:w="1340"/>
        <w:gridCol w:w="862"/>
        <w:gridCol w:w="936"/>
        <w:gridCol w:w="891"/>
        <w:gridCol w:w="1342"/>
      </w:tblGrid>
      <w:tr>
        <w:trPr>
          <w:trHeight w:val="397" w:hRule="exact"/>
        </w:trPr>
        <w:tc>
          <w:tcPr>
            <w:tcW w:w="35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2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508" w:type="dxa"/>
            <w:vMerge/>
            <w:tcBorders>
              <w:left w:val="single" w:sz="4" w:space="0" w:color="000000"/>
              <w:right w:val="single" w:sz="4" w:space="0" w:color="000000"/>
            </w:tcBorders>
            <w:shd w:val="clear" w:color="auto" w:fill="D2D2D2"/>
          </w:tcPr>
          <w:p>
            <w:pPr/>
          </w:p>
        </w:tc>
        <w:tc>
          <w:tcPr>
            <w:tcW w:w="2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3508"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8" w:right="1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16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 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103,334,367.63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99.77%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103,334,367.63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194,711,552.63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194,711,552.63</w:t>
            </w:r>
          </w:p>
        </w:tc>
      </w:tr>
      <w:tr>
        <w:trPr>
          <w:trHeight w:val="714"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 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28,879.80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9,221.60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19,658.20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459,647.36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12,861.95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446,785.41</w:t>
            </w:r>
          </w:p>
        </w:tc>
      </w:tr>
      <w:tr>
        <w:trPr>
          <w:trHeight w:val="714"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 他应收款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213,250.31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213,250.31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103,576,497.74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9,221.60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103,567,276.14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195,171,199.99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12,861.95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195,158,338.04</w:t>
            </w:r>
          </w:p>
        </w:tc>
      </w:tr>
    </w:tbl>
    <w:p>
      <w:pPr>
        <w:spacing w:after="0" w:line="240" w:lineRule="auto"/>
        <w:jc w:val="right"/>
        <w:rPr>
          <w:rFonts w:ascii="Times New Roman" w:hAnsi="Times New Roman" w:cs="Times New Roman" w:eastAsia="Times New Roman" w:hint="default"/>
          <w:sz w:val="18"/>
          <w:szCs w:val="18"/>
        </w:rPr>
        <w:sectPr>
          <w:headerReference w:type="default" r:id="rId78"/>
          <w:footerReference w:type="default" r:id="rId79"/>
          <w:pgSz w:w="16840" w:h="11910" w:orient="landscape"/>
          <w:pgMar w:header="0" w:footer="1019" w:top="840" w:bottom="1200" w:left="1020" w:right="1100"/>
        </w:sectPr>
      </w:pPr>
    </w:p>
    <w:p>
      <w:pPr>
        <w:pStyle w:val="BodyText"/>
        <w:spacing w:line="240" w:lineRule="auto" w:before="51"/>
        <w:ind w:left="420" w:right="-20"/>
        <w:jc w:val="left"/>
      </w:pPr>
      <w:r>
        <w:rPr/>
        <w:t>期末单项金额重大并单项计提坏账准备的其他应收款：</w:t>
      </w:r>
    </w:p>
    <w:p>
      <w:pPr>
        <w:pStyle w:val="BodyText"/>
        <w:spacing w:line="240" w:lineRule="auto" w:before="117"/>
        <w:ind w:left="420"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420" w:right="0"/>
        <w:jc w:val="left"/>
      </w:pPr>
      <w:r>
        <w:rPr/>
        <w:t>单位： 元</w:t>
      </w:r>
    </w:p>
    <w:p>
      <w:pPr>
        <w:spacing w:after="0" w:line="240" w:lineRule="auto"/>
        <w:jc w:val="left"/>
        <w:sectPr>
          <w:type w:val="continuous"/>
          <w:pgSz w:w="16840" w:h="11910" w:orient="landscape"/>
          <w:pgMar w:top="1100" w:bottom="1200" w:left="1020" w:right="1100"/>
          <w:cols w:num="2" w:equalWidth="0">
            <w:col w:w="4741" w:space="8409"/>
            <w:col w:w="1570"/>
          </w:cols>
        </w:sectPr>
      </w:pPr>
    </w:p>
    <w:p>
      <w:pPr>
        <w:spacing w:line="240" w:lineRule="auto" w:before="1"/>
        <w:rPr>
          <w:rFonts w:ascii="宋体" w:hAnsi="宋体" w:cs="宋体" w:eastAsia="宋体" w:hint="default"/>
          <w:sz w:val="8"/>
          <w:szCs w:val="8"/>
        </w:rPr>
      </w:pPr>
      <w:r>
        <w:rPr/>
        <w:pict>
          <v:shape style="position:absolute;margin-left:589.234558pt;margin-top:570.43042pt;width:42.067787pt;height:18.946561pt;mso-position-horizontal-relative:page;mso-position-vertical-relative:page;z-index:1168" type="#_x0000_t75" stroked="false">
            <v:imagedata r:id="rId61" o:title=""/>
          </v:shape>
        </w:pict>
      </w:r>
    </w:p>
    <w:tbl>
      <w:tblPr>
        <w:tblW w:w="0" w:type="auto"/>
        <w:jc w:val="left"/>
        <w:tblInd w:w="307" w:type="dxa"/>
        <w:tblLayout w:type="fixed"/>
        <w:tblCellMar>
          <w:top w:w="0" w:type="dxa"/>
          <w:left w:w="0" w:type="dxa"/>
          <w:bottom w:w="0" w:type="dxa"/>
          <w:right w:w="0" w:type="dxa"/>
        </w:tblCellMar>
        <w:tblLook w:val="01E0"/>
      </w:tblPr>
      <w:tblGrid>
        <w:gridCol w:w="4228"/>
        <w:gridCol w:w="2387"/>
        <w:gridCol w:w="1666"/>
        <w:gridCol w:w="1666"/>
        <w:gridCol w:w="4229"/>
      </w:tblGrid>
      <w:tr>
        <w:trPr>
          <w:trHeight w:val="402" w:hRule="exact"/>
        </w:trPr>
        <w:tc>
          <w:tcPr>
            <w:tcW w:w="42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99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228" w:type="dxa"/>
            <w:vMerge/>
            <w:tcBorders>
              <w:left w:val="single" w:sz="4" w:space="0" w:color="000000"/>
              <w:bottom w:val="single" w:sz="4" w:space="0" w:color="000000"/>
              <w:right w:val="single" w:sz="4" w:space="0" w:color="000000"/>
            </w:tcBorders>
            <w:shd w:val="clear" w:color="auto" w:fill="D2D2D2"/>
          </w:tcPr>
          <w:p>
            <w:pP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4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4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103,334,367.63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4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合并内子公司往来，不计提</w:t>
            </w:r>
          </w:p>
        </w:tc>
      </w:tr>
      <w:tr>
        <w:trPr>
          <w:trHeight w:val="402" w:hRule="exact"/>
        </w:trPr>
        <w:tc>
          <w:tcPr>
            <w:tcW w:w="4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103,334,367.63</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420" w:right="0"/>
        <w:jc w:val="left"/>
      </w:pPr>
      <w:r>
        <w:rPr/>
        <w:t>组合中，按账龄分析法计提坏账准备的其他应收款：</w:t>
      </w:r>
    </w:p>
    <w:p>
      <w:pPr>
        <w:pStyle w:val="BodyText"/>
        <w:spacing w:line="240" w:lineRule="auto" w:before="117"/>
        <w:ind w:left="420" w:right="0"/>
        <w:jc w:val="left"/>
      </w:pPr>
      <w:r>
        <w:rPr/>
        <w:t>√ 适用 □ 不适用</w:t>
      </w:r>
    </w:p>
    <w:p>
      <w:pPr>
        <w:spacing w:after="0" w:line="240" w:lineRule="auto"/>
        <w:jc w:val="left"/>
        <w:sectPr>
          <w:type w:val="continuous"/>
          <w:pgSz w:w="16840" w:h="11910" w:orient="landscape"/>
          <w:pgMar w:top="1100" w:bottom="1200" w:left="1020" w:right="110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14,829.80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296.60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14,829.80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296.60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10,250.00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28,879.80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9,221.60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10"/>
        <w:ind w:left="134" w:right="6252" w:firstLine="423"/>
        <w:jc w:val="left"/>
      </w:pPr>
      <w:r>
        <w:rPr/>
        <w:t>确定该组合依据的说明：无。 组合中，采用余额百分比法计提坏账准备的其他应收款：</w:t>
      </w:r>
    </w:p>
    <w:p>
      <w:pPr>
        <w:pStyle w:val="BodyText"/>
        <w:spacing w:line="360" w:lineRule="auto" w:before="26"/>
        <w:ind w:left="134" w:right="6612"/>
        <w:jc w:val="left"/>
      </w:pPr>
      <w:r>
        <w:rPr/>
        <w:t>□ 适用 √ 不适用 组合中，采用其他方法计提坏账准备的其他应收款：</w:t>
      </w:r>
    </w:p>
    <w:p>
      <w:pPr>
        <w:pStyle w:val="BodyText"/>
        <w:spacing w:line="240" w:lineRule="auto" w:before="26"/>
        <w:ind w:left="134" w:right="6252"/>
        <w:jc w:val="left"/>
      </w:pPr>
      <w:r>
        <w:rPr/>
        <w:t>√ 适用 □ 不适用</w:t>
      </w:r>
    </w:p>
    <w:p>
      <w:pPr>
        <w:pStyle w:val="Heading5"/>
        <w:spacing w:line="240" w:lineRule="auto" w:before="89"/>
        <w:ind w:left="1410" w:right="0"/>
        <w:jc w:val="left"/>
      </w:pPr>
      <w:r>
        <w:rPr/>
        <w:t>期末单项金额不重大但单独计提坏账准备的其他应收款</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622"/>
        <w:gridCol w:w="1630"/>
        <w:gridCol w:w="1069"/>
        <w:gridCol w:w="1191"/>
        <w:gridCol w:w="2147"/>
      </w:tblGrid>
      <w:tr>
        <w:trPr>
          <w:trHeight w:val="342" w:hRule="exact"/>
        </w:trPr>
        <w:tc>
          <w:tcPr>
            <w:tcW w:w="3622" w:type="dxa"/>
            <w:vMerge w:val="restart"/>
            <w:tcBorders>
              <w:top w:val="single" w:sz="4" w:space="0" w:color="000000"/>
              <w:left w:val="single" w:sz="4" w:space="0" w:color="000000"/>
              <w:right w:val="single" w:sz="4" w:space="0" w:color="000000"/>
            </w:tcBorders>
          </w:tcPr>
          <w:p>
            <w:pPr>
              <w:pStyle w:val="TableParagraph"/>
              <w:spacing w:line="240" w:lineRule="auto" w:before="21"/>
              <w:ind w:left="90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62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歌乐宝（汕头）网络科技有限公司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185,250.31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3"/>
                <w:sz w:val="18"/>
                <w:szCs w:val="18"/>
              </w:rPr>
              <w:t>合并内子公司往来，不计提</w:t>
            </w:r>
          </w:p>
        </w:tc>
      </w:tr>
      <w:tr>
        <w:trPr>
          <w:trHeight w:val="3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西藏蓝道智能交通科技有限责任公司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28,000.00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3"/>
                <w:sz w:val="18"/>
                <w:szCs w:val="18"/>
              </w:rPr>
              <w:t>合并内子公司往来，不计提</w:t>
            </w:r>
          </w:p>
        </w:tc>
      </w:tr>
      <w:tr>
        <w:trPr>
          <w:trHeight w:val="343"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213,250.31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214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0"/>
          <w:pgSz w:w="11910" w:h="16840"/>
          <w:pgMar w:footer="1019" w:header="0" w:top="1100" w:bottom="1200" w:left="1000" w:right="0"/>
        </w:sectPr>
      </w:pPr>
    </w:p>
    <w:p>
      <w:pPr>
        <w:pStyle w:val="BodyText"/>
        <w:spacing w:line="240" w:lineRule="auto" w:before="51"/>
        <w:ind w:left="134" w:right="-12"/>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left="557" w:right="-12" w:hanging="424"/>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3,640.35</w:t>
      </w:r>
      <w:r>
        <w:rPr>
          <w:rFonts w:ascii="Times New Roman" w:hAnsi="Times New Roman" w:cs="Times New Roman" w:eastAsia="Times New Roman" w:hint="default"/>
          <w:spacing w:val="-2"/>
        </w:rPr>
        <w:t> </w:t>
      </w:r>
      <w:r>
        <w:rPr/>
        <w:t>元。 其中本期坏账准备转回或收回金额重要的：无。</w:t>
      </w:r>
    </w:p>
    <w:p>
      <w:pPr>
        <w:pStyle w:val="BodyText"/>
        <w:spacing w:line="240" w:lineRule="auto" w:before="43"/>
        <w:ind w:left="134" w:right="-12"/>
        <w:jc w:val="left"/>
      </w:pPr>
      <w:r>
        <w:rPr>
          <w:rFonts w:ascii="Times New Roman" w:hAnsi="Times New Roman" w:cs="Times New Roman" w:eastAsia="Times New Roman" w:hint="default"/>
        </w:rPr>
        <w:t>3)</w:t>
      </w:r>
      <w:r>
        <w:rPr/>
        <w:t>本期实际核销的其他应收款情况：无。</w:t>
      </w:r>
    </w:p>
    <w:p>
      <w:pPr>
        <w:pStyle w:val="BodyText"/>
        <w:spacing w:line="240" w:lineRule="auto" w:before="102"/>
        <w:ind w:left="134" w:right="-12"/>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33" w:right="0"/>
        <w:jc w:val="left"/>
      </w:pPr>
      <w:r>
        <w:rPr/>
        <w:t>单位： 元</w:t>
      </w:r>
    </w:p>
    <w:p>
      <w:pPr>
        <w:spacing w:after="0" w:line="240" w:lineRule="auto"/>
        <w:jc w:val="left"/>
        <w:sectPr>
          <w:type w:val="continuous"/>
          <w:pgSz w:w="11910" w:h="16840"/>
          <w:pgMar w:top="1100" w:bottom="1200" w:left="1000" w:right="0"/>
          <w:cols w:num="2" w:equalWidth="0">
            <w:col w:w="6119" w:space="2711"/>
            <w:col w:w="2080"/>
          </w:cols>
        </w:sectPr>
      </w:pPr>
    </w:p>
    <w:p>
      <w:pPr>
        <w:spacing w:line="240" w:lineRule="auto" w:before="13"/>
        <w:rPr>
          <w:rFonts w:ascii="宋体" w:hAnsi="宋体" w:cs="宋体" w:eastAsia="宋体" w:hint="default"/>
          <w:sz w:val="7"/>
          <w:szCs w:val="7"/>
        </w:rPr>
      </w:pPr>
      <w:r>
        <w:rPr/>
        <w:pict>
          <v:shape style="position:absolute;margin-left:535.634705pt;margin-top:806.72052pt;width:59.493346pt;height:26.794713pt;mso-position-horizontal-relative:page;mso-position-vertical-relative:page;z-index:1192" type="#_x0000_t75" stroked="false">
            <v:imagedata r:id="rId61" o:title=""/>
          </v:shape>
        </w:pict>
      </w:r>
    </w:p>
    <w:tbl>
      <w:tblPr>
        <w:tblW w:w="0" w:type="auto"/>
        <w:jc w:val="left"/>
        <w:tblInd w:w="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103,547,617.94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194,711,552.63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446,850.00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14,829.80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2,797.36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103,576,497.74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195,171,199.99</w:t>
            </w:r>
          </w:p>
        </w:tc>
      </w:tr>
    </w:tbl>
    <w:p>
      <w:pPr>
        <w:pStyle w:val="BodyText"/>
        <w:spacing w:line="240" w:lineRule="auto" w:before="51"/>
        <w:ind w:left="134" w:right="625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132"/>
        <w:gridCol w:w="1800"/>
        <w:gridCol w:w="1460"/>
        <w:gridCol w:w="1140"/>
        <w:gridCol w:w="1422"/>
        <w:gridCol w:w="1615"/>
      </w:tblGrid>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5" w:right="165"/>
              <w:jc w:val="left"/>
              <w:rPr>
                <w:rFonts w:ascii="宋体" w:hAnsi="宋体" w:cs="宋体" w:eastAsia="宋体" w:hint="default"/>
                <w:sz w:val="18"/>
                <w:szCs w:val="18"/>
              </w:rPr>
            </w:pPr>
            <w:r>
              <w:rPr>
                <w:rFonts w:ascii="宋体" w:hAnsi="宋体" w:cs="宋体" w:eastAsia="宋体" w:hint="default"/>
                <w:sz w:val="18"/>
                <w:szCs w:val="18"/>
              </w:rPr>
              <w:t>占其他应收款 期末余额合计</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bl>
    <w:p>
      <w:pPr>
        <w:spacing w:after="0" w:line="316" w:lineRule="auto"/>
        <w:jc w:val="left"/>
        <w:rPr>
          <w:rFonts w:ascii="宋体" w:hAnsi="宋体" w:cs="宋体" w:eastAsia="宋体" w:hint="default"/>
          <w:sz w:val="18"/>
          <w:szCs w:val="18"/>
        </w:rPr>
        <w:sectPr>
          <w:type w:val="continuous"/>
          <w:pgSz w:w="11910" w:h="16840"/>
          <w:pgMar w:top="1100" w:bottom="1200" w:left="100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132"/>
        <w:gridCol w:w="1800"/>
        <w:gridCol w:w="1460"/>
        <w:gridCol w:w="1140"/>
        <w:gridCol w:w="1422"/>
        <w:gridCol w:w="1615"/>
      </w:tblGrid>
      <w:tr>
        <w:trPr>
          <w:trHeight w:val="36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汕头市童乐乐玩具有限 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合并关联方往来款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103,334,367.63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歌乐宝（汕头）网络科技</w:t>
            </w:r>
            <w:r>
              <w:rPr>
                <w:rFonts w:ascii="宋体" w:hAnsi="宋体" w:cs="宋体" w:eastAsia="宋体" w:hint="default"/>
                <w:sz w:val="18"/>
                <w:szCs w:val="18"/>
              </w:rPr>
              <w:t> 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合并关联方往来款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185,250.31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西藏蓝道智能交通科技 有限责任公司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合并关联方往来款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聂梦建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深圳市联惠科办公设备 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103,559,617.94</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7,000.00</w:t>
            </w:r>
          </w:p>
        </w:tc>
      </w:tr>
    </w:tbl>
    <w:p>
      <w:pPr>
        <w:pStyle w:val="BodyText"/>
        <w:spacing w:line="240" w:lineRule="auto" w:before="10"/>
        <w:ind w:left="537" w:right="0"/>
        <w:jc w:val="left"/>
      </w:pPr>
      <w:r>
        <w:rPr>
          <w:rFonts w:ascii="Times New Roman" w:hAnsi="Times New Roman" w:cs="Times New Roman" w:eastAsia="Times New Roman" w:hint="default"/>
        </w:rPr>
        <w:t>6)</w:t>
      </w:r>
      <w:r>
        <w:rPr/>
        <w:t>涉及政府补助的应收款项：本期无涉及政府补助的应收款项。</w:t>
      </w:r>
    </w:p>
    <w:p>
      <w:pPr>
        <w:pStyle w:val="BodyText"/>
        <w:spacing w:line="300" w:lineRule="auto" w:before="63"/>
        <w:ind w:left="474" w:right="6432" w:hanging="360"/>
        <w:jc w:val="left"/>
      </w:pPr>
      <w:r>
        <w:rPr>
          <w:rFonts w:ascii="Times New Roman" w:hAnsi="Times New Roman" w:cs="Times New Roman" w:eastAsia="Times New Roman" w:hint="default"/>
        </w:rPr>
        <w:t>7)</w:t>
      </w:r>
      <w:r>
        <w:rPr/>
        <w:t>因金融资产转移而终止确认的其他应收款</w:t>
      </w:r>
      <w:r>
        <w:rPr>
          <w:w w:val="99"/>
        </w:rPr>
        <w:t> </w:t>
      </w:r>
      <w:r>
        <w:rPr/>
        <w:t>本期无因金融资产转移而终止确认的其他应收款。</w:t>
      </w:r>
    </w:p>
    <w:p>
      <w:pPr>
        <w:pStyle w:val="BodyText"/>
        <w:spacing w:line="328" w:lineRule="auto" w:before="72"/>
        <w:ind w:left="474" w:right="5712" w:hanging="360"/>
        <w:jc w:val="left"/>
      </w:pPr>
      <w:r>
        <w:rPr>
          <w:rFonts w:ascii="Times New Roman" w:hAnsi="Times New Roman" w:cs="Times New Roman" w:eastAsia="Times New Roman" w:hint="default"/>
        </w:rPr>
        <w:t>8)</w:t>
      </w:r>
      <w:r>
        <w:rPr/>
        <w:t>转移其他应收款且继续涉入形成的资产、负债金额</w:t>
      </w:r>
      <w:r>
        <w:rPr>
          <w:w w:val="99"/>
        </w:rPr>
        <w:t> </w:t>
      </w:r>
      <w:r>
        <w:rPr/>
        <w:t>本期无转移其他应收款且继续涉入形成的资产、负债金额。</w:t>
      </w:r>
      <w:r>
        <w:rPr>
          <w:w w:val="99"/>
        </w:rPr>
        <w:t> </w:t>
      </w:r>
      <w:r>
        <w:rPr/>
        <w:t>其他说明：无。</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323"/>
      <w:bookmarkEnd w:id="32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54,746,049.00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54,746,049.00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64,746,049.00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64,746,049.00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167,686,652.87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160,804,326.27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160,804,326.27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222,432,701.87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222,432,701.87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225,550,375.27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225,550,375.27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24"/>
      <w:bookmarkEnd w:id="32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2,495,649.00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2,495,649.00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51,250,400.00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51,250,400.00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西藏群兴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歌乐宝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64,746,049.00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54,746,049.00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1"/>
          <w:pgSz w:w="11910" w:h="16840"/>
          <w:pgMar w:footer="1019" w:header="0" w:top="1100" w:bottom="1200" w:left="1020" w:right="0"/>
          <w:pgNumType w:start="138"/>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bookmarkStart w:name="（2）对联营、合营企业投资" w:id="325"/>
      <w:bookmarkEnd w:id="32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64"/>
        <w:gridCol w:w="1340"/>
        <w:gridCol w:w="532"/>
        <w:gridCol w:w="530"/>
        <w:gridCol w:w="1301"/>
        <w:gridCol w:w="577"/>
        <w:gridCol w:w="532"/>
        <w:gridCol w:w="650"/>
        <w:gridCol w:w="532"/>
        <w:gridCol w:w="1277"/>
        <w:gridCol w:w="1342"/>
        <w:gridCol w:w="578"/>
      </w:tblGrid>
      <w:tr>
        <w:trPr>
          <w:trHeight w:val="402" w:hRule="exact"/>
        </w:trPr>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146" w:right="147"/>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3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104" w:right="10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962" w:hRule="exact"/>
        </w:trPr>
        <w:tc>
          <w:tcPr>
            <w:tcW w:w="664"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0" w:right="169"/>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9" w:right="16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5" w:right="105"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2"/>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9" w:right="139"/>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42"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8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2"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9"/>
              <w:jc w:val="both"/>
              <w:rPr>
                <w:rFonts w:ascii="宋体" w:hAnsi="宋体" w:cs="宋体" w:eastAsia="宋体" w:hint="default"/>
                <w:sz w:val="18"/>
                <w:szCs w:val="18"/>
              </w:rPr>
            </w:pPr>
            <w:r>
              <w:rPr>
                <w:rFonts w:ascii="宋体" w:hAnsi="宋体" w:cs="宋体" w:eastAsia="宋体" w:hint="default"/>
                <w:sz w:val="18"/>
                <w:szCs w:val="18"/>
              </w:rPr>
              <w:t>广东 粤科 融资 租赁 有限 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160,804,326.27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6,882,326.60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
              <w:jc w:val="center"/>
              <w:rPr>
                <w:rFonts w:ascii="宋体" w:hAnsi="宋体" w:cs="宋体" w:eastAsia="宋体" w:hint="default"/>
                <w:sz w:val="18"/>
                <w:szCs w:val="18"/>
              </w:rPr>
            </w:pPr>
            <w:r>
              <w:rPr>
                <w:rFonts w:ascii="宋体" w:hAnsi="宋体" w:cs="宋体" w:eastAsia="宋体" w:hint="default"/>
                <w:sz w:val="18"/>
                <w:szCs w:val="18"/>
              </w:rPr>
              <w:t>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160,804,326.27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6,882,326.60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160,804,326.27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6,882,326.60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167,686,652.87</w:t>
            </w: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506" w:lineRule="auto" w:before="35"/>
        <w:ind w:left="537" w:right="9383" w:hanging="424"/>
        <w:jc w:val="left"/>
        <w:rPr>
          <w:rFonts w:ascii="宋体" w:hAnsi="宋体" w:cs="宋体" w:eastAsia="宋体" w:hint="default"/>
          <w:b w:val="0"/>
          <w:bCs w:val="0"/>
        </w:rPr>
      </w:pPr>
      <w:bookmarkStart w:name="（3）其他说明" w:id="326"/>
      <w:bookmarkEnd w:id="326"/>
      <w:r>
        <w:rPr>
          <w:b w:val="0"/>
          <w:bCs w:val="0"/>
        </w:rPr>
      </w:r>
      <w:r>
        <w:rPr/>
        <w:t>（</w:t>
      </w:r>
      <w:r>
        <w:rPr>
          <w:rFonts w:ascii="Times New Roman" w:hAnsi="Times New Roman" w:cs="Times New Roman" w:eastAsia="Times New Roman" w:hint="default"/>
        </w:rPr>
        <w:t>3</w:t>
      </w:r>
      <w:r>
        <w:rPr/>
        <w:t>）其他说明</w:t>
      </w:r>
      <w:r>
        <w:rPr>
          <w:w w:val="99"/>
        </w:rPr>
        <w:t> </w:t>
      </w:r>
      <w:r>
        <w:rPr>
          <w:rFonts w:ascii="宋体" w:hAnsi="宋体" w:cs="宋体" w:eastAsia="宋体" w:hint="default"/>
          <w:b w:val="0"/>
          <w:bCs w:val="0"/>
        </w:rPr>
        <w:t>无。</w:t>
      </w:r>
    </w:p>
    <w:p>
      <w:pPr>
        <w:pStyle w:val="Heading4"/>
        <w:spacing w:line="240" w:lineRule="auto" w:before="105"/>
        <w:ind w:right="0"/>
        <w:jc w:val="left"/>
        <w:rPr>
          <w:b w:val="0"/>
          <w:bCs w:val="0"/>
        </w:rPr>
      </w:pPr>
      <w:bookmarkStart w:name="4、营业收入和营业成本" w:id="327"/>
      <w:bookmarkEnd w:id="3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16,942,024.51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15,565,577.71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50,034,173.55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45,884,866.68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769,995.24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3,901,645.31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5,370,500.06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17,712,019.75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15,565,577.71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53,935,818.86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51,255,366.74</w:t>
            </w:r>
          </w:p>
        </w:tc>
      </w:tr>
    </w:tbl>
    <w:p>
      <w:pPr>
        <w:pStyle w:val="BodyText"/>
        <w:spacing w:line="240" w:lineRule="auto" w:before="10"/>
        <w:ind w:left="537" w:right="0"/>
        <w:jc w:val="left"/>
      </w:pPr>
      <w:r>
        <w:rPr/>
        <w:t>其他说明：无</w:t>
      </w:r>
    </w:p>
    <w:p>
      <w:pPr>
        <w:spacing w:after="0" w:line="240" w:lineRule="auto"/>
        <w:jc w:val="left"/>
        <w:sectPr>
          <w:pgSz w:w="11910" w:h="16840"/>
          <w:pgMar w:header="0"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投资收益" w:id="328"/>
      <w:bookmarkEnd w:id="3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6,882,326.60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11,283,582.48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-4,201,156.75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96,168.12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处置构成业务的处置组产生的投资收益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522,892.33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1,635,995.79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8,310,257.62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878,630.03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1,514,319.80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13,894,376.42</w:t>
            </w:r>
          </w:p>
        </w:tc>
      </w:tr>
    </w:tbl>
    <w:p>
      <w:pPr>
        <w:spacing w:line="240" w:lineRule="auto" w:before="2"/>
        <w:rPr>
          <w:rFonts w:ascii="宋体" w:hAnsi="宋体" w:cs="宋体" w:eastAsia="宋体" w:hint="default"/>
          <w:sz w:val="19"/>
          <w:szCs w:val="19"/>
        </w:rPr>
      </w:pPr>
    </w:p>
    <w:p>
      <w:pPr>
        <w:spacing w:line="487" w:lineRule="auto" w:before="35"/>
        <w:ind w:left="114" w:right="8117" w:firstLine="0"/>
        <w:jc w:val="left"/>
        <w:rPr>
          <w:rFonts w:ascii="宋体" w:hAnsi="宋体" w:cs="宋体" w:eastAsia="宋体" w:hint="default"/>
          <w:sz w:val="21"/>
          <w:szCs w:val="21"/>
        </w:rPr>
      </w:pPr>
      <w:bookmarkStart w:name="6、其他：无。" w:id="329"/>
      <w:bookmarkEnd w:id="32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、其他：无。</w:t>
      </w:r>
      <w:r>
        <w:rPr>
          <w:rFonts w:ascii="宋体" w:hAnsi="宋体" w:cs="宋体" w:eastAsia="宋体" w:hint="default"/>
          <w:b/>
          <w:bCs/>
          <w:w w:val="99"/>
          <w:sz w:val="21"/>
          <w:szCs w:val="21"/>
        </w:rPr>
        <w:t> </w:t>
      </w:r>
      <w:bookmarkStart w:name="十五、补充资料" w:id="330"/>
      <w:bookmarkEnd w:id="330"/>
      <w:r>
        <w:rPr>
          <w:rFonts w:ascii="宋体" w:hAnsi="宋体" w:cs="宋体" w:eastAsia="宋体" w:hint="default"/>
          <w:b/>
          <w:bCs/>
          <w:w w:val="99"/>
          <w:sz w:val="21"/>
          <w:szCs w:val="21"/>
        </w:rPr>
      </w:r>
      <w:r>
        <w:rPr>
          <w:rFonts w:ascii="宋体" w:hAnsi="宋体" w:cs="宋体" w:eastAsia="宋体" w:hint="default"/>
          <w:b/>
          <w:bCs/>
          <w:sz w:val="24"/>
          <w:szCs w:val="24"/>
        </w:rPr>
        <w:t>十五、补充资料</w:t>
      </w:r>
      <w:r>
        <w:rPr>
          <w:rFonts w:ascii="宋体" w:hAnsi="宋体" w:cs="宋体" w:eastAsia="宋体" w:hint="default"/>
          <w:b/>
          <w:bCs/>
          <w:w w:val="99"/>
          <w:sz w:val="24"/>
          <w:szCs w:val="24"/>
        </w:rPr>
        <w:t> </w:t>
      </w:r>
      <w:bookmarkStart w:name="1、当期非经常性损益明细表" w:id="331"/>
      <w:bookmarkEnd w:id="3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pStyle w:val="BodyText"/>
        <w:spacing w:line="240" w:lineRule="auto" w:before="109"/>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32"/>
        <w:gridCol w:w="1252"/>
        <w:gridCol w:w="3186"/>
      </w:tblGrid>
      <w:tr>
        <w:trPr>
          <w:trHeight w:val="397"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9"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2,277,652.79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103" w:right="191"/>
              <w:jc w:val="left"/>
              <w:rPr>
                <w:rFonts w:ascii="宋体" w:hAnsi="宋体" w:cs="宋体" w:eastAsia="宋体" w:hint="default"/>
                <w:sz w:val="18"/>
                <w:szCs w:val="18"/>
              </w:rPr>
            </w:pPr>
            <w:r>
              <w:rPr>
                <w:rFonts w:ascii="宋体" w:hAnsi="宋体" w:cs="宋体" w:eastAsia="宋体" w:hint="default"/>
                <w:sz w:val="18"/>
                <w:szCs w:val="18"/>
              </w:rPr>
              <w:t>主要系报告期内处置部分资产产生的 收益</w:t>
            </w:r>
          </w:p>
        </w:tc>
      </w:tr>
      <w:tr>
        <w:trPr>
          <w:trHeight w:val="1338"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-2,773,251.75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主要系报告期内证券投资产生的损失</w:t>
            </w:r>
          </w:p>
        </w:tc>
      </w:tr>
      <w:tr>
        <w:trPr>
          <w:trHeight w:val="714"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 产生的损益</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159,406.73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1"/>
              <w:jc w:val="left"/>
              <w:rPr>
                <w:rFonts w:ascii="宋体" w:hAnsi="宋体" w:cs="宋体" w:eastAsia="宋体" w:hint="default"/>
                <w:sz w:val="18"/>
                <w:szCs w:val="18"/>
              </w:rPr>
            </w:pPr>
            <w:r>
              <w:rPr>
                <w:rFonts w:ascii="宋体" w:hAnsi="宋体" w:cs="宋体" w:eastAsia="宋体" w:hint="default"/>
                <w:sz w:val="18"/>
                <w:szCs w:val="18"/>
              </w:rPr>
              <w:t>主要系报告期内投资性房地产公允价 值变动收益</w:t>
            </w:r>
          </w:p>
        </w:tc>
      </w:tr>
      <w:tr>
        <w:trPr>
          <w:trHeight w:val="402"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-391,269.09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12,183,733.70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理财产品、国债逆回购收益</w:t>
            </w:r>
          </w:p>
        </w:tc>
      </w:tr>
      <w:tr>
        <w:trPr>
          <w:trHeight w:val="402"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2,864,068.10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8,592,204.28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t>□ 适用 √ 不适用</w:t>
      </w:r>
    </w:p>
    <w:p>
      <w:pPr>
        <w:spacing w:after="0" w:line="240" w:lineRule="auto"/>
        <w:jc w:val="left"/>
        <w:sectPr>
          <w:pgSz w:w="11910" w:h="16840"/>
          <w:pgMar w:header="0" w:footer="1019" w:top="1100" w:bottom="1200" w:left="102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净资产收益率及每股收益" w:id="332"/>
      <w:bookmarkEnd w:id="33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0.0118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0.0118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333"/>
      <w:bookmarkEnd w:id="33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334"/>
      <w:bookmarkEnd w:id="33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同时按照境外会计准则与按中国会计准则披露的财务报告中净利润和净资产差异情况" w:id="335"/>
      <w:bookmarkEnd w:id="33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59" w:lineRule="auto"/>
        <w:ind w:right="0"/>
        <w:jc w:val="left"/>
        <w:rPr>
          <w:b w:val="0"/>
          <w:bCs w:val="0"/>
        </w:rPr>
      </w:pPr>
      <w:bookmarkStart w:name="（3）境内外会计准则下会计数据差异原因说明，对已经境外审计机构审计的数据进行差异" w:id="336"/>
      <w:bookmarkEnd w:id="33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pPr>
      <w:r>
        <w:rPr/>
        <w:t>无。</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其他" w:id="337"/>
      <w:bookmarkEnd w:id="337"/>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pPr>
      <w:r>
        <w:rPr/>
        <w:t>无。</w:t>
      </w:r>
    </w:p>
    <w:p>
      <w:pPr>
        <w:spacing w:after="0" w:line="240" w:lineRule="auto"/>
        <w:jc w:val="left"/>
        <w:sectPr>
          <w:pgSz w:w="11910" w:h="16840"/>
          <w:pgMar w:header="0"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6" w:right="0"/>
        <w:jc w:val="left"/>
        <w:rPr>
          <w:b w:val="0"/>
          <w:bCs w:val="0"/>
        </w:rPr>
      </w:pPr>
      <w:bookmarkStart w:name="第十二节 备查文件目录" w:id="338"/>
      <w:bookmarkEnd w:id="338"/>
      <w:r>
        <w:rPr>
          <w:b w:val="0"/>
          <w:bCs w:val="0"/>
        </w:rPr>
      </w:r>
      <w:bookmarkStart w:name="_bookmark10" w:id="339"/>
      <w:bookmarkEnd w:id="33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732"/>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left="6414" w:right="0"/>
        <w:jc w:val="left"/>
      </w:pPr>
      <w:r>
        <w:rPr/>
        <w:t>广东群兴玩具股份有限公司董事会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tabs>
          <w:tab w:pos="9049" w:val="left" w:leader="none"/>
        </w:tabs>
        <w:spacing w:line="240" w:lineRule="auto"/>
        <w:ind w:left="6414"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636" w:lineRule="auto" w:before="76"/>
        <w:ind w:left="7214" w:right="1743" w:firstLine="813"/>
        <w:jc w:val="left"/>
      </w:pPr>
      <w:r>
        <w:rPr/>
        <w:t>纪晓文 二</w:t>
      </w:r>
      <w:r>
        <w:rPr>
          <w:rFonts w:ascii="Times New Roman" w:hAnsi="Times New Roman" w:cs="Times New Roman" w:eastAsia="Times New Roman" w:hint="default"/>
        </w:rPr>
        <w:t>○</w:t>
      </w:r>
      <w:r>
        <w:rPr/>
        <w:t>一九年二月二十七日</w:t>
      </w:r>
    </w:p>
    <w:p>
      <w:pPr>
        <w:spacing w:after="0" w:line="636" w:lineRule="auto"/>
        <w:jc w:val="left"/>
        <w:sectPr>
          <w:pgSz w:w="11910" w:h="16840"/>
          <w:pgMar w:header="0" w:footer="1019" w:top="1100" w:bottom="120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019" w:top="1100" w:bottom="120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019" w:top="1100" w:bottom="1200" w:left="102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019" w:top="1100" w:bottom="1200" w:left="1020" w:right="0"/>
        </w:sectPr>
      </w:pPr>
    </w:p>
    <w:p>
      <w:pPr>
        <w:spacing w:line="240" w:lineRule="auto" w:before="5"/>
        <w:rPr>
          <w:rFonts w:ascii="Times New Roman" w:hAnsi="Times New Roman" w:cs="Times New Roman" w:eastAsia="Times New Roman" w:hint="default"/>
          <w:sz w:val="17"/>
          <w:szCs w:val="17"/>
        </w:rPr>
      </w:pPr>
    </w:p>
    <w:sectPr>
      <w:pgSz w:w="11910" w:h="16840"/>
      <w:pgMar w:header="0"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7312" type="#_x0000_t75" stroked="false">
          <v:imagedata r:id="rId1" o:title=""/>
        </v:shape>
      </w:pict>
    </w:r>
    <w:r>
      <w:rPr/>
      <w:pict>
        <v:shape style="position:absolute;margin-left:55.700001pt;margin-top:793.5979pt;width:6.5pt;height:11pt;mso-position-horizontal-relative:page;mso-position-vertical-relative:page;z-index:-727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5.5pt;height:11pt;mso-position-horizontal-relative:page;mso-position-vertical-relative:page;z-index:-726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688" type="#_x0000_t75" stroked="false">
          <v:imagedata r:id="rId1" o:title=""/>
        </v:shape>
      </w:pict>
    </w:r>
    <w:r>
      <w:rPr/>
      <w:pict>
        <v:shape style="position:absolute;margin-left:54.700001pt;margin-top:779.977905pt;width:17.5pt;height:11pt;mso-position-horizontal-relative:page;mso-position-vertical-relative:page;z-index:-726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5.5pt;height:11pt;mso-position-horizontal-relative:page;mso-position-vertical-relative:page;z-index:-726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26592" type="#_x0000_t75" stroked="false">
          <v:imagedata r:id="rId1" o:title=""/>
        </v:shape>
      </w:pict>
    </w:r>
    <w:r>
      <w:rPr/>
      <w:pict>
        <v:shape style="position:absolute;margin-left:71pt;margin-top:533.37793pt;width:15.5pt;height:11pt;mso-position-horizontal-relative:page;mso-position-vertical-relative:page;z-index:-726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5.5pt;height:11pt;mso-position-horizontal-relative:page;mso-position-vertical-relative:page;z-index:-726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496" type="#_x0000_t75" stroked="false">
          <v:imagedata r:id="rId1" o:title=""/>
        </v:shape>
      </w:pict>
    </w:r>
    <w:r>
      <w:rPr/>
      <w:pict>
        <v:shape style="position:absolute;margin-left:55.700001pt;margin-top:779.977905pt;width:15.5pt;height:11pt;mso-position-horizontal-relative:page;mso-position-vertical-relative:page;z-index:-726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5.5pt;height:11pt;mso-position-horizontal-relative:page;mso-position-vertical-relative:page;z-index:-7264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5.5pt;height:11pt;mso-position-horizontal-relative:page;mso-position-vertical-relative:page;z-index:-726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400" type="#_x0000_t75" stroked="false">
          <v:imagedata r:id="rId1" o:title=""/>
        </v:shape>
      </w:pict>
    </w:r>
    <w:r>
      <w:rPr/>
      <w:pict>
        <v:shape style="position:absolute;margin-left:54.700001pt;margin-top:779.977905pt;width:17.5pt;height:11pt;mso-position-horizontal-relative:page;mso-position-vertical-relative:page;z-index:-726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7264" type="#_x0000_t75" stroked="false">
          <v:imagedata r:id="rId1" o:title=""/>
        </v:shape>
      </w:pict>
    </w:r>
    <w:r>
      <w:rPr/>
      <w:pict>
        <v:shape style="position:absolute;margin-left:54.700001pt;margin-top:779.977905pt;width:13pt;height:11pt;mso-position-horizontal-relative:page;mso-position-vertical-relative:page;z-index:-727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1pt;height:11pt;mso-position-horizontal-relative:page;mso-position-vertical-relative:page;z-index:-7270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27000" type="#_x0000_t75" stroked="false">
          <v:imagedata r:id="rId1" o:title=""/>
        </v:shape>
      </w:pict>
    </w:r>
    <w:r>
      <w:rPr/>
      <w:pict>
        <v:shape style="position:absolute;margin-left:70pt;margin-top:533.37793pt;width:13pt;height:11pt;mso-position-horizontal-relative:page;mso-position-vertical-relative:page;z-index:-726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1pt;height:11pt;mso-position-horizontal-relative:page;mso-position-vertical-relative:page;z-index:-726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904" type="#_x0000_t75" stroked="false">
          <v:imagedata r:id="rId1" o:title=""/>
        </v:shape>
      </w:pict>
    </w:r>
    <w:r>
      <w:rPr/>
      <w:pict>
        <v:shape style="position:absolute;margin-left:54.700001pt;margin-top:779.977905pt;width:13pt;height:11pt;mso-position-horizontal-relative:page;mso-position-vertical-relative:page;z-index:-726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856" type="#_x0000_t75" stroked="false">
          <v:imagedata r:id="rId1" o:title=""/>
        </v:shape>
      </w:pict>
    </w:r>
    <w:r>
      <w:rPr/>
      <w:pict>
        <v:shape style="position:absolute;margin-left:54.700001pt;margin-top:779.977905pt;width:13pt;height:11pt;mso-position-horizontal-relative:page;mso-position-vertical-relative:page;z-index:-726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808" type="#_x0000_t75" stroked="false">
          <v:imagedata r:id="rId1" o:title=""/>
        </v:shape>
      </w:pict>
    </w:r>
    <w:r>
      <w:rPr/>
      <w:pict>
        <v:shape style="position:absolute;margin-left:55.700001pt;margin-top:779.977905pt;width:15.5pt;height:11pt;mso-position-horizontal-relative:page;mso-position-vertical-relative:page;z-index:-7267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26760" type="#_x0000_t75" stroked="false">
          <v:imagedata r:id="rId1" o:title=""/>
        </v:shape>
      </w:pict>
    </w:r>
    <w:r>
      <w:rPr/>
      <w:pict>
        <v:shape style="position:absolute;margin-left:54.700001pt;margin-top:779.977905pt;width:17.5pt;height:11pt;mso-position-horizontal-relative:page;mso-position-vertical-relative:page;z-index:-726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95.5pt;height:11.5pt;mso-position-horizontal-relative:page;mso-position-vertical-relative:page;z-index:-727336"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845631pt;width:195.5pt;height:11.5pt;mso-position-horizontal-relative:page;mso-position-vertical-relative:page;z-index:-726640"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6544"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216"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192"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168"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144"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120"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700001pt;margin-top:73.496544pt;width:102.1pt;height:13.1pt;mso-position-horizontal-relative:page;mso-position-vertical-relative:page;z-index:-72709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7072"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845631pt;width:195.5pt;height:11.5pt;mso-position-horizontal-relative:page;mso-position-vertical-relative:page;z-index:-727048"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95.5pt;height:11.5pt;mso-position-horizontal-relative:page;mso-position-vertical-relative:page;z-index:-726952" type="#_x0000_t202" filled="false" stroked="false">
          <v:textbox inset="0,0,0,0">
            <w:txbxContent>
              <w:p>
                <w:pPr>
                  <w:pStyle w:val="BodyText"/>
                  <w:spacing w:line="214" w:lineRule="exact"/>
                  <w:ind w:left="20" w:right="0"/>
                  <w:jc w:val="left"/>
                </w:pPr>
                <w:r>
                  <w:rPr/>
                  <w:t>广东群兴玩具股份有限公司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4"/>
    </w:pPr>
    <w:rPr>
      <w:rFonts w:ascii="宋体" w:hAnsi="宋体" w:eastAsia="宋体"/>
      <w:b/>
      <w:bCs/>
      <w:sz w:val="24"/>
      <w:szCs w:val="24"/>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95"/>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601"/>
      <w:outlineLvl w:val="3"/>
    </w:pPr>
    <w:rPr>
      <w:rFonts w:ascii="宋体" w:hAnsi="宋体" w:eastAsia="宋体"/>
      <w:b/>
      <w:bCs/>
      <w:sz w:val="22"/>
      <w:szCs w:val="22"/>
    </w:rPr>
  </w:style>
  <w:style w:styleId="Heading4" w:type="paragraph">
    <w:name w:val="Heading 4"/>
    <w:basedOn w:val="Normal"/>
    <w:uiPriority w:val="1"/>
    <w:qFormat/>
    <w:pPr>
      <w:ind w:left="114"/>
      <w:outlineLvl w:val="4"/>
    </w:pPr>
    <w:rPr>
      <w:rFonts w:ascii="宋体" w:hAnsi="宋体" w:eastAsia="宋体"/>
      <w:b/>
      <w:bCs/>
      <w:sz w:val="21"/>
      <w:szCs w:val="21"/>
    </w:rPr>
  </w:style>
  <w:style w:styleId="Heading5" w:type="paragraph">
    <w:name w:val="Heading 5"/>
    <w:basedOn w:val="Normal"/>
    <w:uiPriority w:val="1"/>
    <w:qFormat/>
    <w:pPr>
      <w:ind w:left="537"/>
      <w:outlineLvl w:val="5"/>
    </w:pPr>
    <w:rPr>
      <w:rFonts w:ascii="宋体" w:hAnsi="宋体" w:eastAsia="宋体"/>
      <w:sz w:val="21"/>
      <w:szCs w:val="21"/>
    </w:rPr>
  </w:style>
  <w:style w:styleId="Heading6" w:type="paragraph">
    <w:name w:val="Heading 6"/>
    <w:basedOn w:val="Normal"/>
    <w:uiPriority w:val="1"/>
    <w:qFormat/>
    <w:pPr>
      <w:ind w:left="47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qunxingtoys.net/" TargetMode="External"/><Relationship Id="rId10" Type="http://schemas.openxmlformats.org/officeDocument/2006/relationships/hyperlink" Target="mailto:qx@qunxingtoys.net" TargetMode="External"/><Relationship Id="rId11" Type="http://schemas.openxmlformats.org/officeDocument/2006/relationships/hyperlink" Target="http://www.cninfo.com.cn/"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hyperlink" Target="http://www.cninfo.co/" TargetMode="External"/><Relationship Id="rId57" Type="http://schemas.openxmlformats.org/officeDocument/2006/relationships/header" Target="header6.xml"/><Relationship Id="rId58" Type="http://schemas.openxmlformats.org/officeDocument/2006/relationships/header" Target="header7.xml"/><Relationship Id="rId59" Type="http://schemas.openxmlformats.org/officeDocument/2006/relationships/header" Target="header8.xml"/><Relationship Id="rId60" Type="http://schemas.openxmlformats.org/officeDocument/2006/relationships/footer" Target="footer3.xml"/><Relationship Id="rId61" Type="http://schemas.openxmlformats.org/officeDocument/2006/relationships/image" Target="media/image1.jpeg"/><Relationship Id="rId62" Type="http://schemas.openxmlformats.org/officeDocument/2006/relationships/footer" Target="footer4.xml"/><Relationship Id="rId63" Type="http://schemas.openxmlformats.org/officeDocument/2006/relationships/header" Target="header9.xml"/><Relationship Id="rId64" Type="http://schemas.openxmlformats.org/officeDocument/2006/relationships/footer" Target="footer5.xml"/><Relationship Id="rId65" Type="http://schemas.openxmlformats.org/officeDocument/2006/relationships/footer" Target="footer6.xml"/><Relationship Id="rId66" Type="http://schemas.openxmlformats.org/officeDocument/2006/relationships/footer" Target="footer7.xml"/><Relationship Id="rId67" Type="http://schemas.openxmlformats.org/officeDocument/2006/relationships/footer" Target="footer8.xml"/><Relationship Id="rId68" Type="http://schemas.openxmlformats.org/officeDocument/2006/relationships/footer" Target="footer9.xml"/><Relationship Id="rId69" Type="http://schemas.openxmlformats.org/officeDocument/2006/relationships/header" Target="header10.xml"/><Relationship Id="rId70" Type="http://schemas.openxmlformats.org/officeDocument/2006/relationships/footer" Target="footer10.xml"/><Relationship Id="rId71" Type="http://schemas.openxmlformats.org/officeDocument/2006/relationships/footer" Target="footer11.xml"/><Relationship Id="rId72" Type="http://schemas.openxmlformats.org/officeDocument/2006/relationships/header" Target="header11.xml"/><Relationship Id="rId73" Type="http://schemas.openxmlformats.org/officeDocument/2006/relationships/footer" Target="footer12.xml"/><Relationship Id="rId74" Type="http://schemas.openxmlformats.org/officeDocument/2006/relationships/footer" Target="footer13.xml"/><Relationship Id="rId75" Type="http://schemas.openxmlformats.org/officeDocument/2006/relationships/header" Target="header12.xml"/><Relationship Id="rId76" Type="http://schemas.openxmlformats.org/officeDocument/2006/relationships/footer" Target="footer14.xml"/><Relationship Id="rId77" Type="http://schemas.openxmlformats.org/officeDocument/2006/relationships/footer" Target="footer15.xml"/><Relationship Id="rId78" Type="http://schemas.openxmlformats.org/officeDocument/2006/relationships/header" Target="header13.xml"/><Relationship Id="rId79" Type="http://schemas.openxmlformats.org/officeDocument/2006/relationships/footer" Target="footer16.xml"/><Relationship Id="rId80" Type="http://schemas.openxmlformats.org/officeDocument/2006/relationships/footer" Target="footer17.xml"/><Relationship Id="rId81"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朱小艳</dc:creator>
  <dcterms:created xsi:type="dcterms:W3CDTF">2020-05-04T18:29:56Z</dcterms:created>
  <dcterms:modified xsi:type="dcterms:W3CDTF">2020-05-04T18:29:56Z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2020-05-04T00:00:00Z</vt:filetime>
  </property>
</Properties>
</file>