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6"/>
          <w:szCs w:val="16"/>
        </w:rPr>
      </w:pPr>
    </w:p>
    <w:p>
      <w:pPr>
        <w:spacing w:line="1547" w:lineRule="exact"/>
        <w:ind w:left="330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30"/>
          <w:sz w:val="20"/>
          <w:szCs w:val="20"/>
        </w:rPr>
        <w:drawing>
          <wp:inline distT="0" distB="0" distL="0" distR="0">
            <wp:extent cx="2127997" cy="98278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2127997" cy="982789"/>
                    </a:xfrm>
                    <a:prstGeom prst="rect">
                      <a:avLst/>
                    </a:prstGeom>
                  </pic:spPr>
                </pic:pic>
              </a:graphicData>
            </a:graphic>
          </wp:inline>
        </w:drawing>
      </w:r>
      <w:r>
        <w:rPr>
          <w:rFonts w:ascii="Times New Roman" w:hAnsi="Times New Roman" w:cs="Times New Roman" w:eastAsia="Times New Roman" w:hint="default"/>
          <w:position w:val="-30"/>
          <w:sz w:val="20"/>
          <w:szCs w:val="20"/>
        </w:rPr>
      </w:r>
    </w:p>
    <w:p>
      <w:pPr>
        <w:spacing w:line="240" w:lineRule="auto" w:before="0"/>
        <w:rPr>
          <w:rFonts w:ascii="Times New Roman" w:hAnsi="Times New Roman" w:cs="Times New Roman" w:eastAsia="Times New Roman" w:hint="default"/>
          <w:sz w:val="13"/>
          <w:szCs w:val="13"/>
        </w:rPr>
      </w:pPr>
    </w:p>
    <w:p>
      <w:pPr>
        <w:spacing w:line="460" w:lineRule="exact" w:before="0"/>
        <w:ind w:left="558" w:right="1536" w:firstLine="0"/>
        <w:jc w:val="center"/>
        <w:rPr>
          <w:rFonts w:ascii="宋体" w:hAnsi="宋体" w:cs="宋体" w:eastAsia="宋体" w:hint="default"/>
          <w:sz w:val="36"/>
          <w:szCs w:val="36"/>
        </w:rPr>
      </w:pPr>
      <w:r>
        <w:rPr>
          <w:rFonts w:ascii="宋体" w:hAnsi="宋体" w:cs="宋体" w:eastAsia="宋体" w:hint="default"/>
          <w:b/>
          <w:bCs/>
          <w:sz w:val="36"/>
          <w:szCs w:val="36"/>
        </w:rPr>
        <w:t>海能达通信股份有限公司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558" w:right="153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2014</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558" w:right="153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03</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1046"/>
        <w:jc w:val="left"/>
        <w:rPr>
          <w:b w:val="0"/>
          <w:bCs w:val="0"/>
        </w:rPr>
      </w:pPr>
      <w:bookmarkStart w:name="_TOC_250011" w:id="1"/>
      <w:bookmarkStart w:name="第一节 重要提示、目录和释义" w:id="2"/>
      <w:r>
        <w:rPr>
          <w:b w:val="0"/>
          <w:bCs w:val="0"/>
        </w:rPr>
      </w:r>
      <w:r>
        <w:rPr/>
        <w:t>第一节</w:t>
      </w:r>
      <w:r>
        <w:rPr>
          <w:spacing w:val="-11"/>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本公司董事会、监事会及董事、监事、高级管理人员保证年度报告内容的</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真实、准确、完整，不存在虚假记载、误导性陈述或重大遗漏，并承担个别和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连带的法律责任。</w:t>
      </w:r>
      <w:r>
        <w:rPr>
          <w:rFonts w:ascii="宋体" w:hAnsi="宋体" w:cs="宋体" w:eastAsia="宋体" w:hint="default"/>
          <w:sz w:val="28"/>
          <w:szCs w:val="28"/>
        </w:rPr>
      </w:r>
    </w:p>
    <w:p>
      <w:pPr>
        <w:spacing w:line="472" w:lineRule="auto" w:before="162"/>
        <w:ind w:left="715" w:right="1046"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公司经本次董事会审议通过的利润分配预案为：以股权登记日在中国证券</w:t>
      </w:r>
      <w:r>
        <w:rPr>
          <w:rFonts w:ascii="宋体" w:hAnsi="宋体" w:cs="宋体" w:eastAsia="宋体" w:hint="default"/>
          <w:spacing w:val="3"/>
          <w:sz w:val="28"/>
          <w:szCs w:val="28"/>
        </w:rPr>
      </w:r>
    </w:p>
    <w:p>
      <w:pPr>
        <w:spacing w:line="374" w:lineRule="exact" w:before="0"/>
        <w:ind w:left="153" w:right="1046" w:firstLine="0"/>
        <w:jc w:val="left"/>
        <w:rPr>
          <w:rFonts w:ascii="宋体" w:hAnsi="宋体" w:cs="宋体" w:eastAsia="宋体" w:hint="default"/>
          <w:sz w:val="28"/>
          <w:szCs w:val="28"/>
        </w:rPr>
      </w:pPr>
      <w:r>
        <w:rPr>
          <w:rFonts w:ascii="宋体" w:hAnsi="宋体" w:cs="宋体" w:eastAsia="宋体" w:hint="default"/>
          <w:b/>
          <w:bCs/>
          <w:sz w:val="28"/>
          <w:szCs w:val="28"/>
        </w:rPr>
        <w:t>登记结算有限公司登记的公司总股本不超过</w:t>
      </w:r>
      <w:r>
        <w:rPr>
          <w:rFonts w:ascii="宋体" w:hAnsi="宋体" w:cs="宋体" w:eastAsia="宋体" w:hint="default"/>
          <w:b/>
          <w:bCs/>
          <w:spacing w:val="-84"/>
          <w:sz w:val="28"/>
          <w:szCs w:val="28"/>
        </w:rPr>
        <w:t> </w:t>
      </w:r>
      <w:r>
        <w:rPr>
          <w:rFonts w:ascii="Times New Roman" w:hAnsi="Times New Roman" w:cs="Times New Roman" w:eastAsia="Times New Roman" w:hint="default"/>
          <w:b/>
          <w:bCs/>
          <w:sz w:val="28"/>
          <w:szCs w:val="28"/>
        </w:rPr>
        <w:t>698,899,250</w:t>
      </w:r>
      <w:r>
        <w:rPr>
          <w:rFonts w:ascii="Times New Roman" w:hAnsi="Times New Roman" w:cs="Times New Roman" w:eastAsia="Times New Roman" w:hint="default"/>
          <w:b/>
          <w:bCs/>
          <w:spacing w:val="-14"/>
          <w:sz w:val="28"/>
          <w:szCs w:val="28"/>
        </w:rPr>
        <w:t> </w:t>
      </w:r>
      <w:r>
        <w:rPr>
          <w:rFonts w:ascii="宋体" w:hAnsi="宋体" w:cs="宋体" w:eastAsia="宋体" w:hint="default"/>
          <w:b/>
          <w:bCs/>
          <w:spacing w:val="-5"/>
          <w:sz w:val="28"/>
          <w:szCs w:val="28"/>
        </w:rPr>
        <w:t>股为基数，向全体股东</w:t>
      </w:r>
      <w:r>
        <w:rPr>
          <w:rFonts w:ascii="宋体" w:hAnsi="宋体" w:cs="宋体" w:eastAsia="宋体" w:hint="default"/>
          <w:spacing w:val="-5"/>
          <w:sz w:val="28"/>
          <w:szCs w:val="28"/>
        </w:rPr>
      </w:r>
    </w:p>
    <w:p>
      <w:pPr>
        <w:spacing w:line="386" w:lineRule="auto" w:before="236"/>
        <w:ind w:left="153" w:right="1046" w:firstLine="0"/>
        <w:jc w:val="left"/>
        <w:rPr>
          <w:rFonts w:ascii="宋体" w:hAnsi="宋体" w:cs="宋体" w:eastAsia="宋体" w:hint="default"/>
          <w:sz w:val="28"/>
          <w:szCs w:val="28"/>
        </w:rPr>
      </w:pPr>
      <w:r>
        <w:rPr>
          <w:rFonts w:ascii="宋体" w:hAnsi="宋体" w:cs="宋体" w:eastAsia="宋体" w:hint="default"/>
          <w:b/>
          <w:bCs/>
          <w:w w:val="99"/>
          <w:sz w:val="28"/>
          <w:szCs w:val="28"/>
        </w:rPr>
        <w:t>每</w:t>
      </w:r>
      <w:r>
        <w:rPr>
          <w:rFonts w:ascii="宋体" w:hAnsi="宋体" w:cs="宋体" w:eastAsia="宋体" w:hint="default"/>
          <w:b/>
          <w:bCs/>
          <w:spacing w:val="-66"/>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0.20</w:t>
      </w:r>
      <w:r>
        <w:rPr>
          <w:rFonts w:ascii="Times New Roman" w:hAnsi="Times New Roman" w:cs="Times New Roman" w:eastAsia="Times New Roman" w:hint="default"/>
          <w:b/>
          <w:bCs/>
          <w:spacing w:val="3"/>
          <w:w w:val="99"/>
          <w:sz w:val="28"/>
          <w:szCs w:val="28"/>
        </w:rPr>
        <w:t> </w:t>
      </w:r>
      <w:r>
        <w:rPr>
          <w:rFonts w:ascii="宋体" w:hAnsi="宋体" w:cs="宋体" w:eastAsia="宋体" w:hint="default"/>
          <w:b/>
          <w:bCs/>
          <w:spacing w:val="-23"/>
          <w:w w:val="99"/>
          <w:sz w:val="28"/>
          <w:szCs w:val="28"/>
        </w:rPr>
        <w:t>元（含税），送红股</w:t>
      </w:r>
      <w:r>
        <w:rPr>
          <w:rFonts w:ascii="宋体" w:hAnsi="宋体" w:cs="宋体" w:eastAsia="宋体" w:hint="default"/>
          <w:b/>
          <w:bCs/>
          <w:spacing w:val="-64"/>
          <w:w w:val="9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4"/>
          <w:w w:val="99"/>
          <w:sz w:val="28"/>
          <w:szCs w:val="28"/>
        </w:rPr>
        <w:t> </w:t>
      </w:r>
      <w:r>
        <w:rPr>
          <w:rFonts w:ascii="宋体" w:hAnsi="宋体" w:cs="宋体" w:eastAsia="宋体" w:hint="default"/>
          <w:b/>
          <w:bCs/>
          <w:spacing w:val="-15"/>
          <w:w w:val="99"/>
          <w:sz w:val="28"/>
          <w:szCs w:val="28"/>
        </w:rPr>
        <w:t>股（含税），不以公积金转增股</w:t>
      </w:r>
      <w:r>
        <w:rPr>
          <w:rFonts w:ascii="宋体" w:hAnsi="宋体" w:cs="宋体" w:eastAsia="宋体" w:hint="default"/>
          <w:b/>
          <w:bCs/>
          <w:w w:val="99"/>
          <w:sz w:val="28"/>
          <w:szCs w:val="28"/>
        </w:rPr>
        <w:t> </w:t>
      </w:r>
      <w:r>
        <w:rPr>
          <w:rFonts w:ascii="宋体" w:hAnsi="宋体" w:cs="宋体" w:eastAsia="宋体" w:hint="default"/>
          <w:b/>
          <w:bCs/>
          <w:sz w:val="28"/>
          <w:szCs w:val="28"/>
        </w:rPr>
        <w:t>本。</w:t>
      </w:r>
      <w:r>
        <w:rPr>
          <w:rFonts w:ascii="宋体" w:hAnsi="宋体" w:cs="宋体" w:eastAsia="宋体" w:hint="default"/>
          <w:sz w:val="28"/>
          <w:szCs w:val="28"/>
        </w:rPr>
      </w:r>
    </w:p>
    <w:p>
      <w:pPr>
        <w:spacing w:line="386" w:lineRule="auto" w:before="185"/>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公司负责人陈清州、主管会计工作负责人张钜及会计机构负责人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张钜声明：保证年度报告中财务报告的真实、准确、完整。</w:t>
      </w:r>
      <w:r>
        <w:rPr>
          <w:rFonts w:ascii="宋体" w:hAnsi="宋体" w:cs="宋体" w:eastAsia="宋体" w:hint="default"/>
          <w:sz w:val="28"/>
          <w:szCs w:val="28"/>
        </w:rPr>
      </w:r>
    </w:p>
    <w:p>
      <w:pPr>
        <w:spacing w:after="0" w:line="386" w:lineRule="auto"/>
        <w:jc w:val="both"/>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558" w:right="1534"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
        <w:rPr>
          <w:rFonts w:ascii="宋体" w:hAnsi="宋体" w:cs="宋体" w:eastAsia="宋体" w:hint="default"/>
          <w:b/>
          <w:bCs/>
          <w:sz w:val="42"/>
          <w:szCs w:val="42"/>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b w:val="0"/>
              <w:bCs w:val="0"/>
            </w:rPr>
          </w:pPr>
          <w:r>
            <w:rPr>
              <w:rFonts w:ascii="Times New Roman" w:hAnsi="Times New Roman" w:cs="Times New Roman" w:eastAsia="Times New Roman" w:hint="default"/>
            </w:rPr>
            <w:t>2014</w:t>
          </w:r>
          <w:r>
            <w:rPr>
              <w:rFonts w:ascii="Times New Roman" w:hAnsi="Times New Roman" w:cs="Times New Roman" w:eastAsia="Times New Roman" w:hint="default"/>
              <w:spacing w:val="-8"/>
            </w:rPr>
            <w:t> </w:t>
          </w:r>
          <w:r>
            <w:rPr/>
            <w:t>年度报告</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1">
            <w:r>
              <w:rPr/>
              <w:t>第一节</w:t>
            </w:r>
            <w:r>
              <w:rPr>
                <w:spacing w:val="-19"/>
              </w:rPr>
              <w:t> </w:t>
            </w:r>
            <w:r>
              <w:rPr/>
              <w:t>重要提示、目录和释义</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10">
            <w:r>
              <w:rPr/>
              <w:t>第二节</w:t>
            </w:r>
            <w:r>
              <w:rPr>
                <w:spacing w:val="-19"/>
              </w:rPr>
              <w:t> </w:t>
            </w:r>
            <w:r>
              <w:rPr/>
              <w:t>公司简介</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9">
            <w:r>
              <w:rPr/>
              <w:t>第三节</w:t>
            </w:r>
            <w:r>
              <w:rPr>
                <w:spacing w:val="-19"/>
              </w:rPr>
              <w:t> </w:t>
            </w:r>
            <w:r>
              <w:rPr/>
              <w:t>会计数据和财务指标摘要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8">
            <w:r>
              <w:rPr/>
              <w:t>第四节</w:t>
            </w:r>
            <w:r>
              <w:rPr>
                <w:spacing w:val="-19"/>
              </w:rPr>
              <w:t> </w:t>
            </w:r>
            <w:r>
              <w:rPr/>
              <w:t>董事会报告</w:t>
            </w:r>
            <w:r>
              <w:rPr>
                <w:rFonts w:ascii="Times New Roman" w:hAnsi="Times New Roman" w:cs="Times New Roman" w:eastAsia="Times New Roman" w:hint="default"/>
              </w:rPr>
              <w:tab/>
              <w:t>46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7">
            <w:r>
              <w:rPr/>
              <w:t>第五节</w:t>
            </w:r>
            <w:r>
              <w:rPr>
                <w:spacing w:val="-19"/>
              </w:rPr>
              <w:t> </w:t>
            </w:r>
            <w:r>
              <w:rPr/>
              <w:t>重要事项</w:t>
            </w:r>
            <w:r>
              <w:rPr>
                <w:rFonts w:ascii="Times New Roman" w:hAnsi="Times New Roman" w:cs="Times New Roman" w:eastAsia="Times New Roman" w:hint="default"/>
              </w:rPr>
              <w:tab/>
              <w:t>64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6">
            <w:r>
              <w:rPr/>
              <w:t>第六节</w:t>
            </w:r>
            <w:r>
              <w:rPr>
                <w:spacing w:val="-19"/>
              </w:rPr>
              <w:t> </w:t>
            </w:r>
            <w:r>
              <w:rPr/>
              <w:t>股份变动及股东情况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before="160"/>
            <w:ind w:right="0"/>
            <w:jc w:val="left"/>
            <w:rPr>
              <w:rFonts w:ascii="Times New Roman" w:hAnsi="Times New Roman" w:cs="Times New Roman" w:eastAsia="Times New Roman" w:hint="default"/>
              <w:b w:val="0"/>
              <w:bCs w:val="0"/>
            </w:rPr>
          </w:pPr>
          <w:hyperlink w:history="true" w:anchor="_TOC_250005">
            <w:r>
              <w:rPr/>
              <w:t>第七节</w:t>
            </w:r>
            <w:r>
              <w:rPr>
                <w:spacing w:val="-19"/>
              </w:rPr>
              <w:t> </w:t>
            </w:r>
            <w:r>
              <w:rPr/>
              <w:t>优先股相关情况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4">
            <w:r>
              <w:rPr/>
              <w:t>第八节</w:t>
            </w:r>
            <w:r>
              <w:rPr>
                <w:spacing w:val="-19"/>
              </w:rPr>
              <w:t> </w:t>
            </w:r>
            <w:r>
              <w:rPr/>
              <w:t>董事、监事、高级管理人员和员工情况</w:t>
            </w:r>
            <w:r>
              <w:rPr>
                <w:rFonts w:ascii="Times New Roman" w:hAnsi="Times New Roman" w:cs="Times New Roman" w:eastAsia="Times New Roman" w:hint="default"/>
              </w:rPr>
              <w:tab/>
              <w:t>71</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3">
            <w:r>
              <w:rPr/>
              <w:t>第九节</w:t>
            </w:r>
            <w:r>
              <w:rPr>
                <w:spacing w:val="-19"/>
              </w:rPr>
              <w:t> </w:t>
            </w:r>
            <w:r>
              <w:rPr/>
              <w:t>公司治理</w:t>
            </w:r>
            <w:r>
              <w:rPr>
                <w:rFonts w:ascii="Times New Roman" w:hAnsi="Times New Roman" w:cs="Times New Roman" w:eastAsia="Times New Roman" w:hint="default"/>
              </w:rPr>
              <w:tab/>
              <w:t>79</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2">
            <w:r>
              <w:rPr/>
              <w:t>第十节</w:t>
            </w:r>
            <w:r>
              <w:rPr>
                <w:spacing w:val="-19"/>
              </w:rPr>
              <w:t> </w:t>
            </w:r>
            <w:r>
              <w:rPr/>
              <w:t>内部控制</w:t>
            </w:r>
            <w:r>
              <w:rPr>
                <w:rFonts w:ascii="Times New Roman" w:hAnsi="Times New Roman" w:cs="Times New Roman" w:eastAsia="Times New Roman" w:hint="default"/>
              </w:rPr>
              <w:tab/>
              <w:t>86</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1">
            <w:r>
              <w:rPr/>
              <w:t>第十一节</w:t>
            </w:r>
            <w:r>
              <w:rPr>
                <w:spacing w:val="-19"/>
              </w:rPr>
              <w:t> </w:t>
            </w:r>
            <w:r>
              <w:rPr/>
              <w:t>财务报告</w:t>
            </w:r>
            <w:r>
              <w:rPr>
                <w:rFonts w:ascii="Times New Roman" w:hAnsi="Times New Roman" w:cs="Times New Roman" w:eastAsia="Times New Roman" w:hint="default"/>
              </w:rPr>
              <w:tab/>
              <w:t>94</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TOC_250000">
            <w:r>
              <w:rPr/>
              <w:t>第十二节</w:t>
            </w:r>
            <w:r>
              <w:rPr>
                <w:spacing w:val="-20"/>
              </w:rPr>
              <w:t> </w:t>
            </w:r>
            <w:r>
              <w:rPr/>
              <w:t>备查文件目录</w:t>
            </w:r>
            <w:r>
              <w:rPr>
                <w:rFonts w:ascii="Times New Roman" w:hAnsi="Times New Roman" w:cs="Times New Roman" w:eastAsia="Times New Roman" w:hint="default"/>
              </w:rPr>
              <w:tab/>
              <w:t>212</w:t>
            </w:r>
            <w:r>
              <w:rPr>
                <w:rFonts w:ascii="Times New Roman" w:hAnsi="Times New Roman" w:cs="Times New Roman" w:eastAsia="Times New Roman" w:hint="default"/>
                <w:b w:val="0"/>
                <w:bCs w:val="0"/>
              </w:rPr>
            </w:r>
          </w:hyperlink>
        </w:p>
      </w:sdtContent>
    </w:sdt>
    <w:p>
      <w:pPr>
        <w:spacing w:after="0" w:line="240" w:lineRule="auto"/>
        <w:jc w:val="left"/>
        <w:rPr>
          <w:rFonts w:ascii="Times New Roman" w:hAnsi="Times New Roman" w:cs="Times New Roman" w:eastAsia="Times New Roman" w:hint="default"/>
        </w:rPr>
        <w:sectPr>
          <w:pgSz w:w="11910" w:h="16840"/>
          <w:pgMar w:header="747" w:footer="979" w:top="1060" w:bottom="1160" w:left="980" w:right="0"/>
        </w:sectPr>
      </w:pPr>
    </w:p>
    <w:p>
      <w:pPr>
        <w:spacing w:before="646"/>
        <w:ind w:left="558" w:right="1535" w:firstLine="0"/>
        <w:jc w:val="center"/>
        <w:rPr>
          <w:rFonts w:ascii="宋体" w:hAnsi="宋体" w:cs="宋体" w:eastAsia="宋体" w:hint="default"/>
          <w:sz w:val="32"/>
          <w:szCs w:val="32"/>
        </w:rPr>
      </w:pPr>
      <w:r>
        <w:rPr>
          <w:rFonts w:ascii="宋体" w:hAnsi="宋体" w:cs="宋体" w:eastAsia="宋体" w:hint="default"/>
          <w:b/>
          <w:bCs/>
          <w:sz w:val="32"/>
          <w:szCs w:val="32"/>
        </w:rPr>
        <w:t>重大风险提示</w:t>
      </w:r>
      <w:r>
        <w:rPr>
          <w:rFonts w:ascii="宋体" w:hAnsi="宋体" w:cs="宋体" w:eastAsia="宋体" w:hint="default"/>
          <w:sz w:val="32"/>
          <w:szCs w:val="32"/>
        </w:rPr>
      </w:r>
    </w:p>
    <w:p>
      <w:pPr>
        <w:spacing w:line="400" w:lineRule="auto" w:before="337"/>
        <w:ind w:left="153" w:right="1079" w:firstLine="562"/>
        <w:jc w:val="both"/>
        <w:rPr>
          <w:rFonts w:ascii="宋体" w:hAnsi="宋体" w:cs="宋体" w:eastAsia="宋体" w:hint="default"/>
          <w:sz w:val="28"/>
          <w:szCs w:val="28"/>
        </w:rPr>
      </w:pPr>
      <w:r>
        <w:rPr>
          <w:rFonts w:ascii="宋体" w:hAnsi="宋体" w:cs="宋体" w:eastAsia="宋体" w:hint="default"/>
          <w:b/>
          <w:bCs/>
          <w:spacing w:val="3"/>
          <w:sz w:val="28"/>
          <w:szCs w:val="28"/>
        </w:rPr>
        <w:t>本公司敬请投资者认真阅读本年度报告全文，并特别注意下列风险因素：</w:t>
      </w:r>
      <w:r>
        <w:rPr>
          <w:rFonts w:ascii="宋体" w:hAnsi="宋体" w:cs="宋体" w:eastAsia="宋体" w:hint="default"/>
          <w:b/>
          <w:bCs/>
          <w:w w:val="99"/>
          <w:sz w:val="28"/>
          <w:szCs w:val="28"/>
        </w:rPr>
        <w:t> </w:t>
      </w:r>
      <w:r>
        <w:rPr>
          <w:rFonts w:ascii="宋体" w:hAnsi="宋体" w:cs="宋体" w:eastAsia="宋体" w:hint="default"/>
          <w:b/>
          <w:bCs/>
          <w:sz w:val="28"/>
          <w:szCs w:val="28"/>
        </w:rPr>
        <w:t>专业无线通信行业竞争加剧的风险、国内公安</w:t>
      </w:r>
      <w:r>
        <w:rPr>
          <w:rFonts w:ascii="宋体" w:hAnsi="宋体" w:cs="宋体" w:eastAsia="宋体" w:hint="default"/>
          <w:b/>
          <w:bCs/>
          <w:spacing w:val="-78"/>
          <w:sz w:val="28"/>
          <w:szCs w:val="28"/>
        </w:rPr>
        <w:t> </w:t>
      </w:r>
      <w:r>
        <w:rPr>
          <w:rFonts w:ascii="Times New Roman" w:hAnsi="Times New Roman" w:cs="Times New Roman" w:eastAsia="Times New Roman" w:hint="default"/>
          <w:b/>
          <w:bCs/>
          <w:sz w:val="28"/>
          <w:szCs w:val="28"/>
        </w:rPr>
        <w:t>PDT</w:t>
      </w:r>
      <w:r>
        <w:rPr>
          <w:rFonts w:ascii="Times New Roman" w:hAnsi="Times New Roman" w:cs="Times New Roman" w:eastAsia="Times New Roman" w:hint="default"/>
          <w:b/>
          <w:bCs/>
          <w:spacing w:val="-14"/>
          <w:sz w:val="28"/>
          <w:szCs w:val="28"/>
        </w:rPr>
        <w:t> </w:t>
      </w:r>
      <w:r>
        <w:rPr>
          <w:rFonts w:ascii="宋体" w:hAnsi="宋体" w:cs="宋体" w:eastAsia="宋体" w:hint="default"/>
          <w:b/>
          <w:bCs/>
          <w:sz w:val="28"/>
          <w:szCs w:val="28"/>
        </w:rPr>
        <w:t>集群网络建设延迟的风险、</w:t>
      </w:r>
      <w:r>
        <w:rPr>
          <w:rFonts w:ascii="宋体" w:hAnsi="宋体" w:cs="宋体" w:eastAsia="宋体" w:hint="default"/>
          <w:b/>
          <w:bCs/>
          <w:w w:val="99"/>
          <w:sz w:val="28"/>
          <w:szCs w:val="28"/>
        </w:rPr>
        <w:t> </w:t>
      </w:r>
      <w:r>
        <w:rPr>
          <w:rFonts w:ascii="宋体" w:hAnsi="宋体" w:cs="宋体" w:eastAsia="宋体" w:hint="default"/>
          <w:b/>
          <w:bCs/>
          <w:spacing w:val="3"/>
          <w:sz w:val="28"/>
          <w:szCs w:val="28"/>
        </w:rPr>
        <w:t>成本和费用较高的风险、规模扩张带来的管理风险、国际化经营的风险、人民</w:t>
      </w:r>
      <w:r>
        <w:rPr>
          <w:rFonts w:ascii="宋体" w:hAnsi="宋体" w:cs="宋体" w:eastAsia="宋体" w:hint="default"/>
          <w:b/>
          <w:bCs/>
          <w:w w:val="99"/>
          <w:sz w:val="28"/>
          <w:szCs w:val="28"/>
        </w:rPr>
        <w:t> </w:t>
      </w:r>
      <w:r>
        <w:rPr>
          <w:rFonts w:ascii="宋体" w:hAnsi="宋体" w:cs="宋体" w:eastAsia="宋体" w:hint="default"/>
          <w:b/>
          <w:bCs/>
          <w:spacing w:val="3"/>
          <w:sz w:val="28"/>
          <w:szCs w:val="28"/>
        </w:rPr>
        <w:t>币汇率波动的风险、知识产权遭受侵害的风险、人力资源的风险，有关风险因</w:t>
      </w:r>
      <w:r>
        <w:rPr>
          <w:rFonts w:ascii="宋体" w:hAnsi="宋体" w:cs="宋体" w:eastAsia="宋体" w:hint="default"/>
          <w:b/>
          <w:bCs/>
          <w:w w:val="99"/>
          <w:sz w:val="28"/>
          <w:szCs w:val="28"/>
        </w:rPr>
        <w:t> </w:t>
      </w:r>
      <w:r>
        <w:rPr>
          <w:rFonts w:ascii="宋体" w:hAnsi="宋体" w:cs="宋体" w:eastAsia="宋体" w:hint="default"/>
          <w:b/>
          <w:bCs/>
          <w:spacing w:val="7"/>
          <w:sz w:val="28"/>
          <w:szCs w:val="28"/>
        </w:rPr>
        <w:t>素内容在本报告中第四节</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董事会报告</w:t>
      </w:r>
      <w:r>
        <w:rPr>
          <w:rFonts w:ascii="宋体" w:hAnsi="宋体" w:cs="宋体" w:eastAsia="宋体" w:hint="default"/>
          <w:b/>
          <w:bCs/>
          <w:spacing w:val="-11"/>
          <w:sz w:val="28"/>
          <w:szCs w:val="28"/>
        </w:rPr>
        <w:t> </w:t>
      </w:r>
      <w:r>
        <w:rPr>
          <w:rFonts w:ascii="宋体" w:hAnsi="宋体" w:cs="宋体" w:eastAsia="宋体" w:hint="default"/>
          <w:b/>
          <w:bCs/>
          <w:spacing w:val="7"/>
          <w:sz w:val="28"/>
          <w:szCs w:val="28"/>
        </w:rPr>
        <w:t>八、公司未来发展的展望</w:t>
      </w:r>
      <w:r>
        <w:rPr>
          <w:rFonts w:ascii="Times New Roman" w:hAnsi="Times New Roman" w:cs="Times New Roman" w:eastAsia="Times New Roman" w:hint="default"/>
          <w:b/>
          <w:bCs/>
          <w:spacing w:val="7"/>
          <w:sz w:val="28"/>
          <w:szCs w:val="28"/>
        </w:rPr>
        <w:t>”</w:t>
      </w:r>
      <w:r>
        <w:rPr>
          <w:rFonts w:ascii="宋体" w:hAnsi="宋体" w:cs="宋体" w:eastAsia="宋体" w:hint="default"/>
          <w:b/>
          <w:bCs/>
          <w:spacing w:val="7"/>
          <w:sz w:val="28"/>
          <w:szCs w:val="28"/>
        </w:rPr>
        <w:t>部分予以描</w:t>
      </w:r>
      <w:r>
        <w:rPr>
          <w:rFonts w:ascii="宋体" w:hAnsi="宋体" w:cs="宋体" w:eastAsia="宋体" w:hint="default"/>
          <w:b/>
          <w:bCs/>
          <w:w w:val="99"/>
          <w:sz w:val="28"/>
          <w:szCs w:val="28"/>
        </w:rPr>
        <w:t> </w:t>
      </w:r>
      <w:r>
        <w:rPr>
          <w:rFonts w:ascii="宋体" w:hAnsi="宋体" w:cs="宋体" w:eastAsia="宋体" w:hint="default"/>
          <w:b/>
          <w:bCs/>
          <w:sz w:val="28"/>
          <w:szCs w:val="28"/>
        </w:rPr>
        <w:t>述。敬请广大投资者注意投资风险。</w:t>
      </w:r>
      <w:r>
        <w:rPr>
          <w:rFonts w:ascii="宋体" w:hAnsi="宋体" w:cs="宋体" w:eastAsia="宋体" w:hint="default"/>
          <w:sz w:val="28"/>
          <w:szCs w:val="28"/>
        </w:rPr>
      </w:r>
    </w:p>
    <w:p>
      <w:pPr>
        <w:spacing w:after="0" w:line="400" w:lineRule="auto"/>
        <w:jc w:val="both"/>
        <w:rPr>
          <w:rFonts w:ascii="宋体" w:hAnsi="宋体" w:cs="宋体" w:eastAsia="宋体" w:hint="default"/>
          <w:sz w:val="28"/>
          <w:szCs w:val="28"/>
        </w:rPr>
        <w:sectPr>
          <w:pgSz w:w="11910" w:h="16840"/>
          <w:pgMar w:header="747" w:footer="979" w:top="1060" w:bottom="1160" w:left="980" w:right="0"/>
        </w:sectPr>
      </w:pPr>
    </w:p>
    <w:p>
      <w:pPr>
        <w:pStyle w:val="Heading1"/>
        <w:spacing w:line="240" w:lineRule="auto" w:before="730"/>
        <w:ind w:right="1536"/>
        <w:jc w:val="center"/>
        <w:rPr>
          <w:b w:val="0"/>
          <w:bCs w:val="0"/>
        </w:rPr>
      </w:pPr>
      <w:r>
        <w:rPr/>
        <w:pict>
          <v:group style="position:absolute;margin-left:172.339996pt;margin-top:269.779968pt;width:361.5pt;height:19.6pt;mso-position-horizontal-relative:page;mso-position-vertical-relative:page;z-index:-1064968" coordorigin="3447,5396" coordsize="7230,392">
            <v:shape style="position:absolute;left:3447;top:5396;width:7230;height:392" coordorigin="3447,5396" coordsize="7230,392" path="m3447,5787l10676,5787,10676,5396,3447,5396,3447,5787xe" filled="true" fillcolor="#ffffff" stroked="false">
              <v:path arrowok="t"/>
              <v:fill type="solid"/>
            </v:shape>
            <w10:wrap type="none"/>
          </v:group>
        </w:pict>
      </w:r>
      <w:bookmarkStart w:name="_TOC_250010" w:id="3"/>
      <w:bookmarkStart w:name="第二节 公司简介" w:id="4"/>
      <w:r>
        <w:rPr>
          <w:b w:val="0"/>
          <w:bCs w:val="0"/>
        </w:rPr>
      </w:r>
      <w:r>
        <w:rPr/>
        <w:t>第二节</w:t>
      </w:r>
      <w:r>
        <w:rPr>
          <w:spacing w:val="-5"/>
        </w:rPr>
        <w:t> </w:t>
      </w:r>
      <w:r>
        <w:rPr/>
        <w:t>公司简介</w:t>
      </w:r>
      <w:bookmarkEnd w:id="3"/>
      <w:r>
        <w:rPr>
          <w:b w:val="0"/>
          <w:bCs w:val="0"/>
        </w:rPr>
      </w:r>
    </w:p>
    <w:p>
      <w:pPr>
        <w:pStyle w:val="Heading2"/>
        <w:spacing w:line="240" w:lineRule="auto" w:before="509"/>
        <w:ind w:right="1046"/>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76"/>
        <w:gridCol w:w="2133"/>
        <w:gridCol w:w="2188"/>
      </w:tblGrid>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6"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海能达</w:t>
            </w:r>
          </w:p>
        </w:tc>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002583</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海能达通信股份有限公司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海能达</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Hytera Communications Corporation</w:t>
            </w:r>
            <w:r>
              <w:rPr>
                <w:rFonts w:ascii="Times New Roman"/>
                <w:spacing w:val="-6"/>
                <w:sz w:val="18"/>
              </w:rPr>
              <w:t> </w:t>
            </w:r>
            <w:r>
              <w:rPr>
                <w:rFonts w:ascii="Times New Roman"/>
                <w:sz w:val="18"/>
              </w:rPr>
              <w:t>Limited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Hytera</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陈清州</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号海能达大厦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号海能达大厦</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http://www.hytera.com</w:t>
              </w:r>
            </w:hyperlink>
          </w:p>
        </w:tc>
      </w:tr>
      <w:tr>
        <w:trPr>
          <w:trHeight w:val="404"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r>
    </w:tbl>
    <w:p>
      <w:pPr>
        <w:spacing w:line="240" w:lineRule="auto" w:before="2"/>
        <w:rPr>
          <w:rFonts w:ascii="宋体" w:hAnsi="宋体" w:cs="宋体" w:eastAsia="宋体" w:hint="default"/>
          <w:b/>
          <w:bCs/>
          <w:sz w:val="20"/>
          <w:szCs w:val="20"/>
        </w:rPr>
      </w:pPr>
    </w:p>
    <w:p>
      <w:pPr>
        <w:pStyle w:val="Heading2"/>
        <w:spacing w:line="240" w:lineRule="auto"/>
        <w:ind w:left="154" w:right="1046"/>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田智勇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海能达大厦</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深圳市南山区高新区北区北环路</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9108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号 海能达大厦</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0755-26972999-1170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0755-26972999-1247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0755-86137042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0755-86137042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stock@hytera.com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46"/>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《上海证券报</w:t>
            </w:r>
            <w:r>
              <w:rPr>
                <w:rFonts w:ascii="宋体" w:hAnsi="宋体" w:cs="宋体" w:eastAsia="宋体" w:hint="default"/>
                <w:spacing w:val="-90"/>
                <w:sz w:val="18"/>
                <w:szCs w:val="18"/>
              </w:rPr>
              <w:t>》、</w:t>
            </w: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1046"/>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4"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深圳市工商行政管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27942218-9</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440301279422189</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27942218-9</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vMerge w:val="restart"/>
            <w:tcBorders>
              <w:top w:val="single" w:sz="4" w:space="0" w:color="000000"/>
              <w:left w:val="single" w:sz="4" w:space="0" w:color="000000"/>
              <w:right w:val="single" w:sz="4" w:space="0" w:color="000000"/>
            </w:tcBorders>
          </w:tcPr>
          <w:p>
            <w:pPr>
              <w:pStyle w:val="TableParagraph"/>
              <w:spacing w:line="319"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440301103177938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440301279422189</w:t>
            </w:r>
          </w:p>
        </w:tc>
        <w:tc>
          <w:tcPr>
            <w:tcW w:w="15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27942218-9</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594" w:type="dxa"/>
            <w:vMerge/>
            <w:tcBorders>
              <w:left w:val="single" w:sz="9" w:space="0" w:color="D2D2D2"/>
              <w:right w:val="single" w:sz="4" w:space="0" w:color="000000"/>
            </w:tcBorders>
          </w:tcPr>
          <w:p>
            <w:pPr/>
          </w:p>
        </w:tc>
        <w:tc>
          <w:tcPr>
            <w:tcW w:w="1595"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5" w:type="dxa"/>
            <w:vMerge/>
            <w:tcBorders>
              <w:left w:val="single" w:sz="4" w:space="0" w:color="000000"/>
              <w:right w:val="single" w:sz="4" w:space="0" w:color="000000"/>
            </w:tcBorders>
          </w:tcPr>
          <w:p>
            <w:pP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5" w:type="dxa"/>
            <w:vMerge/>
            <w:tcBorders>
              <w:left w:val="single" w:sz="4" w:space="0" w:color="000000"/>
              <w:bottom w:val="single" w:sz="4" w:space="0" w:color="000000"/>
              <w:right w:val="single" w:sz="4" w:space="0" w:color="000000"/>
            </w:tcBorders>
          </w:tcPr>
          <w:p>
            <w:pPr/>
          </w:p>
        </w:tc>
      </w:tr>
      <w:tr>
        <w:trPr>
          <w:trHeight w:val="714"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46"/>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桑涛、徐凌</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1046"/>
        <w:jc w:val="left"/>
        <w:rPr>
          <w:b w:val="0"/>
          <w:bCs w:val="0"/>
        </w:rPr>
      </w:pPr>
      <w:bookmarkStart w:name="_TOC_250009" w:id="10"/>
      <w:bookmarkStart w:name="第三节 会计数据和财务指标摘要" w:id="11"/>
      <w:r>
        <w:rPr>
          <w:b w:val="0"/>
          <w:bCs w:val="0"/>
        </w:rPr>
      </w:r>
      <w:r>
        <w:rPr/>
        <w:t>第三节</w:t>
      </w:r>
      <w:r>
        <w:rPr>
          <w:spacing w:val="-11"/>
        </w:rPr>
        <w:t> </w:t>
      </w:r>
      <w:r>
        <w:rPr/>
        <w:t>会计数据和财务指标摘要</w:t>
      </w:r>
      <w:bookmarkEnd w:id="1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46"/>
        <w:jc w:val="left"/>
        <w:rPr>
          <w:b w:val="0"/>
          <w:bCs w:val="0"/>
        </w:rPr>
      </w:pPr>
      <w:bookmarkStart w:name="一、主要会计数据和财务指标" w:id="12"/>
      <w:bookmarkEnd w:id="12"/>
      <w:r>
        <w:rPr>
          <w:b w:val="0"/>
          <w:bCs w:val="0"/>
        </w:rPr>
      </w:r>
      <w:r>
        <w:rPr/>
        <w:t>一、主要会计数据和财务指标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1,949,382,593.36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1,683,395,409.81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1,135,373,277.92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43,265,565.47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135,071,189.78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-67.97%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33,327,669.82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10,031,979.05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103,469,029.13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-90.30%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6,283,230.62</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116,038,070.02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76,601,817.57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-37,570,882.98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-87.76%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3,641,732,358.69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3,423,004,384.60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2,547,032,354.19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2,003,353,985.21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1,977,922,032.97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1,857,286,572.84</w:t>
            </w:r>
          </w:p>
        </w:tc>
      </w:tr>
    </w:tbl>
    <w:p>
      <w:pPr>
        <w:spacing w:line="319" w:lineRule="auto" w:before="51"/>
        <w:ind w:left="154" w:right="1046"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56"/>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524"/>
        <w:gridCol w:w="5045"/>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0.0621</w:t>
            </w:r>
          </w:p>
        </w:tc>
      </w:tr>
    </w:tbl>
    <w:p>
      <w:pPr>
        <w:spacing w:line="240" w:lineRule="auto" w:before="2"/>
        <w:rPr>
          <w:rFonts w:ascii="宋体" w:hAnsi="宋体" w:cs="宋体" w:eastAsia="宋体" w:hint="default"/>
          <w:sz w:val="18"/>
          <w:szCs w:val="18"/>
        </w:rPr>
      </w:pPr>
    </w:p>
    <w:p>
      <w:pPr>
        <w:pStyle w:val="Heading2"/>
        <w:spacing w:line="240" w:lineRule="auto" w:before="26"/>
        <w:ind w:left="154" w:right="1046"/>
        <w:jc w:val="left"/>
        <w:rPr>
          <w:b w:val="0"/>
          <w:bCs w:val="0"/>
        </w:rPr>
      </w:pPr>
      <w:bookmarkStart w:name="二、境内外会计准则下会计数据差异" w:id="13"/>
      <w:bookmarkEnd w:id="13"/>
      <w:r>
        <w:rPr>
          <w:b w:val="0"/>
          <w:bCs w:val="0"/>
        </w:rPr>
      </w:r>
      <w:r>
        <w:rPr/>
        <w:t>二、境内外会计准则下会计数据差异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同时按照国际会计准则与按照中国会计准则披露的财务报告中净利润和净资产差异情况" w:id="14"/>
      <w:bookmarkEnd w:id="14"/>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256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left="153" w:right="1046"/>
        <w:jc w:val="left"/>
        <w:rPr>
          <w:b w:val="0"/>
          <w:bCs w:val="0"/>
        </w:rPr>
      </w:pPr>
      <w:bookmarkStart w:name="2、同时按照境外会计准则与按照中国会计准则披露的财务报告中净利润和净资产差异情况" w:id="15"/>
      <w:bookmarkEnd w:id="15"/>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46"/>
        <w:jc w:val="left"/>
        <w:rPr>
          <w:b w:val="0"/>
          <w:bCs w:val="0"/>
        </w:rPr>
      </w:pPr>
      <w:bookmarkStart w:name="三、非经常性损益项目及金额" w:id="16"/>
      <w:bookmarkEnd w:id="16"/>
      <w:r>
        <w:rPr>
          <w:b w:val="0"/>
          <w:bCs w:val="0"/>
        </w:rPr>
      </w:r>
      <w:r>
        <w:rPr/>
        <w:t>三、非经常性损益项目及金额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-200,261.39</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-1,145,113.96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212,036.57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39,241,863.19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30,700,273.78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24,071,136.77</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857,269.18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32" w:type="dxa"/>
            <w:tcBorders>
              <w:top w:val="single" w:sz="4" w:space="0" w:color="000000"/>
              <w:left w:val="single" w:sz="13" w:space="0" w:color="D2D2D2"/>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4,208,897.90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2,833,185.15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-226,143.16</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1,793,030.43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3,190,969.31</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5,581,872.22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3,954,927.50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4,120,157.78</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33,233,586.42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31,602,160.65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27,044,439.20</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2"/>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1046"/>
        <w:jc w:val="left"/>
        <w:rPr>
          <w:b w:val="0"/>
          <w:bCs w:val="0"/>
        </w:rPr>
      </w:pPr>
      <w:bookmarkStart w:name="_TOC_250008" w:id="17"/>
      <w:bookmarkStart w:name="第四节 董事会报告" w:id="18"/>
      <w:r>
        <w:rPr>
          <w:b w:val="0"/>
          <w:bCs w:val="0"/>
        </w:rPr>
      </w:r>
      <w:r>
        <w:rPr/>
        <w:t>第四节</w:t>
      </w:r>
      <w:r>
        <w:rPr>
          <w:spacing w:val="-6"/>
        </w:rPr>
        <w:t> </w:t>
      </w:r>
      <w:r>
        <w:rPr/>
        <w:t>董事会报告</w:t>
      </w:r>
      <w:bookmarkEnd w:id="17"/>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6"/>
        <w:jc w:val="left"/>
        <w:rPr>
          <w:b w:val="0"/>
          <w:bCs w:val="0"/>
        </w:rPr>
      </w:pPr>
      <w:bookmarkStart w:name="一、概述" w:id="19"/>
      <w:bookmarkEnd w:id="19"/>
      <w:r>
        <w:rPr>
          <w:b w:val="0"/>
          <w:bCs w:val="0"/>
        </w:rPr>
      </w:r>
      <w:r>
        <w:rPr/>
        <w:t>一、概述</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right="1120" w:firstLine="420"/>
        <w:jc w:val="left"/>
      </w:pPr>
      <w:r>
        <w:rPr>
          <w:rFonts w:ascii="宋体" w:hAnsi="宋体" w:cs="宋体" w:eastAsia="宋体" w:hint="default"/>
        </w:rPr>
        <w:t>2014</w:t>
      </w:r>
      <w:r>
        <w:rPr>
          <w:rFonts w:ascii="宋体" w:hAnsi="宋体" w:cs="宋体" w:eastAsia="宋体" w:hint="default"/>
          <w:spacing w:val="-48"/>
        </w:rPr>
        <w:t> </w:t>
      </w:r>
      <w:r>
        <w:rPr>
          <w:spacing w:val="-2"/>
        </w:rPr>
        <w:t>年，全球经济持续低迷，国际社会环境复杂多变，地区冲突时有发生，尤其是全球范围内接连发</w:t>
      </w:r>
      <w:r>
        <w:rPr/>
        <w:t> </w:t>
      </w:r>
      <w:r>
        <w:rPr>
          <w:spacing w:val="-1"/>
        </w:rPr>
        <w:t>生的恐怖袭击，世界正变得越来越不太平，公共安全问题提升到了前所未有的高度；同时，全球自然灾害</w:t>
      </w:r>
      <w:r>
        <w:rPr>
          <w:spacing w:val="-85"/>
        </w:rPr>
        <w:t> </w:t>
      </w:r>
      <w:r>
        <w:rPr>
          <w:spacing w:val="-85"/>
        </w:rPr>
      </w:r>
      <w:r>
        <w:rPr/>
        <w:t>频繁发生，</w:t>
      </w:r>
      <w:r>
        <w:rPr>
          <w:spacing w:val="-1"/>
        </w:rPr>
        <w:t> </w:t>
      </w:r>
      <w:r>
        <w:rPr/>
        <w:t>加上“信息安全门”等事件，使得各国政府对专网通信建设越来越重视。在国内，随着国家</w:t>
      </w:r>
      <w:r>
        <w:rPr/>
        <w:t> </w:t>
      </w:r>
      <w:r>
        <w:rPr>
          <w:spacing w:val="-1"/>
        </w:rPr>
        <w:t>安全委员会的成立，我国政府对公共安全也高度重视，国务院发布了《国务院办公厅关于加快应急产业发</w:t>
      </w:r>
      <w:r>
        <w:rPr>
          <w:spacing w:val="-83"/>
        </w:rPr>
        <w:t> </w:t>
      </w:r>
      <w:r>
        <w:rPr>
          <w:spacing w:val="-83"/>
        </w:rPr>
      </w:r>
      <w:r>
        <w:rPr>
          <w:spacing w:val="-3"/>
        </w:rPr>
        <w:t>展的意见》，平安城市和智慧城市的建设也正在大幕拉起。国际国内的整体大形势对于公司来说，正处在</w:t>
      </w:r>
      <w:r>
        <w:rPr>
          <w:spacing w:val="-74"/>
        </w:rPr>
        <w:t> </w:t>
      </w:r>
      <w:r>
        <w:rPr>
          <w:spacing w:val="-74"/>
        </w:rPr>
      </w:r>
      <w:r>
        <w:rPr>
          <w:spacing w:val="-1"/>
        </w:rPr>
        <w:t>一个历史性大发展的市场机遇上。另外，行业内厂商的收购兼并趋于频繁，行业集中度进一步提高，专网</w:t>
      </w:r>
      <w:r>
        <w:rPr>
          <w:spacing w:val="-86"/>
        </w:rPr>
        <w:t> </w:t>
      </w:r>
      <w:r>
        <w:rPr>
          <w:spacing w:val="-86"/>
        </w:rPr>
      </w:r>
      <w:r>
        <w:rPr>
          <w:spacing w:val="-1"/>
        </w:rPr>
        <w:t>市场的竞争加剧；同时随着物联网、云计算技术、大数据等新兴技术的兴起，专网用户对下一代宽带集群</w:t>
      </w:r>
      <w:r>
        <w:rPr>
          <w:spacing w:val="-86"/>
        </w:rPr>
        <w:t> </w:t>
      </w:r>
      <w:r>
        <w:rPr>
          <w:spacing w:val="-86"/>
        </w:rPr>
      </w:r>
      <w:r>
        <w:rPr>
          <w:spacing w:val="-1"/>
        </w:rPr>
        <w:t>技术的需求逐渐显现，宽窄带结合将成为专网行业未来的发展方向，在窄带基础上是否能够提供更加满足</w:t>
      </w:r>
      <w:r>
        <w:rPr>
          <w:spacing w:val="-81"/>
        </w:rPr>
        <w:t> </w:t>
      </w:r>
      <w:r>
        <w:rPr>
          <w:spacing w:val="-81"/>
        </w:rPr>
      </w:r>
      <w:r>
        <w:rPr/>
        <w:t>客户需求的宽带化产品和功能成为了未来取胜的关键，也给公司提出了新的挑战。</w:t>
      </w:r>
    </w:p>
    <w:p>
      <w:pPr>
        <w:pStyle w:val="BodyText"/>
        <w:spacing w:line="408" w:lineRule="auto"/>
        <w:ind w:right="1110" w:firstLine="420"/>
        <w:jc w:val="both"/>
      </w:pPr>
      <w:r>
        <w:rPr/>
        <w:t>公司管理层积极采取措施抓住机遇和应对挑战，紧紧围绕“营销再变革、研发再创新、管理再提升” </w:t>
      </w:r>
      <w:r>
        <w:rPr>
          <w:spacing w:val="-1"/>
        </w:rPr>
        <w:t>的总体思路，根据年度总体经营计划，加大全球营销网络建设力度和产品宣传力度，提升公司全球市场地</w:t>
      </w:r>
      <w:r>
        <w:rPr>
          <w:spacing w:val="-83"/>
        </w:rPr>
        <w:t> </w:t>
      </w:r>
      <w:r>
        <w:rPr>
          <w:spacing w:val="-83"/>
        </w:rPr>
      </w:r>
      <w:r>
        <w:rPr>
          <w:spacing w:val="-1"/>
        </w:rPr>
        <w:t>位；提前布局下一代产品的技术研发，引领全球专网行业发展；加速组织内部调整，使公司组织更加优化</w:t>
      </w:r>
      <w:r>
        <w:rPr>
          <w:spacing w:val="-86"/>
        </w:rPr>
        <w:t> </w:t>
      </w:r>
      <w:r>
        <w:rPr>
          <w:spacing w:val="-86"/>
        </w:rPr>
      </w:r>
      <w:r>
        <w:rPr/>
        <w:t>合理。报告期内，公司实现营业收入</w:t>
      </w:r>
      <w:r>
        <w:rPr>
          <w:spacing w:val="-60"/>
        </w:rPr>
        <w:t> </w:t>
      </w:r>
      <w:r>
        <w:rPr>
          <w:rFonts w:ascii="宋体" w:hAnsi="宋体" w:cs="宋体" w:eastAsia="宋体" w:hint="default"/>
        </w:rPr>
        <w:t>194,938.26</w:t>
      </w:r>
      <w:r>
        <w:rPr>
          <w:rFonts w:ascii="宋体" w:hAnsi="宋体" w:cs="宋体" w:eastAsia="宋体" w:hint="default"/>
          <w:spacing w:val="-59"/>
        </w:rPr>
        <w:t> </w:t>
      </w:r>
      <w:r>
        <w:rPr>
          <w:spacing w:val="-3"/>
        </w:rPr>
        <w:t>万元，同比增长</w:t>
      </w:r>
      <w:r>
        <w:rPr>
          <w:spacing w:val="-60"/>
        </w:rPr>
        <w:t> </w:t>
      </w:r>
      <w:r>
        <w:rPr>
          <w:rFonts w:ascii="宋体" w:hAnsi="宋体" w:cs="宋体" w:eastAsia="宋体" w:hint="default"/>
        </w:rPr>
        <w:t>15.80%</w:t>
      </w:r>
      <w:r>
        <w:rPr/>
        <w:t>；利润总额</w:t>
      </w:r>
      <w:r>
        <w:rPr>
          <w:spacing w:val="-59"/>
        </w:rPr>
        <w:t> </w:t>
      </w:r>
      <w:r>
        <w:rPr>
          <w:rFonts w:ascii="宋体" w:hAnsi="宋体" w:cs="宋体" w:eastAsia="宋体" w:hint="default"/>
        </w:rPr>
        <w:t>5,975.67</w:t>
      </w:r>
      <w:r>
        <w:rPr>
          <w:rFonts w:ascii="宋体" w:hAnsi="宋体" w:cs="宋体" w:eastAsia="宋体" w:hint="default"/>
          <w:spacing w:val="-60"/>
        </w:rPr>
        <w:t> </w:t>
      </w:r>
      <w:r>
        <w:rPr>
          <w:spacing w:val="-4"/>
        </w:rPr>
        <w:t>万元，同比</w:t>
      </w:r>
      <w:r>
        <w:rPr/>
        <w:t> 下降</w:t>
      </w:r>
      <w:r>
        <w:rPr>
          <w:spacing w:val="-54"/>
        </w:rPr>
        <w:t> </w:t>
      </w:r>
      <w:r>
        <w:rPr>
          <w:rFonts w:ascii="宋体" w:hAnsi="宋体" w:cs="宋体" w:eastAsia="宋体" w:hint="default"/>
        </w:rPr>
        <w:t>61.99%</w:t>
      </w:r>
      <w:r>
        <w:rPr/>
        <w:t>；归属上市公司股东的净利润为</w:t>
      </w:r>
      <w:r>
        <w:rPr>
          <w:spacing w:val="-53"/>
        </w:rPr>
        <w:t> </w:t>
      </w:r>
      <w:r>
        <w:rPr>
          <w:rFonts w:ascii="宋体" w:hAnsi="宋体" w:cs="宋体" w:eastAsia="宋体" w:hint="default"/>
        </w:rPr>
        <w:t>4,326.56</w:t>
      </w:r>
      <w:r>
        <w:rPr>
          <w:rFonts w:ascii="宋体" w:hAnsi="宋体" w:cs="宋体" w:eastAsia="宋体" w:hint="default"/>
          <w:spacing w:val="-54"/>
        </w:rPr>
        <w:t> </w:t>
      </w:r>
      <w:r>
        <w:rPr/>
        <w:t>万元，同比下降</w:t>
      </w:r>
      <w:r>
        <w:rPr>
          <w:spacing w:val="-54"/>
        </w:rPr>
        <w:t> </w:t>
      </w:r>
      <w:r>
        <w:rPr>
          <w:rFonts w:ascii="宋体" w:hAnsi="宋体" w:cs="宋体" w:eastAsia="宋体" w:hint="default"/>
        </w:rPr>
        <w:t>67.97%</w:t>
      </w:r>
      <w:r>
        <w:rPr/>
        <w:t>。</w:t>
      </w:r>
    </w:p>
    <w:p>
      <w:pPr>
        <w:pStyle w:val="BodyText"/>
        <w:spacing w:line="408" w:lineRule="auto"/>
        <w:ind w:left="573" w:right="1198"/>
        <w:jc w:val="left"/>
      </w:pPr>
      <w:r>
        <w:rPr/>
        <w:t>造成销售收入增长但净利润下滑的原因主要是： </w:t>
      </w:r>
      <w:r>
        <w:rPr>
          <w:rFonts w:ascii="宋体" w:hAnsi="宋体" w:cs="宋体" w:eastAsia="宋体" w:hint="default"/>
        </w:rPr>
        <w:t>1</w:t>
      </w:r>
      <w:r>
        <w:rPr/>
        <w:t>、收入增长原因：①公司前期大力投入的数字产品销售收入快速增长，报告期内，数字产品销售收</w:t>
      </w:r>
    </w:p>
    <w:p>
      <w:pPr>
        <w:pStyle w:val="BodyText"/>
        <w:spacing w:line="408" w:lineRule="auto"/>
        <w:ind w:left="154" w:right="1148"/>
        <w:jc w:val="left"/>
      </w:pPr>
      <w:r>
        <w:rPr/>
        <w:t>入</w:t>
      </w:r>
      <w:r>
        <w:rPr>
          <w:spacing w:val="-54"/>
        </w:rPr>
        <w:t> </w:t>
      </w:r>
      <w:r>
        <w:rPr>
          <w:rFonts w:ascii="宋体" w:hAnsi="宋体" w:cs="宋体" w:eastAsia="宋体" w:hint="default"/>
        </w:rPr>
        <w:t>116,348.70</w:t>
      </w:r>
      <w:r>
        <w:rPr>
          <w:rFonts w:ascii="宋体" w:hAnsi="宋体" w:cs="宋体" w:eastAsia="宋体" w:hint="default"/>
          <w:spacing w:val="-53"/>
        </w:rPr>
        <w:t> </w:t>
      </w:r>
      <w:r>
        <w:rPr/>
        <w:t>万元，同比增长</w:t>
      </w:r>
      <w:r>
        <w:rPr>
          <w:spacing w:val="-54"/>
        </w:rPr>
        <w:t> </w:t>
      </w:r>
      <w:r>
        <w:rPr>
          <w:rFonts w:ascii="宋体" w:hAnsi="宋体" w:cs="宋体" w:eastAsia="宋体" w:hint="default"/>
        </w:rPr>
        <w:t>21.10%</w:t>
      </w:r>
      <w:r>
        <w:rPr/>
        <w:t>；②公司前期收购的企业逐渐体现出整合效应，公司全资子公司天 海报告期内实现销售收入</w:t>
      </w:r>
      <w:r>
        <w:rPr>
          <w:spacing w:val="-53"/>
        </w:rPr>
        <w:t> </w:t>
      </w:r>
      <w:r>
        <w:rPr>
          <w:rFonts w:ascii="宋体" w:hAnsi="宋体" w:cs="宋体" w:eastAsia="宋体" w:hint="default"/>
        </w:rPr>
        <w:t>32,015.10</w:t>
      </w:r>
      <w:r>
        <w:rPr>
          <w:rFonts w:ascii="宋体" w:hAnsi="宋体" w:cs="宋体" w:eastAsia="宋体" w:hint="default"/>
          <w:spacing w:val="-53"/>
        </w:rPr>
        <w:t> </w:t>
      </w:r>
      <w:r>
        <w:rPr/>
        <w:t>万元，同比增长</w:t>
      </w:r>
      <w:r>
        <w:rPr>
          <w:spacing w:val="-53"/>
        </w:rPr>
        <w:t> </w:t>
      </w:r>
      <w:r>
        <w:rPr>
          <w:rFonts w:ascii="宋体" w:hAnsi="宋体" w:cs="宋体" w:eastAsia="宋体" w:hint="default"/>
        </w:rPr>
        <w:t>75.83%</w:t>
      </w:r>
      <w:r>
        <w:rPr/>
        <w:t>。</w:t>
      </w:r>
    </w:p>
    <w:p>
      <w:pPr>
        <w:pStyle w:val="BodyText"/>
        <w:spacing w:line="408" w:lineRule="auto"/>
        <w:ind w:right="1046" w:firstLine="420"/>
        <w:jc w:val="left"/>
      </w:pPr>
      <w:r>
        <w:rPr>
          <w:rFonts w:ascii="宋体" w:hAnsi="宋体" w:cs="宋体" w:eastAsia="宋体" w:hint="default"/>
        </w:rPr>
        <w:t>2</w:t>
      </w:r>
      <w:r>
        <w:rPr/>
        <w:t>、利润下滑原因：①为了抓住当前专网通信市场的良好发展机遇，为了今后的销售收入能够持续快 速增长，公司在报告期加大力度拓展全球营销网络的广度和深度，同时加大了数字新产品的推广力度，因 此销售费用增加</w:t>
      </w:r>
      <w:r>
        <w:rPr>
          <w:spacing w:val="-53"/>
        </w:rPr>
        <w:t> </w:t>
      </w:r>
      <w:r>
        <w:rPr>
          <w:rFonts w:ascii="宋体" w:hAnsi="宋体" w:cs="宋体" w:eastAsia="宋体" w:hint="default"/>
        </w:rPr>
        <w:t>4,869.23</w:t>
      </w:r>
      <w:r>
        <w:rPr>
          <w:rFonts w:ascii="宋体" w:hAnsi="宋体" w:cs="宋体" w:eastAsia="宋体" w:hint="default"/>
          <w:spacing w:val="-54"/>
        </w:rPr>
        <w:t> </w:t>
      </w:r>
      <w:r>
        <w:rPr/>
        <w:t>万元，同比增长</w:t>
      </w:r>
      <w:r>
        <w:rPr>
          <w:spacing w:val="-53"/>
        </w:rPr>
        <w:t> </w:t>
      </w:r>
      <w:r>
        <w:rPr>
          <w:rFonts w:ascii="宋体" w:hAnsi="宋体" w:cs="宋体" w:eastAsia="宋体" w:hint="default"/>
        </w:rPr>
        <w:t>16.37%</w:t>
      </w:r>
      <w:r>
        <w:rPr/>
        <w:t>；②公司为了继续占据技术领先的制高点，不断提升公 司的核心竞争优势，从而不断提升公司的销售收入规模，在今年进一步加大了研发投入，研制下一代新产 品，使得管理费用同比增加</w:t>
      </w:r>
      <w:r>
        <w:rPr>
          <w:spacing w:val="-54"/>
        </w:rPr>
        <w:t> </w:t>
      </w:r>
      <w:r>
        <w:rPr>
          <w:rFonts w:ascii="宋体" w:hAnsi="宋体" w:cs="宋体" w:eastAsia="宋体" w:hint="default"/>
        </w:rPr>
        <w:t>3,089.67</w:t>
      </w:r>
      <w:r>
        <w:rPr>
          <w:rFonts w:ascii="宋体" w:hAnsi="宋体" w:cs="宋体" w:eastAsia="宋体" w:hint="default"/>
          <w:spacing w:val="-55"/>
        </w:rPr>
        <w:t> </w:t>
      </w:r>
      <w:r>
        <w:rPr/>
        <w:t>万元，同比增长</w:t>
      </w:r>
      <w:r>
        <w:rPr>
          <w:spacing w:val="-54"/>
        </w:rPr>
        <w:t> </w:t>
      </w:r>
      <w:r>
        <w:rPr>
          <w:rFonts w:ascii="宋体" w:hAnsi="宋体" w:cs="宋体" w:eastAsia="宋体" w:hint="default"/>
        </w:rPr>
        <w:t>8.62%</w:t>
      </w:r>
      <w:r>
        <w:rPr/>
        <w:t>；③公司海外销售占比较高，报告期内欧元、 英镑汇率变动较大，造成汇兑损失较大，再加上随着销售规模的不断扩展和募集资金的使用，银行借款增 加较多，因此财务费用同比增加</w:t>
      </w:r>
      <w:r>
        <w:rPr>
          <w:spacing w:val="-53"/>
        </w:rPr>
        <w:t> </w:t>
      </w:r>
      <w:r>
        <w:rPr>
          <w:rFonts w:ascii="宋体" w:hAnsi="宋体" w:cs="宋体" w:eastAsia="宋体" w:hint="default"/>
        </w:rPr>
        <w:t>4,938.88</w:t>
      </w:r>
      <w:r>
        <w:rPr>
          <w:rFonts w:ascii="宋体" w:hAnsi="宋体" w:cs="宋体" w:eastAsia="宋体" w:hint="default"/>
          <w:spacing w:val="-53"/>
        </w:rPr>
        <w:t> </w:t>
      </w:r>
      <w:r>
        <w:rPr/>
        <w:t>万元，同比增长</w:t>
      </w:r>
      <w:r>
        <w:rPr>
          <w:spacing w:val="-54"/>
        </w:rPr>
        <w:t> </w:t>
      </w:r>
      <w:r>
        <w:rPr>
          <w:rFonts w:ascii="宋体" w:hAnsi="宋体" w:cs="宋体" w:eastAsia="宋体" w:hint="default"/>
        </w:rPr>
        <w:t>204.84%</w:t>
      </w:r>
      <w:r>
        <w:rPr/>
        <w:t>。</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1046"/>
        <w:jc w:val="left"/>
      </w:pPr>
      <w:r>
        <w:rPr/>
        <w:t>（一）市场经营情况</w:t>
      </w:r>
    </w:p>
    <w:p>
      <w:pPr>
        <w:spacing w:line="240" w:lineRule="auto" w:before="10"/>
        <w:rPr>
          <w:rFonts w:ascii="宋体" w:hAnsi="宋体" w:cs="宋体" w:eastAsia="宋体" w:hint="default"/>
          <w:sz w:val="14"/>
          <w:szCs w:val="14"/>
        </w:rPr>
      </w:pPr>
    </w:p>
    <w:p>
      <w:pPr>
        <w:pStyle w:val="BodyText"/>
        <w:spacing w:line="408" w:lineRule="auto" w:before="0"/>
        <w:ind w:right="1199" w:firstLine="420"/>
        <w:jc w:val="left"/>
      </w:pPr>
      <w:r>
        <w:rPr/>
        <w:t>报告期内，公司销售收入保持稳定增长，其中数字产品销售收入</w:t>
      </w:r>
      <w:r>
        <w:rPr>
          <w:spacing w:val="-53"/>
        </w:rPr>
        <w:t> </w:t>
      </w:r>
      <w:r>
        <w:rPr>
          <w:rFonts w:ascii="宋体" w:hAnsi="宋体" w:cs="宋体" w:eastAsia="宋体" w:hint="default"/>
        </w:rPr>
        <w:t>116,348.70</w:t>
      </w:r>
      <w:r>
        <w:rPr>
          <w:rFonts w:ascii="宋体" w:hAnsi="宋体" w:cs="宋体" w:eastAsia="宋体" w:hint="default"/>
          <w:spacing w:val="-53"/>
        </w:rPr>
        <w:t> </w:t>
      </w:r>
      <w:r>
        <w:rPr/>
        <w:t>万元，占公司主营业务 收入的</w:t>
      </w:r>
      <w:r>
        <w:rPr>
          <w:spacing w:val="-52"/>
        </w:rPr>
        <w:t> </w:t>
      </w:r>
      <w:r>
        <w:rPr>
          <w:rFonts w:ascii="宋体" w:hAnsi="宋体" w:cs="宋体" w:eastAsia="宋体" w:hint="default"/>
        </w:rPr>
        <w:t>60.89%</w:t>
      </w:r>
      <w:r>
        <w:rPr/>
        <w:t>，同比增长</w:t>
      </w:r>
      <w:r>
        <w:rPr>
          <w:spacing w:val="-54"/>
        </w:rPr>
        <w:t> </w:t>
      </w:r>
      <w:r>
        <w:rPr>
          <w:rFonts w:ascii="宋体" w:hAnsi="宋体" w:cs="宋体" w:eastAsia="宋体" w:hint="default"/>
        </w:rPr>
        <w:t>21.10%</w:t>
      </w:r>
      <w:r>
        <w:rPr/>
        <w:t>。</w:t>
      </w:r>
    </w:p>
    <w:p>
      <w:pPr>
        <w:pStyle w:val="BodyText"/>
        <w:spacing w:line="408" w:lineRule="auto"/>
        <w:ind w:right="1015" w:firstLine="420"/>
        <w:jc w:val="left"/>
      </w:pPr>
      <w:r>
        <w:rPr>
          <w:rFonts w:ascii="宋体" w:hAnsi="宋体" w:cs="宋体" w:eastAsia="宋体" w:hint="default"/>
        </w:rPr>
        <w:t>PDT</w:t>
      </w:r>
      <w:r>
        <w:rPr/>
        <w:t>（</w:t>
      </w:r>
      <w:r>
        <w:rPr>
          <w:rFonts w:ascii="宋体" w:hAnsi="宋体" w:cs="宋体" w:eastAsia="宋体" w:hint="default"/>
        </w:rPr>
        <w:t>Police</w:t>
      </w:r>
      <w:r>
        <w:rPr>
          <w:rFonts w:ascii="宋体" w:hAnsi="宋体" w:cs="宋体" w:eastAsia="宋体" w:hint="default"/>
          <w:spacing w:val="-13"/>
        </w:rPr>
        <w:t> </w:t>
      </w:r>
      <w:r>
        <w:rPr>
          <w:rFonts w:ascii="宋体" w:hAnsi="宋体" w:cs="宋体" w:eastAsia="宋体" w:hint="default"/>
        </w:rPr>
        <w:t>Digital</w:t>
      </w:r>
      <w:r>
        <w:rPr>
          <w:rFonts w:ascii="宋体" w:hAnsi="宋体" w:cs="宋体" w:eastAsia="宋体" w:hint="default"/>
          <w:spacing w:val="-12"/>
        </w:rPr>
        <w:t> </w:t>
      </w:r>
      <w:r>
        <w:rPr>
          <w:rFonts w:ascii="宋体" w:hAnsi="宋体" w:cs="宋体" w:eastAsia="宋体" w:hint="default"/>
        </w:rPr>
        <w:t>Trunking</w:t>
      </w:r>
      <w:r>
        <w:rPr/>
        <w:t>）数字集群产品线：推出数据增强版，强化了公司在</w:t>
      </w:r>
      <w:r>
        <w:rPr>
          <w:spacing w:val="-53"/>
        </w:rPr>
        <w:t> </w:t>
      </w:r>
      <w:r>
        <w:rPr>
          <w:rFonts w:ascii="宋体" w:hAnsi="宋体" w:cs="宋体" w:eastAsia="宋体" w:hint="default"/>
        </w:rPr>
        <w:t>PDT</w:t>
      </w:r>
      <w:r>
        <w:rPr>
          <w:rFonts w:ascii="宋体" w:hAnsi="宋体" w:cs="宋体" w:eastAsia="宋体" w:hint="default"/>
          <w:spacing w:val="-53"/>
        </w:rPr>
        <w:t> </w:t>
      </w:r>
      <w:r>
        <w:rPr/>
        <w:t>领域的技术 领先地位；针对不同用户需求发布相应</w:t>
      </w:r>
      <w:r>
        <w:rPr>
          <w:spacing w:val="-55"/>
        </w:rPr>
        <w:t> </w:t>
      </w:r>
      <w:r>
        <w:rPr>
          <w:rFonts w:ascii="宋体" w:hAnsi="宋体" w:cs="宋体" w:eastAsia="宋体" w:hint="default"/>
        </w:rPr>
        <w:t>PDT</w:t>
      </w:r>
      <w:r>
        <w:rPr>
          <w:rFonts w:ascii="宋体" w:hAnsi="宋体" w:cs="宋体" w:eastAsia="宋体" w:hint="default"/>
          <w:spacing w:val="-55"/>
        </w:rPr>
        <w:t> </w:t>
      </w:r>
      <w:r>
        <w:rPr>
          <w:spacing w:val="-3"/>
        </w:rPr>
        <w:t>软件版本，率先取得公安部</w:t>
      </w:r>
      <w:r>
        <w:rPr>
          <w:spacing w:val="-56"/>
        </w:rPr>
        <w:t> </w:t>
      </w:r>
      <w:r>
        <w:rPr>
          <w:rFonts w:ascii="宋体" w:hAnsi="宋体" w:cs="宋体" w:eastAsia="宋体" w:hint="default"/>
        </w:rPr>
        <w:t>M1</w:t>
      </w:r>
      <w:r>
        <w:rPr>
          <w:rFonts w:ascii="宋体" w:hAnsi="宋体" w:cs="宋体" w:eastAsia="宋体" w:hint="default"/>
          <w:spacing w:val="-55"/>
        </w:rPr>
        <w:t> </w:t>
      </w:r>
      <w:r>
        <w:rPr>
          <w:spacing w:val="-3"/>
        </w:rPr>
        <w:t>入网检测证书；</w:t>
      </w:r>
      <w:r>
        <w:rPr>
          <w:rFonts w:ascii="宋体" w:hAnsi="宋体" w:cs="宋体" w:eastAsia="宋体" w:hint="default"/>
          <w:spacing w:val="-3"/>
        </w:rPr>
        <w:t>PDT</w:t>
      </w:r>
      <w:r>
        <w:rPr>
          <w:rFonts w:ascii="宋体" w:hAnsi="宋体" w:cs="宋体" w:eastAsia="宋体" w:hint="default"/>
          <w:spacing w:val="-56"/>
        </w:rPr>
        <w:t> </w:t>
      </w:r>
      <w:r>
        <w:rPr/>
        <w:t>下一代产品 </w:t>
      </w:r>
      <w:r>
        <w:rPr>
          <w:spacing w:val="-3"/>
        </w:rPr>
        <w:t>研发有序进行，持续引领国内专网行业发展；国内</w:t>
      </w:r>
      <w:r>
        <w:rPr>
          <w:spacing w:val="-51"/>
        </w:rPr>
        <w:t> </w:t>
      </w:r>
      <w:r>
        <w:rPr>
          <w:rFonts w:ascii="宋体" w:hAnsi="宋体" w:cs="宋体" w:eastAsia="宋体" w:hint="default"/>
        </w:rPr>
        <w:t>PDT</w:t>
      </w:r>
      <w:r>
        <w:rPr>
          <w:rFonts w:ascii="宋体" w:hAnsi="宋体" w:cs="宋体" w:eastAsia="宋体" w:hint="default"/>
          <w:spacing w:val="-51"/>
        </w:rPr>
        <w:t> </w:t>
      </w:r>
      <w:r>
        <w:rPr>
          <w:spacing w:val="-3"/>
        </w:rPr>
        <w:t>市场份额持续扩大，成功中标重庆公安、南京公安、</w:t>
      </w:r>
      <w:r>
        <w:rPr/>
        <w:t> 徐州公安、长沙地铁等多个项目。</w:t>
      </w:r>
    </w:p>
    <w:p>
      <w:pPr>
        <w:pStyle w:val="BodyText"/>
        <w:spacing w:line="408" w:lineRule="auto"/>
        <w:ind w:left="154" w:right="1131" w:firstLine="420"/>
        <w:jc w:val="both"/>
      </w:pPr>
      <w:r>
        <w:rPr>
          <w:rFonts w:ascii="宋体" w:hAnsi="宋体" w:cs="宋体" w:eastAsia="宋体" w:hint="default"/>
        </w:rPr>
        <w:t>DMR</w:t>
      </w:r>
      <w:r>
        <w:rPr/>
        <w:t>（</w:t>
      </w:r>
      <w:r>
        <w:rPr>
          <w:rFonts w:ascii="宋体" w:hAnsi="宋体" w:cs="宋体" w:eastAsia="宋体" w:hint="default"/>
        </w:rPr>
        <w:t>Digital</w:t>
      </w:r>
      <w:r>
        <w:rPr>
          <w:rFonts w:ascii="宋体" w:hAnsi="宋体" w:cs="宋体" w:eastAsia="宋体" w:hint="default"/>
          <w:spacing w:val="-13"/>
        </w:rPr>
        <w:t> </w:t>
      </w:r>
      <w:r>
        <w:rPr>
          <w:rFonts w:ascii="宋体" w:hAnsi="宋体" w:cs="宋体" w:eastAsia="宋体" w:hint="default"/>
        </w:rPr>
        <w:t>Mobil</w:t>
      </w:r>
      <w:r>
        <w:rPr>
          <w:rFonts w:ascii="宋体" w:hAnsi="宋体" w:cs="宋体" w:eastAsia="宋体" w:hint="default"/>
          <w:spacing w:val="-13"/>
        </w:rPr>
        <w:t> </w:t>
      </w:r>
      <w:r>
        <w:rPr>
          <w:rFonts w:ascii="宋体" w:hAnsi="宋体" w:cs="宋体" w:eastAsia="宋体" w:hint="default"/>
        </w:rPr>
        <w:t>Radio</w:t>
      </w:r>
      <w:r>
        <w:rPr/>
        <w:t>）数字对讲机产品线：积极参与</w:t>
      </w:r>
      <w:r>
        <w:rPr>
          <w:spacing w:val="-53"/>
        </w:rPr>
        <w:t> </w:t>
      </w:r>
      <w:r>
        <w:rPr>
          <w:rFonts w:ascii="宋体" w:hAnsi="宋体" w:cs="宋体" w:eastAsia="宋体" w:hint="default"/>
        </w:rPr>
        <w:t>DMR</w:t>
      </w:r>
      <w:r>
        <w:rPr>
          <w:rFonts w:ascii="宋体" w:hAnsi="宋体" w:cs="宋体" w:eastAsia="宋体" w:hint="default"/>
          <w:spacing w:val="-53"/>
        </w:rPr>
        <w:t> </w:t>
      </w:r>
      <w:r>
        <w:rPr/>
        <w:t>标准制定，多项技术方案得到采纳及 </w:t>
      </w:r>
      <w:r>
        <w:rPr>
          <w:spacing w:val="-1"/>
        </w:rPr>
        <w:t>认可，极大提升了公司在专网通信行业的影响力；产品系列越趋丰富，技术指标和产品成熟度处于全球领</w:t>
      </w:r>
      <w:r>
        <w:rPr>
          <w:spacing w:val="-83"/>
        </w:rPr>
        <w:t> </w:t>
      </w:r>
      <w:r>
        <w:rPr>
          <w:spacing w:val="-83"/>
        </w:rPr>
      </w:r>
      <w:r>
        <w:rPr/>
        <w:t>先水平；推出一系列商业数字对讲机，极大地提升了公司在工商业高端市场的竞争力。报告期内，</w:t>
      </w:r>
      <w:r>
        <w:rPr>
          <w:rFonts w:ascii="宋体" w:hAnsi="宋体" w:cs="宋体" w:eastAsia="宋体" w:hint="default"/>
        </w:rPr>
        <w:t>DMR</w:t>
      </w:r>
      <w:r>
        <w:rPr>
          <w:rFonts w:ascii="宋体" w:hAnsi="宋体" w:cs="宋体" w:eastAsia="宋体" w:hint="default"/>
          <w:spacing w:val="-52"/>
        </w:rPr>
        <w:t> </w:t>
      </w:r>
      <w:r>
        <w:rPr/>
        <w:t>销 售收入保持高速增长，实现销售收入</w:t>
      </w:r>
      <w:r>
        <w:rPr>
          <w:spacing w:val="-53"/>
        </w:rPr>
        <w:t> </w:t>
      </w:r>
      <w:r>
        <w:rPr>
          <w:rFonts w:ascii="宋体" w:hAnsi="宋体" w:cs="宋体" w:eastAsia="宋体" w:hint="default"/>
        </w:rPr>
        <w:t>64,103.32</w:t>
      </w:r>
      <w:r>
        <w:rPr>
          <w:rFonts w:ascii="宋体" w:hAnsi="宋体" w:cs="宋体" w:eastAsia="宋体" w:hint="default"/>
          <w:spacing w:val="-53"/>
        </w:rPr>
        <w:t> </w:t>
      </w:r>
      <w:r>
        <w:rPr/>
        <w:t>万元，同比增长</w:t>
      </w:r>
      <w:r>
        <w:rPr>
          <w:spacing w:val="-54"/>
        </w:rPr>
        <w:t> </w:t>
      </w:r>
      <w:r>
        <w:rPr>
          <w:rFonts w:ascii="宋体" w:hAnsi="宋体" w:cs="宋体" w:eastAsia="宋体" w:hint="default"/>
        </w:rPr>
        <w:t>41.40%</w:t>
      </w:r>
      <w:r>
        <w:rPr/>
        <w:t>。</w:t>
      </w:r>
    </w:p>
    <w:p>
      <w:pPr>
        <w:pStyle w:val="BodyText"/>
        <w:spacing w:line="408" w:lineRule="auto"/>
        <w:ind w:right="1131" w:firstLine="526"/>
        <w:jc w:val="right"/>
      </w:pPr>
      <w:r>
        <w:rPr>
          <w:rFonts w:ascii="宋体" w:hAnsi="宋体" w:cs="宋体" w:eastAsia="宋体" w:hint="default"/>
        </w:rPr>
        <w:t>Tetra</w:t>
      </w:r>
      <w:r>
        <w:rPr/>
        <w:t>（</w:t>
      </w:r>
      <w:r>
        <w:rPr>
          <w:rFonts w:ascii="宋体" w:hAnsi="宋体" w:cs="宋体" w:eastAsia="宋体" w:hint="default"/>
        </w:rPr>
        <w:t>Terrestrial</w:t>
      </w:r>
      <w:r>
        <w:rPr>
          <w:rFonts w:ascii="宋体" w:hAnsi="宋体" w:cs="宋体" w:eastAsia="宋体" w:hint="default"/>
          <w:spacing w:val="-2"/>
        </w:rPr>
        <w:t> </w:t>
      </w:r>
      <w:r>
        <w:rPr>
          <w:rFonts w:ascii="宋体" w:hAnsi="宋体" w:cs="宋体" w:eastAsia="宋体" w:hint="default"/>
        </w:rPr>
        <w:t>Trunked</w:t>
      </w:r>
      <w:r>
        <w:rPr>
          <w:rFonts w:ascii="宋体" w:hAnsi="宋体" w:cs="宋体" w:eastAsia="宋体" w:hint="default"/>
          <w:spacing w:val="-2"/>
        </w:rPr>
        <w:t> </w:t>
      </w:r>
      <w:r>
        <w:rPr>
          <w:rFonts w:ascii="宋体" w:hAnsi="宋体" w:cs="宋体" w:eastAsia="宋体" w:hint="default"/>
        </w:rPr>
        <w:t>Radio</w:t>
      </w:r>
      <w:r>
        <w:rPr/>
        <w:t>）数字集群对讲机产品线：自收购德国子公司</w:t>
      </w:r>
      <w:r>
        <w:rPr>
          <w:spacing w:val="-53"/>
        </w:rPr>
        <w:t> </w:t>
      </w:r>
      <w:r>
        <w:rPr>
          <w:rFonts w:ascii="宋体" w:hAnsi="宋体" w:cs="宋体" w:eastAsia="宋体" w:hint="default"/>
        </w:rPr>
        <w:t>HMF</w:t>
      </w:r>
      <w:r>
        <w:rPr>
          <w:rFonts w:ascii="宋体" w:hAnsi="宋体" w:cs="宋体" w:eastAsia="宋体" w:hint="default"/>
          <w:spacing w:val="-53"/>
        </w:rPr>
        <w:t> </w:t>
      </w:r>
      <w:r>
        <w:rPr/>
        <w:t>以来，公司 在全球</w:t>
      </w:r>
      <w:r>
        <w:rPr>
          <w:spacing w:val="-54"/>
        </w:rPr>
        <w:t> </w:t>
      </w:r>
      <w:r>
        <w:rPr>
          <w:rFonts w:ascii="宋体" w:hAnsi="宋体" w:cs="宋体" w:eastAsia="宋体" w:hint="default"/>
        </w:rPr>
        <w:t>Tetra</w:t>
      </w:r>
      <w:r>
        <w:rPr>
          <w:rFonts w:ascii="宋体" w:hAnsi="宋体" w:cs="宋体" w:eastAsia="宋体" w:hint="default"/>
          <w:spacing w:val="-54"/>
        </w:rPr>
        <w:t> </w:t>
      </w:r>
      <w:r>
        <w:rPr/>
        <w:t>领域的竞争优势逐年提升，整合效应越趋明显。国内，</w:t>
      </w:r>
      <w:r>
        <w:rPr>
          <w:rFonts w:ascii="宋体" w:hAnsi="宋体" w:cs="宋体" w:eastAsia="宋体" w:hint="default"/>
        </w:rPr>
        <w:t>Tetra</w:t>
      </w:r>
      <w:r>
        <w:rPr>
          <w:rFonts w:ascii="宋体" w:hAnsi="宋体" w:cs="宋体" w:eastAsia="宋体" w:hint="default"/>
          <w:spacing w:val="-54"/>
        </w:rPr>
        <w:t> </w:t>
      </w:r>
      <w:r>
        <w:rPr/>
        <w:t>产品实现了国内地铁市场的突 破，成功中标深圳地铁三期项目和长沙地铁二号线项目，为公司</w:t>
      </w:r>
      <w:r>
        <w:rPr>
          <w:spacing w:val="-64"/>
        </w:rPr>
        <w:t> </w:t>
      </w:r>
      <w:r>
        <w:rPr>
          <w:rFonts w:ascii="宋体" w:hAnsi="宋体" w:cs="宋体" w:eastAsia="宋体" w:hint="default"/>
        </w:rPr>
        <w:t>Tetra</w:t>
      </w:r>
      <w:r>
        <w:rPr>
          <w:rFonts w:ascii="宋体" w:hAnsi="宋体" w:cs="宋体" w:eastAsia="宋体" w:hint="default"/>
          <w:spacing w:val="-64"/>
        </w:rPr>
        <w:t> </w:t>
      </w:r>
      <w:r>
        <w:rPr/>
        <w:t>产品在国内轨道交通行业及其他行 业的推广夯实了基础；海外，</w:t>
      </w:r>
      <w:r>
        <w:rPr>
          <w:rFonts w:ascii="宋体" w:hAnsi="宋体" w:cs="宋体" w:eastAsia="宋体" w:hint="default"/>
        </w:rPr>
        <w:t>TETRA</w:t>
      </w:r>
      <w:r>
        <w:rPr>
          <w:rFonts w:ascii="宋体" w:hAnsi="宋体" w:cs="宋体" w:eastAsia="宋体" w:hint="default"/>
          <w:spacing w:val="-53"/>
        </w:rPr>
        <w:t> </w:t>
      </w:r>
      <w:r>
        <w:rPr/>
        <w:t>产品持续取得突破，并成功中标智利地铁和委内瑞拉国家警察项目。 </w:t>
      </w:r>
      <w:r>
        <w:rPr>
          <w:spacing w:val="-1"/>
        </w:rPr>
        <w:t>天海电子方面：子公司天海电子完成了新厂房的建设和搬迁工作，通过狠抓内部管理、采取有效的市</w:t>
      </w:r>
    </w:p>
    <w:p>
      <w:pPr>
        <w:pStyle w:val="BodyText"/>
        <w:spacing w:line="408" w:lineRule="auto"/>
        <w:ind w:left="154" w:right="1198"/>
        <w:jc w:val="left"/>
      </w:pPr>
      <w:r>
        <w:rPr/>
        <w:t>场拓展工作、以及不断加强技术提升，从而迅速打开市场</w:t>
      </w:r>
      <w:r>
        <w:rPr>
          <w:spacing w:val="-1"/>
        </w:rPr>
        <w:t> </w:t>
      </w:r>
      <w:r>
        <w:rPr/>
        <w:t>。销售收入快速增长，报告期内实现销售收入</w:t>
      </w:r>
      <w:r>
        <w:rPr/>
        <w:t> </w:t>
      </w:r>
      <w:r>
        <w:rPr>
          <w:rFonts w:ascii="宋体" w:hAnsi="宋体" w:cs="宋体" w:eastAsia="宋体" w:hint="default"/>
        </w:rPr>
        <w:t>32,015.10</w:t>
      </w:r>
      <w:r>
        <w:rPr>
          <w:rFonts w:ascii="宋体" w:hAnsi="宋体" w:cs="宋体" w:eastAsia="宋体" w:hint="default"/>
          <w:spacing w:val="-53"/>
        </w:rPr>
        <w:t> </w:t>
      </w:r>
      <w:r>
        <w:rPr/>
        <w:t>万元，同比增长</w:t>
      </w:r>
      <w:r>
        <w:rPr>
          <w:spacing w:val="-54"/>
        </w:rPr>
        <w:t> </w:t>
      </w:r>
      <w:r>
        <w:rPr>
          <w:rFonts w:ascii="宋体" w:hAnsi="宋体" w:cs="宋体" w:eastAsia="宋体" w:hint="default"/>
        </w:rPr>
        <w:t>75.83%</w:t>
      </w:r>
      <w:r>
        <w:rPr/>
        <w:t>。</w:t>
      </w:r>
    </w:p>
    <w:p>
      <w:pPr>
        <w:pStyle w:val="BodyText"/>
        <w:spacing w:line="408" w:lineRule="auto"/>
        <w:ind w:left="154" w:right="1133" w:firstLine="420"/>
        <w:jc w:val="both"/>
      </w:pPr>
      <w:r>
        <w:rPr>
          <w:spacing w:val="-1"/>
        </w:rPr>
        <w:t>其他方面：在国内，进一步深化行业拓展，继续保持在铁路行业、林业、石油石化行业等行业的领先</w:t>
      </w:r>
      <w:r>
        <w:rPr/>
        <w:t> </w:t>
      </w:r>
      <w:r>
        <w:rPr>
          <w:spacing w:val="-1"/>
        </w:rPr>
        <w:t>地位，市场占有率稳步提升；通过重点区域和重点项目的培育，在民航和港口等行业取得较大突破。在海</w:t>
      </w:r>
      <w:r>
        <w:rPr>
          <w:spacing w:val="-86"/>
        </w:rPr>
        <w:t> </w:t>
      </w:r>
      <w:r>
        <w:rPr>
          <w:spacing w:val="-86"/>
        </w:rPr>
      </w:r>
      <w:r>
        <w:rPr>
          <w:spacing w:val="-1"/>
        </w:rPr>
        <w:t>外，公司持续加大全球营销网络的投入，欧洲、中东非洲等区域销售收入快速增长，国际化进程取得长足</w:t>
      </w:r>
      <w:r>
        <w:rPr>
          <w:spacing w:val="-86"/>
        </w:rPr>
        <w:t> </w:t>
      </w:r>
      <w:r>
        <w:rPr>
          <w:spacing w:val="-86"/>
        </w:rPr>
      </w:r>
      <w:r>
        <w:rPr/>
        <w:t>发展。</w:t>
      </w:r>
    </w:p>
    <w:p>
      <w:pPr>
        <w:pStyle w:val="BodyText"/>
        <w:spacing w:line="240" w:lineRule="auto"/>
        <w:ind w:left="574" w:right="1046"/>
        <w:jc w:val="left"/>
      </w:pPr>
      <w:r>
        <w:rPr/>
        <w:t>（二）研发和创新能力提升方面</w:t>
      </w:r>
    </w:p>
    <w:p>
      <w:pPr>
        <w:spacing w:line="240" w:lineRule="auto" w:before="10"/>
        <w:rPr>
          <w:rFonts w:ascii="宋体" w:hAnsi="宋体" w:cs="宋体" w:eastAsia="宋体" w:hint="default"/>
          <w:sz w:val="14"/>
          <w:szCs w:val="14"/>
        </w:rPr>
      </w:pPr>
    </w:p>
    <w:p>
      <w:pPr>
        <w:pStyle w:val="BodyText"/>
        <w:spacing w:line="408" w:lineRule="auto" w:before="0"/>
        <w:ind w:left="154" w:right="1121" w:firstLine="420"/>
        <w:jc w:val="left"/>
      </w:pPr>
      <w:r>
        <w:rPr/>
        <w:t>报告期内，公司共完成专利申请</w:t>
      </w:r>
      <w:r>
        <w:rPr>
          <w:spacing w:val="-53"/>
        </w:rPr>
        <w:t> </w:t>
      </w:r>
      <w:r>
        <w:rPr>
          <w:rFonts w:ascii="宋体" w:hAnsi="宋体" w:cs="宋体" w:eastAsia="宋体" w:hint="default"/>
        </w:rPr>
        <w:t>109</w:t>
      </w:r>
      <w:r>
        <w:rPr>
          <w:rFonts w:ascii="宋体" w:hAnsi="宋体" w:cs="宋体" w:eastAsia="宋体" w:hint="default"/>
          <w:spacing w:val="-53"/>
        </w:rPr>
        <w:t> </w:t>
      </w:r>
      <w:r>
        <w:rPr/>
        <w:t>项，全年专利授权</w:t>
      </w:r>
      <w:r>
        <w:rPr>
          <w:spacing w:val="-54"/>
        </w:rPr>
        <w:t> </w:t>
      </w:r>
      <w:r>
        <w:rPr>
          <w:rFonts w:ascii="宋体" w:hAnsi="宋体" w:cs="宋体" w:eastAsia="宋体" w:hint="default"/>
        </w:rPr>
        <w:t>67</w:t>
      </w:r>
      <w:r>
        <w:rPr>
          <w:rFonts w:ascii="宋体" w:hAnsi="宋体" w:cs="宋体" w:eastAsia="宋体" w:hint="default"/>
          <w:spacing w:val="-53"/>
        </w:rPr>
        <w:t> </w:t>
      </w:r>
      <w:r>
        <w:rPr/>
        <w:t>项，累计申请专利</w:t>
      </w:r>
      <w:r>
        <w:rPr>
          <w:spacing w:val="-53"/>
        </w:rPr>
        <w:t> </w:t>
      </w:r>
      <w:r>
        <w:rPr>
          <w:rFonts w:ascii="宋体" w:hAnsi="宋体" w:cs="宋体" w:eastAsia="宋体" w:hint="default"/>
        </w:rPr>
        <w:t>574</w:t>
      </w:r>
      <w:r>
        <w:rPr>
          <w:rFonts w:ascii="宋体" w:hAnsi="宋体" w:cs="宋体" w:eastAsia="宋体" w:hint="default"/>
          <w:spacing w:val="-53"/>
        </w:rPr>
        <w:t> </w:t>
      </w:r>
      <w:r>
        <w:rPr/>
        <w:t>项，累计授权</w:t>
      </w:r>
      <w:r>
        <w:rPr>
          <w:spacing w:val="-54"/>
        </w:rPr>
        <w:t> </w:t>
      </w:r>
      <w:r>
        <w:rPr>
          <w:rFonts w:ascii="宋体" w:hAnsi="宋体" w:cs="宋体" w:eastAsia="宋体" w:hint="default"/>
        </w:rPr>
        <w:t>240 </w:t>
      </w:r>
      <w:r>
        <w:rPr/>
        <w:t>项。相继推出</w:t>
      </w:r>
      <w:r>
        <w:rPr>
          <w:spacing w:val="-53"/>
        </w:rPr>
        <w:t> </w:t>
      </w:r>
      <w:r>
        <w:rPr>
          <w:rFonts w:ascii="宋体" w:hAnsi="宋体" w:cs="宋体" w:eastAsia="宋体" w:hint="default"/>
        </w:rPr>
        <w:t>TD3</w:t>
      </w:r>
      <w:r>
        <w:rPr/>
        <w:t>、</w:t>
      </w:r>
      <w:r>
        <w:rPr>
          <w:rFonts w:ascii="宋体" w:hAnsi="宋体" w:cs="宋体" w:eastAsia="宋体" w:hint="default"/>
        </w:rPr>
        <w:t>TD5</w:t>
      </w:r>
      <w:r>
        <w:rPr>
          <w:rFonts w:ascii="宋体" w:hAnsi="宋体" w:cs="宋体" w:eastAsia="宋体" w:hint="default"/>
          <w:spacing w:val="-54"/>
        </w:rPr>
        <w:t> </w:t>
      </w:r>
      <w:r>
        <w:rPr/>
        <w:t>一系列商业中低端数字对讲机，填补了公司数字商业终端的空白；开发增强型虚 </w:t>
      </w:r>
      <w:r>
        <w:rPr>
          <w:spacing w:val="-9"/>
        </w:rPr>
        <w:t>拟集群系统，填补了中低端集群系统的空白；</w:t>
      </w:r>
      <w:r>
        <w:rPr>
          <w:rFonts w:ascii="宋体" w:hAnsi="宋体" w:cs="宋体" w:eastAsia="宋体" w:hint="default"/>
          <w:spacing w:val="-9"/>
        </w:rPr>
        <w:t>Tetra</w:t>
      </w:r>
      <w:r>
        <w:rPr>
          <w:rFonts w:ascii="宋体" w:hAnsi="宋体" w:cs="宋体" w:eastAsia="宋体" w:hint="default"/>
          <w:spacing w:val="-57"/>
        </w:rPr>
        <w:t> </w:t>
      </w:r>
      <w:r>
        <w:rPr>
          <w:spacing w:val="-5"/>
        </w:rPr>
        <w:t>终端研发突破多项加密技术难点，并成功在下一代</w:t>
      </w:r>
      <w:r>
        <w:rPr>
          <w:spacing w:val="-57"/>
        </w:rPr>
        <w:t> </w:t>
      </w:r>
      <w:r>
        <w:rPr>
          <w:rFonts w:ascii="宋体" w:hAnsi="宋体" w:cs="宋体" w:eastAsia="宋体" w:hint="default"/>
        </w:rPr>
        <w:t>Tetra </w:t>
      </w:r>
      <w:r>
        <w:rPr/>
        <w:t>产品中得以应用；构建</w:t>
      </w:r>
      <w:r>
        <w:rPr>
          <w:spacing w:val="-53"/>
        </w:rPr>
        <w:t> </w:t>
      </w:r>
      <w:r>
        <w:rPr>
          <w:rFonts w:ascii="宋体" w:hAnsi="宋体" w:cs="宋体" w:eastAsia="宋体" w:hint="default"/>
        </w:rPr>
        <w:t>Hytera</w:t>
      </w:r>
      <w:r>
        <w:rPr>
          <w:rFonts w:ascii="宋体" w:hAnsi="宋体" w:cs="宋体" w:eastAsia="宋体" w:hint="default"/>
          <w:spacing w:val="-54"/>
        </w:rPr>
        <w:t> </w:t>
      </w:r>
      <w:r>
        <w:rPr/>
        <w:t>常规应用和解决方案生态圈，为各行业用户提供解决方案；加大投入研发 下一代产品及宽带产品。</w:t>
      </w:r>
    </w:p>
    <w:p>
      <w:pPr>
        <w:pStyle w:val="BodyText"/>
        <w:spacing w:line="408" w:lineRule="auto"/>
        <w:ind w:right="1122" w:firstLine="420"/>
        <w:jc w:val="left"/>
      </w:pPr>
      <w:r>
        <w:rPr/>
        <w:t>工业设计方面，不断突破创新，荣获</w:t>
      </w:r>
      <w:r>
        <w:rPr>
          <w:spacing w:val="-59"/>
        </w:rPr>
        <w:t> </w:t>
      </w:r>
      <w:r>
        <w:rPr>
          <w:rFonts w:ascii="宋体" w:hAnsi="宋体" w:cs="宋体" w:eastAsia="宋体" w:hint="default"/>
        </w:rPr>
        <w:t>2014</w:t>
      </w:r>
      <w:r>
        <w:rPr>
          <w:rFonts w:ascii="宋体" w:hAnsi="宋体" w:cs="宋体" w:eastAsia="宋体" w:hint="default"/>
          <w:spacing w:val="-60"/>
        </w:rPr>
        <w:t> </w:t>
      </w:r>
      <w:r>
        <w:rPr/>
        <w:t>年德国红点设计奖和</w:t>
      </w:r>
      <w:r>
        <w:rPr>
          <w:spacing w:val="-60"/>
        </w:rPr>
        <w:t> </w:t>
      </w:r>
      <w:r>
        <w:rPr>
          <w:rFonts w:ascii="宋体" w:hAnsi="宋体" w:cs="宋体" w:eastAsia="宋体" w:hint="default"/>
        </w:rPr>
        <w:t>2014</w:t>
      </w:r>
      <w:r>
        <w:rPr>
          <w:rFonts w:ascii="宋体" w:hAnsi="宋体" w:cs="宋体" w:eastAsia="宋体" w:hint="default"/>
          <w:spacing w:val="-60"/>
        </w:rPr>
        <w:t> </w:t>
      </w:r>
      <w:r>
        <w:rPr/>
        <w:t>年台湾金点设计奖，公司工业设 计部门被认定为深圳市工业设计中心。</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093"/>
        <w:jc w:val="left"/>
      </w:pPr>
      <w:r>
        <w:rPr/>
        <w:t>（三）生产交付和服务能力方面 打造“精工智坊”制造基地，生产和交付能力持续提升；议价能力逐步提升，有效控制了采购成本；</w:t>
      </w:r>
    </w:p>
    <w:p>
      <w:pPr>
        <w:pStyle w:val="BodyText"/>
        <w:spacing w:line="408" w:lineRule="auto"/>
        <w:ind w:right="1133"/>
        <w:jc w:val="both"/>
      </w:pPr>
      <w:r>
        <w:rPr>
          <w:rFonts w:ascii="宋体" w:hAnsi="宋体" w:cs="宋体" w:eastAsia="宋体" w:hint="default"/>
        </w:rPr>
        <w:t>OEM</w:t>
      </w:r>
      <w:r>
        <w:rPr>
          <w:rFonts w:ascii="宋体" w:hAnsi="宋体" w:cs="宋体" w:eastAsia="宋体" w:hint="default"/>
          <w:spacing w:val="-54"/>
        </w:rPr>
        <w:t> </w:t>
      </w:r>
      <w:r>
        <w:rPr/>
        <w:t>业务拓展成效显著，收入快速增长；子公司深圳市海能达通信有限公司通过国家高新技术企业认定。 </w:t>
      </w:r>
      <w:r>
        <w:rPr>
          <w:spacing w:val="-1"/>
        </w:rPr>
        <w:t>持续加大全球营销和服务网络建设力度，采用产品化、标准化的设计理念，规范服务活动，持续提升服务</w:t>
      </w:r>
      <w:r>
        <w:rPr>
          <w:spacing w:val="-86"/>
        </w:rPr>
        <w:t> </w:t>
      </w:r>
      <w:r>
        <w:rPr>
          <w:spacing w:val="-86"/>
        </w:rPr>
      </w:r>
      <w:r>
        <w:rPr/>
        <w:t>收入。圆满完成了南京青奥会、新疆亚欧博览、南非国际田径锦标赛等重点项目的通信保障工作。</w:t>
      </w:r>
    </w:p>
    <w:p>
      <w:pPr>
        <w:pStyle w:val="BodyText"/>
        <w:spacing w:line="408" w:lineRule="auto"/>
        <w:ind w:left="573" w:right="1046"/>
        <w:jc w:val="left"/>
      </w:pPr>
      <w:r>
        <w:rPr/>
        <w:t>（四）平台支撑方面 </w:t>
      </w:r>
      <w:r>
        <w:rPr>
          <w:spacing w:val="-1"/>
        </w:rPr>
        <w:t>加强品质管控，保证新产品上市质量。提升公司信息化水平，完成深圳总部、哈尔滨子公司、天海电</w:t>
      </w:r>
    </w:p>
    <w:p>
      <w:pPr>
        <w:pStyle w:val="BodyText"/>
        <w:spacing w:line="408" w:lineRule="auto"/>
        <w:ind w:right="1046"/>
        <w:jc w:val="left"/>
      </w:pPr>
      <w:r>
        <w:rPr/>
        <w:t>子等地</w:t>
      </w:r>
      <w:r>
        <w:rPr>
          <w:spacing w:val="-53"/>
        </w:rPr>
        <w:t> </w:t>
      </w:r>
      <w:r>
        <w:rPr>
          <w:rFonts w:ascii="宋体" w:hAnsi="宋体" w:cs="宋体" w:eastAsia="宋体" w:hint="default"/>
        </w:rPr>
        <w:t>IT</w:t>
      </w:r>
      <w:r>
        <w:rPr>
          <w:rFonts w:ascii="宋体" w:hAnsi="宋体" w:cs="宋体" w:eastAsia="宋体" w:hint="default"/>
          <w:spacing w:val="-53"/>
        </w:rPr>
        <w:t> </w:t>
      </w:r>
      <w:r>
        <w:rPr/>
        <w:t>平台规划和搭建工作。优化组织，聚焦关键价值创造流程开展梳理及整合，打造精简高效的运 </w:t>
      </w:r>
      <w:r>
        <w:rPr>
          <w:spacing w:val="-1"/>
        </w:rPr>
        <w:t>营管理体系。开展干部结构优化和梯队建设，强化执行力，进一步夯实“诚勤创业”核心文化。创办“海</w:t>
      </w:r>
      <w:r>
        <w:rPr>
          <w:spacing w:val="-85"/>
        </w:rPr>
        <w:t> </w:t>
      </w:r>
      <w:r>
        <w:rPr>
          <w:spacing w:val="-85"/>
        </w:rPr>
      </w:r>
      <w:r>
        <w:rPr>
          <w:spacing w:val="-3"/>
        </w:rPr>
        <w:t>能达学院”，打造学习型组织。获得国家技术创新示范企业、国家地方联合工程实验室、深圳市重点软件</w:t>
      </w:r>
      <w:r>
        <w:rPr>
          <w:spacing w:val="-74"/>
        </w:rPr>
        <w:t> </w:t>
      </w:r>
      <w:r>
        <w:rPr>
          <w:spacing w:val="-74"/>
        </w:rPr>
      </w:r>
      <w:r>
        <w:rPr>
          <w:spacing w:val="-4"/>
        </w:rPr>
        <w:t>企业（安智捷）等重要荣誉称号，并入选“广东省全国名牌”。</w:t>
      </w:r>
    </w:p>
    <w:p>
      <w:pPr>
        <w:spacing w:line="240" w:lineRule="auto" w:before="11"/>
        <w:rPr>
          <w:rFonts w:ascii="宋体" w:hAnsi="宋体" w:cs="宋体" w:eastAsia="宋体" w:hint="default"/>
          <w:sz w:val="18"/>
          <w:szCs w:val="18"/>
        </w:rPr>
      </w:pPr>
    </w:p>
    <w:p>
      <w:pPr>
        <w:pStyle w:val="Heading2"/>
        <w:spacing w:line="240" w:lineRule="auto"/>
        <w:ind w:right="1046"/>
        <w:jc w:val="left"/>
        <w:rPr>
          <w:b w:val="0"/>
          <w:bCs w:val="0"/>
        </w:rPr>
      </w:pPr>
      <w:bookmarkStart w:name="二、主营业务分析" w:id="20"/>
      <w:bookmarkEnd w:id="20"/>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概述" w:id="21"/>
      <w:bookmarkEnd w:id="21"/>
      <w:r>
        <w:rPr>
          <w:b w:val="0"/>
          <w:bCs w:val="0"/>
        </w:rPr>
      </w:r>
      <w:r>
        <w:rPr>
          <w:rFonts w:ascii="Times New Roman" w:hAnsi="Times New Roman" w:cs="Times New Roman" w:eastAsia="Times New Roman" w:hint="default"/>
        </w:rPr>
        <w:t>1</w:t>
      </w:r>
      <w:r>
        <w:rPr/>
        <w:t>、概述</w:t>
      </w:r>
      <w:r>
        <w:rPr>
          <w:b w:val="0"/>
          <w:bCs w:val="0"/>
        </w:rPr>
      </w:r>
    </w:p>
    <w:p>
      <w:pPr>
        <w:spacing w:line="240" w:lineRule="auto" w:before="7"/>
        <w:rPr>
          <w:rFonts w:ascii="宋体" w:hAnsi="宋体" w:cs="宋体" w:eastAsia="宋体" w:hint="default"/>
          <w:b/>
          <w:bCs/>
          <w:sz w:val="30"/>
          <w:szCs w:val="30"/>
        </w:rPr>
      </w:pPr>
    </w:p>
    <w:p>
      <w:pPr>
        <w:spacing w:line="403" w:lineRule="auto" w:before="0"/>
        <w:ind w:left="153" w:right="1121" w:firstLine="420"/>
        <w:jc w:val="left"/>
        <w:rPr>
          <w:rFonts w:ascii="宋体" w:hAnsi="宋体" w:cs="宋体" w:eastAsia="宋体" w:hint="default"/>
          <w:sz w:val="18"/>
          <w:szCs w:val="18"/>
        </w:rPr>
      </w:pPr>
      <w:r>
        <w:rPr>
          <w:rFonts w:ascii="宋体" w:hAnsi="宋体" w:cs="宋体" w:eastAsia="宋体" w:hint="default"/>
          <w:sz w:val="21"/>
          <w:szCs w:val="21"/>
        </w:rPr>
        <w:t>报告期内，公司实现营业收入</w:t>
      </w:r>
      <w:r>
        <w:rPr>
          <w:rFonts w:ascii="宋体" w:hAnsi="宋体" w:cs="宋体" w:eastAsia="宋体" w:hint="default"/>
          <w:spacing w:val="-59"/>
          <w:sz w:val="21"/>
          <w:szCs w:val="21"/>
        </w:rPr>
        <w:t> </w:t>
      </w:r>
      <w:r>
        <w:rPr>
          <w:rFonts w:ascii="宋体" w:hAnsi="宋体" w:cs="宋体" w:eastAsia="宋体" w:hint="default"/>
          <w:sz w:val="21"/>
          <w:szCs w:val="21"/>
        </w:rPr>
        <w:t>194,938.26</w:t>
      </w:r>
      <w:r>
        <w:rPr>
          <w:rFonts w:ascii="宋体" w:hAnsi="宋体" w:cs="宋体" w:eastAsia="宋体" w:hint="default"/>
          <w:spacing w:val="-59"/>
          <w:sz w:val="21"/>
          <w:szCs w:val="21"/>
        </w:rPr>
        <w:t> </w:t>
      </w:r>
      <w:r>
        <w:rPr>
          <w:rFonts w:ascii="宋体" w:hAnsi="宋体" w:cs="宋体" w:eastAsia="宋体" w:hint="default"/>
          <w:spacing w:val="-3"/>
          <w:sz w:val="21"/>
          <w:szCs w:val="21"/>
        </w:rPr>
        <w:t>万元，同比增长</w:t>
      </w:r>
      <w:r>
        <w:rPr>
          <w:rFonts w:ascii="宋体" w:hAnsi="宋体" w:cs="宋体" w:eastAsia="宋体" w:hint="default"/>
          <w:spacing w:val="-60"/>
          <w:sz w:val="21"/>
          <w:szCs w:val="21"/>
        </w:rPr>
        <w:t> </w:t>
      </w:r>
      <w:r>
        <w:rPr>
          <w:rFonts w:ascii="宋体" w:hAnsi="宋体" w:cs="宋体" w:eastAsia="宋体" w:hint="default"/>
          <w:sz w:val="21"/>
          <w:szCs w:val="21"/>
        </w:rPr>
        <w:t>15.80%</w:t>
      </w:r>
      <w:r>
        <w:rPr>
          <w:rFonts w:ascii="宋体" w:hAnsi="宋体" w:cs="宋体" w:eastAsia="宋体" w:hint="default"/>
          <w:sz w:val="21"/>
          <w:szCs w:val="21"/>
        </w:rPr>
        <w:t>；利润总额</w:t>
      </w:r>
      <w:r>
        <w:rPr>
          <w:rFonts w:ascii="宋体" w:hAnsi="宋体" w:cs="宋体" w:eastAsia="宋体" w:hint="default"/>
          <w:spacing w:val="-59"/>
          <w:sz w:val="21"/>
          <w:szCs w:val="21"/>
        </w:rPr>
        <w:t> </w:t>
      </w:r>
      <w:r>
        <w:rPr>
          <w:rFonts w:ascii="宋体" w:hAnsi="宋体" w:cs="宋体" w:eastAsia="宋体" w:hint="default"/>
          <w:sz w:val="21"/>
          <w:szCs w:val="21"/>
        </w:rPr>
        <w:t>5,975.67</w:t>
      </w:r>
      <w:r>
        <w:rPr>
          <w:rFonts w:ascii="宋体" w:hAnsi="宋体" w:cs="宋体" w:eastAsia="宋体" w:hint="default"/>
          <w:spacing w:val="-61"/>
          <w:sz w:val="21"/>
          <w:szCs w:val="21"/>
        </w:rPr>
        <w:t> </w:t>
      </w:r>
      <w:r>
        <w:rPr>
          <w:rFonts w:ascii="宋体" w:hAnsi="宋体" w:cs="宋体" w:eastAsia="宋体" w:hint="default"/>
          <w:spacing w:val="-4"/>
          <w:sz w:val="21"/>
          <w:szCs w:val="21"/>
        </w:rPr>
        <w:t>万元，同比下</w:t>
      </w:r>
      <w:r>
        <w:rPr>
          <w:rFonts w:ascii="宋体" w:hAnsi="宋体" w:cs="宋体" w:eastAsia="宋体" w:hint="default"/>
          <w:sz w:val="21"/>
          <w:szCs w:val="21"/>
        </w:rPr>
        <w:t> 降</w:t>
      </w:r>
      <w:r>
        <w:rPr>
          <w:rFonts w:ascii="宋体" w:hAnsi="宋体" w:cs="宋体" w:eastAsia="宋体" w:hint="default"/>
          <w:spacing w:val="-54"/>
          <w:sz w:val="21"/>
          <w:szCs w:val="21"/>
        </w:rPr>
        <w:t> </w:t>
      </w:r>
      <w:r>
        <w:rPr>
          <w:rFonts w:ascii="宋体" w:hAnsi="宋体" w:cs="宋体" w:eastAsia="宋体" w:hint="default"/>
          <w:sz w:val="21"/>
          <w:szCs w:val="21"/>
        </w:rPr>
        <w:t>61.99%</w:t>
      </w:r>
      <w:r>
        <w:rPr>
          <w:rFonts w:ascii="宋体" w:hAnsi="宋体" w:cs="宋体" w:eastAsia="宋体" w:hint="default"/>
          <w:sz w:val="21"/>
          <w:szCs w:val="21"/>
        </w:rPr>
        <w:t>；归属上市公司股东的净利润为</w:t>
      </w:r>
      <w:r>
        <w:rPr>
          <w:rFonts w:ascii="宋体" w:hAnsi="宋体" w:cs="宋体" w:eastAsia="宋体" w:hint="default"/>
          <w:spacing w:val="-53"/>
          <w:sz w:val="21"/>
          <w:szCs w:val="21"/>
        </w:rPr>
        <w:t> </w:t>
      </w:r>
      <w:r>
        <w:rPr>
          <w:rFonts w:ascii="宋体" w:hAnsi="宋体" w:cs="宋体" w:eastAsia="宋体" w:hint="default"/>
          <w:sz w:val="21"/>
          <w:szCs w:val="21"/>
        </w:rPr>
        <w:t>4,326.56</w:t>
      </w:r>
      <w:r>
        <w:rPr>
          <w:rFonts w:ascii="宋体" w:hAnsi="宋体" w:cs="宋体" w:eastAsia="宋体" w:hint="default"/>
          <w:spacing w:val="-54"/>
          <w:sz w:val="21"/>
          <w:szCs w:val="21"/>
        </w:rPr>
        <w:t> </w:t>
      </w:r>
      <w:r>
        <w:rPr>
          <w:rFonts w:ascii="宋体" w:hAnsi="宋体" w:cs="宋体" w:eastAsia="宋体" w:hint="default"/>
          <w:sz w:val="21"/>
          <w:szCs w:val="21"/>
        </w:rPr>
        <w:t>万元，同比下降</w:t>
      </w:r>
      <w:r>
        <w:rPr>
          <w:rFonts w:ascii="宋体" w:hAnsi="宋体" w:cs="宋体" w:eastAsia="宋体" w:hint="default"/>
          <w:spacing w:val="-54"/>
          <w:sz w:val="21"/>
          <w:szCs w:val="21"/>
        </w:rPr>
        <w:t> </w:t>
      </w:r>
      <w:r>
        <w:rPr>
          <w:rFonts w:ascii="宋体" w:hAnsi="宋体" w:cs="宋体" w:eastAsia="宋体" w:hint="default"/>
          <w:sz w:val="21"/>
          <w:szCs w:val="21"/>
        </w:rPr>
        <w:t>67.97%</w:t>
      </w:r>
      <w:r>
        <w:rPr>
          <w:rFonts w:ascii="宋体" w:hAnsi="宋体" w:cs="宋体" w:eastAsia="宋体" w:hint="default"/>
          <w:sz w:val="21"/>
          <w:szCs w:val="21"/>
        </w:rPr>
        <w:t>。 </w:t>
      </w:r>
      <w:r>
        <w:rPr>
          <w:rFonts w:ascii="宋体" w:hAnsi="宋体" w:cs="宋体" w:eastAsia="宋体" w:hint="default"/>
          <w:sz w:val="18"/>
          <w:szCs w:val="18"/>
        </w:rPr>
        <w:t>公司回顾总结前期披露的发展战略和经营计划在报告期内的进展情况</w:t>
      </w:r>
    </w:p>
    <w:p>
      <w:pPr>
        <w:pStyle w:val="BodyText"/>
        <w:spacing w:line="408" w:lineRule="auto"/>
        <w:ind w:right="1046" w:firstLine="420"/>
        <w:jc w:val="left"/>
      </w:pPr>
      <w:r>
        <w:rPr/>
        <w:t>报告期内，公司较好地执行了</w:t>
      </w:r>
      <w:r>
        <w:rPr>
          <w:spacing w:val="-52"/>
        </w:rPr>
        <w:t> </w:t>
      </w:r>
      <w:r>
        <w:rPr>
          <w:rFonts w:ascii="宋体" w:hAnsi="宋体" w:cs="宋体" w:eastAsia="宋体" w:hint="default"/>
        </w:rPr>
        <w:t>2014</w:t>
      </w:r>
      <w:r>
        <w:rPr>
          <w:rFonts w:ascii="宋体" w:hAnsi="宋体" w:cs="宋体" w:eastAsia="宋体" w:hint="default"/>
          <w:spacing w:val="-54"/>
        </w:rPr>
        <w:t> </w:t>
      </w:r>
      <w:r>
        <w:rPr/>
        <w:t>年初制定的发展战略和经营计划，公司各产品线布局完整，产品 </w:t>
      </w:r>
      <w:r>
        <w:rPr>
          <w:spacing w:val="-1"/>
        </w:rPr>
        <w:t>功能和型号进一步丰富，实现各产品线业务快速增长，同时在宽带技术研发、技术创新、营销和服务网络</w:t>
      </w:r>
      <w:r>
        <w:rPr>
          <w:spacing w:val="-86"/>
        </w:rPr>
        <w:t> </w:t>
      </w:r>
      <w:r>
        <w:rPr>
          <w:spacing w:val="-86"/>
        </w:rPr>
      </w:r>
      <w:r>
        <w:rPr>
          <w:spacing w:val="-1"/>
        </w:rPr>
        <w:t>建设、优化激励机制等方面均取得了较好的成绩，公司内控管理水平进一步提升。随着行业模拟向数字转</w:t>
      </w:r>
      <w:r>
        <w:rPr>
          <w:spacing w:val="-83"/>
        </w:rPr>
        <w:t> </w:t>
      </w:r>
      <w:r>
        <w:rPr>
          <w:spacing w:val="-83"/>
        </w:rPr>
      </w:r>
      <w:r>
        <w:rPr>
          <w:spacing w:val="-1"/>
        </w:rPr>
        <w:t>型，部分区域市场的竞争格局也发生了一些变化，公司未来将积极研究对策，进一步提升公司竞争力和品</w:t>
      </w:r>
      <w:r>
        <w:rPr>
          <w:spacing w:val="-83"/>
        </w:rPr>
        <w:t> </w:t>
      </w:r>
      <w:r>
        <w:rPr>
          <w:spacing w:val="-83"/>
        </w:rPr>
      </w:r>
      <w:r>
        <w:rPr/>
        <w:t>牌形象，确保实现公司未来发展战略。</w:t>
      </w:r>
    </w:p>
    <w:p>
      <w:pPr>
        <w:spacing w:before="34"/>
        <w:ind w:left="153" w:right="1046" w:firstLine="0"/>
        <w:jc w:val="left"/>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2"/>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1046"/>
        <w:jc w:val="left"/>
        <w:rPr>
          <w:b w:val="0"/>
          <w:bCs w:val="0"/>
        </w:rPr>
      </w:pPr>
      <w:bookmarkStart w:name="2、收入" w:id="22"/>
      <w:bookmarkEnd w:id="22"/>
      <w:r>
        <w:rPr>
          <w:b w:val="0"/>
          <w:bCs w:val="0"/>
        </w:rPr>
      </w:r>
      <w:r>
        <w:rPr>
          <w:rFonts w:ascii="Times New Roman" w:hAnsi="Times New Roman" w:cs="Times New Roman" w:eastAsia="Times New Roman" w:hint="default"/>
        </w:rPr>
        <w:t>2</w:t>
      </w:r>
      <w:r>
        <w:rPr/>
        <w:t>、收入</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3" w:right="1046"/>
        <w:jc w:val="left"/>
      </w:pPr>
      <w:r>
        <w:rPr>
          <w:rFonts w:ascii="宋体" w:hAnsi="宋体" w:cs="宋体" w:eastAsia="宋体" w:hint="default"/>
        </w:rPr>
        <w:t>2014</w:t>
      </w:r>
      <w:r>
        <w:rPr>
          <w:rFonts w:ascii="宋体" w:hAnsi="宋体" w:cs="宋体" w:eastAsia="宋体" w:hint="default"/>
          <w:spacing w:val="-52"/>
        </w:rPr>
        <w:t> </w:t>
      </w:r>
      <w:r>
        <w:rPr/>
        <w:t>年度，公司主营业务收入</w:t>
      </w:r>
      <w:r>
        <w:rPr>
          <w:spacing w:val="-54"/>
        </w:rPr>
        <w:t> </w:t>
      </w:r>
      <w:r>
        <w:rPr>
          <w:rFonts w:ascii="宋体" w:hAnsi="宋体" w:cs="宋体" w:eastAsia="宋体" w:hint="default"/>
        </w:rPr>
        <w:t>191,088.01</w:t>
      </w:r>
      <w:r>
        <w:rPr>
          <w:rFonts w:ascii="宋体" w:hAnsi="宋体" w:cs="宋体" w:eastAsia="宋体" w:hint="default"/>
          <w:spacing w:val="-53"/>
        </w:rPr>
        <w:t> </w:t>
      </w:r>
      <w:r>
        <w:rPr/>
        <w:t>万元，比上年度增加</w:t>
      </w:r>
      <w:r>
        <w:rPr>
          <w:spacing w:val="-54"/>
        </w:rPr>
        <w:t> </w:t>
      </w:r>
      <w:r>
        <w:rPr>
          <w:rFonts w:ascii="宋体" w:hAnsi="宋体" w:cs="宋体" w:eastAsia="宋体" w:hint="default"/>
        </w:rPr>
        <w:t>25,994.35</w:t>
      </w:r>
      <w:r>
        <w:rPr>
          <w:rFonts w:ascii="宋体" w:hAnsi="宋体" w:cs="宋体" w:eastAsia="宋体" w:hint="default"/>
          <w:spacing w:val="-53"/>
        </w:rPr>
        <w:t> </w:t>
      </w:r>
      <w:r>
        <w:rPr/>
        <w:t>万元，增长</w:t>
      </w:r>
      <w:r>
        <w:rPr>
          <w:spacing w:val="-54"/>
        </w:rPr>
        <w:t> </w:t>
      </w:r>
      <w:r>
        <w:rPr>
          <w:rFonts w:ascii="宋体" w:hAnsi="宋体" w:cs="宋体" w:eastAsia="宋体" w:hint="default"/>
        </w:rPr>
        <w:t>15.75%</w:t>
      </w:r>
      <w:r>
        <w:rPr/>
        <w:t>。</w:t>
      </w:r>
    </w:p>
    <w:p>
      <w:pPr>
        <w:spacing w:line="240" w:lineRule="auto" w:before="12"/>
        <w:rPr>
          <w:rFonts w:ascii="宋体" w:hAnsi="宋体" w:cs="宋体" w:eastAsia="宋体" w:hint="default"/>
          <w:sz w:val="13"/>
          <w:szCs w:val="13"/>
        </w:rPr>
      </w:pPr>
    </w:p>
    <w:p>
      <w:pPr>
        <w:spacing w:line="340" w:lineRule="auto" w:before="0"/>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公司重大的在手订单情况</w:t>
      </w:r>
    </w:p>
    <w:p>
      <w:pPr>
        <w:spacing w:line="340" w:lineRule="auto" w:before="40"/>
        <w:ind w:left="15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公司报告期内产品或服务发生重大变化或调整有关情况</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3" w:right="89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公司主要销售客户情况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419,801,430.11</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21.53%</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before="103"/>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257,583,326.00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13.21%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51,421,810.69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第三名</w:t>
            </w:r>
            <w:r>
              <w:rPr>
                <w:rFonts w:ascii="Times New Roman" w:hAnsi="Times New Roman" w:cs="Times New Roman" w:eastAsia="Times New Roman" w:hint="default"/>
                <w:sz w:val="18"/>
                <w:szCs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40,211,997.44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36,462,512.21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34,121,783.77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419,801,430.11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21.53%</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3、成本" w:id="23"/>
      <w:bookmarkEnd w:id="23"/>
      <w:r>
        <w:rPr>
          <w:b w:val="0"/>
          <w:bCs w:val="0"/>
        </w:rPr>
      </w:r>
      <w:r>
        <w:rPr>
          <w:rFonts w:ascii="Times New Roman" w:hAnsi="Times New Roman" w:cs="Times New Roman" w:eastAsia="Times New Roman" w:hint="default"/>
        </w:rPr>
        <w:t>3</w:t>
      </w:r>
      <w:r>
        <w:rPr/>
        <w:t>、成本</w:t>
      </w:r>
      <w:r>
        <w:rPr>
          <w:b w:val="0"/>
          <w:bCs w:val="0"/>
        </w:rPr>
      </w:r>
    </w:p>
    <w:p>
      <w:pPr>
        <w:spacing w:line="240" w:lineRule="auto" w:before="3"/>
        <w:rPr>
          <w:rFonts w:ascii="宋体" w:hAnsi="宋体" w:cs="宋体" w:eastAsia="宋体" w:hint="default"/>
          <w:b/>
          <w:bCs/>
          <w:sz w:val="23"/>
          <w:szCs w:val="23"/>
        </w:rPr>
      </w:pPr>
    </w:p>
    <w:p>
      <w:pPr>
        <w:spacing w:before="44"/>
        <w:ind w:left="154" w:right="1046"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19" w:lineRule="auto"/>
              <w:ind w:left="22" w:right="75"/>
              <w:jc w:val="left"/>
              <w:rPr>
                <w:rFonts w:ascii="宋体" w:hAnsi="宋体" w:cs="宋体" w:eastAsia="宋体" w:hint="default"/>
                <w:sz w:val="18"/>
                <w:szCs w:val="18"/>
              </w:rPr>
            </w:pPr>
            <w:r>
              <w:rPr>
                <w:rFonts w:ascii="宋体" w:hAnsi="宋体" w:cs="宋体" w:eastAsia="宋体" w:hint="default"/>
                <w:sz w:val="18"/>
                <w:szCs w:val="18"/>
              </w:rPr>
              <w:t>专业无线通信设 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664,625,106.67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595,713,788.42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-8.11%</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48,933,768.42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41,486,797.30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-0.33%</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11,783,968.06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9,546,340.66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-0.03%</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5,584,093.86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5,458,233.23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-0.12%</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5,346,069.44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5,058,916.40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317,523,296.61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186,075,047.40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7.43%</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30,870,768.18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19,425,066.48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6,384,204.06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4,335,277.23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0.08%</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4,338,372.38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2,141,496.26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8,285,036.04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2,543,879.55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0.46%</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产品分类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461,195,197.35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386,733,939.47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19.25%</w:t>
            </w:r>
          </w:p>
        </w:tc>
      </w:tr>
      <w:tr>
        <w:trPr>
          <w:trHeight w:val="403" w:hRule="exact"/>
        </w:trPr>
        <w:tc>
          <w:tcPr>
            <w:tcW w:w="1370" w:type="dxa"/>
            <w:vMerge/>
            <w:tcBorders>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41,589,512.01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35,412,566.37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nil" w:sz="6" w:space="0" w:color="auto"/>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10,257,024.58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8,307,780.03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23.46%</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5,190,488.60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4,811,679.02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4,604,296.18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4,273,101.88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7.75%</w:t>
            </w: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203,429,909.31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208,979,848.95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7,344,256.42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6,074,230.93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20.91%</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1,526,943.49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1,238,560.64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23.28%</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393,605.26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646,554.21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-39.12%</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741,773.26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785,814.52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w:t>
            </w:r>
          </w:p>
        </w:tc>
      </w:tr>
      <w:tr>
        <w:trPr>
          <w:trHeight w:val="402" w:hRule="exact"/>
        </w:trPr>
        <w:tc>
          <w:tcPr>
            <w:tcW w:w="13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317,523,296.61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186,075,047.40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70.64%</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30,870,768.18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19,425,066.48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58.92%</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6,384,204.06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4,335,277.23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47.26%</w:t>
            </w:r>
          </w:p>
        </w:tc>
      </w:tr>
      <w:tr>
        <w:trPr>
          <w:trHeight w:val="402" w:hRule="exact"/>
        </w:trPr>
        <w:tc>
          <w:tcPr>
            <w:tcW w:w="1370" w:type="dxa"/>
            <w:vMerge/>
            <w:tcBorders>
              <w:left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4,338,372.38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2,141,496.26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102.59%</w:t>
            </w:r>
          </w:p>
        </w:tc>
      </w:tr>
      <w:tr>
        <w:trPr>
          <w:trHeight w:val="402" w:hRule="exact"/>
        </w:trPr>
        <w:tc>
          <w:tcPr>
            <w:tcW w:w="1370" w:type="dxa"/>
            <w:vMerge/>
            <w:tcBorders>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8,285,036.04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2,543,879.55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225.69%</w:t>
            </w:r>
          </w:p>
        </w:tc>
      </w:tr>
    </w:tbl>
    <w:p>
      <w:pPr>
        <w:spacing w:line="357" w:lineRule="auto" w:before="51"/>
        <w:ind w:left="154" w:right="10392" w:firstLine="0"/>
        <w:jc w:val="left"/>
        <w:rPr>
          <w:rFonts w:ascii="宋体" w:hAnsi="宋体" w:cs="宋体" w:eastAsia="宋体" w:hint="default"/>
          <w:sz w:val="18"/>
          <w:szCs w:val="18"/>
        </w:rPr>
      </w:pPr>
      <w:r>
        <w:rPr>
          <w:rFonts w:ascii="宋体" w:hAnsi="宋体" w:cs="宋体" w:eastAsia="宋体" w:hint="default"/>
          <w:sz w:val="18"/>
          <w:szCs w:val="18"/>
        </w:rPr>
        <w:t>说明 无</w:t>
      </w:r>
    </w:p>
    <w:p>
      <w:pPr>
        <w:spacing w:before="29"/>
        <w:ind w:left="154" w:right="1046" w:firstLine="0"/>
        <w:jc w:val="left"/>
        <w:rPr>
          <w:rFonts w:ascii="宋体" w:hAnsi="宋体" w:cs="宋体" w:eastAsia="宋体" w:hint="default"/>
          <w:sz w:val="18"/>
          <w:szCs w:val="18"/>
        </w:rPr>
      </w:pPr>
      <w:r>
        <w:rPr>
          <w:rFonts w:ascii="宋体" w:hAnsi="宋体" w:cs="宋体" w:eastAsia="宋体" w:hint="default"/>
          <w:sz w:val="18"/>
          <w:szCs w:val="18"/>
        </w:rPr>
        <w:t>公司主要供应商情况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280,566,319.70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before="103"/>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127,130,578.09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55,183,700.00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40,488,750.00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34,173,610.86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23,589,680.75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280,566,319.70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4、费用" w:id="24"/>
      <w:bookmarkEnd w:id="24"/>
      <w:r>
        <w:rPr>
          <w:b w:val="0"/>
          <w:bCs w:val="0"/>
        </w:rPr>
      </w:r>
      <w:r>
        <w:rPr>
          <w:rFonts w:ascii="Times New Roman" w:hAnsi="Times New Roman" w:cs="Times New Roman" w:eastAsia="Times New Roman" w:hint="default"/>
        </w:rPr>
        <w:t>4</w:t>
      </w:r>
      <w:r>
        <w:rPr/>
        <w:t>、费用</w:t>
      </w:r>
      <w:r>
        <w:rPr>
          <w:b w:val="0"/>
          <w:bCs w:val="0"/>
        </w:rPr>
      </w:r>
    </w:p>
    <w:p>
      <w:pPr>
        <w:spacing w:line="240" w:lineRule="auto" w:before="9"/>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2309"/>
        <w:gridCol w:w="2660"/>
        <w:gridCol w:w="2660"/>
        <w:gridCol w:w="2032"/>
      </w:tblGrid>
      <w:tr>
        <w:trPr>
          <w:trHeight w:val="360"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tabs>
                <w:tab w:pos="411"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w:t>
            </w:r>
            <w:r>
              <w:rPr>
                <w:rFonts w:ascii="宋体" w:hAnsi="宋体" w:cs="宋体" w:eastAsia="宋体" w:hint="default"/>
                <w:sz w:val="18"/>
                <w:szCs w:val="18"/>
              </w:rPr>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w:t>
            </w:r>
            <w:r>
              <w:rPr>
                <w:rFonts w:ascii="宋体" w:hAnsi="宋体" w:cs="宋体" w:eastAsia="宋体" w:hint="default"/>
                <w:sz w:val="18"/>
                <w:szCs w:val="18"/>
              </w:rPr>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99" w:right="0"/>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同比增减</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r>
      <w:tr>
        <w:trPr>
          <w:trHeight w:val="359"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11,477,649.69</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15,837,940.74</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-27.53%</w:t>
            </w:r>
          </w:p>
        </w:tc>
      </w:tr>
      <w:tr>
        <w:trPr>
          <w:trHeight w:val="344"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346,218,023.94</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297,525,742.78</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16.37%</w:t>
            </w:r>
          </w:p>
        </w:tc>
      </w:tr>
      <w:tr>
        <w:trPr>
          <w:trHeight w:val="359"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389,235,746.82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358,339,077.80</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8.62%</w:t>
            </w:r>
          </w:p>
        </w:tc>
      </w:tr>
      <w:tr>
        <w:trPr>
          <w:trHeight w:val="359"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73,499,956.97</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pacing w:val="-1"/>
                <w:sz w:val="18"/>
              </w:rPr>
              <w:t>24,111,154.51</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204.84%</w:t>
            </w:r>
          </w:p>
        </w:tc>
      </w:tr>
      <w:tr>
        <w:trPr>
          <w:trHeight w:val="359"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33,008,308.32</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31,690,096.45</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4.16%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58" w:type="dxa"/>
        <w:tblLayout w:type="fixed"/>
        <w:tblCellMar>
          <w:top w:w="0" w:type="dxa"/>
          <w:left w:w="0" w:type="dxa"/>
          <w:bottom w:w="0" w:type="dxa"/>
          <w:right w:w="0" w:type="dxa"/>
        </w:tblCellMar>
        <w:tblLook w:val="01E0"/>
      </w:tblPr>
      <w:tblGrid>
        <w:gridCol w:w="2309"/>
        <w:gridCol w:w="2660"/>
        <w:gridCol w:w="2660"/>
        <w:gridCol w:w="2032"/>
      </w:tblGrid>
      <w:tr>
        <w:trPr>
          <w:trHeight w:val="343" w:hRule="exact"/>
        </w:trPr>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09" w:right="0"/>
              <w:jc w:val="left"/>
              <w:rPr>
                <w:rFonts w:ascii="Times New Roman" w:hAnsi="Times New Roman" w:cs="Times New Roman" w:eastAsia="Times New Roman" w:hint="default"/>
                <w:sz w:val="18"/>
                <w:szCs w:val="18"/>
              </w:rPr>
            </w:pPr>
            <w:r>
              <w:rPr>
                <w:rFonts w:ascii="Times New Roman"/>
                <w:sz w:val="18"/>
              </w:rPr>
              <w:t>16,491,159.40</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609" w:right="0"/>
              <w:jc w:val="left"/>
              <w:rPr>
                <w:rFonts w:ascii="Times New Roman" w:hAnsi="Times New Roman" w:cs="Times New Roman" w:eastAsia="Times New Roman" w:hint="default"/>
                <w:sz w:val="18"/>
                <w:szCs w:val="18"/>
              </w:rPr>
            </w:pPr>
            <w:r>
              <w:rPr>
                <w:rFonts w:ascii="Times New Roman"/>
                <w:sz w:val="18"/>
              </w:rPr>
              <w:t>22,141,840.57</w:t>
            </w:r>
          </w:p>
        </w:tc>
        <w:tc>
          <w:tcPr>
            <w:tcW w:w="2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-25.52%</w:t>
            </w:r>
          </w:p>
        </w:tc>
      </w:tr>
    </w:tbl>
    <w:p>
      <w:pPr>
        <w:pStyle w:val="BodyText"/>
        <w:spacing w:line="408" w:lineRule="auto" w:before="63"/>
        <w:ind w:left="173" w:right="1147" w:firstLine="420"/>
        <w:jc w:val="left"/>
      </w:pPr>
      <w:r>
        <w:rPr/>
        <w:t>变动原因分析：财务费用比去年同期增长</w:t>
      </w:r>
      <w:r>
        <w:rPr>
          <w:spacing w:val="-54"/>
        </w:rPr>
        <w:t> </w:t>
      </w:r>
      <w:r>
        <w:rPr>
          <w:rFonts w:ascii="宋体" w:hAnsi="宋体" w:cs="宋体" w:eastAsia="宋体" w:hint="default"/>
        </w:rPr>
        <w:t>204.84%</w:t>
      </w:r>
      <w:r>
        <w:rPr/>
        <w:t>，主要原因是报告期因欧元、英镑贬值导致汇兑损 失增加、银行借款较上年增长及本期票据贴现增加导致利息支出增加引起。</w:t>
      </w:r>
    </w:p>
    <w:p>
      <w:pPr>
        <w:spacing w:line="240" w:lineRule="auto" w:before="8"/>
        <w:rPr>
          <w:rFonts w:ascii="宋体" w:hAnsi="宋体" w:cs="宋体" w:eastAsia="宋体" w:hint="default"/>
          <w:sz w:val="20"/>
          <w:szCs w:val="20"/>
        </w:rPr>
      </w:pPr>
    </w:p>
    <w:p>
      <w:pPr>
        <w:pStyle w:val="Heading3"/>
        <w:spacing w:line="240" w:lineRule="auto"/>
        <w:ind w:left="173" w:right="1147"/>
        <w:jc w:val="left"/>
        <w:rPr>
          <w:b w:val="0"/>
          <w:bCs w:val="0"/>
        </w:rPr>
      </w:pPr>
      <w:bookmarkStart w:name="5、研发支出" w:id="25"/>
      <w:bookmarkEnd w:id="25"/>
      <w:r>
        <w:rPr>
          <w:b w:val="0"/>
          <w:bCs w:val="0"/>
        </w:rPr>
      </w:r>
      <w:r>
        <w:rPr>
          <w:rFonts w:ascii="Times New Roman" w:hAnsi="Times New Roman" w:cs="Times New Roman" w:eastAsia="Times New Roman" w:hint="default"/>
        </w:rPr>
        <w:t>5</w:t>
      </w:r>
      <w:r>
        <w:rPr/>
        <w:t>、研发支出</w:t>
      </w:r>
      <w:r>
        <w:rPr>
          <w:b w:val="0"/>
          <w:bCs w:val="0"/>
        </w:rPr>
      </w:r>
    </w:p>
    <w:p>
      <w:pPr>
        <w:spacing w:line="240" w:lineRule="auto" w:before="9"/>
        <w:rPr>
          <w:rFonts w:ascii="宋体" w:hAnsi="宋体" w:cs="宋体" w:eastAsia="宋体" w:hint="default"/>
          <w:b/>
          <w:bCs/>
          <w:sz w:val="25"/>
          <w:szCs w:val="25"/>
        </w:rPr>
      </w:pPr>
    </w:p>
    <w:tbl>
      <w:tblPr>
        <w:tblW w:w="0" w:type="auto"/>
        <w:jc w:val="left"/>
        <w:tblInd w:w="112" w:type="dxa"/>
        <w:tblLayout w:type="fixed"/>
        <w:tblCellMar>
          <w:top w:w="0" w:type="dxa"/>
          <w:left w:w="0" w:type="dxa"/>
          <w:bottom w:w="0" w:type="dxa"/>
          <w:right w:w="0" w:type="dxa"/>
        </w:tblCellMar>
        <w:tblLook w:val="01E0"/>
      </w:tblPr>
      <w:tblGrid>
        <w:gridCol w:w="2631"/>
        <w:gridCol w:w="2372"/>
        <w:gridCol w:w="2373"/>
        <w:gridCol w:w="2372"/>
      </w:tblGrid>
      <w:tr>
        <w:trPr>
          <w:trHeight w:val="350" w:hRule="exact"/>
        </w:trPr>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b/>
                <w:bCs/>
                <w:sz w:val="18"/>
                <w:szCs w:val="18"/>
              </w:rPr>
              <w:t>项目名称</w:t>
            </w:r>
            <w:r>
              <w:rPr>
                <w:rFonts w:ascii="宋体" w:hAnsi="宋体" w:cs="宋体" w:eastAsia="宋体" w:hint="default"/>
                <w:sz w:val="18"/>
                <w:szCs w:val="18"/>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2014</w:t>
            </w:r>
            <w:r>
              <w:rPr>
                <w:rFonts w:ascii="宋体" w:hAnsi="宋体" w:cs="宋体" w:eastAsia="宋体" w:hint="default"/>
                <w:b/>
                <w:bCs/>
                <w:w w:val="95"/>
                <w:sz w:val="18"/>
                <w:szCs w:val="18"/>
              </w:rPr>
              <w:t>年</w:t>
            </w:r>
            <w:r>
              <w:rPr>
                <w:rFonts w:ascii="宋体" w:hAnsi="宋体" w:cs="宋体" w:eastAsia="宋体" w:hint="default"/>
                <w:sz w:val="18"/>
                <w:szCs w:val="18"/>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2013</w:t>
            </w:r>
            <w:r>
              <w:rPr>
                <w:rFonts w:ascii="宋体" w:hAnsi="宋体" w:cs="宋体" w:eastAsia="宋体" w:hint="default"/>
                <w:b/>
                <w:bCs/>
                <w:w w:val="95"/>
                <w:sz w:val="18"/>
                <w:szCs w:val="18"/>
              </w:rPr>
              <w:t>年</w:t>
            </w:r>
            <w:r>
              <w:rPr>
                <w:rFonts w:ascii="宋体" w:hAnsi="宋体" w:cs="宋体" w:eastAsia="宋体" w:hint="default"/>
                <w:sz w:val="18"/>
                <w:szCs w:val="18"/>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
              <w:jc w:val="right"/>
              <w:rPr>
                <w:rFonts w:ascii="宋体" w:hAnsi="宋体" w:cs="宋体" w:eastAsia="宋体" w:hint="default"/>
                <w:sz w:val="18"/>
                <w:szCs w:val="18"/>
              </w:rPr>
            </w:pPr>
            <w:r>
              <w:rPr>
                <w:rFonts w:ascii="Times New Roman" w:hAnsi="Times New Roman" w:cs="Times New Roman" w:eastAsia="Times New Roman" w:hint="default"/>
                <w:b/>
                <w:bCs/>
                <w:w w:val="95"/>
                <w:sz w:val="18"/>
                <w:szCs w:val="18"/>
              </w:rPr>
              <w:t>2012</w:t>
            </w:r>
            <w:r>
              <w:rPr>
                <w:rFonts w:ascii="宋体" w:hAnsi="宋体" w:cs="宋体" w:eastAsia="宋体" w:hint="default"/>
                <w:b/>
                <w:bCs/>
                <w:w w:val="95"/>
                <w:sz w:val="18"/>
                <w:szCs w:val="18"/>
              </w:rPr>
              <w:t>年</w:t>
            </w:r>
            <w:r>
              <w:rPr>
                <w:rFonts w:ascii="宋体" w:hAnsi="宋体" w:cs="宋体" w:eastAsia="宋体" w:hint="default"/>
                <w:sz w:val="18"/>
                <w:szCs w:val="18"/>
              </w:rPr>
            </w:r>
          </w:p>
        </w:tc>
      </w:tr>
      <w:tr>
        <w:trPr>
          <w:trHeight w:val="350" w:hRule="exact"/>
        </w:trPr>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219,702,677.43</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202,720,766.28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186,410,520.77</w:t>
            </w:r>
          </w:p>
        </w:tc>
      </w:tr>
      <w:tr>
        <w:trPr>
          <w:trHeight w:val="349" w:hRule="exact"/>
        </w:trPr>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11.27%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z w:val="18"/>
              </w:rPr>
              <w:t>12.04%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16.42%</w:t>
            </w:r>
          </w:p>
        </w:tc>
      </w:tr>
      <w:tr>
        <w:trPr>
          <w:trHeight w:val="350" w:hRule="exact"/>
        </w:trPr>
        <w:tc>
          <w:tcPr>
            <w:tcW w:w="2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占净资产比重</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10.97%</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z w:val="18"/>
              </w:rPr>
              <w:t>10.25%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10.04%</w:t>
            </w:r>
          </w:p>
        </w:tc>
      </w:tr>
    </w:tbl>
    <w:p>
      <w:pPr>
        <w:spacing w:line="240" w:lineRule="auto" w:before="2"/>
        <w:rPr>
          <w:rFonts w:ascii="宋体" w:hAnsi="宋体" w:cs="宋体" w:eastAsia="宋体" w:hint="default"/>
          <w:b/>
          <w:bCs/>
          <w:sz w:val="19"/>
          <w:szCs w:val="19"/>
        </w:rPr>
      </w:pPr>
    </w:p>
    <w:p>
      <w:pPr>
        <w:pStyle w:val="Heading3"/>
        <w:spacing w:line="240" w:lineRule="auto" w:before="35"/>
        <w:ind w:left="174" w:right="1147"/>
        <w:jc w:val="left"/>
        <w:rPr>
          <w:b w:val="0"/>
          <w:bCs w:val="0"/>
        </w:rPr>
      </w:pPr>
      <w:bookmarkStart w:name="6、现金流" w:id="26"/>
      <w:bookmarkEnd w:id="26"/>
      <w:r>
        <w:rPr>
          <w:b w:val="0"/>
          <w:bCs w:val="0"/>
        </w:rPr>
      </w:r>
      <w:r>
        <w:rPr>
          <w:rFonts w:ascii="Times New Roman" w:hAnsi="Times New Roman" w:cs="Times New Roman" w:eastAsia="Times New Roman" w:hint="default"/>
        </w:rPr>
        <w:t>6</w:t>
      </w:r>
      <w:r>
        <w:rPr/>
        <w:t>、现金流</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8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1,992,818,366.75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1,719,257,159.05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15.91%</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1,876,780,296.73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1,642,655,341.48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14.25%</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116,038,070.02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76,601,817.57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367,172,477.24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196,328,824.15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87.02%</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596,448,633.60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589,368,940.91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-229,276,156.36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-393,040,116.76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41.67%</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1,324,143,360.04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860,946,243.64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53.80%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1,247,265,756.03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505,380,613.76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146.80%</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86"/>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76,877,604.01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355,565,629.88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-78.38%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-46,353,566.67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32,741,018.60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-241.58%</w:t>
            </w:r>
            <w:r>
              <w:rPr>
                <w:rFonts w:ascii="Times New Roman"/>
                <w:sz w:val="18"/>
              </w:rPr>
            </w:r>
          </w:p>
        </w:tc>
      </w:tr>
    </w:tbl>
    <w:p>
      <w:pPr>
        <w:spacing w:before="51"/>
        <w:ind w:left="174" w:right="1147"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73" w:right="114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93" w:right="1147"/>
        <w:jc w:val="left"/>
      </w:pPr>
      <w:r>
        <w:rPr/>
        <w:t>（</w:t>
      </w:r>
      <w:r>
        <w:rPr>
          <w:rFonts w:ascii="宋体" w:hAnsi="宋体" w:cs="宋体" w:eastAsia="宋体" w:hint="default"/>
        </w:rPr>
        <w:t>1</w:t>
      </w:r>
      <w:r>
        <w:rPr/>
        <w:t>）经营活动现金流量</w:t>
      </w:r>
    </w:p>
    <w:p>
      <w:pPr>
        <w:spacing w:line="240" w:lineRule="auto" w:before="10"/>
        <w:rPr>
          <w:rFonts w:ascii="宋体" w:hAnsi="宋体" w:cs="宋体" w:eastAsia="宋体" w:hint="default"/>
          <w:sz w:val="14"/>
          <w:szCs w:val="14"/>
        </w:rPr>
      </w:pPr>
    </w:p>
    <w:p>
      <w:pPr>
        <w:pStyle w:val="BodyText"/>
        <w:spacing w:line="408" w:lineRule="auto" w:before="0"/>
        <w:ind w:left="173" w:right="1132" w:firstLine="420"/>
        <w:jc w:val="both"/>
      </w:pPr>
      <w:r>
        <w:rPr/>
        <w:t>经营活动产生的现金流量净额</w:t>
      </w:r>
      <w:r>
        <w:rPr>
          <w:spacing w:val="-54"/>
        </w:rPr>
        <w:t> </w:t>
      </w:r>
      <w:r>
        <w:rPr>
          <w:rFonts w:ascii="宋体" w:hAnsi="宋体" w:cs="宋体" w:eastAsia="宋体" w:hint="default"/>
        </w:rPr>
        <w:t>11,603.81</w:t>
      </w:r>
      <w:r>
        <w:rPr>
          <w:rFonts w:ascii="宋体" w:hAnsi="宋体" w:cs="宋体" w:eastAsia="宋体" w:hint="default"/>
          <w:spacing w:val="-53"/>
        </w:rPr>
        <w:t> </w:t>
      </w:r>
      <w:r>
        <w:rPr/>
        <w:t>万元，同比增加</w:t>
      </w:r>
      <w:r>
        <w:rPr>
          <w:spacing w:val="-54"/>
        </w:rPr>
        <w:t> </w:t>
      </w:r>
      <w:r>
        <w:rPr>
          <w:rFonts w:ascii="宋体" w:hAnsi="宋体" w:cs="宋体" w:eastAsia="宋体" w:hint="default"/>
        </w:rPr>
        <w:t>3,943.63</w:t>
      </w:r>
      <w:r>
        <w:rPr>
          <w:rFonts w:ascii="宋体" w:hAnsi="宋体" w:cs="宋体" w:eastAsia="宋体" w:hint="default"/>
          <w:spacing w:val="-54"/>
        </w:rPr>
        <w:t> </w:t>
      </w:r>
      <w:r>
        <w:rPr/>
        <w:t>万元，同比增长</w:t>
      </w:r>
      <w:r>
        <w:rPr>
          <w:spacing w:val="-54"/>
        </w:rPr>
        <w:t> </w:t>
      </w:r>
      <w:r>
        <w:rPr>
          <w:rFonts w:ascii="宋体" w:hAnsi="宋体" w:cs="宋体" w:eastAsia="宋体" w:hint="default"/>
        </w:rPr>
        <w:t>51.48%</w:t>
      </w:r>
      <w:r>
        <w:rPr/>
        <w:t>；其中： 经营活动现金流入同比增加</w:t>
      </w:r>
      <w:r>
        <w:rPr>
          <w:spacing w:val="-45"/>
        </w:rPr>
        <w:t> </w:t>
      </w:r>
      <w:r>
        <w:rPr>
          <w:rFonts w:ascii="宋体" w:hAnsi="宋体" w:cs="宋体" w:eastAsia="宋体" w:hint="default"/>
        </w:rPr>
        <w:t>27,356.12</w:t>
      </w:r>
      <w:r>
        <w:rPr>
          <w:rFonts w:ascii="宋体" w:hAnsi="宋体" w:cs="宋体" w:eastAsia="宋体" w:hint="default"/>
          <w:spacing w:val="-45"/>
        </w:rPr>
        <w:t> </w:t>
      </w:r>
      <w:r>
        <w:rPr>
          <w:spacing w:val="-4"/>
        </w:rPr>
        <w:t>万元，同比增长</w:t>
      </w:r>
      <w:r>
        <w:rPr>
          <w:spacing w:val="-45"/>
        </w:rPr>
        <w:t> </w:t>
      </w:r>
      <w:r>
        <w:rPr>
          <w:rFonts w:ascii="宋体" w:hAnsi="宋体" w:cs="宋体" w:eastAsia="宋体" w:hint="default"/>
          <w:spacing w:val="-3"/>
        </w:rPr>
        <w:t>15.91%</w:t>
      </w:r>
      <w:r>
        <w:rPr>
          <w:spacing w:val="-3"/>
        </w:rPr>
        <w:t>，主要原因是报告期公司回款增加引起；经</w:t>
      </w:r>
      <w:r>
        <w:rPr/>
        <w:t> 营活动现金流出增加</w:t>
      </w:r>
      <w:r>
        <w:rPr>
          <w:spacing w:val="-54"/>
        </w:rPr>
        <w:t> </w:t>
      </w:r>
      <w:r>
        <w:rPr>
          <w:rFonts w:ascii="宋体" w:hAnsi="宋体" w:cs="宋体" w:eastAsia="宋体" w:hint="default"/>
        </w:rPr>
        <w:t>23,412.50</w:t>
      </w:r>
      <w:r>
        <w:rPr>
          <w:rFonts w:ascii="宋体" w:hAnsi="宋体" w:cs="宋体" w:eastAsia="宋体" w:hint="default"/>
          <w:spacing w:val="-54"/>
        </w:rPr>
        <w:t> </w:t>
      </w:r>
      <w:r>
        <w:rPr/>
        <w:t>万元，同比增长</w:t>
      </w:r>
      <w:r>
        <w:rPr>
          <w:spacing w:val="-54"/>
        </w:rPr>
        <w:t> </w:t>
      </w:r>
      <w:r>
        <w:rPr>
          <w:rFonts w:ascii="宋体" w:hAnsi="宋体" w:cs="宋体" w:eastAsia="宋体" w:hint="default"/>
        </w:rPr>
        <w:t>14.25%</w:t>
      </w:r>
      <w:r>
        <w:rPr/>
        <w:t>，主要原因是报告期支付材料款增加引起；</w:t>
      </w:r>
    </w:p>
    <w:p>
      <w:pPr>
        <w:pStyle w:val="BodyText"/>
        <w:spacing w:line="240" w:lineRule="auto"/>
        <w:ind w:left="594" w:right="1147"/>
        <w:jc w:val="left"/>
      </w:pPr>
      <w:r>
        <w:rPr/>
        <w:t>（</w:t>
      </w:r>
      <w:r>
        <w:rPr>
          <w:rFonts w:ascii="宋体" w:hAnsi="宋体" w:cs="宋体" w:eastAsia="宋体" w:hint="default"/>
        </w:rPr>
        <w:t>2</w:t>
      </w:r>
      <w:r>
        <w:rPr/>
        <w:t>）投资活动现金流量</w:t>
      </w:r>
    </w:p>
    <w:p>
      <w:pPr>
        <w:spacing w:line="240" w:lineRule="auto" w:before="10"/>
        <w:rPr>
          <w:rFonts w:ascii="宋体" w:hAnsi="宋体" w:cs="宋体" w:eastAsia="宋体" w:hint="default"/>
          <w:sz w:val="14"/>
          <w:szCs w:val="14"/>
        </w:rPr>
      </w:pPr>
    </w:p>
    <w:p>
      <w:pPr>
        <w:pStyle w:val="BodyText"/>
        <w:spacing w:line="240" w:lineRule="auto" w:before="0"/>
        <w:ind w:left="594" w:right="0"/>
        <w:jc w:val="left"/>
      </w:pPr>
      <w:r>
        <w:rPr/>
        <w:t>投资活动产生的现金流量净额</w:t>
      </w:r>
      <w:r>
        <w:rPr>
          <w:rFonts w:ascii="宋体" w:hAnsi="宋体" w:cs="宋体" w:eastAsia="宋体" w:hint="default"/>
        </w:rPr>
        <w:t>-22,927.62</w:t>
      </w:r>
      <w:r>
        <w:rPr>
          <w:rFonts w:ascii="宋体" w:hAnsi="宋体" w:cs="宋体" w:eastAsia="宋体" w:hint="default"/>
          <w:spacing w:val="-60"/>
        </w:rPr>
        <w:t> </w:t>
      </w:r>
      <w:r>
        <w:rPr/>
        <w:t>万元，同比增加</w:t>
      </w:r>
      <w:r>
        <w:rPr>
          <w:spacing w:val="-61"/>
        </w:rPr>
        <w:t> </w:t>
      </w:r>
      <w:r>
        <w:rPr>
          <w:rFonts w:ascii="宋体" w:hAnsi="宋体" w:cs="宋体" w:eastAsia="宋体" w:hint="default"/>
        </w:rPr>
        <w:t>16,376.40</w:t>
      </w:r>
      <w:r>
        <w:rPr>
          <w:rFonts w:ascii="宋体" w:hAnsi="宋体" w:cs="宋体" w:eastAsia="宋体" w:hint="default"/>
          <w:spacing w:val="-60"/>
        </w:rPr>
        <w:t> </w:t>
      </w:r>
      <w:r>
        <w:rPr/>
        <w:t>万元，同比增长</w:t>
      </w:r>
      <w:r>
        <w:rPr>
          <w:spacing w:val="-60"/>
        </w:rPr>
        <w:t> </w:t>
      </w:r>
      <w:r>
        <w:rPr>
          <w:rFonts w:ascii="宋体" w:hAnsi="宋体" w:cs="宋体" w:eastAsia="宋体" w:hint="default"/>
        </w:rPr>
        <w:t>41.67%</w:t>
      </w:r>
      <w:r>
        <w:rPr/>
        <w:t>；其中，</w:t>
      </w:r>
    </w:p>
    <w:p>
      <w:pPr>
        <w:spacing w:after="0" w:line="240" w:lineRule="auto"/>
        <w:jc w:val="left"/>
        <w:sectPr>
          <w:pgSz w:w="11910" w:h="16840"/>
          <w:pgMar w:header="747" w:footer="979" w:top="1060" w:bottom="1160" w:left="960" w:right="0"/>
        </w:sectPr>
      </w:pPr>
    </w:p>
    <w:p>
      <w:pPr>
        <w:spacing w:line="240" w:lineRule="auto" w:before="0"/>
        <w:rPr>
          <w:rFonts w:ascii="宋体" w:hAnsi="宋体" w:cs="宋体" w:eastAsia="宋体" w:hint="default"/>
          <w:sz w:val="20"/>
          <w:szCs w:val="20"/>
        </w:rPr>
      </w:pPr>
    </w:p>
    <w:p>
      <w:pPr>
        <w:pStyle w:val="BodyText"/>
        <w:spacing w:line="408" w:lineRule="auto" w:before="174"/>
        <w:ind w:right="1117"/>
        <w:jc w:val="left"/>
      </w:pPr>
      <w:r>
        <w:rPr/>
        <w:t>投资活动现金流入同比增加</w:t>
      </w:r>
      <w:r>
        <w:rPr>
          <w:spacing w:val="-64"/>
        </w:rPr>
        <w:t> </w:t>
      </w:r>
      <w:r>
        <w:rPr>
          <w:rFonts w:ascii="宋体" w:hAnsi="宋体" w:cs="宋体" w:eastAsia="宋体" w:hint="default"/>
        </w:rPr>
        <w:t>17,084.37</w:t>
      </w:r>
      <w:r>
        <w:rPr>
          <w:rFonts w:ascii="宋体" w:hAnsi="宋体" w:cs="宋体" w:eastAsia="宋体" w:hint="default"/>
          <w:spacing w:val="-64"/>
        </w:rPr>
        <w:t> </w:t>
      </w:r>
      <w:r>
        <w:rPr>
          <w:spacing w:val="-6"/>
        </w:rPr>
        <w:t>万元，同比增长</w:t>
      </w:r>
      <w:r>
        <w:rPr>
          <w:spacing w:val="-64"/>
        </w:rPr>
        <w:t> </w:t>
      </w:r>
      <w:r>
        <w:rPr>
          <w:rFonts w:ascii="宋体" w:hAnsi="宋体" w:cs="宋体" w:eastAsia="宋体" w:hint="default"/>
        </w:rPr>
        <w:t>87.02%</w:t>
      </w:r>
      <w:r>
        <w:rPr/>
        <w:t>，主要原因是报告期收回理财产品本金增加 引起；</w:t>
      </w:r>
      <w:r>
        <w:rPr>
          <w:spacing w:val="-1"/>
        </w:rPr>
        <w:t> </w:t>
      </w:r>
      <w:r>
        <w:rPr/>
        <w:t>投资活动现金流出同比增加</w:t>
      </w:r>
      <w:r>
        <w:rPr>
          <w:spacing w:val="-54"/>
        </w:rPr>
        <w:t> </w:t>
      </w:r>
      <w:r>
        <w:rPr>
          <w:rFonts w:ascii="宋体" w:hAnsi="宋体" w:cs="宋体" w:eastAsia="宋体" w:hint="default"/>
        </w:rPr>
        <w:t>707.97</w:t>
      </w:r>
      <w:r>
        <w:rPr>
          <w:rFonts w:ascii="宋体" w:hAnsi="宋体" w:cs="宋体" w:eastAsia="宋体" w:hint="default"/>
          <w:spacing w:val="-53"/>
        </w:rPr>
        <w:t> </w:t>
      </w:r>
      <w:r>
        <w:rPr/>
        <w:t>万元，同比增长</w:t>
      </w:r>
      <w:r>
        <w:rPr>
          <w:spacing w:val="-54"/>
        </w:rPr>
        <w:t> </w:t>
      </w:r>
      <w:r>
        <w:rPr>
          <w:rFonts w:ascii="宋体" w:hAnsi="宋体" w:cs="宋体" w:eastAsia="宋体" w:hint="default"/>
        </w:rPr>
        <w:t>1.20%</w:t>
      </w:r>
      <w:r>
        <w:rPr/>
        <w:t>；</w:t>
      </w:r>
    </w:p>
    <w:p>
      <w:pPr>
        <w:pStyle w:val="BodyText"/>
        <w:spacing w:line="240" w:lineRule="auto"/>
        <w:ind w:left="574" w:right="1046"/>
        <w:jc w:val="left"/>
      </w:pPr>
      <w:r>
        <w:rPr/>
        <w:t>（</w:t>
      </w:r>
      <w:r>
        <w:rPr>
          <w:rFonts w:ascii="宋体" w:hAnsi="宋体" w:cs="宋体" w:eastAsia="宋体" w:hint="default"/>
        </w:rPr>
        <w:t>3</w:t>
      </w:r>
      <w:r>
        <w:rPr/>
        <w:t>）筹资活动现金流量</w:t>
      </w:r>
    </w:p>
    <w:p>
      <w:pPr>
        <w:spacing w:line="240" w:lineRule="auto" w:before="10"/>
        <w:rPr>
          <w:rFonts w:ascii="宋体" w:hAnsi="宋体" w:cs="宋体" w:eastAsia="宋体" w:hint="default"/>
          <w:sz w:val="14"/>
          <w:szCs w:val="14"/>
        </w:rPr>
      </w:pPr>
    </w:p>
    <w:p>
      <w:pPr>
        <w:pStyle w:val="BodyText"/>
        <w:spacing w:line="240" w:lineRule="auto" w:before="0"/>
        <w:ind w:left="0" w:right="1162"/>
        <w:jc w:val="right"/>
      </w:pPr>
      <w:r>
        <w:rPr/>
        <w:t>筹资活动产生的现金流量净额</w:t>
      </w:r>
      <w:r>
        <w:rPr>
          <w:spacing w:val="-53"/>
        </w:rPr>
        <w:t> </w:t>
      </w:r>
      <w:r>
        <w:rPr>
          <w:rFonts w:ascii="宋体" w:hAnsi="宋体" w:cs="宋体" w:eastAsia="宋体" w:hint="default"/>
        </w:rPr>
        <w:t>7,687.76</w:t>
      </w:r>
      <w:r>
        <w:rPr>
          <w:rFonts w:ascii="宋体" w:hAnsi="宋体" w:cs="宋体" w:eastAsia="宋体" w:hint="default"/>
          <w:spacing w:val="-53"/>
        </w:rPr>
        <w:t> </w:t>
      </w:r>
      <w:r>
        <w:rPr/>
        <w:t>万元，同比减少</w:t>
      </w:r>
      <w:r>
        <w:rPr>
          <w:spacing w:val="-54"/>
        </w:rPr>
        <w:t> </w:t>
      </w:r>
      <w:r>
        <w:rPr>
          <w:rFonts w:ascii="宋体" w:hAnsi="宋体" w:cs="宋体" w:eastAsia="宋体" w:hint="default"/>
        </w:rPr>
        <w:t>27,868.80</w:t>
      </w:r>
      <w:r>
        <w:rPr>
          <w:rFonts w:ascii="宋体" w:hAnsi="宋体" w:cs="宋体" w:eastAsia="宋体" w:hint="default"/>
          <w:spacing w:val="-53"/>
        </w:rPr>
        <w:t> </w:t>
      </w:r>
      <w:r>
        <w:rPr/>
        <w:t>万元，同比下降</w:t>
      </w:r>
      <w:r>
        <w:rPr>
          <w:spacing w:val="-53"/>
        </w:rPr>
        <w:t> </w:t>
      </w:r>
      <w:r>
        <w:rPr>
          <w:rFonts w:ascii="宋体" w:hAnsi="宋体" w:cs="宋体" w:eastAsia="宋体" w:hint="default"/>
        </w:rPr>
        <w:t>78.38%</w:t>
      </w:r>
      <w:r>
        <w:rPr/>
        <w:t>；其中，</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筹资活动现金流入同比增加</w:t>
      </w:r>
      <w:r>
        <w:rPr>
          <w:spacing w:val="-54"/>
        </w:rPr>
        <w:t> </w:t>
      </w:r>
      <w:r>
        <w:rPr>
          <w:rFonts w:ascii="宋体" w:hAnsi="宋体" w:cs="宋体" w:eastAsia="宋体" w:hint="default"/>
        </w:rPr>
        <w:t>46,319.71</w:t>
      </w:r>
      <w:r>
        <w:rPr>
          <w:rFonts w:ascii="宋体" w:hAnsi="宋体" w:cs="宋体" w:eastAsia="宋体" w:hint="default"/>
          <w:spacing w:val="-54"/>
        </w:rPr>
        <w:t> </w:t>
      </w:r>
      <w:r>
        <w:rPr/>
        <w:t>万元</w:t>
      </w:r>
      <w:r>
        <w:rPr>
          <w:rFonts w:ascii="宋体" w:hAnsi="宋体" w:cs="宋体" w:eastAsia="宋体" w:hint="default"/>
        </w:rPr>
        <w:t>,</w:t>
      </w:r>
      <w:r>
        <w:rPr/>
        <w:t>主要原因是公司资金需求增加，新增银行借款；筹资活动现</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金流出同比增加</w:t>
      </w:r>
      <w:r>
        <w:rPr>
          <w:spacing w:val="-53"/>
        </w:rPr>
        <w:t> </w:t>
      </w:r>
      <w:r>
        <w:rPr>
          <w:rFonts w:ascii="宋体" w:hAnsi="宋体" w:cs="宋体" w:eastAsia="宋体" w:hint="default"/>
        </w:rPr>
        <w:t>74,188.51</w:t>
      </w:r>
      <w:r>
        <w:rPr>
          <w:rFonts w:ascii="宋体" w:hAnsi="宋体" w:cs="宋体" w:eastAsia="宋体" w:hint="default"/>
          <w:spacing w:val="-53"/>
        </w:rPr>
        <w:t> </w:t>
      </w:r>
      <w:r>
        <w:rPr/>
        <w:t>万元，主要原因是报告期偿还银行到期借款增加引起。</w:t>
      </w:r>
    </w:p>
    <w:p>
      <w:pPr>
        <w:spacing w:line="240" w:lineRule="auto" w:before="11"/>
        <w:rPr>
          <w:rFonts w:ascii="宋体" w:hAnsi="宋体" w:cs="宋体" w:eastAsia="宋体" w:hint="default"/>
          <w:sz w:val="13"/>
          <w:szCs w:val="13"/>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报告期内公司经营活动的现金流量与本年度净利润存在重大差异的原因说明</w:t>
      </w:r>
    </w:p>
    <w:p>
      <w:pPr>
        <w:spacing w:before="117"/>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46"/>
        <w:jc w:val="left"/>
        <w:rPr>
          <w:b w:val="0"/>
          <w:bCs w:val="0"/>
        </w:rPr>
      </w:pPr>
      <w:bookmarkStart w:name="三、主营业务构成情况" w:id="27"/>
      <w:bookmarkEnd w:id="27"/>
      <w:r>
        <w:rPr>
          <w:b w:val="0"/>
          <w:bCs w:val="0"/>
        </w:rPr>
      </w:r>
      <w:r>
        <w:rPr/>
        <w:t>三、主营业务构成情况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6"/>
        <w:gridCol w:w="1366"/>
        <w:gridCol w:w="1370"/>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18" w:right="46"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09" w:right="49"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专业无线通信设 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1,507,074,651.16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736,273,006.45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403,805,472.34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367,401,677.27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1,040,090,033.56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522,836,518.72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-2.75%</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466,984,617.60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213,436,487.73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OEM</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403,805,472.34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367,401,677.27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5.87%</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904,659,045.80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670,216,864.42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40.70%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海外销售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1,006,221,077.70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433,457,819.30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0.90%</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46"/>
        <w:jc w:val="left"/>
        <w:rPr>
          <w:b w:val="0"/>
          <w:bCs w:val="0"/>
        </w:rPr>
      </w:pPr>
      <w:bookmarkStart w:name="四、资产、负债状况分析" w:id="28"/>
      <w:bookmarkEnd w:id="28"/>
      <w:r>
        <w:rPr>
          <w:b w:val="0"/>
          <w:bCs w:val="0"/>
        </w:rPr>
      </w:r>
      <w:r>
        <w:rPr/>
        <w:t>四、资产、负债状况分析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46"/>
        <w:jc w:val="left"/>
        <w:rPr>
          <w:b w:val="0"/>
          <w:bCs w:val="0"/>
        </w:rPr>
      </w:pPr>
      <w:bookmarkStart w:name="1、资产项目重大变动情况" w:id="29"/>
      <w:bookmarkEnd w:id="29"/>
      <w:r>
        <w:rPr>
          <w:b w:val="0"/>
          <w:bCs w:val="0"/>
        </w:rPr>
      </w:r>
      <w:r>
        <w:rPr>
          <w:rFonts w:ascii="Times New Roman" w:hAnsi="Times New Roman" w:cs="Times New Roman" w:eastAsia="Times New Roman" w:hint="default"/>
        </w:rPr>
        <w:t>1</w:t>
      </w:r>
      <w:r>
        <w:rPr/>
        <w:t>、资产项目重大变动情况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164"/>
        <w:gridCol w:w="1052"/>
        <w:gridCol w:w="1218"/>
        <w:gridCol w:w="1040"/>
        <w:gridCol w:w="942"/>
        <w:gridCol w:w="2786"/>
      </w:tblGrid>
      <w:tr>
        <w:trPr>
          <w:trHeight w:val="380" w:hRule="exact"/>
        </w:trPr>
        <w:tc>
          <w:tcPr>
            <w:tcW w:w="1357"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16"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left="7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42"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786"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57"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52"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6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18"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40"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24" w:right="65"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42"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111"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786"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84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52" w:type="dxa"/>
            <w:vMerge/>
            <w:tcBorders>
              <w:left w:val="single" w:sz="4" w:space="0" w:color="000000"/>
              <w:right w:val="single" w:sz="4" w:space="0" w:color="000000"/>
            </w:tcBorders>
            <w:shd w:val="clear" w:color="auto" w:fill="D2D2D2"/>
          </w:tcPr>
          <w:p>
            <w:pPr/>
          </w:p>
        </w:tc>
        <w:tc>
          <w:tcPr>
            <w:tcW w:w="12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40" w:type="dxa"/>
            <w:vMerge/>
            <w:tcBorders>
              <w:left w:val="single" w:sz="4" w:space="0" w:color="000000"/>
              <w:right w:val="single" w:sz="4" w:space="0" w:color="000000"/>
            </w:tcBorders>
            <w:shd w:val="clear" w:color="auto" w:fill="D2D2D2"/>
          </w:tcPr>
          <w:p>
            <w:pPr/>
          </w:p>
        </w:tc>
        <w:tc>
          <w:tcPr>
            <w:tcW w:w="942" w:type="dxa"/>
            <w:vMerge/>
            <w:tcBorders>
              <w:left w:val="single" w:sz="4" w:space="0" w:color="000000"/>
              <w:bottom w:val="nil" w:sz="6" w:space="0" w:color="auto"/>
              <w:right w:val="single" w:sz="4" w:space="0" w:color="000000"/>
            </w:tcBorders>
            <w:shd w:val="clear" w:color="auto" w:fill="D2D2D2"/>
          </w:tcPr>
          <w:p>
            <w:pPr/>
          </w:p>
        </w:tc>
        <w:tc>
          <w:tcPr>
            <w:tcW w:w="278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57"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c>
          <w:tcPr>
            <w:tcW w:w="1218" w:type="dxa"/>
            <w:vMerge/>
            <w:tcBorders>
              <w:left w:val="single" w:sz="4" w:space="0" w:color="000000"/>
              <w:bottom w:val="nil" w:sz="6" w:space="0" w:color="auto"/>
              <w:right w:val="single" w:sz="4" w:space="0" w:color="000000"/>
            </w:tcBorders>
            <w:shd w:val="clear" w:color="auto" w:fill="D2D2D2"/>
          </w:tcPr>
          <w:p>
            <w:pPr/>
          </w:p>
        </w:tc>
        <w:tc>
          <w:tcPr>
            <w:tcW w:w="1040" w:type="dxa"/>
            <w:vMerge/>
            <w:tcBorders>
              <w:left w:val="single" w:sz="4" w:space="0" w:color="000000"/>
              <w:right w:val="single" w:sz="4" w:space="0" w:color="000000"/>
            </w:tcBorders>
            <w:shd w:val="clear" w:color="auto" w:fill="D2D2D2"/>
          </w:tcPr>
          <w:p>
            <w:pPr/>
          </w:p>
        </w:tc>
        <w:tc>
          <w:tcPr>
            <w:tcW w:w="942" w:type="dxa"/>
            <w:vMerge w:val="restart"/>
            <w:tcBorders>
              <w:top w:val="nil" w:sz="6" w:space="0" w:color="auto"/>
              <w:left w:val="single" w:sz="4" w:space="0" w:color="000000"/>
              <w:right w:val="single" w:sz="4" w:space="0" w:color="000000"/>
            </w:tcBorders>
            <w:shd w:val="clear" w:color="auto" w:fill="D2D2D2"/>
          </w:tcPr>
          <w:p>
            <w:pPr/>
          </w:p>
        </w:tc>
        <w:tc>
          <w:tcPr>
            <w:tcW w:w="278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57"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2" w:type="dxa"/>
            <w:vMerge/>
            <w:tcBorders>
              <w:left w:val="single" w:sz="4" w:space="0" w:color="000000"/>
              <w:bottom w:val="single" w:sz="4" w:space="0" w:color="000000"/>
              <w:right w:val="single" w:sz="4" w:space="0" w:color="000000"/>
            </w:tcBorders>
            <w:shd w:val="clear" w:color="auto" w:fill="D2D2D2"/>
          </w:tcPr>
          <w:p>
            <w:pPr/>
          </w:p>
        </w:tc>
        <w:tc>
          <w:tcPr>
            <w:tcW w:w="12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942" w:type="dxa"/>
            <w:vMerge/>
            <w:tcBorders>
              <w:left w:val="single" w:sz="4" w:space="0" w:color="000000"/>
              <w:bottom w:val="single" w:sz="4" w:space="0" w:color="000000"/>
              <w:right w:val="single" w:sz="4" w:space="0" w:color="000000"/>
            </w:tcBorders>
            <w:shd w:val="clear" w:color="auto" w:fill="D2D2D2"/>
          </w:tcPr>
          <w:p>
            <w:pPr/>
          </w:p>
        </w:tc>
        <w:tc>
          <w:tcPr>
            <w:tcW w:w="278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84" w:right="0"/>
              <w:jc w:val="left"/>
              <w:rPr>
                <w:rFonts w:ascii="Times New Roman" w:hAnsi="Times New Roman" w:cs="Times New Roman" w:eastAsia="Times New Roman" w:hint="default"/>
                <w:sz w:val="18"/>
                <w:szCs w:val="18"/>
              </w:rPr>
            </w:pPr>
            <w:r>
              <w:rPr>
                <w:rFonts w:ascii="Times New Roman"/>
                <w:sz w:val="18"/>
              </w:rPr>
              <w:t>475,353,427.3</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75" w:right="0"/>
              <w:jc w:val="left"/>
              <w:rPr>
                <w:rFonts w:ascii="Times New Roman" w:hAnsi="Times New Roman" w:cs="Times New Roman" w:eastAsia="Times New Roman" w:hint="default"/>
                <w:sz w:val="18"/>
                <w:szCs w:val="18"/>
              </w:rPr>
            </w:pPr>
            <w:r>
              <w:rPr>
                <w:rFonts w:ascii="Times New Roman"/>
                <w:sz w:val="18"/>
              </w:rPr>
              <w:t>13.05%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 w:right="0"/>
              <w:jc w:val="left"/>
              <w:rPr>
                <w:rFonts w:ascii="Times New Roman" w:hAnsi="Times New Roman" w:cs="Times New Roman" w:eastAsia="Times New Roman" w:hint="default"/>
                <w:sz w:val="18"/>
                <w:szCs w:val="18"/>
              </w:rPr>
            </w:pPr>
            <w:r>
              <w:rPr>
                <w:rFonts w:ascii="Times New Roman"/>
                <w:sz w:val="18"/>
              </w:rPr>
              <w:t>513,030,678.00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63" w:right="0"/>
              <w:jc w:val="left"/>
              <w:rPr>
                <w:rFonts w:ascii="Times New Roman" w:hAnsi="Times New Roman" w:cs="Times New Roman" w:eastAsia="Times New Roman" w:hint="default"/>
                <w:sz w:val="18"/>
                <w:szCs w:val="18"/>
              </w:rPr>
            </w:pPr>
            <w:r>
              <w:rPr>
                <w:rFonts w:ascii="Times New Roman"/>
                <w:sz w:val="18"/>
              </w:rPr>
              <w:t>14.99%</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5" w:right="0"/>
              <w:jc w:val="left"/>
              <w:rPr>
                <w:rFonts w:ascii="Times New Roman" w:hAnsi="Times New Roman" w:cs="Times New Roman" w:eastAsia="Times New Roman" w:hint="default"/>
                <w:sz w:val="18"/>
                <w:szCs w:val="18"/>
              </w:rPr>
            </w:pPr>
            <w:r>
              <w:rPr>
                <w:rFonts w:ascii="Times New Roman"/>
                <w:sz w:val="18"/>
              </w:rPr>
              <w:t>-1.94%</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主要原因是报告期公司付现费用支</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930"/>
        <w:gridCol w:w="2786"/>
      </w:tblGrid>
      <w:tr>
        <w:trPr>
          <w:trHeight w:val="36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付及偿还银行借款较多所致。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1,040,580,608.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28.57%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954,239,645.87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0.69%</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主要原因是报告期收入增长，四季 度发货较多所致。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435,291,226.4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11.95%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415,243,241.99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12.13%</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-0.18%</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主要原因是报告期正常备货引起。</w:t>
            </w: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25,354,488.27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12,898,726.81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0.38%</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0.32%</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主要原因是报告期全资孙公司新元 电子房产由原自用改为出租，从而 转至投资性房地产所致。</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879,564,062.4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576,836,683.80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7.30%</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主要原因是报告期子公司哈海能达 新建设研发中心和天海电子新建厂 房大楼竣工，从在建工程转入固定 资产。</w:t>
            </w:r>
          </w:p>
        </w:tc>
      </w:tr>
      <w:tr>
        <w:trPr>
          <w:trHeight w:val="1338"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42,418,287.50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272,051,229.72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-6.79%</w:t>
            </w:r>
          </w:p>
        </w:tc>
        <w:tc>
          <w:tcPr>
            <w:tcW w:w="2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主要原因是报告期子公司哈海能达 新建设研发中心和天海电子新建厂 房大楼竣工，从在建工程转入固定 资产。</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负债项目重大变动情况" w:id="30"/>
      <w:bookmarkEnd w:id="30"/>
      <w:r>
        <w:rPr>
          <w:b w:val="0"/>
          <w:bCs w:val="0"/>
        </w:rPr>
      </w:r>
      <w:r>
        <w:rPr>
          <w:rFonts w:ascii="Times New Roman" w:hAnsi="Times New Roman" w:cs="Times New Roman" w:eastAsia="Times New Roman" w:hint="default"/>
        </w:rPr>
        <w:t>2</w:t>
      </w:r>
      <w:r>
        <w:rPr/>
        <w:t>、负债项目重大变动情况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6"/>
        <w:gridCol w:w="1063"/>
        <w:gridCol w:w="798"/>
        <w:gridCol w:w="2918"/>
      </w:tblGrid>
      <w:tr>
        <w:trPr>
          <w:trHeight w:val="380" w:hRule="exact"/>
        </w:trPr>
        <w:tc>
          <w:tcPr>
            <w:tcW w:w="136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227"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59" w:type="dxa"/>
            <w:gridSpan w:val="2"/>
            <w:tcBorders>
              <w:top w:val="single" w:sz="4" w:space="0" w:color="000000"/>
              <w:left w:val="single" w:sz="4" w:space="0" w:color="000000"/>
              <w:bottom w:val="single" w:sz="14" w:space="0" w:color="FFFFFF"/>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14" w:space="0" w:color="FFFFFF"/>
              <w:right w:val="single" w:sz="4" w:space="0" w:color="000000"/>
            </w:tcBorders>
            <w:shd w:val="clear" w:color="auto" w:fill="D2D2D2"/>
          </w:tcPr>
          <w:p>
            <w:pPr/>
          </w:p>
        </w:tc>
        <w:tc>
          <w:tcPr>
            <w:tcW w:w="2918" w:type="dxa"/>
            <w:tcBorders>
              <w:top w:val="single" w:sz="4" w:space="0" w:color="000000"/>
              <w:left w:val="single" w:sz="4" w:space="0" w:color="000000"/>
              <w:bottom w:val="single" w:sz="14" w:space="0" w:color="FFFFFF"/>
              <w:right w:val="single" w:sz="4" w:space="0" w:color="000000"/>
            </w:tcBorders>
            <w:shd w:val="clear" w:color="auto" w:fill="D2D2D2"/>
          </w:tcPr>
          <w:p>
            <w:pPr/>
          </w:p>
        </w:tc>
      </w:tr>
      <w:tr>
        <w:trPr>
          <w:trHeight w:val="184" w:hRule="exact"/>
        </w:trPr>
        <w:tc>
          <w:tcPr>
            <w:tcW w:w="1368" w:type="dxa"/>
            <w:vMerge w:val="restart"/>
            <w:tcBorders>
              <w:top w:val="single" w:sz="14" w:space="0" w:color="FFFFFF"/>
              <w:left w:val="single" w:sz="4" w:space="0" w:color="000000"/>
              <w:right w:val="single" w:sz="4" w:space="0" w:color="000000"/>
            </w:tcBorders>
            <w:shd w:val="clear" w:color="auto" w:fill="D2D2D2"/>
          </w:tcPr>
          <w:p>
            <w:pPr/>
          </w:p>
        </w:tc>
        <w:tc>
          <w:tcPr>
            <w:tcW w:w="1164"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6" w:type="dxa"/>
            <w:tcBorders>
              <w:top w:val="single" w:sz="14" w:space="0" w:color="FFFFFF"/>
              <w:left w:val="single" w:sz="4" w:space="0" w:color="000000"/>
              <w:bottom w:val="nil" w:sz="6" w:space="0" w:color="auto"/>
              <w:right w:val="single" w:sz="4" w:space="0" w:color="000000"/>
            </w:tcBorders>
            <w:shd w:val="clear" w:color="auto" w:fill="D2D2D2"/>
          </w:tcPr>
          <w:p>
            <w:pPr/>
          </w:p>
        </w:tc>
        <w:tc>
          <w:tcPr>
            <w:tcW w:w="1063" w:type="dxa"/>
            <w:vMerge w:val="restart"/>
            <w:tcBorders>
              <w:top w:val="single" w:sz="14" w:space="0" w:color="FFFFFF"/>
              <w:left w:val="single" w:sz="4" w:space="0" w:color="000000"/>
              <w:right w:val="single" w:sz="4" w:space="0" w:color="000000"/>
            </w:tcBorders>
            <w:shd w:val="clear" w:color="auto" w:fill="D2D2D2"/>
          </w:tcPr>
          <w:p>
            <w:pPr>
              <w:pStyle w:val="TableParagraph"/>
              <w:spacing w:line="316" w:lineRule="auto" w:before="6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14" w:space="0" w:color="FFFFFF"/>
              <w:left w:val="single" w:sz="4" w:space="0" w:color="000000"/>
              <w:right w:val="single" w:sz="4" w:space="0" w:color="000000"/>
            </w:tcBorders>
            <w:shd w:val="clear" w:color="auto" w:fill="D2D2D2"/>
          </w:tcPr>
          <w:p>
            <w:pPr>
              <w:pStyle w:val="TableParagraph"/>
              <w:spacing w:line="240" w:lineRule="auto" w:before="16"/>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2918"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
        </w:tc>
        <w:tc>
          <w:tcPr>
            <w:tcW w:w="291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464,174,723.1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12.75%</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576,225,852.93</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16.83%</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-4.08%</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主要原因是报告期偿还银行短期借 款所致。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318"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365,150,377.9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5" w:right="0"/>
              <w:jc w:val="left"/>
              <w:rPr>
                <w:rFonts w:ascii="Times New Roman" w:hAnsi="Times New Roman" w:cs="Times New Roman" w:eastAsia="Times New Roman" w:hint="default"/>
                <w:sz w:val="18"/>
                <w:szCs w:val="18"/>
              </w:rPr>
            </w:pPr>
            <w:r>
              <w:rPr>
                <w:rFonts w:ascii="Times New Roman"/>
                <w:sz w:val="18"/>
              </w:rPr>
              <w:t>10.03%</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89,718,246.58</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2.62%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7.41%</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主要原因是报告期新增进出口银行 </w:t>
            </w:r>
            <w:r>
              <w:rPr>
                <w:rFonts w:ascii="宋体" w:hAnsi="宋体" w:cs="宋体" w:eastAsia="宋体" w:hint="default"/>
                <w:spacing w:val="-2"/>
                <w:sz w:val="18"/>
                <w:szCs w:val="18"/>
              </w:rPr>
              <w:t>二年期优惠贷款，补充公司营运资金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所致。</w:t>
            </w: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vMerge/>
            <w:tcBorders>
              <w:left w:val="single" w:sz="9" w:space="0" w:color="D2D2D2"/>
              <w:right w:val="single" w:sz="4" w:space="0" w:color="000000"/>
            </w:tcBorders>
          </w:tcPr>
          <w:p>
            <w:pPr/>
          </w:p>
        </w:tc>
        <w:tc>
          <w:tcPr>
            <w:tcW w:w="1063"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63"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317"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442,596,380.7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354,143,358.28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主要原因是报告期应付供应商材料 款增加。</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59,777,901.47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83,717,993.51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主要原因是河南子公司预收账款减 少。</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一年内到期的非 流动负债</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49,797,222.80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73,771,166.28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主要原因是报告期一年内到期的长 期借款减少。</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3、以公允价值计量的资产和负债" w:id="31"/>
      <w:bookmarkEnd w:id="31"/>
      <w:r>
        <w:rPr>
          <w:b w:val="0"/>
          <w:bCs w:val="0"/>
        </w:rPr>
      </w:r>
      <w:r>
        <w:rPr>
          <w:rFonts w:ascii="Times New Roman" w:hAnsi="Times New Roman" w:cs="Times New Roman" w:eastAsia="Times New Roman" w:hint="default"/>
        </w:rPr>
        <w:t>3</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五、核心竞争力分析" w:id="32"/>
      <w:bookmarkEnd w:id="32"/>
      <w:r>
        <w:rPr>
          <w:b w:val="0"/>
          <w:bCs w:val="0"/>
        </w:rPr>
      </w:r>
      <w:r>
        <w:rPr/>
        <w:t>五、核心竞争力分析</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1046"/>
        <w:jc w:val="left"/>
      </w:pPr>
      <w:r>
        <w:rPr>
          <w:rFonts w:ascii="宋体" w:hAnsi="宋体" w:cs="宋体" w:eastAsia="宋体" w:hint="default"/>
        </w:rPr>
        <w:t>1</w:t>
      </w:r>
      <w:r>
        <w:rPr/>
        <w:t>、研发优势</w:t>
      </w:r>
    </w:p>
    <w:p>
      <w:pPr>
        <w:spacing w:line="240" w:lineRule="auto" w:before="10"/>
        <w:rPr>
          <w:rFonts w:ascii="宋体" w:hAnsi="宋体" w:cs="宋体" w:eastAsia="宋体" w:hint="default"/>
          <w:sz w:val="14"/>
          <w:szCs w:val="14"/>
        </w:rPr>
      </w:pPr>
    </w:p>
    <w:p>
      <w:pPr>
        <w:pStyle w:val="BodyText"/>
        <w:spacing w:line="408" w:lineRule="auto" w:before="0"/>
        <w:ind w:left="573" w:right="1046"/>
        <w:jc w:val="left"/>
      </w:pPr>
      <w:r>
        <w:rPr/>
        <w:t>（</w:t>
      </w:r>
      <w:r>
        <w:rPr>
          <w:rFonts w:ascii="宋体" w:hAnsi="宋体" w:cs="宋体" w:eastAsia="宋体" w:hint="default"/>
        </w:rPr>
        <w:t>1</w:t>
      </w:r>
      <w:r>
        <w:rPr/>
        <w:t>）科学的研发理念及国际化研发平台 </w:t>
      </w:r>
      <w:r>
        <w:rPr>
          <w:spacing w:val="-1"/>
        </w:rPr>
        <w:t>公司始终遵循“科学技术是第一生产力”的发展理念，将技术创新视为企业发展的核心动力。研发投</w:t>
      </w:r>
    </w:p>
    <w:p>
      <w:pPr>
        <w:pStyle w:val="BodyText"/>
        <w:spacing w:line="408" w:lineRule="auto"/>
        <w:ind w:right="1133"/>
        <w:jc w:val="both"/>
      </w:pPr>
      <w:r>
        <w:rPr/>
        <w:t>入一直保持在</w:t>
      </w:r>
      <w:r>
        <w:rPr>
          <w:spacing w:val="-54"/>
        </w:rPr>
        <w:t> </w:t>
      </w:r>
      <w:r>
        <w:rPr>
          <w:rFonts w:ascii="宋体" w:hAnsi="宋体" w:cs="宋体" w:eastAsia="宋体" w:hint="default"/>
        </w:rPr>
        <w:t>12%</w:t>
      </w:r>
      <w:r>
        <w:rPr/>
        <w:t>以上的比例，公司在中国深圳、哈尔滨及德国成立了</w:t>
      </w:r>
      <w:r>
        <w:rPr>
          <w:spacing w:val="-54"/>
        </w:rPr>
        <w:t> </w:t>
      </w:r>
      <w:r>
        <w:rPr>
          <w:rFonts w:ascii="宋体" w:hAnsi="宋体" w:cs="宋体" w:eastAsia="宋体" w:hint="default"/>
        </w:rPr>
        <w:t>3</w:t>
      </w:r>
      <w:r>
        <w:rPr>
          <w:rFonts w:ascii="宋体" w:hAnsi="宋体" w:cs="宋体" w:eastAsia="宋体" w:hint="default"/>
          <w:spacing w:val="-54"/>
        </w:rPr>
        <w:t> </w:t>
      </w:r>
      <w:r>
        <w:rPr/>
        <w:t>大专业无线通信研发中心，建有 </w:t>
      </w:r>
      <w:r>
        <w:rPr>
          <w:spacing w:val="-1"/>
        </w:rPr>
        <w:t>多个国际领先水平的射频、环境可靠性、交互设计、行业准入测试等专业化实验室，提供一流的国际化的</w:t>
      </w:r>
      <w:r>
        <w:rPr>
          <w:spacing w:val="-86"/>
        </w:rPr>
        <w:t> </w:t>
      </w:r>
      <w:r>
        <w:rPr>
          <w:spacing w:val="-86"/>
        </w:rPr>
      </w:r>
      <w:r>
        <w:rPr/>
        <w:t>研发平台进行产品的创新研究。</w:t>
      </w:r>
    </w:p>
    <w:p>
      <w:pPr>
        <w:pStyle w:val="BodyText"/>
        <w:spacing w:line="408" w:lineRule="auto"/>
        <w:ind w:left="573" w:right="1200"/>
        <w:jc w:val="left"/>
      </w:pPr>
      <w:r>
        <w:rPr/>
        <w:t>（</w:t>
      </w:r>
      <w:r>
        <w:rPr>
          <w:rFonts w:ascii="宋体" w:hAnsi="宋体" w:cs="宋体" w:eastAsia="宋体" w:hint="default"/>
        </w:rPr>
        <w:t>2</w:t>
      </w:r>
      <w:r>
        <w:rPr/>
        <w:t>）具备核心技术，引领技术标准 专利是衡量一个公司核心技术实力的重要指标，公司通过在专网通信领域</w:t>
      </w:r>
      <w:r>
        <w:rPr>
          <w:spacing w:val="-53"/>
        </w:rPr>
        <w:t> </w:t>
      </w:r>
      <w:r>
        <w:rPr>
          <w:rFonts w:ascii="宋体" w:hAnsi="宋体" w:cs="宋体" w:eastAsia="宋体" w:hint="default"/>
        </w:rPr>
        <w:t>20</w:t>
      </w:r>
      <w:r>
        <w:rPr>
          <w:rFonts w:ascii="宋体" w:hAnsi="宋体" w:cs="宋体" w:eastAsia="宋体" w:hint="default"/>
          <w:spacing w:val="-54"/>
        </w:rPr>
        <w:t> </w:t>
      </w:r>
      <w:r>
        <w:rPr/>
        <w:t>多年的积累，共申请专</w:t>
      </w:r>
    </w:p>
    <w:p>
      <w:pPr>
        <w:pStyle w:val="BodyText"/>
        <w:spacing w:line="408" w:lineRule="auto"/>
        <w:ind w:right="1021"/>
        <w:jc w:val="left"/>
      </w:pPr>
      <w:r>
        <w:rPr/>
        <w:t>利</w:t>
      </w:r>
      <w:r>
        <w:rPr>
          <w:spacing w:val="-54"/>
        </w:rPr>
        <w:t> </w:t>
      </w:r>
      <w:r>
        <w:rPr>
          <w:rFonts w:ascii="宋体" w:hAnsi="宋体" w:cs="宋体" w:eastAsia="宋体" w:hint="default"/>
        </w:rPr>
        <w:t>574</w:t>
      </w:r>
      <w:r>
        <w:rPr>
          <w:rFonts w:ascii="宋体" w:hAnsi="宋体" w:cs="宋体" w:eastAsia="宋体" w:hint="default"/>
          <w:spacing w:val="-53"/>
        </w:rPr>
        <w:t> </w:t>
      </w:r>
      <w:r>
        <w:rPr/>
        <w:t>项，已获授权专利</w:t>
      </w:r>
      <w:r>
        <w:rPr>
          <w:spacing w:val="-54"/>
        </w:rPr>
        <w:t> </w:t>
      </w:r>
      <w:r>
        <w:rPr>
          <w:rFonts w:ascii="宋体" w:hAnsi="宋体" w:cs="宋体" w:eastAsia="宋体" w:hint="default"/>
        </w:rPr>
        <w:t>240</w:t>
      </w:r>
      <w:r>
        <w:rPr>
          <w:rFonts w:ascii="宋体" w:hAnsi="宋体" w:cs="宋体" w:eastAsia="宋体" w:hint="default"/>
          <w:spacing w:val="-53"/>
        </w:rPr>
        <w:t> </w:t>
      </w:r>
      <w:r>
        <w:rPr/>
        <w:t>项，拥有多项达到业界领先水平的核心技术及自主知识产权。在国际</w:t>
      </w:r>
      <w:r>
        <w:rPr>
          <w:spacing w:val="-53"/>
        </w:rPr>
        <w:t> </w:t>
      </w:r>
      <w:r>
        <w:rPr>
          <w:rFonts w:ascii="宋体" w:hAnsi="宋体" w:cs="宋体" w:eastAsia="宋体" w:hint="default"/>
        </w:rPr>
        <w:t>DMR</w:t>
      </w:r>
      <w:r>
        <w:rPr/>
        <w:t>、 </w:t>
      </w:r>
      <w:r>
        <w:rPr>
          <w:rFonts w:ascii="宋体" w:hAnsi="宋体" w:cs="宋体" w:eastAsia="宋体" w:hint="default"/>
        </w:rPr>
        <w:t>TETRA</w:t>
      </w:r>
      <w:r>
        <w:rPr>
          <w:rFonts w:ascii="宋体" w:hAnsi="宋体" w:cs="宋体" w:eastAsia="宋体" w:hint="default"/>
          <w:spacing w:val="-42"/>
        </w:rPr>
        <w:t> </w:t>
      </w:r>
      <w:r>
        <w:rPr>
          <w:spacing w:val="-3"/>
        </w:rPr>
        <w:t>标准组织的工作中，公司多项提案被欧洲通信标准组织</w:t>
      </w:r>
      <w:r>
        <w:rPr>
          <w:rFonts w:ascii="宋体" w:hAnsi="宋体" w:cs="宋体" w:eastAsia="宋体" w:hint="default"/>
          <w:spacing w:val="-3"/>
        </w:rPr>
        <w:t>(ETSI)</w:t>
      </w:r>
      <w:r>
        <w:rPr>
          <w:spacing w:val="-3"/>
        </w:rPr>
        <w:t>采纳并发布。在国内</w:t>
      </w:r>
      <w:r>
        <w:rPr>
          <w:spacing w:val="-42"/>
        </w:rPr>
        <w:t> </w:t>
      </w:r>
      <w:r>
        <w:rPr>
          <w:rFonts w:ascii="宋体" w:hAnsi="宋体" w:cs="宋体" w:eastAsia="宋体" w:hint="default"/>
        </w:rPr>
        <w:t>PDT</w:t>
      </w:r>
      <w:r>
        <w:rPr>
          <w:rFonts w:ascii="宋体" w:hAnsi="宋体" w:cs="宋体" w:eastAsia="宋体" w:hint="default"/>
          <w:spacing w:val="-42"/>
        </w:rPr>
        <w:t> </w:t>
      </w:r>
      <w:r>
        <w:rPr/>
        <w:t>标准组织中，</w:t>
      </w:r>
      <w:r>
        <w:rPr>
          <w:spacing w:val="-103"/>
        </w:rPr>
        <w:t> </w:t>
      </w:r>
      <w:r>
        <w:rPr>
          <w:spacing w:val="-103"/>
        </w:rPr>
      </w:r>
      <w:r>
        <w:rPr/>
        <w:t>公司担任</w:t>
      </w:r>
      <w:r>
        <w:rPr>
          <w:spacing w:val="-57"/>
        </w:rPr>
        <w:t> </w:t>
      </w:r>
      <w:r>
        <w:rPr>
          <w:rFonts w:ascii="宋体" w:hAnsi="宋体" w:cs="宋体" w:eastAsia="宋体" w:hint="default"/>
        </w:rPr>
        <w:t>PDT</w:t>
      </w:r>
      <w:r>
        <w:rPr>
          <w:rFonts w:ascii="宋体" w:hAnsi="宋体" w:cs="宋体" w:eastAsia="宋体" w:hint="default"/>
          <w:spacing w:val="-57"/>
        </w:rPr>
        <w:t> </w:t>
      </w:r>
      <w:r>
        <w:rPr/>
        <w:t>联盟总体组组长，成功推动中国自主知识产权的</w:t>
      </w:r>
      <w:r>
        <w:rPr>
          <w:spacing w:val="-57"/>
        </w:rPr>
        <w:t> </w:t>
      </w:r>
      <w:r>
        <w:rPr>
          <w:rFonts w:ascii="宋体" w:hAnsi="宋体" w:cs="宋体" w:eastAsia="宋体" w:hint="default"/>
        </w:rPr>
        <w:t>PDT</w:t>
      </w:r>
      <w:r>
        <w:rPr>
          <w:rFonts w:ascii="宋体" w:hAnsi="宋体" w:cs="宋体" w:eastAsia="宋体" w:hint="default"/>
          <w:spacing w:val="-57"/>
        </w:rPr>
        <w:t> </w:t>
      </w:r>
      <w:r>
        <w:rPr/>
        <w:t>数字通信标准的发布。公司在技术创新 </w:t>
      </w:r>
      <w:r>
        <w:rPr>
          <w:spacing w:val="-10"/>
        </w:rPr>
        <w:t>中得到社会的广泛认可，先后荣获“国家级高新技术企业”、“国家企业技术中心”、“广东省知识产权示范</w:t>
      </w:r>
      <w:r>
        <w:rPr>
          <w:spacing w:val="-72"/>
        </w:rPr>
        <w:t> </w:t>
      </w:r>
      <w:r>
        <w:rPr>
          <w:spacing w:val="-72"/>
        </w:rPr>
      </w:r>
      <w:r>
        <w:rPr>
          <w:spacing w:val="-10"/>
        </w:rPr>
        <w:t>企业”、“深圳市工程实验室”等重要荣誉称号。</w:t>
      </w:r>
    </w:p>
    <w:p>
      <w:pPr>
        <w:pStyle w:val="BodyText"/>
        <w:spacing w:line="408" w:lineRule="auto"/>
        <w:ind w:left="574" w:right="1046"/>
        <w:jc w:val="left"/>
      </w:pPr>
      <w:r>
        <w:rPr/>
        <w:t>（</w:t>
      </w:r>
      <w:r>
        <w:rPr>
          <w:rFonts w:ascii="宋体" w:hAnsi="宋体" w:cs="宋体" w:eastAsia="宋体" w:hint="default"/>
        </w:rPr>
        <w:t>3</w:t>
      </w:r>
      <w:r>
        <w:rPr/>
        <w:t>）成熟及广泛认可的产品创新 </w:t>
      </w:r>
      <w:r>
        <w:rPr>
          <w:spacing w:val="-1"/>
        </w:rPr>
        <w:t>专网通信最关注的产品特性莫过于可靠、安全、便捷。公司在中高端产品系列拥有成熟广泛应用的高</w:t>
      </w:r>
    </w:p>
    <w:p>
      <w:pPr>
        <w:pStyle w:val="BodyText"/>
        <w:spacing w:line="408" w:lineRule="auto"/>
        <w:ind w:right="1026"/>
        <w:jc w:val="both"/>
      </w:pPr>
      <w:r>
        <w:rPr/>
        <w:t>等级防尘防水标准</w:t>
      </w:r>
      <w:r>
        <w:rPr>
          <w:spacing w:val="-77"/>
        </w:rPr>
        <w:t> </w:t>
      </w:r>
      <w:r>
        <w:rPr>
          <w:rFonts w:ascii="宋体" w:hAnsi="宋体" w:cs="宋体" w:eastAsia="宋体" w:hint="default"/>
        </w:rPr>
        <w:t>IP67</w:t>
      </w:r>
      <w:r>
        <w:rPr/>
        <w:t>；有满足全球多种防爆标准以及最高防爆等级的防爆终端，拥有具有用户操作体验 和产品性能的创新设计等。在设计创新中，公司产品先后荣获国家重点新产品、广东省自主创新产品、黑 </w:t>
      </w:r>
      <w:r>
        <w:rPr>
          <w:spacing w:val="-3"/>
        </w:rPr>
        <w:t>龙江省科学技术进步奖、深圳市科技创新奖、深圳市自主创新产品、哈尔滨市科学技术进步奖等多项荣誉。</w:t>
      </w:r>
    </w:p>
    <w:p>
      <w:pPr>
        <w:pStyle w:val="BodyText"/>
        <w:spacing w:line="240" w:lineRule="auto"/>
        <w:ind w:left="574" w:right="1046"/>
        <w:jc w:val="left"/>
      </w:pPr>
      <w:r>
        <w:rPr/>
        <w:t>（</w:t>
      </w:r>
      <w:r>
        <w:rPr>
          <w:rFonts w:ascii="宋体" w:hAnsi="宋体" w:cs="宋体" w:eastAsia="宋体" w:hint="default"/>
        </w:rPr>
        <w:t>4</w:t>
      </w:r>
      <w:r>
        <w:rPr/>
        <w:t>）完善的产品布局及端到端解决方案能力</w:t>
      </w:r>
    </w:p>
    <w:p>
      <w:pPr>
        <w:spacing w:line="240" w:lineRule="auto" w:before="10"/>
        <w:rPr>
          <w:rFonts w:ascii="宋体" w:hAnsi="宋体" w:cs="宋体" w:eastAsia="宋体" w:hint="default"/>
          <w:sz w:val="14"/>
          <w:szCs w:val="14"/>
        </w:rPr>
      </w:pPr>
    </w:p>
    <w:p>
      <w:pPr>
        <w:pStyle w:val="BodyText"/>
        <w:spacing w:line="408" w:lineRule="auto" w:before="0"/>
        <w:ind w:left="154" w:right="1131" w:firstLine="420"/>
        <w:jc w:val="both"/>
      </w:pPr>
      <w:r>
        <w:rPr/>
        <w:t>公司基于</w:t>
      </w:r>
      <w:r>
        <w:rPr>
          <w:spacing w:val="-40"/>
        </w:rPr>
        <w:t> </w:t>
      </w:r>
      <w:r>
        <w:rPr>
          <w:rFonts w:ascii="宋体" w:hAnsi="宋体" w:cs="宋体" w:eastAsia="宋体" w:hint="default"/>
          <w:spacing w:val="-2"/>
        </w:rPr>
        <w:t>Tetra</w:t>
      </w:r>
      <w:r>
        <w:rPr>
          <w:spacing w:val="-2"/>
        </w:rPr>
        <w:t>、</w:t>
      </w:r>
      <w:r>
        <w:rPr>
          <w:rFonts w:ascii="宋体" w:hAnsi="宋体" w:cs="宋体" w:eastAsia="宋体" w:hint="default"/>
          <w:spacing w:val="-2"/>
        </w:rPr>
        <w:t>PDT</w:t>
      </w:r>
      <w:r>
        <w:rPr>
          <w:spacing w:val="-2"/>
        </w:rPr>
        <w:t>、</w:t>
      </w:r>
      <w:r>
        <w:rPr>
          <w:rFonts w:ascii="宋体" w:hAnsi="宋体" w:cs="宋体" w:eastAsia="宋体" w:hint="default"/>
          <w:spacing w:val="-2"/>
        </w:rPr>
        <w:t>DMR</w:t>
      </w:r>
      <w:r>
        <w:rPr>
          <w:spacing w:val="-2"/>
        </w:rPr>
        <w:t>、</w:t>
      </w:r>
      <w:r>
        <w:rPr>
          <w:rFonts w:ascii="宋体" w:hAnsi="宋体" w:cs="宋体" w:eastAsia="宋体" w:hint="default"/>
          <w:spacing w:val="-2"/>
        </w:rPr>
        <w:t>MPT</w:t>
      </w:r>
      <w:r>
        <w:rPr>
          <w:spacing w:val="-2"/>
        </w:rPr>
        <w:t>、无线视频等全系列标准产品，构建了从模拟到数字、从终端到系统</w:t>
      </w:r>
      <w:r>
        <w:rPr/>
        <w:t> </w:t>
      </w:r>
      <w:r>
        <w:rPr>
          <w:spacing w:val="-1"/>
        </w:rPr>
        <w:t>与应用、从语音、数据到视频的全系列产品及定制化的整体解决方案，是专网通信领域技术标准、解决方</w:t>
      </w:r>
      <w:r>
        <w:rPr>
          <w:spacing w:val="-86"/>
        </w:rPr>
        <w:t> </w:t>
      </w:r>
      <w:r>
        <w:rPr>
          <w:spacing w:val="-86"/>
        </w:rPr>
      </w:r>
      <w:r>
        <w:rPr/>
        <w:t>案最全面的提供商。</w:t>
      </w:r>
    </w:p>
    <w:p>
      <w:pPr>
        <w:pStyle w:val="BodyText"/>
        <w:spacing w:line="240" w:lineRule="auto"/>
        <w:ind w:left="574" w:right="1046"/>
        <w:jc w:val="left"/>
      </w:pPr>
      <w:r>
        <w:rPr>
          <w:rFonts w:ascii="宋体" w:hAnsi="宋体" w:cs="宋体" w:eastAsia="宋体" w:hint="default"/>
        </w:rPr>
        <w:t>2</w:t>
      </w:r>
      <w:r>
        <w:rPr/>
        <w:t>、营销优势</w:t>
      </w:r>
    </w:p>
    <w:p>
      <w:pPr>
        <w:spacing w:line="240" w:lineRule="auto" w:before="10"/>
        <w:rPr>
          <w:rFonts w:ascii="宋体" w:hAnsi="宋体" w:cs="宋体" w:eastAsia="宋体" w:hint="default"/>
          <w:sz w:val="14"/>
          <w:szCs w:val="14"/>
        </w:rPr>
      </w:pPr>
    </w:p>
    <w:p>
      <w:pPr>
        <w:pStyle w:val="BodyText"/>
        <w:spacing w:line="408" w:lineRule="auto" w:before="0"/>
        <w:ind w:left="574" w:right="1092"/>
        <w:jc w:val="left"/>
      </w:pPr>
      <w:r>
        <w:rPr/>
        <w:t>（</w:t>
      </w:r>
      <w:r>
        <w:rPr>
          <w:rFonts w:ascii="宋体" w:hAnsi="宋体" w:cs="宋体" w:eastAsia="宋体" w:hint="default"/>
        </w:rPr>
        <w:t>1</w:t>
      </w:r>
      <w:r>
        <w:rPr/>
        <w:t>）完善的全球营销网络 公司建立了覆盖全球的营销网络，保证公司产品能够快速有效地覆盖到全球各个目标市场。在国内，</w:t>
      </w:r>
    </w:p>
    <w:p>
      <w:pPr>
        <w:pStyle w:val="BodyText"/>
        <w:spacing w:line="408" w:lineRule="auto"/>
        <w:ind w:left="154" w:right="1111"/>
        <w:jc w:val="both"/>
      </w:pPr>
      <w:r>
        <w:rPr>
          <w:spacing w:val="-1"/>
        </w:rPr>
        <w:t>公司在哈尔滨、天津、南京等地设立了子公司，在成都、贵阳、西安、长春、新疆等地设立了办事处或分</w:t>
      </w:r>
      <w:r>
        <w:rPr>
          <w:spacing w:val="-84"/>
        </w:rPr>
        <w:t> </w:t>
      </w:r>
      <w:r>
        <w:rPr>
          <w:spacing w:val="-84"/>
        </w:rPr>
      </w:r>
      <w:r>
        <w:rPr/>
        <w:t>公司，并与全国近</w:t>
      </w:r>
      <w:r>
        <w:rPr>
          <w:spacing w:val="-52"/>
        </w:rPr>
        <w:t> </w:t>
      </w:r>
      <w:r>
        <w:rPr>
          <w:rFonts w:ascii="宋体" w:hAnsi="宋体" w:cs="宋体" w:eastAsia="宋体" w:hint="default"/>
        </w:rPr>
        <w:t>300</w:t>
      </w:r>
      <w:r>
        <w:rPr>
          <w:rFonts w:ascii="宋体" w:hAnsi="宋体" w:cs="宋体" w:eastAsia="宋体" w:hint="default"/>
          <w:spacing w:val="-53"/>
        </w:rPr>
        <w:t> </w:t>
      </w:r>
      <w:r>
        <w:rPr/>
        <w:t>家经销商建立了合作伙伴关系；在海外，公司在香港、美国、英国、德国、巴西、</w:t>
      </w:r>
    </w:p>
    <w:p>
      <w:pPr>
        <w:pStyle w:val="BodyText"/>
        <w:spacing w:line="240" w:lineRule="auto"/>
        <w:ind w:left="154" w:right="0"/>
        <w:jc w:val="both"/>
      </w:pPr>
      <w:r>
        <w:rPr/>
        <w:t>澳大利亚、秘鲁等多个国家和地区设有子公司和办事处，并与海外</w:t>
      </w:r>
      <w:r>
        <w:rPr>
          <w:spacing w:val="-64"/>
        </w:rPr>
        <w:t> </w:t>
      </w:r>
      <w:r>
        <w:rPr>
          <w:rFonts w:ascii="宋体" w:hAnsi="宋体" w:cs="宋体" w:eastAsia="宋体" w:hint="default"/>
        </w:rPr>
        <w:t>200</w:t>
      </w:r>
      <w:r>
        <w:rPr>
          <w:rFonts w:ascii="宋体" w:hAnsi="宋体" w:cs="宋体" w:eastAsia="宋体" w:hint="default"/>
          <w:spacing w:val="-64"/>
        </w:rPr>
        <w:t> </w:t>
      </w:r>
      <w:r>
        <w:rPr/>
        <w:t>多家经销商建立了长期稳定的合作</w:t>
      </w:r>
    </w:p>
    <w:p>
      <w:pPr>
        <w:spacing w:after="0" w:line="240"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关系。完善的全球营销网络，是海能达全球发展的有利根基。</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w:t>
      </w:r>
      <w:r>
        <w:rPr>
          <w:rFonts w:ascii="宋体" w:hAnsi="宋体" w:cs="宋体" w:eastAsia="宋体" w:hint="default"/>
        </w:rPr>
        <w:t>2</w:t>
      </w:r>
      <w:r>
        <w:rPr/>
        <w:t>）多层面的营销布局</w:t>
      </w:r>
    </w:p>
    <w:p>
      <w:pPr>
        <w:spacing w:line="240" w:lineRule="auto" w:before="10"/>
        <w:rPr>
          <w:rFonts w:ascii="宋体" w:hAnsi="宋体" w:cs="宋体" w:eastAsia="宋体" w:hint="default"/>
          <w:sz w:val="14"/>
          <w:szCs w:val="14"/>
        </w:rPr>
      </w:pPr>
    </w:p>
    <w:p>
      <w:pPr>
        <w:pStyle w:val="BodyText"/>
        <w:spacing w:line="408" w:lineRule="auto" w:before="0"/>
        <w:ind w:right="1133" w:firstLine="420"/>
        <w:jc w:val="both"/>
      </w:pPr>
      <w:r>
        <w:rPr/>
        <w:t>销售渠道覆盖全球</w:t>
      </w:r>
      <w:r>
        <w:rPr>
          <w:spacing w:val="-65"/>
        </w:rPr>
        <w:t> </w:t>
      </w:r>
      <w:r>
        <w:rPr>
          <w:rFonts w:ascii="宋体" w:hAnsi="宋体" w:cs="宋体" w:eastAsia="宋体" w:hint="default"/>
        </w:rPr>
        <w:t>100</w:t>
      </w:r>
      <w:r>
        <w:rPr>
          <w:rFonts w:ascii="宋体" w:hAnsi="宋体" w:cs="宋体" w:eastAsia="宋体" w:hint="default"/>
          <w:spacing w:val="-66"/>
        </w:rPr>
        <w:t> </w:t>
      </w:r>
      <w:r>
        <w:rPr/>
        <w:t>多个国家和地区，为多个国家的公共安全、轨道交通、共用事业、工商业等领 域提供了累计千余张专业通信网，</w:t>
      </w:r>
      <w:r>
        <w:rPr>
          <w:rFonts w:ascii="宋体" w:hAnsi="宋体" w:cs="宋体" w:eastAsia="宋体" w:hint="default"/>
        </w:rPr>
        <w:t>500</w:t>
      </w:r>
      <w:r>
        <w:rPr>
          <w:rFonts w:ascii="宋体" w:hAnsi="宋体" w:cs="宋体" w:eastAsia="宋体" w:hint="default"/>
          <w:spacing w:val="-54"/>
        </w:rPr>
        <w:t> </w:t>
      </w:r>
      <w:r>
        <w:rPr/>
        <w:t>万专业用户选择了公司产品，在国内林业、地铁等行业市场占有率 较高。多层面的行业渗透，不断完善公司的营销布局。</w:t>
      </w:r>
    </w:p>
    <w:p>
      <w:pPr>
        <w:pStyle w:val="BodyText"/>
        <w:spacing w:line="408" w:lineRule="auto"/>
        <w:ind w:left="573" w:right="1199"/>
        <w:jc w:val="left"/>
      </w:pPr>
      <w:r>
        <w:rPr/>
        <w:t>（</w:t>
      </w:r>
      <w:r>
        <w:rPr>
          <w:rFonts w:ascii="宋体" w:hAnsi="宋体" w:cs="宋体" w:eastAsia="宋体" w:hint="default"/>
        </w:rPr>
        <w:t>3</w:t>
      </w:r>
      <w:r>
        <w:rPr/>
        <w:t>）增强线上、线下整合营销 通过不断增强的线上营销策略，有效导入并积极推动线下营销，公司于</w:t>
      </w:r>
      <w:r>
        <w:rPr>
          <w:spacing w:val="-52"/>
        </w:rPr>
        <w:t> </w:t>
      </w:r>
      <w:r>
        <w:rPr>
          <w:rFonts w:ascii="宋体" w:hAnsi="宋体" w:cs="宋体" w:eastAsia="宋体" w:hint="default"/>
        </w:rPr>
        <w:t>2010</w:t>
      </w:r>
      <w:r>
        <w:rPr>
          <w:rFonts w:ascii="宋体" w:hAnsi="宋体" w:cs="宋体" w:eastAsia="宋体" w:hint="default"/>
          <w:spacing w:val="-54"/>
        </w:rPr>
        <w:t> </w:t>
      </w:r>
      <w:r>
        <w:rPr/>
        <w:t>年建立了中国专网通信</w:t>
      </w:r>
    </w:p>
    <w:p>
      <w:pPr>
        <w:pStyle w:val="BodyText"/>
        <w:spacing w:line="408" w:lineRule="auto"/>
        <w:ind w:right="1215"/>
        <w:jc w:val="both"/>
      </w:pPr>
      <w:r>
        <w:rPr/>
        <w:t>行业首个“</w:t>
      </w:r>
      <w:r>
        <w:rPr>
          <w:rFonts w:ascii="宋体" w:hAnsi="宋体" w:cs="宋体" w:eastAsia="宋体" w:hint="default"/>
        </w:rPr>
        <w:t>CRM</w:t>
      </w:r>
      <w:r>
        <w:rPr>
          <w:rFonts w:ascii="宋体" w:hAnsi="宋体" w:cs="宋体" w:eastAsia="宋体" w:hint="default"/>
          <w:spacing w:val="-47"/>
        </w:rPr>
        <w:t> </w:t>
      </w:r>
      <w:r>
        <w:rPr>
          <w:spacing w:val="-9"/>
        </w:rPr>
        <w:t>客户管理中心”，</w:t>
      </w:r>
      <w:r>
        <w:rPr>
          <w:rFonts w:ascii="宋体" w:hAnsi="宋体" w:cs="宋体" w:eastAsia="宋体" w:hint="default"/>
          <w:spacing w:val="-9"/>
        </w:rPr>
        <w:t>2013</w:t>
      </w:r>
      <w:r>
        <w:rPr>
          <w:rFonts w:ascii="宋体" w:hAnsi="宋体" w:cs="宋体" w:eastAsia="宋体" w:hint="default"/>
          <w:spacing w:val="-50"/>
        </w:rPr>
        <w:t> </w:t>
      </w:r>
      <w:r>
        <w:rPr/>
        <w:t>年建立了集</w:t>
      </w:r>
      <w:r>
        <w:rPr>
          <w:spacing w:val="-47"/>
        </w:rPr>
        <w:t> </w:t>
      </w:r>
      <w:r>
        <w:rPr>
          <w:rFonts w:ascii="宋体" w:hAnsi="宋体" w:cs="宋体" w:eastAsia="宋体" w:hint="default"/>
        </w:rPr>
        <w:t>CRM</w:t>
      </w:r>
      <w:r>
        <w:rPr>
          <w:rFonts w:ascii="宋体" w:hAnsi="宋体" w:cs="宋体" w:eastAsia="宋体" w:hint="default"/>
          <w:spacing w:val="-47"/>
        </w:rPr>
        <w:t> </w:t>
      </w:r>
      <w:r>
        <w:rPr>
          <w:spacing w:val="-1"/>
        </w:rPr>
        <w:t>管理、电话呼叫、网络接入等高效互联网模式于一</w:t>
      </w:r>
      <w:r>
        <w:rPr/>
        <w:t> </w:t>
      </w:r>
      <w:r>
        <w:rPr>
          <w:spacing w:val="-3"/>
        </w:rPr>
        <w:t>体的“全球网络营销中心”，快速拉动销售收入的提升。线上、线下营销模型有机结合，促进公司整合营</w:t>
      </w:r>
      <w:r>
        <w:rPr>
          <w:spacing w:val="-74"/>
        </w:rPr>
        <w:t> </w:t>
      </w:r>
      <w:r>
        <w:rPr>
          <w:spacing w:val="-74"/>
        </w:rPr>
      </w:r>
      <w:r>
        <w:rPr/>
        <w:t>销。</w:t>
      </w:r>
    </w:p>
    <w:p>
      <w:pPr>
        <w:pStyle w:val="BodyText"/>
        <w:spacing w:line="240" w:lineRule="auto"/>
        <w:ind w:left="574" w:right="1046"/>
        <w:jc w:val="left"/>
      </w:pPr>
      <w:r>
        <w:rPr>
          <w:rFonts w:ascii="宋体" w:hAnsi="宋体" w:cs="宋体" w:eastAsia="宋体" w:hint="default"/>
        </w:rPr>
        <w:t>3</w:t>
      </w:r>
      <w:r>
        <w:rPr/>
        <w:t>、质量优势</w:t>
      </w:r>
    </w:p>
    <w:p>
      <w:pPr>
        <w:spacing w:line="240" w:lineRule="auto" w:before="10"/>
        <w:rPr>
          <w:rFonts w:ascii="宋体" w:hAnsi="宋体" w:cs="宋体" w:eastAsia="宋体" w:hint="default"/>
          <w:sz w:val="14"/>
          <w:szCs w:val="14"/>
        </w:rPr>
      </w:pPr>
    </w:p>
    <w:p>
      <w:pPr>
        <w:pStyle w:val="BodyText"/>
        <w:spacing w:line="408" w:lineRule="auto" w:before="0"/>
        <w:ind w:right="1114" w:firstLine="420"/>
        <w:jc w:val="left"/>
      </w:pPr>
      <w:r>
        <w:rPr/>
        <w:t>公司以“顾客关注焦点”为导向，本着“让我们的顾客更满意”的质量方针，建立了</w:t>
      </w:r>
      <w:r>
        <w:rPr>
          <w:spacing w:val="-63"/>
        </w:rPr>
        <w:t> </w:t>
      </w:r>
      <w:r>
        <w:rPr>
          <w:rFonts w:ascii="宋体" w:hAnsi="宋体" w:cs="宋体" w:eastAsia="宋体" w:hint="default"/>
        </w:rPr>
        <w:t>ISO9000</w:t>
      </w:r>
      <w:r>
        <w:rPr>
          <w:rFonts w:ascii="宋体" w:hAnsi="宋体" w:cs="宋体" w:eastAsia="宋体" w:hint="default"/>
          <w:spacing w:val="-63"/>
        </w:rPr>
        <w:t> </w:t>
      </w:r>
      <w:r>
        <w:rPr/>
        <w:t>质量管 理体系，导入先进的</w:t>
      </w:r>
      <w:r>
        <w:rPr>
          <w:spacing w:val="-54"/>
        </w:rPr>
        <w:t> </w:t>
      </w:r>
      <w:r>
        <w:rPr>
          <w:rFonts w:ascii="宋体" w:hAnsi="宋体" w:cs="宋体" w:eastAsia="宋体" w:hint="default"/>
        </w:rPr>
        <w:t>IPD</w:t>
      </w:r>
      <w:r>
        <w:rPr/>
        <w:t>、</w:t>
      </w:r>
      <w:r>
        <w:rPr>
          <w:rFonts w:ascii="宋体" w:hAnsi="宋体" w:cs="宋体" w:eastAsia="宋体" w:hint="default"/>
        </w:rPr>
        <w:t>CMMI</w:t>
      </w:r>
      <w:r>
        <w:rPr>
          <w:rFonts w:ascii="宋体" w:hAnsi="宋体" w:cs="宋体" w:eastAsia="宋体" w:hint="default"/>
          <w:spacing w:val="-53"/>
        </w:rPr>
        <w:t> </w:t>
      </w:r>
      <w:r>
        <w:rPr/>
        <w:t>管理理念及</w:t>
      </w:r>
      <w:r>
        <w:rPr>
          <w:spacing w:val="-54"/>
        </w:rPr>
        <w:t> </w:t>
      </w:r>
      <w:r>
        <w:rPr>
          <w:rFonts w:ascii="宋体" w:hAnsi="宋体" w:cs="宋体" w:eastAsia="宋体" w:hint="default"/>
        </w:rPr>
        <w:t>DFSS</w:t>
      </w:r>
      <w:r>
        <w:rPr/>
        <w:t>（设计</w:t>
      </w:r>
      <w:r>
        <w:rPr>
          <w:spacing w:val="-55"/>
        </w:rPr>
        <w:t> </w:t>
      </w:r>
      <w:r>
        <w:rPr>
          <w:rFonts w:ascii="宋体" w:hAnsi="宋体" w:cs="宋体" w:eastAsia="宋体" w:hint="default"/>
        </w:rPr>
        <w:t>6sigma)</w:t>
      </w:r>
      <w:r>
        <w:rPr/>
        <w:t>管理工具，产品严格按照美国军标</w:t>
      </w:r>
    </w:p>
    <w:p>
      <w:pPr>
        <w:pStyle w:val="BodyText"/>
        <w:spacing w:line="408" w:lineRule="auto"/>
        <w:ind w:right="1110"/>
        <w:jc w:val="both"/>
      </w:pPr>
      <w:r>
        <w:rPr>
          <w:rFonts w:ascii="宋体" w:hAnsi="宋体" w:cs="宋体" w:eastAsia="宋体" w:hint="default"/>
        </w:rPr>
        <w:t>MIL-STD-810C/D/E/F</w:t>
      </w:r>
      <w:r>
        <w:rPr>
          <w:rFonts w:ascii="宋体" w:hAnsi="宋体" w:cs="宋体" w:eastAsia="宋体" w:hint="default"/>
          <w:spacing w:val="-55"/>
        </w:rPr>
        <w:t> </w:t>
      </w:r>
      <w:r>
        <w:rPr/>
        <w:t>和欧洲</w:t>
      </w:r>
      <w:r>
        <w:rPr>
          <w:spacing w:val="-55"/>
        </w:rPr>
        <w:t> </w:t>
      </w:r>
      <w:r>
        <w:rPr>
          <w:rFonts w:ascii="宋体" w:hAnsi="宋体" w:cs="宋体" w:eastAsia="宋体" w:hint="default"/>
        </w:rPr>
        <w:t>IPXX</w:t>
      </w:r>
      <w:r>
        <w:rPr>
          <w:rFonts w:ascii="宋体" w:hAnsi="宋体" w:cs="宋体" w:eastAsia="宋体" w:hint="default"/>
          <w:spacing w:val="-55"/>
        </w:rPr>
        <w:t> </w:t>
      </w:r>
      <w:r>
        <w:rPr/>
        <w:t>系列标准要求进行产品的研发设计。在供应链体系中，还引入先进的供 应商管理系统、制造体系中</w:t>
      </w:r>
      <w:r>
        <w:rPr>
          <w:spacing w:val="-53"/>
        </w:rPr>
        <w:t> </w:t>
      </w:r>
      <w:r>
        <w:rPr>
          <w:rFonts w:ascii="宋体" w:hAnsi="宋体" w:cs="宋体" w:eastAsia="宋体" w:hint="default"/>
        </w:rPr>
        <w:t>Bar</w:t>
      </w:r>
      <w:r>
        <w:rPr>
          <w:rFonts w:ascii="宋体" w:hAnsi="宋体" w:cs="宋体" w:eastAsia="宋体" w:hint="default"/>
          <w:spacing w:val="-2"/>
        </w:rPr>
        <w:t> </w:t>
      </w:r>
      <w:r>
        <w:rPr>
          <w:rFonts w:ascii="宋体" w:hAnsi="宋体" w:cs="宋体" w:eastAsia="宋体" w:hint="default"/>
        </w:rPr>
        <w:t>Code</w:t>
      </w:r>
      <w:r>
        <w:rPr>
          <w:rFonts w:ascii="宋体" w:hAnsi="宋体" w:cs="宋体" w:eastAsia="宋体" w:hint="default"/>
          <w:spacing w:val="-54"/>
        </w:rPr>
        <w:t> </w:t>
      </w:r>
      <w:r>
        <w:rPr/>
        <w:t>系统等，建立</w:t>
      </w:r>
      <w:r>
        <w:rPr>
          <w:spacing w:val="-53"/>
        </w:rPr>
        <w:t> </w:t>
      </w:r>
      <w:r>
        <w:rPr>
          <w:rFonts w:ascii="宋体" w:hAnsi="宋体" w:cs="宋体" w:eastAsia="宋体" w:hint="default"/>
        </w:rPr>
        <w:t>IQC</w:t>
      </w:r>
      <w:r>
        <w:rPr/>
        <w:t>、</w:t>
      </w:r>
      <w:r>
        <w:rPr>
          <w:rFonts w:ascii="宋体" w:hAnsi="宋体" w:cs="宋体" w:eastAsia="宋体" w:hint="default"/>
        </w:rPr>
        <w:t>IPQC</w:t>
      </w:r>
      <w:r>
        <w:rPr/>
        <w:t>、</w:t>
      </w:r>
      <w:r>
        <w:rPr>
          <w:rFonts w:ascii="宋体" w:hAnsi="宋体" w:cs="宋体" w:eastAsia="宋体" w:hint="default"/>
        </w:rPr>
        <w:t>OQC</w:t>
      </w:r>
      <w:r>
        <w:rPr>
          <w:rFonts w:ascii="宋体" w:hAnsi="宋体" w:cs="宋体" w:eastAsia="宋体" w:hint="default"/>
          <w:spacing w:val="-53"/>
        </w:rPr>
        <w:t> </w:t>
      </w:r>
      <w:r>
        <w:rPr/>
        <w:t>等质量监控环节，保证产品从设计、 采购、制造等一系列过程中不断提高产品的质量，以达到客户的满意。</w:t>
      </w:r>
    </w:p>
    <w:p>
      <w:pPr>
        <w:pStyle w:val="BodyText"/>
        <w:spacing w:line="408" w:lineRule="auto"/>
        <w:ind w:right="1124" w:firstLine="420"/>
        <w:jc w:val="left"/>
      </w:pPr>
      <w:r>
        <w:rPr>
          <w:spacing w:val="-1"/>
        </w:rPr>
        <w:t>凭借“质量第一”的管理理念和质量文化，形成完善的管理体系和过硬的产品质量。公司产品可靠性</w:t>
      </w:r>
      <w:r>
        <w:rPr/>
        <w:t> </w:t>
      </w:r>
      <w:r>
        <w:rPr>
          <w:spacing w:val="-2"/>
        </w:rPr>
        <w:t>稳步提升，先后通过了多项国际最高防爆认证。</w:t>
      </w:r>
      <w:r>
        <w:rPr>
          <w:rFonts w:ascii="宋体" w:hAnsi="宋体" w:cs="宋体" w:eastAsia="宋体" w:hint="default"/>
          <w:spacing w:val="-2"/>
        </w:rPr>
        <w:t>2010</w:t>
      </w:r>
      <w:r>
        <w:rPr>
          <w:rFonts w:ascii="宋体" w:hAnsi="宋体" w:cs="宋体" w:eastAsia="宋体" w:hint="default"/>
          <w:spacing w:val="-45"/>
        </w:rPr>
        <w:t> </w:t>
      </w:r>
      <w:r>
        <w:rPr>
          <w:spacing w:val="-10"/>
        </w:rPr>
        <w:t>年获得“深圳市长质量奖”，并成为</w:t>
      </w:r>
      <w:r>
        <w:rPr>
          <w:spacing w:val="-44"/>
        </w:rPr>
        <w:t> </w:t>
      </w:r>
      <w:r>
        <w:rPr>
          <w:rFonts w:ascii="宋体" w:hAnsi="宋体" w:cs="宋体" w:eastAsia="宋体" w:hint="default"/>
        </w:rPr>
        <w:t>2012</w:t>
      </w:r>
      <w:r>
        <w:rPr>
          <w:rFonts w:ascii="宋体" w:hAnsi="宋体" w:cs="宋体" w:eastAsia="宋体" w:hint="default"/>
          <w:spacing w:val="-47"/>
        </w:rPr>
        <w:t> </w:t>
      </w:r>
      <w:r>
        <w:rPr/>
        <w:t>年深圳市首 批四家“卓越绩效示范基地”之一，董事长陈清州先生于</w:t>
      </w:r>
      <w:r>
        <w:rPr>
          <w:spacing w:val="-53"/>
        </w:rPr>
        <w:t> </w:t>
      </w:r>
      <w:r>
        <w:rPr>
          <w:rFonts w:ascii="宋体" w:hAnsi="宋体" w:cs="宋体" w:eastAsia="宋体" w:hint="default"/>
        </w:rPr>
        <w:t>2013</w:t>
      </w:r>
      <w:r>
        <w:rPr>
          <w:rFonts w:ascii="宋体" w:hAnsi="宋体" w:cs="宋体" w:eastAsia="宋体" w:hint="default"/>
          <w:spacing w:val="-54"/>
        </w:rPr>
        <w:t> </w:t>
      </w:r>
      <w:r>
        <w:rPr/>
        <w:t>年荣获深圳市首届“深圳质量十大领袖” 的荣誉称号。</w:t>
      </w:r>
    </w:p>
    <w:p>
      <w:pPr>
        <w:pStyle w:val="BodyText"/>
        <w:spacing w:line="408" w:lineRule="auto"/>
        <w:ind w:left="573" w:right="1046"/>
        <w:jc w:val="left"/>
      </w:pPr>
      <w:r>
        <w:rPr>
          <w:rFonts w:ascii="宋体" w:hAnsi="宋体" w:cs="宋体" w:eastAsia="宋体" w:hint="default"/>
        </w:rPr>
        <w:t>4</w:t>
      </w:r>
      <w:r>
        <w:rPr/>
        <w:t>、品牌优势 </w:t>
      </w:r>
      <w:r>
        <w:rPr>
          <w:spacing w:val="-1"/>
        </w:rPr>
        <w:t>公司建立了一套行之有效的全球品牌推广机制，在品牌理念及主视觉形象的主导下，与当地合作伙伴</w:t>
      </w:r>
    </w:p>
    <w:p>
      <w:pPr>
        <w:pStyle w:val="BodyText"/>
        <w:spacing w:line="408" w:lineRule="auto"/>
        <w:ind w:right="1110"/>
        <w:jc w:val="both"/>
      </w:pPr>
      <w:r>
        <w:rPr/>
        <w:t>一起，进行差异化的品牌推广策略，从总部到区域品牌顺利落地，海能达品牌让用户有了更切实的体验， </w:t>
      </w:r>
      <w:r>
        <w:rPr>
          <w:spacing w:val="-1"/>
        </w:rPr>
        <w:t>得以迅速被行业用户所接受并认可。目前，公司在全球专网通信市场排名第二，是全球用户值得信赖的品</w:t>
      </w:r>
      <w:r>
        <w:rPr>
          <w:spacing w:val="-83"/>
        </w:rPr>
        <w:t> </w:t>
      </w:r>
      <w:r>
        <w:rPr>
          <w:spacing w:val="-83"/>
        </w:rPr>
      </w:r>
      <w:r>
        <w:rPr>
          <w:spacing w:val="-1"/>
        </w:rPr>
        <w:t>牌；在中国，公司是行业的龙头企业，本土品牌排名第一，在用户中形成了较强的品牌认同。公司的子品</w:t>
      </w:r>
      <w:r>
        <w:rPr>
          <w:spacing w:val="-83"/>
        </w:rPr>
        <w:t> </w:t>
      </w:r>
      <w:r>
        <w:rPr>
          <w:spacing w:val="-83"/>
        </w:rPr>
      </w:r>
      <w:r>
        <w:rPr>
          <w:spacing w:val="-7"/>
        </w:rPr>
        <w:t>牌“</w:t>
      </w:r>
      <w:r>
        <w:rPr>
          <w:rFonts w:ascii="宋体" w:hAnsi="宋体" w:cs="宋体" w:eastAsia="宋体" w:hint="default"/>
          <w:spacing w:val="-7"/>
        </w:rPr>
        <w:t>HYT</w:t>
      </w:r>
      <w:r>
        <w:rPr>
          <w:spacing w:val="-7"/>
        </w:rPr>
        <w:t>”是“中国驰名商标”。</w:t>
      </w:r>
    </w:p>
    <w:p>
      <w:pPr>
        <w:pStyle w:val="BodyText"/>
        <w:spacing w:line="408" w:lineRule="auto"/>
        <w:ind w:left="573" w:right="1046"/>
        <w:jc w:val="left"/>
      </w:pPr>
      <w:r>
        <w:rPr>
          <w:rFonts w:ascii="宋体" w:hAnsi="宋体" w:cs="宋体" w:eastAsia="宋体" w:hint="default"/>
        </w:rPr>
        <w:t>5</w:t>
      </w:r>
      <w:r>
        <w:rPr/>
        <w:t>、区位优势 </w:t>
      </w:r>
      <w:r>
        <w:rPr>
          <w:spacing w:val="-1"/>
        </w:rPr>
        <w:t>中国是未来专业无线通信增长空间最大和成长性最高的市场。作为中国本土企业和行业龙头，与国外</w:t>
      </w:r>
    </w:p>
    <w:p>
      <w:pPr>
        <w:pStyle w:val="BodyText"/>
        <w:spacing w:line="408" w:lineRule="auto"/>
        <w:ind w:right="1131"/>
        <w:jc w:val="both"/>
      </w:pPr>
      <w:r>
        <w:rPr>
          <w:spacing w:val="-1"/>
        </w:rPr>
        <w:t>竞争对手竞争时，公司可以利用本土化优势更好地理解和快速响应客户需求，从而提供更具竞争力的产品</w:t>
      </w:r>
      <w:r>
        <w:rPr>
          <w:spacing w:val="-81"/>
        </w:rPr>
        <w:t> </w:t>
      </w:r>
      <w:r>
        <w:rPr>
          <w:spacing w:val="-81"/>
        </w:rPr>
      </w:r>
      <w:r>
        <w:rPr>
          <w:spacing w:val="-1"/>
        </w:rPr>
        <w:t>和服务。另外在政府与公共安全领域，由于专业无线通信产品涉及国家信息安全，客户在网络建设上也会</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46"/>
        <w:jc w:val="left"/>
      </w:pPr>
      <w:r>
        <w:rPr>
          <w:spacing w:val="-1"/>
        </w:rPr>
        <w:t>优先选择具有自主知识产权、能提供有效加密解决方案的国内厂商。此外，中国通信产业链配套齐全、生</w:t>
      </w:r>
      <w:r>
        <w:rPr>
          <w:spacing w:val="-85"/>
        </w:rPr>
        <w:t> </w:t>
      </w:r>
      <w:r>
        <w:rPr>
          <w:spacing w:val="-85"/>
        </w:rPr>
      </w:r>
      <w:r>
        <w:rPr/>
        <w:t>产要素价格低廉，也将进一步强化公司在全球竞争中的低成本优势。</w:t>
      </w:r>
    </w:p>
    <w:p>
      <w:pPr>
        <w:spacing w:line="240" w:lineRule="auto" w:before="11"/>
        <w:rPr>
          <w:rFonts w:ascii="宋体" w:hAnsi="宋体" w:cs="宋体" w:eastAsia="宋体" w:hint="default"/>
          <w:sz w:val="18"/>
          <w:szCs w:val="18"/>
        </w:rPr>
      </w:pPr>
    </w:p>
    <w:p>
      <w:pPr>
        <w:pStyle w:val="Heading2"/>
        <w:spacing w:line="240" w:lineRule="auto"/>
        <w:ind w:right="1046"/>
        <w:jc w:val="left"/>
        <w:rPr>
          <w:b w:val="0"/>
          <w:bCs w:val="0"/>
        </w:rPr>
      </w:pPr>
      <w:bookmarkStart w:name="六、投资状况分析" w:id="33"/>
      <w:bookmarkEnd w:id="33"/>
      <w:r>
        <w:rPr>
          <w:b w:val="0"/>
          <w:bCs w:val="0"/>
        </w:rPr>
      </w:r>
      <w:r>
        <w:rPr/>
        <w:t>六、投资状况分析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对外股权投资情况" w:id="34"/>
      <w:bookmarkEnd w:id="34"/>
      <w:r>
        <w:rPr>
          <w:b w:val="0"/>
          <w:bCs w:val="0"/>
        </w:rPr>
      </w:r>
      <w:r>
        <w:rPr>
          <w:rFonts w:ascii="Times New Roman" w:hAnsi="Times New Roman" w:cs="Times New Roman" w:eastAsia="Times New Roman" w:hint="default"/>
        </w:rPr>
        <w:t>1</w:t>
      </w:r>
      <w:r>
        <w:rPr/>
        <w:t>、对外股权投资情况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对外投资情况" w:id="35"/>
      <w:bookmarkEnd w:id="35"/>
      <w:r>
        <w:rPr>
          <w:b w:val="0"/>
          <w:bCs w:val="0"/>
        </w:rPr>
      </w:r>
      <w:r>
        <w:rPr/>
        <w:t>（</w:t>
      </w:r>
      <w:r>
        <w:rPr>
          <w:rFonts w:ascii="Times New Roman" w:hAnsi="Times New Roman" w:cs="Times New Roman" w:eastAsia="Times New Roman" w:hint="default"/>
        </w:rPr>
        <w:t>1</w:t>
      </w:r>
      <w:r>
        <w:rPr/>
        <w:t>）对外投资情况</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对外投资情况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64,537,302.53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33,120,001.00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194.86%</w:t>
            </w:r>
          </w:p>
        </w:tc>
      </w:tr>
      <w:tr>
        <w:trPr>
          <w:trHeight w:val="402" w:hRule="exact"/>
        </w:trPr>
        <w:tc>
          <w:tcPr>
            <w:tcW w:w="95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被投资公司情况</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上市公司占被投资公司权益比例</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
              <w:jc w:val="right"/>
              <w:rPr>
                <w:rFonts w:ascii="Times New Roman" w:hAnsi="Times New Roman" w:cs="Times New Roman" w:eastAsia="Times New Roman" w:hint="default"/>
                <w:sz w:val="18"/>
                <w:szCs w:val="18"/>
              </w:rPr>
            </w:pPr>
            <w:r>
              <w:rPr>
                <w:rFonts w:ascii="Times New Roman"/>
                <w:sz w:val="18"/>
              </w:rPr>
              <w:t>Hytera Communications (Australia)Pty</w:t>
            </w:r>
            <w:r>
              <w:rPr>
                <w:rFonts w:ascii="Times New Roman"/>
                <w:spacing w:val="-7"/>
                <w:sz w:val="18"/>
              </w:rPr>
              <w:t> </w:t>
            </w:r>
            <w:r>
              <w:rPr>
                <w:rFonts w:ascii="Times New Roman"/>
                <w:sz w:val="18"/>
              </w:rPr>
              <w:t>Ltd</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专业无线通信产品的销售和服务</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南京宙达通信技术有限公司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专业无线通信设备研发和技术服务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535"/>
              <w:jc w:val="left"/>
              <w:rPr>
                <w:rFonts w:ascii="Times New Roman" w:hAnsi="Times New Roman" w:cs="Times New Roman" w:eastAsia="Times New Roman" w:hint="default"/>
                <w:sz w:val="18"/>
                <w:szCs w:val="18"/>
              </w:rPr>
            </w:pPr>
            <w:r>
              <w:rPr>
                <w:rFonts w:ascii="Times New Roman"/>
                <w:sz w:val="18"/>
              </w:rPr>
              <w:t>HYTERA COMMUNICATION</w:t>
            </w:r>
            <w:r>
              <w:rPr>
                <w:rFonts w:ascii="Times New Roman"/>
                <w:spacing w:val="-31"/>
                <w:sz w:val="18"/>
              </w:rPr>
              <w:t> </w:t>
            </w:r>
            <w:r>
              <w:rPr>
                <w:rFonts w:ascii="Times New Roman"/>
                <w:sz w:val="18"/>
              </w:rPr>
              <w:t>DO</w:t>
            </w:r>
            <w:r>
              <w:rPr>
                <w:rFonts w:ascii="Times New Roman"/>
                <w:w w:val="99"/>
                <w:sz w:val="18"/>
              </w:rPr>
              <w:t> </w:t>
            </w:r>
            <w:r>
              <w:rPr>
                <w:rFonts w:ascii="Times New Roman"/>
                <w:sz w:val="18"/>
              </w:rPr>
              <w:t>BRASIL</w:t>
            </w:r>
            <w:r>
              <w:rPr>
                <w:rFonts w:ascii="Times New Roman"/>
                <w:spacing w:val="-6"/>
                <w:sz w:val="18"/>
              </w:rPr>
              <w:t> </w:t>
            </w:r>
            <w:r>
              <w:rPr>
                <w:rFonts w:ascii="Times New Roman"/>
                <w:spacing w:val="-5"/>
                <w:sz w:val="18"/>
              </w:rPr>
              <w:t>LTDA</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专业无线通信产品的销售和服务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深圳市运联通通信服务有限公司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专业无线通信产品销售、租赁及服务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4"/>
              <w:jc w:val="left"/>
              <w:rPr>
                <w:rFonts w:ascii="宋体" w:hAnsi="宋体" w:cs="宋体" w:eastAsia="宋体" w:hint="default"/>
                <w:sz w:val="18"/>
                <w:szCs w:val="18"/>
              </w:rPr>
            </w:pPr>
            <w:r>
              <w:rPr>
                <w:rFonts w:ascii="宋体" w:hAnsi="宋体" w:cs="宋体" w:eastAsia="宋体" w:hint="default"/>
                <w:sz w:val="18"/>
                <w:szCs w:val="18"/>
              </w:rPr>
              <w:t>深圳市鹏鼎创盈金融信息服务股份有限 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互联网金融</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天津联声软件开发有限公司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软件技术开发、咨询及服务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3"/>
                <w:sz w:val="18"/>
              </w:rPr>
              <w:t>11.11%</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鹤壁天海电子信息系统有限公司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特种汽车改装；车载电子信息系统技术 的研发、生产与销售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持有金融企业股权情况" w:id="36"/>
      <w:bookmarkEnd w:id="36"/>
      <w:r>
        <w:rPr>
          <w:b w:val="0"/>
          <w:bCs w:val="0"/>
        </w:rPr>
      </w:r>
      <w:r>
        <w:rPr/>
        <w:t>（</w:t>
      </w:r>
      <w:r>
        <w:rPr>
          <w:rFonts w:ascii="Times New Roman" w:hAnsi="Times New Roman" w:cs="Times New Roman" w:eastAsia="Times New Roman" w:hint="default"/>
        </w:rPr>
        <w:t>2</w:t>
      </w:r>
      <w:r>
        <w:rPr/>
        <w:t>）持有金融企业股权情况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公司报告期未持有金融企业股权。</w:t>
      </w:r>
    </w:p>
    <w:p>
      <w:pPr>
        <w:spacing w:line="240" w:lineRule="auto" w:before="2"/>
        <w:rPr>
          <w:rFonts w:ascii="宋体" w:hAnsi="宋体" w:cs="宋体" w:eastAsia="宋体" w:hint="default"/>
          <w:sz w:val="21"/>
          <w:szCs w:val="21"/>
        </w:rPr>
      </w:pPr>
    </w:p>
    <w:p>
      <w:pPr>
        <w:pStyle w:val="Heading3"/>
        <w:spacing w:line="240" w:lineRule="auto"/>
        <w:ind w:left="153" w:right="1046"/>
        <w:jc w:val="left"/>
        <w:rPr>
          <w:b w:val="0"/>
          <w:bCs w:val="0"/>
        </w:rPr>
      </w:pPr>
      <w:bookmarkStart w:name="（3）证券投资情况" w:id="37"/>
      <w:bookmarkEnd w:id="37"/>
      <w:r>
        <w:rPr>
          <w:b w:val="0"/>
          <w:bCs w:val="0"/>
        </w:rPr>
      </w:r>
      <w:r>
        <w:rPr/>
        <w:t>（</w:t>
      </w:r>
      <w:r>
        <w:rPr>
          <w:rFonts w:ascii="Times New Roman" w:hAnsi="Times New Roman" w:cs="Times New Roman" w:eastAsia="Times New Roman" w:hint="default"/>
        </w:rPr>
        <w:t>3</w:t>
      </w:r>
      <w:r>
        <w:rPr/>
        <w:t>）证券投资情况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公司报告期不存在证券投资。</w:t>
      </w:r>
    </w:p>
    <w:p>
      <w:pPr>
        <w:spacing w:line="240" w:lineRule="auto" w:before="13"/>
        <w:rPr>
          <w:rFonts w:ascii="宋体" w:hAnsi="宋体" w:cs="宋体" w:eastAsia="宋体" w:hint="default"/>
          <w:sz w:val="20"/>
          <w:szCs w:val="20"/>
        </w:rPr>
      </w:pPr>
    </w:p>
    <w:p>
      <w:pPr>
        <w:pStyle w:val="Heading3"/>
        <w:spacing w:line="240" w:lineRule="auto"/>
        <w:ind w:left="153" w:right="1046"/>
        <w:jc w:val="left"/>
        <w:rPr>
          <w:b w:val="0"/>
          <w:bCs w:val="0"/>
        </w:rPr>
      </w:pPr>
      <w:bookmarkStart w:name="（4）持有其他上市公司股权情况的说明" w:id="38"/>
      <w:bookmarkEnd w:id="38"/>
      <w:r>
        <w:rPr>
          <w:b w:val="0"/>
          <w:bCs w:val="0"/>
        </w:rPr>
      </w:r>
      <w:r>
        <w:rPr/>
        <w:t>（</w:t>
      </w:r>
      <w:r>
        <w:rPr>
          <w:rFonts w:ascii="Times New Roman" w:hAnsi="Times New Roman" w:cs="Times New Roman" w:eastAsia="Times New Roman" w:hint="default"/>
        </w:rPr>
        <w:t>4</w:t>
      </w:r>
      <w:r>
        <w:rPr/>
        <w:t>）持有其他上市公司股权情况的说明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公司报告期未持有其他上市公司股权。</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2、委托理财、衍生品投资和委托贷款情况" w:id="39"/>
      <w:bookmarkEnd w:id="39"/>
      <w:r>
        <w:rPr>
          <w:b w:val="0"/>
          <w:bCs w:val="0"/>
        </w:rPr>
      </w: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委托理财情况" w:id="40"/>
      <w:bookmarkEnd w:id="4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before="44"/>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1026"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04" w:right="34" w:hanging="270"/>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关联关系</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8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1"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起始日期</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 w:right="0"/>
              <w:jc w:val="left"/>
              <w:rPr>
                <w:rFonts w:ascii="宋体" w:hAnsi="宋体" w:cs="宋体" w:eastAsia="宋体" w:hint="default"/>
                <w:sz w:val="18"/>
                <w:szCs w:val="18"/>
              </w:rPr>
            </w:pPr>
            <w:r>
              <w:rPr>
                <w:rFonts w:ascii="宋体" w:hAnsi="宋体" w:cs="宋体" w:eastAsia="宋体" w:hint="default"/>
                <w:sz w:val="18"/>
                <w:szCs w:val="18"/>
              </w:rPr>
              <w:t>终止日期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2" w:right="33"/>
              <w:jc w:val="center"/>
              <w:rPr>
                <w:rFonts w:ascii="宋体" w:hAnsi="宋体" w:cs="宋体" w:eastAsia="宋体" w:hint="default"/>
                <w:sz w:val="18"/>
                <w:szCs w:val="18"/>
              </w:rPr>
            </w:pPr>
            <w:r>
              <w:rPr>
                <w:rFonts w:ascii="宋体" w:hAnsi="宋体" w:cs="宋体" w:eastAsia="宋体" w:hint="default"/>
                <w:sz w:val="18"/>
                <w:szCs w:val="18"/>
              </w:rPr>
              <w:t>本期实际 收回本金 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p>
            <w:pPr>
              <w:pStyle w:val="TableParagraph"/>
              <w:spacing w:line="240" w:lineRule="auto" w:before="20"/>
              <w:ind w:left="33"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2"/>
              <w:jc w:val="right"/>
              <w:rPr>
                <w:rFonts w:ascii="宋体" w:hAnsi="宋体" w:cs="宋体" w:eastAsia="宋体" w:hint="default"/>
                <w:sz w:val="18"/>
                <w:szCs w:val="18"/>
              </w:rPr>
            </w:pPr>
            <w:r>
              <w:rPr>
                <w:rFonts w:ascii="宋体" w:hAnsi="宋体" w:cs="宋体" w:eastAsia="宋体" w:hint="default"/>
                <w:sz w:val="18"/>
                <w:szCs w:val="18"/>
              </w:rPr>
              <w:t>预计收益</w:t>
            </w:r>
          </w:p>
        </w:tc>
        <w:tc>
          <w:tcPr>
            <w:tcW w:w="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6" w:right="25"/>
              <w:jc w:val="center"/>
              <w:rPr>
                <w:rFonts w:ascii="宋体" w:hAnsi="宋体" w:cs="宋体" w:eastAsia="宋体" w:hint="default"/>
                <w:sz w:val="18"/>
                <w:szCs w:val="18"/>
              </w:rPr>
            </w:pPr>
            <w:r>
              <w:rPr>
                <w:rFonts w:ascii="宋体" w:hAnsi="宋体" w:cs="宋体" w:eastAsia="宋体" w:hint="default"/>
                <w:sz w:val="18"/>
                <w:szCs w:val="18"/>
              </w:rPr>
              <w:t>报告期实 际损益金 额</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交通银行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813.6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813.6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16.07</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16.07</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厦门国际 银行珠海 分行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15.95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中国银行 深圳高新 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中国银行 深圳高新 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20.86</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20.86</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中国银行 深圳高新 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杭州银行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17.72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杭州银行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10.25</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10.25</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66.12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66.12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中国银行 深圳高新 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中国银行 深圳高新 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
              <w:jc w:val="right"/>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15.88</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15.88</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
              <w:jc w:val="right"/>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51.42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01"/>
        <w:gridCol w:w="798"/>
        <w:gridCol w:w="796"/>
        <w:gridCol w:w="815"/>
        <w:gridCol w:w="797"/>
        <w:gridCol w:w="798"/>
        <w:gridCol w:w="796"/>
        <w:gridCol w:w="798"/>
        <w:gridCol w:w="796"/>
        <w:gridCol w:w="798"/>
        <w:gridCol w:w="797"/>
        <w:gridCol w:w="784"/>
      </w:tblGrid>
      <w:tr>
        <w:trPr>
          <w:trHeight w:val="362" w:hRule="exact"/>
        </w:trPr>
        <w:tc>
          <w:tcPr>
            <w:tcW w:w="801"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81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杭州银行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保本浮动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交通银行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30.62</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29.14</w:t>
            </w: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0.64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0.52</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0.34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60"/>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15.64</w:t>
            </w:r>
          </w:p>
        </w:tc>
        <w:tc>
          <w:tcPr>
            <w:tcW w:w="78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中国银行 深圳高新 区支行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保本保证 收益型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0.74</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6"/>
              <w:jc w:val="right"/>
              <w:rPr>
                <w:rFonts w:ascii="宋体" w:hAnsi="宋体" w:cs="宋体" w:eastAsia="宋体" w:hint="default"/>
                <w:sz w:val="18"/>
                <w:szCs w:val="18"/>
              </w:rPr>
            </w:pPr>
            <w:r>
              <w:rPr>
                <w:rFonts w:ascii="宋体" w:hAnsi="宋体" w:cs="宋体" w:eastAsia="宋体" w:hint="default"/>
                <w:sz w:val="18"/>
                <w:szCs w:val="18"/>
              </w:rPr>
              <w:t>浦发银行</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3"/>
              <w:jc w:val="right"/>
              <w:rPr>
                <w:rFonts w:ascii="宋体" w:hAnsi="宋体" w:cs="宋体" w:eastAsia="宋体" w:hint="default"/>
                <w:sz w:val="18"/>
                <w:szCs w:val="18"/>
              </w:rPr>
            </w:pPr>
            <w:r>
              <w:rPr>
                <w:rFonts w:ascii="宋体" w:hAnsi="宋体" w:cs="宋体" w:eastAsia="宋体" w:hint="default"/>
                <w:sz w:val="18"/>
                <w:szCs w:val="18"/>
              </w:rPr>
              <w:t>非关联方</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0"/>
              <w:jc w:val="left"/>
              <w:rPr>
                <w:rFonts w:ascii="宋体" w:hAnsi="宋体" w:cs="宋体" w:eastAsia="宋体" w:hint="default"/>
                <w:sz w:val="18"/>
                <w:szCs w:val="18"/>
              </w:rPr>
            </w:pPr>
            <w:r>
              <w:rPr>
                <w:rFonts w:ascii="宋体" w:hAnsi="宋体" w:cs="宋体" w:eastAsia="宋体" w:hint="default"/>
                <w:sz w:val="18"/>
                <w:szCs w:val="18"/>
              </w:rPr>
              <w:t>保证收益 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20"/>
              <w:jc w:val="center"/>
              <w:rPr>
                <w:rFonts w:ascii="宋体" w:hAnsi="宋体" w:cs="宋体" w:eastAsia="宋体" w:hint="default"/>
                <w:sz w:val="18"/>
                <w:szCs w:val="18"/>
              </w:rPr>
            </w:pPr>
            <w:r>
              <w:rPr>
                <w:rFonts w:ascii="宋体" w:hAnsi="宋体" w:cs="宋体" w:eastAsia="宋体" w:hint="default"/>
                <w:sz w:val="18"/>
                <w:szCs w:val="18"/>
              </w:rPr>
              <w:t>合同约定</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0.09</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39,129.6</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33,679.6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321.34</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275.12</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委托理财资金来源</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闲置募集资金或闲置自有资金</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209"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6" w:lineRule="auto"/>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委托理财审批董事会公告披露日期（如 有</w:t>
            </w:r>
            <w:r>
              <w:rPr>
                <w:rFonts w:ascii="Times New Roman" w:hAnsi="Times New Roman" w:cs="Times New Roman" w:eastAsia="Times New Roman" w:hint="default"/>
                <w:sz w:val="18"/>
                <w:szCs w:val="18"/>
              </w:rPr>
              <w:t>)</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vMerge/>
            <w:tcBorders>
              <w:left w:val="single" w:sz="4" w:space="0" w:color="000000"/>
              <w:right w:val="single" w:sz="4" w:space="0" w:color="000000"/>
            </w:tcBorders>
            <w:shd w:val="clear" w:color="auto" w:fill="D2D2D2"/>
          </w:tcPr>
          <w:p>
            <w:pP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209" w:type="dxa"/>
            <w:gridSpan w:val="4"/>
            <w:vMerge/>
            <w:tcBorders>
              <w:left w:val="single" w:sz="4" w:space="0" w:color="000000"/>
              <w:bottom w:val="single" w:sz="4" w:space="0" w:color="000000"/>
              <w:right w:val="single" w:sz="4" w:space="0" w:color="000000"/>
            </w:tcBorders>
            <w:shd w:val="clear" w:color="auto" w:fill="D2D2D2"/>
          </w:tcPr>
          <w:p>
            <w:pP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320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4"/>
              <w:jc w:val="left"/>
              <w:rPr>
                <w:rFonts w:ascii="Times New Roman" w:hAnsi="Times New Roman" w:cs="Times New Roman" w:eastAsia="Times New Roman" w:hint="default"/>
                <w:sz w:val="18"/>
                <w:szCs w:val="18"/>
              </w:rPr>
            </w:pPr>
            <w:r>
              <w:rPr>
                <w:rFonts w:ascii="宋体" w:hAnsi="宋体" w:cs="宋体" w:eastAsia="宋体" w:hint="default"/>
                <w:sz w:val="18"/>
                <w:szCs w:val="18"/>
              </w:rPr>
              <w:t>委托理财审批股东会公告披露日期（如 有</w:t>
            </w:r>
            <w:r>
              <w:rPr>
                <w:rFonts w:ascii="Times New Roman" w:hAnsi="Times New Roman" w:cs="Times New Roman" w:eastAsia="Times New Roman" w:hint="default"/>
                <w:sz w:val="18"/>
                <w:szCs w:val="18"/>
              </w:rPr>
              <w:t>)</w:t>
            </w:r>
          </w:p>
        </w:tc>
        <w:tc>
          <w:tcPr>
            <w:tcW w:w="6363"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1046"/>
        <w:jc w:val="left"/>
        <w:rPr>
          <w:b w:val="0"/>
          <w:bCs w:val="0"/>
        </w:rPr>
      </w:pPr>
      <w:bookmarkStart w:name="（2）衍生品投资情况" w:id="41"/>
      <w:bookmarkEnd w:id="4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2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公司报告期不存在衍生品投资。</w:t>
      </w:r>
    </w:p>
    <w:p>
      <w:pPr>
        <w:spacing w:line="240" w:lineRule="auto" w:before="3"/>
        <w:rPr>
          <w:rFonts w:ascii="宋体" w:hAnsi="宋体" w:cs="宋体" w:eastAsia="宋体" w:hint="default"/>
          <w:sz w:val="21"/>
          <w:szCs w:val="21"/>
        </w:rPr>
      </w:pPr>
    </w:p>
    <w:p>
      <w:pPr>
        <w:pStyle w:val="Heading3"/>
        <w:spacing w:line="240" w:lineRule="auto"/>
        <w:ind w:left="153" w:right="1046"/>
        <w:jc w:val="left"/>
        <w:rPr>
          <w:b w:val="0"/>
          <w:bCs w:val="0"/>
        </w:rPr>
      </w:pPr>
      <w:bookmarkStart w:name="（3）委托贷款情况" w:id="42"/>
      <w:bookmarkEnd w:id="42"/>
      <w:r>
        <w:rPr>
          <w:b w:val="0"/>
          <w:bCs w:val="0"/>
        </w:rPr>
      </w:r>
      <w:r>
        <w:rPr/>
        <w:t>（</w:t>
      </w:r>
      <w:r>
        <w:rPr>
          <w:rFonts w:ascii="Times New Roman" w:hAnsi="Times New Roman" w:cs="Times New Roman" w:eastAsia="Times New Roman" w:hint="default"/>
        </w:rPr>
        <w:t>3</w:t>
      </w:r>
      <w:r>
        <w:rPr/>
        <w:t>）委托贷款情况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2"/>
        <w:rPr>
          <w:rFonts w:ascii="宋体" w:hAnsi="宋体" w:cs="宋体" w:eastAsia="宋体" w:hint="default"/>
          <w:sz w:val="20"/>
          <w:szCs w:val="20"/>
        </w:rPr>
      </w:pPr>
    </w:p>
    <w:p>
      <w:pPr>
        <w:pStyle w:val="Heading3"/>
        <w:spacing w:line="240" w:lineRule="auto"/>
        <w:ind w:left="153" w:right="1046"/>
        <w:jc w:val="left"/>
        <w:rPr>
          <w:b w:val="0"/>
          <w:bCs w:val="0"/>
        </w:rPr>
      </w:pPr>
      <w:bookmarkStart w:name="3、募集资金使用情况" w:id="43"/>
      <w:bookmarkEnd w:id="43"/>
      <w:r>
        <w:rPr>
          <w:b w:val="0"/>
          <w:bCs w:val="0"/>
        </w:rPr>
      </w:r>
      <w:r>
        <w:rPr>
          <w:rFonts w:ascii="Times New Roman" w:hAnsi="Times New Roman" w:cs="Times New Roman" w:eastAsia="Times New Roman" w:hint="default"/>
        </w:rPr>
        <w:t>3</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1046"/>
        <w:jc w:val="left"/>
        <w:rPr>
          <w:b w:val="0"/>
          <w:bCs w:val="0"/>
        </w:rPr>
      </w:pPr>
      <w:bookmarkStart w:name="（1）募集资金总体使用情况" w:id="44"/>
      <w:bookmarkEnd w:id="44"/>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spacing w:before="44"/>
        <w:ind w:left="0" w:right="1140" w:firstLine="0"/>
        <w:jc w:val="right"/>
        <w:rPr>
          <w:rFonts w:ascii="宋体" w:hAnsi="宋体" w:cs="宋体" w:eastAsia="宋体" w:hint="default"/>
          <w:sz w:val="18"/>
          <w:szCs w:val="18"/>
        </w:rPr>
      </w:pPr>
      <w:r>
        <w:rPr/>
        <w:pict>
          <v:shape style="position:absolute;margin-left:56.459999pt;margin-top:-221.548294pt;width:479.2pt;height:336.9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89"/>
                    <w:gridCol w:w="5480"/>
                  </w:tblGrid>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130,714.76</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7,690.84</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133,521.82</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7" w:hRule="exact"/>
                    </w:trPr>
                    <w:tc>
                      <w:tcPr>
                        <w:tcW w:w="40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p>
                    </w:tc>
                    <w:tc>
                      <w:tcPr>
                        <w:tcW w:w="54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97"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9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经中国证券监督管理委员会证监许可</w:t>
                        </w:r>
                        <w:r>
                          <w:rPr>
                            <w:rFonts w:ascii="Times New Roman" w:hAnsi="Times New Roman" w:cs="Times New Roman" w:eastAsia="Times New Roman" w:hint="default"/>
                            <w:sz w:val="18"/>
                            <w:szCs w:val="18"/>
                          </w:rPr>
                          <w:t>[2011]651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号文核准，公司于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月向社会公众发行人民币普通股</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1"/>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股，每股面值</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元，每股发行价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元，共募集资金总额人民币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1,393,000,000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元，扣除发行费用人民币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85,852,450</w:t>
                        </w:r>
                      </w:p>
                      <w:p>
                        <w:pPr>
                          <w:pStyle w:val="TableParagraph"/>
                          <w:spacing w:line="30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元，实际募集资金净额为人民币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1,307,147,550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元。该项募集资金已于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日分别到位， 已经深圳市鹏城会计师事务所有限公司和国富浩华会计师事务所（特殊普通合伙）审验，并分别出具深鹏所验字【</w:t>
                        </w:r>
                        <w:r>
                          <w:rPr>
                            <w:rFonts w:ascii="Times New Roman" w:hAnsi="Times New Roman" w:cs="Times New Roman" w:eastAsia="Times New Roman" w:hint="default"/>
                            <w:sz w:val="18"/>
                            <w:szCs w:val="18"/>
                          </w:rPr>
                          <w:t>2011</w:t>
                        </w:r>
                        <w:r>
                          <w:rPr>
                            <w:rFonts w:ascii="宋体" w:hAnsi="宋体" w:cs="宋体" w:eastAsia="宋体" w:hint="default"/>
                            <w:sz w:val="18"/>
                            <w:szCs w:val="18"/>
                          </w:rPr>
                          <w:t>】 </w:t>
                        </w:r>
                        <w:r>
                          <w:rPr>
                            <w:rFonts w:ascii="Times New Roman" w:hAnsi="Times New Roman" w:cs="Times New Roman" w:eastAsia="Times New Roman" w:hint="default"/>
                            <w:sz w:val="18"/>
                            <w:szCs w:val="18"/>
                          </w:rPr>
                          <w:t>0156 </w:t>
                        </w:r>
                        <w:r>
                          <w:rPr>
                            <w:rFonts w:ascii="宋体" w:hAnsi="宋体" w:cs="宋体" w:eastAsia="宋体" w:hint="default"/>
                            <w:spacing w:val="-1"/>
                            <w:sz w:val="18"/>
                            <w:szCs w:val="18"/>
                          </w:rPr>
                          <w:t>号《验资报告》和国浩专审字</w:t>
                        </w:r>
                        <w:r>
                          <w:rPr>
                            <w:rFonts w:ascii="Times New Roman" w:hAnsi="Times New Roman" w:cs="Times New Roman" w:eastAsia="Times New Roman" w:hint="default"/>
                            <w:spacing w:val="-1"/>
                            <w:sz w:val="18"/>
                            <w:szCs w:val="18"/>
                          </w:rPr>
                          <w:t>[2013]</w:t>
                        </w:r>
                        <w:r>
                          <w:rPr>
                            <w:rFonts w:ascii="宋体" w:hAnsi="宋体" w:cs="宋体" w:eastAsia="宋体" w:hint="default"/>
                            <w:spacing w:val="-1"/>
                            <w:sz w:val="18"/>
                            <w:szCs w:val="18"/>
                          </w:rPr>
                          <w:t>第</w:t>
                        </w:r>
                        <w:r>
                          <w:rPr>
                            <w:rFonts w:ascii="宋体" w:hAnsi="宋体" w:cs="宋体" w:eastAsia="宋体" w:hint="default"/>
                            <w:sz w:val="18"/>
                            <w:szCs w:val="18"/>
                          </w:rPr>
                          <w:t> </w:t>
                        </w:r>
                        <w:r>
                          <w:rPr>
                            <w:rFonts w:ascii="Times New Roman" w:hAnsi="Times New Roman" w:cs="Times New Roman" w:eastAsia="Times New Roman" w:hint="default"/>
                            <w:sz w:val="18"/>
                            <w:szCs w:val="18"/>
                          </w:rPr>
                          <w:t>829A0001</w:t>
                        </w:r>
                        <w:r>
                          <w:rPr>
                            <w:rFonts w:ascii="Times New Roman" w:hAnsi="Times New Roman" w:cs="Times New Roman" w:eastAsia="Times New Roman" w:hint="default"/>
                            <w:spacing w:val="-28"/>
                            <w:sz w:val="18"/>
                            <w:szCs w:val="18"/>
                          </w:rPr>
                          <w:t> </w:t>
                        </w:r>
                        <w:r>
                          <w:rPr>
                            <w:rFonts w:ascii="宋体" w:hAnsi="宋体" w:cs="宋体" w:eastAsia="宋体" w:hint="default"/>
                            <w:spacing w:val="-9"/>
                            <w:sz w:val="18"/>
                            <w:szCs w:val="18"/>
                          </w:rPr>
                          <w:t>号【专项审计报告】。</w:t>
                        </w:r>
                      </w:p>
                      <w:p>
                        <w:pPr>
                          <w:pStyle w:val="TableParagraph"/>
                          <w:spacing w:line="300" w:lineRule="auto" w:before="52"/>
                          <w:ind w:left="22" w:right="22" w:firstLine="36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日，上述募集资金已全部投入使用。其中专业无线通信数字终端产业化项目投入</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15,901.80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项目结余资金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2,257.90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万元已补充流动资金；基于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标准的数字集群系统产业化项目投入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7,380.74</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万元，项目结余资 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1,612.31</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万元已补充流动资金；专业数字终端开发平台项目投入</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3,527.11</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万元，项目结余资金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846.80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万元已补充流动资</w:t>
                        </w:r>
                      </w:p>
                      <w:p>
                        <w:pPr>
                          <w:pStyle w:val="TableParagraph"/>
                          <w:spacing w:line="240" w:lineRule="auto" w:before="13"/>
                          <w:ind w:left="22" w:right="0"/>
                          <w:jc w:val="both"/>
                          <w:rPr>
                            <w:rFonts w:ascii="宋体" w:hAnsi="宋体" w:cs="宋体" w:eastAsia="宋体" w:hint="default"/>
                            <w:sz w:val="18"/>
                            <w:szCs w:val="18"/>
                          </w:rPr>
                        </w:pPr>
                        <w:r>
                          <w:rPr>
                            <w:rFonts w:ascii="宋体" w:hAnsi="宋体" w:cs="宋体" w:eastAsia="宋体" w:hint="default"/>
                            <w:sz w:val="18"/>
                            <w:szCs w:val="18"/>
                          </w:rPr>
                          <w:t>金；数字集群研发中心项目投入</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3,285.88</w:t>
                        </w:r>
                        <w:r>
                          <w:rPr>
                            <w:rFonts w:ascii="Times New Roman" w:hAnsi="Times New Roman" w:cs="Times New Roman" w:eastAsia="Times New Roman" w:hint="default"/>
                            <w:spacing w:val="-13"/>
                            <w:sz w:val="18"/>
                            <w:szCs w:val="18"/>
                          </w:rPr>
                          <w:t> </w:t>
                        </w:r>
                        <w:r>
                          <w:rPr>
                            <w:rFonts w:ascii="宋体" w:hAnsi="宋体" w:cs="宋体" w:eastAsia="宋体" w:hint="default"/>
                            <w:spacing w:val="-3"/>
                            <w:sz w:val="18"/>
                            <w:szCs w:val="18"/>
                          </w:rPr>
                          <w:t>万元，项目结余资金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652.09</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万元已补充流动资金；海外营销和客户服务网络建设</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项目投入</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3,095.72</w:t>
                        </w:r>
                        <w:r>
                          <w:rPr>
                            <w:rFonts w:ascii="Times New Roman" w:hAnsi="Times New Roman" w:cs="Times New Roman" w:eastAsia="Times New Roman" w:hint="default"/>
                            <w:spacing w:val="-11"/>
                            <w:sz w:val="18"/>
                            <w:szCs w:val="18"/>
                          </w:rPr>
                          <w:t> </w:t>
                        </w:r>
                        <w:r>
                          <w:rPr>
                            <w:rFonts w:ascii="宋体" w:hAnsi="宋体" w:cs="宋体" w:eastAsia="宋体" w:hint="default"/>
                            <w:spacing w:val="-4"/>
                            <w:sz w:val="18"/>
                            <w:szCs w:val="18"/>
                          </w:rPr>
                          <w:t>万元，项目结余资金</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552.28</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万元已补充流动资金；超募资金及银行存款利息及理财收入扣除银行手续费</w:t>
                        </w:r>
                      </w:p>
                      <w:p>
                        <w:pPr>
                          <w:pStyle w:val="TableParagraph"/>
                          <w:spacing w:line="338" w:lineRule="auto" w:before="64"/>
                          <w:ind w:left="382" w:right="353" w:hanging="360"/>
                          <w:jc w:val="left"/>
                          <w:rPr>
                            <w:rFonts w:ascii="宋体" w:hAnsi="宋体" w:cs="宋体" w:eastAsia="宋体" w:hint="default"/>
                            <w:sz w:val="18"/>
                            <w:szCs w:val="18"/>
                          </w:rPr>
                        </w:pPr>
                        <w:r>
                          <w:rPr>
                            <w:rFonts w:ascii="宋体" w:hAnsi="宋体" w:cs="宋体" w:eastAsia="宋体" w:hint="default"/>
                            <w:sz w:val="18"/>
                            <w:szCs w:val="18"/>
                          </w:rPr>
                          <w:t>等的净额合计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94,409.19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万元已补充流动资金。 募集资金总额与已累计投入募集资金总额差异为募集资金的银行存款利息及理财收入扣除银行手续费等的净额。</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Heading3"/>
        <w:spacing w:line="240" w:lineRule="auto" w:before="35"/>
        <w:ind w:right="1046"/>
        <w:jc w:val="left"/>
        <w:rPr>
          <w:b w:val="0"/>
          <w:bCs w:val="0"/>
        </w:rPr>
      </w:pPr>
      <w:bookmarkStart w:name="（2）募集资金承诺项目情况" w:id="45"/>
      <w:bookmarkEnd w:id="45"/>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64"/>
        <w:gridCol w:w="775"/>
        <w:gridCol w:w="776"/>
        <w:gridCol w:w="776"/>
        <w:gridCol w:w="781"/>
        <w:gridCol w:w="782"/>
        <w:gridCol w:w="781"/>
        <w:gridCol w:w="782"/>
        <w:gridCol w:w="782"/>
        <w:gridCol w:w="782"/>
        <w:gridCol w:w="786"/>
      </w:tblGrid>
      <w:tr>
        <w:trPr>
          <w:trHeight w:val="1338"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6" w:right="66"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2"/>
              <w:ind w:left="81" w:right="83"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5"/>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2"/>
              <w:ind w:left="25"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5" w:right="25"/>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5"/>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7" w:right="26"/>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专业无线通信数字终 端产业化项目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22,451.11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18,159.7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1,312.11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15,901.8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87.57%</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70,339.91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22" w:right="40"/>
              <w:jc w:val="left"/>
              <w:rPr>
                <w:rFonts w:ascii="宋体" w:hAnsi="宋体" w:cs="宋体" w:eastAsia="宋体" w:hint="default"/>
                <w:sz w:val="18"/>
                <w:szCs w:val="18"/>
              </w:rPr>
            </w:pP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标准的数字 集群系统产业化项目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10,547.05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8,993.05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1,019.09</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7,380.74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82.08%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18,456.88</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专业数字终端开发平 台项目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4,933.91</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4,373.91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3,527.11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80.64%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数字集群研发中心项 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3,937.97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3,937.97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3,285.88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83.44%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海外营销和客户服务 网络建设项目</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3,648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3,648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3,095.72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2" w:right="0"/>
              <w:jc w:val="center"/>
              <w:rPr>
                <w:rFonts w:ascii="Times New Roman" w:hAnsi="Times New Roman" w:cs="Times New Roman" w:eastAsia="Times New Roman" w:hint="default"/>
                <w:sz w:val="18"/>
                <w:szCs w:val="18"/>
              </w:rPr>
            </w:pPr>
            <w:r>
              <w:rPr>
                <w:rFonts w:ascii="Times New Roman"/>
                <w:sz w:val="18"/>
              </w:rPr>
              <w:t>84.86%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项目结余募集资金补 充流动资金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4,717.01</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5,921.38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45,518.04</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39,112.63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7,048.21</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pacing w:val="-1"/>
                <w:sz w:val="18"/>
              </w:rPr>
              <w:t>39,112.63</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4"/>
              <w:jc w:val="right"/>
              <w:rPr>
                <w:rFonts w:ascii="Times New Roman" w:hAnsi="Times New Roman" w:cs="Times New Roman" w:eastAsia="Times New Roman" w:hint="default"/>
                <w:sz w:val="18"/>
                <w:szCs w:val="18"/>
              </w:rPr>
            </w:pPr>
            <w:r>
              <w:rPr>
                <w:rFonts w:ascii="Times New Roman"/>
                <w:sz w:val="18"/>
              </w:rPr>
              <w:t>88,796.79</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补缴子公司哈尔滨海 能达土地出让金</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1,795.68</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1,795.68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1,795.68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增资子公司华盛通讯 有限公司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4,875</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4,875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4,733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设立南京子公司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偿还到期企业债券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2,483.46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2,483.46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2,483.46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购买深圳龙岗区厂房</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18,619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1"/>
              <w:jc w:val="left"/>
              <w:rPr>
                <w:rFonts w:ascii="宋体" w:hAnsi="宋体" w:cs="宋体" w:eastAsia="宋体" w:hint="default"/>
                <w:sz w:val="18"/>
                <w:szCs w:val="18"/>
              </w:rPr>
            </w:pPr>
            <w:r>
              <w:rPr>
                <w:rFonts w:ascii="宋体" w:hAnsi="宋体" w:cs="宋体" w:eastAsia="宋体" w:hint="default"/>
                <w:sz w:val="18"/>
                <w:szCs w:val="18"/>
              </w:rPr>
              <w:t>增资子公司深圳市赛 格通信有限公司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2" w:right="39"/>
              <w:jc w:val="left"/>
              <w:rPr>
                <w:rFonts w:ascii="Times New Roman" w:hAnsi="Times New Roman" w:cs="Times New Roman" w:eastAsia="Times New Roman" w:hint="default"/>
                <w:sz w:val="18"/>
                <w:szCs w:val="18"/>
              </w:rPr>
            </w:pPr>
            <w:r>
              <w:rPr>
                <w:rFonts w:ascii="宋体" w:hAnsi="宋体" w:cs="宋体" w:eastAsia="宋体" w:hint="default"/>
                <w:sz w:val="18"/>
                <w:szCs w:val="18"/>
              </w:rPr>
              <w:t>增资德国 </w:t>
            </w:r>
            <w:r>
              <w:rPr>
                <w:rFonts w:ascii="Times New Roman" w:hAnsi="Times New Roman" w:cs="Times New Roman" w:eastAsia="Times New Roman" w:hint="default"/>
                <w:sz w:val="18"/>
                <w:szCs w:val="18"/>
              </w:rPr>
              <w:t>Rohde&amp;SchwarzProfes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sionalMobileRadioGm</w:t>
            </w:r>
          </w:p>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bH</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公司</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4,847</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4,847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4,786.14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8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购买深圳龙岗区厂房</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12,550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11,599.29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2"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sz w:val="20"/>
          <w:szCs w:val="20"/>
        </w:rPr>
      </w:pPr>
      <w:r>
        <w:rPr/>
        <w:pict>
          <v:shape style="position:absolute;margin-left:56.459999pt;margin-top:71.999985pt;width:479.2pt;height:694.7pt;mso-position-horizontal-relative:page;mso-position-vertical-relative:page;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194"/>
                    <w:gridCol w:w="570"/>
                    <w:gridCol w:w="788"/>
                    <w:gridCol w:w="776"/>
                    <w:gridCol w:w="781"/>
                    <w:gridCol w:w="782"/>
                    <w:gridCol w:w="781"/>
                    <w:gridCol w:w="782"/>
                    <w:gridCol w:w="794"/>
                    <w:gridCol w:w="771"/>
                    <w:gridCol w:w="786"/>
                  </w:tblGrid>
                  <w:tr>
                    <w:trPr>
                      <w:trHeight w:val="362"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配套宿舍及办公楼</w:t>
                        </w:r>
                      </w:p>
                    </w:tc>
                    <w:tc>
                      <w:tcPr>
                        <w:tcW w:w="763" w:type="dxa"/>
                        <w:gridSpan w:val="2"/>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94" w:type="dxa"/>
                        <w:tcBorders>
                          <w:top w:val="single" w:sz="4" w:space="0" w:color="000000"/>
                          <w:left w:val="single" w:sz="4" w:space="0" w:color="000000"/>
                          <w:bottom w:val="single" w:sz="4" w:space="0" w:color="000000"/>
                          <w:right w:val="single" w:sz="4" w:space="0" w:color="000000"/>
                        </w:tcBorders>
                      </w:tcPr>
                      <w:p>
                        <w:pPr/>
                      </w:p>
                    </w:tc>
                    <w:tc>
                      <w:tcPr>
                        <w:tcW w:w="771"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归还银行贷款（如有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23,050</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23,050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23,050</w:t>
                        </w:r>
                      </w:p>
                    </w:tc>
                    <w:tc>
                      <w:tcPr>
                        <w:tcW w:w="7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8"/>
                          <w:jc w:val="right"/>
                          <w:rPr>
                            <w:rFonts w:ascii="Times New Roman" w:hAnsi="Times New Roman" w:cs="Times New Roman" w:eastAsia="Times New Roman" w:hint="default"/>
                            <w:sz w:val="18"/>
                            <w:szCs w:val="18"/>
                          </w:rPr>
                        </w:pPr>
                        <w:r>
                          <w:rPr>
                            <w:rFonts w:ascii="Times New Roman"/>
                            <w:sz w:val="18"/>
                          </w:rPr>
                          <w:t>--</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补充流动资金（如有</w:t>
                        </w:r>
                      </w:p>
                    </w:tc>
                    <w:tc>
                      <w:tcPr>
                        <w:tcW w:w="194" w:type="dxa"/>
                        <w:tcBorders>
                          <w:top w:val="single" w:sz="4" w:space="0" w:color="000000"/>
                          <w:left w:val="single" w:sz="4" w:space="0" w:color="000000"/>
                          <w:bottom w:val="single" w:sz="4" w:space="0" w:color="000000"/>
                          <w:right w:val="nil" w:sz="6" w:space="0" w:color="auto"/>
                        </w:tcBorders>
                        <w:shd w:val="clear" w:color="auto" w:fill="D2D2D2"/>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57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17,642.62</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17,642.62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642.62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17,642.62</w:t>
                        </w:r>
                      </w:p>
                    </w:tc>
                    <w:tc>
                      <w:tcPr>
                        <w:tcW w:w="78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100.00%</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37"/>
                          <w:jc w:val="right"/>
                          <w:rPr>
                            <w:rFonts w:ascii="Times New Roman" w:hAnsi="Times New Roman" w:cs="Times New Roman" w:eastAsia="Times New Roman" w:hint="default"/>
                            <w:sz w:val="18"/>
                            <w:szCs w:val="18"/>
                          </w:rPr>
                        </w:pPr>
                        <w:r>
                          <w:rPr>
                            <w:rFonts w:ascii="Times New Roman"/>
                            <w:sz w:val="18"/>
                          </w:rPr>
                          <w:t>--</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6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95,943.76</w:t>
                        </w:r>
                      </w:p>
                    </w:tc>
                    <w:tc>
                      <w:tcPr>
                        <w:tcW w:w="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95,943.76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642.62</w:t>
                        </w:r>
                      </w:p>
                    </w:tc>
                    <w:tc>
                      <w:tcPr>
                        <w:tcW w:w="782"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94,409.19</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tcBorders>
                          <w:top w:val="single" w:sz="4" w:space="0" w:color="000000"/>
                          <w:left w:val="single" w:sz="13" w:space="0" w:color="D2D2D2"/>
                          <w:bottom w:val="single" w:sz="4" w:space="0" w:color="000000"/>
                          <w:right w:val="single" w:sz="9" w:space="0" w:color="D2D2D2"/>
                        </w:tcBorders>
                      </w:tcPr>
                      <w:p>
                        <w:pP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6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88"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141,461.8</w:t>
                        </w:r>
                      </w:p>
                    </w:tc>
                    <w:tc>
                      <w:tcPr>
                        <w:tcW w:w="776"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135,056.3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7,690.83</w:t>
                        </w:r>
                      </w:p>
                    </w:tc>
                    <w:tc>
                      <w:tcPr>
                        <w:tcW w:w="782" w:type="dxa"/>
                        <w:vMerge w:val="restart"/>
                        <w:tcBorders>
                          <w:top w:val="single" w:sz="4" w:space="0" w:color="000000"/>
                          <w:left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133,521.8</w:t>
                        </w:r>
                      </w:p>
                      <w:p>
                        <w:pPr>
                          <w:pStyle w:val="TableParagraph"/>
                          <w:spacing w:line="240" w:lineRule="auto" w:before="105"/>
                          <w:ind w:right="15"/>
                          <w:jc w:val="right"/>
                          <w:rPr>
                            <w:rFonts w:ascii="Times New Roman" w:hAnsi="Times New Roman" w:cs="Times New Roman" w:eastAsia="Times New Roman" w:hint="default"/>
                            <w:sz w:val="18"/>
                            <w:szCs w:val="18"/>
                          </w:rPr>
                        </w:pPr>
                        <w:r>
                          <w:rPr>
                            <w:rFonts w:ascii="Times New Roman"/>
                            <w:sz w:val="18"/>
                          </w:rPr>
                          <w:t>2</w:t>
                        </w:r>
                      </w:p>
                    </w:tc>
                    <w:tc>
                      <w:tcPr>
                        <w:tcW w:w="7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2"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vMerge w:val="restart"/>
                        <w:tcBorders>
                          <w:top w:val="single" w:sz="4" w:space="0" w:color="000000"/>
                          <w:left w:val="single" w:sz="9" w:space="0" w:color="D2D2D2"/>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88,796.79</w:t>
                        </w:r>
                      </w:p>
                    </w:tc>
                    <w:tc>
                      <w:tcPr>
                        <w:tcW w:w="7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788" w:type="dxa"/>
                        <w:vMerge/>
                        <w:tcBorders>
                          <w:left w:val="single" w:sz="10" w:space="0" w:color="D2D2D2"/>
                          <w:right w:val="single" w:sz="4" w:space="0" w:color="000000"/>
                        </w:tcBorders>
                      </w:tcPr>
                      <w:p>
                        <w:pPr/>
                      </w:p>
                    </w:tc>
                    <w:tc>
                      <w:tcPr>
                        <w:tcW w:w="7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c>
                      <w:tcPr>
                        <w:tcW w:w="782" w:type="dxa"/>
                        <w:vMerge/>
                        <w:tcBorders>
                          <w:left w:val="single" w:sz="4" w:space="0" w:color="000000"/>
                          <w:right w:val="single" w:sz="9" w:space="0" w:color="D2D2D2"/>
                        </w:tcBorders>
                      </w:tcPr>
                      <w:p>
                        <w:pPr/>
                      </w:p>
                    </w:tc>
                    <w:tc>
                      <w:tcPr>
                        <w:tcW w:w="7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4" w:type="dxa"/>
                        <w:vMerge/>
                        <w:tcBorders>
                          <w:left w:val="single" w:sz="9" w:space="0" w:color="D2D2D2"/>
                          <w:right w:val="single" w:sz="9" w:space="0" w:color="D2D2D2"/>
                        </w:tcBorders>
                      </w:tcPr>
                      <w:p>
                        <w:pPr/>
                      </w:p>
                    </w:tc>
                    <w:tc>
                      <w:tcPr>
                        <w:tcW w:w="77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78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88" w:type="dxa"/>
                        <w:vMerge/>
                        <w:tcBorders>
                          <w:left w:val="single" w:sz="10" w:space="0" w:color="D2D2D2"/>
                          <w:bottom w:val="single" w:sz="4" w:space="0" w:color="000000"/>
                          <w:right w:val="single" w:sz="4" w:space="0" w:color="000000"/>
                        </w:tcBorders>
                      </w:tcPr>
                      <w:p>
                        <w:pPr/>
                      </w:p>
                    </w:tc>
                    <w:tc>
                      <w:tcPr>
                        <w:tcW w:w="7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9" w:space="0" w:color="D2D2D2"/>
                        </w:tcBorders>
                      </w:tcPr>
                      <w:p>
                        <w:pPr/>
                      </w:p>
                    </w:tc>
                    <w:tc>
                      <w:tcPr>
                        <w:tcW w:w="78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2"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vMerge/>
                        <w:tcBorders>
                          <w:left w:val="single" w:sz="9" w:space="0" w:color="D2D2D2"/>
                          <w:bottom w:val="single" w:sz="4" w:space="0" w:color="000000"/>
                          <w:right w:val="single" w:sz="9" w:space="0" w:color="D2D2D2"/>
                        </w:tcBorders>
                      </w:tcPr>
                      <w:p>
                        <w:pPr/>
                      </w:p>
                    </w:tc>
                    <w:tc>
                      <w:tcPr>
                        <w:tcW w:w="771"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804"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804" w:type="dxa"/>
                        <w:gridSpan w:val="11"/>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
                    </w:tc>
                    <w:tc>
                      <w:tcPr>
                        <w:tcW w:w="780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176" w:hRule="exact"/>
                    </w:trPr>
                    <w:tc>
                      <w:tcPr>
                        <w:tcW w:w="1764" w:type="dxa"/>
                        <w:vMerge/>
                        <w:tcBorders>
                          <w:left w:val="single" w:sz="4" w:space="0" w:color="000000"/>
                          <w:bottom w:val="nil" w:sz="6" w:space="0" w:color="auto"/>
                          <w:right w:val="single" w:sz="4" w:space="0" w:color="000000"/>
                        </w:tcBorders>
                        <w:shd w:val="clear" w:color="auto" w:fill="D2D2D2"/>
                      </w:tcPr>
                      <w:p>
                        <w:pPr/>
                      </w:p>
                    </w:tc>
                    <w:tc>
                      <w:tcPr>
                        <w:tcW w:w="7804" w:type="dxa"/>
                        <w:gridSpan w:val="11"/>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日公司第一届董事会第十二次会议决议，同意用超募资金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23,050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万元偿还</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银行贷款。截止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23,050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万元的募集资金已经转出。</w:t>
                        </w:r>
                      </w:p>
                      <w:p>
                        <w:pPr>
                          <w:pStyle w:val="TableParagraph"/>
                          <w:spacing w:line="240" w:lineRule="auto" w:before="102"/>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日公司第一届董事会第十三次会议决议，同意用超募资金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1,795.68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万元补缴</w:t>
                        </w:r>
                      </w:p>
                      <w:p>
                        <w:pPr>
                          <w:pStyle w:val="TableParagraph"/>
                          <w:spacing w:line="302" w:lineRule="auto" w:before="63"/>
                          <w:ind w:left="16" w:right="22"/>
                          <w:jc w:val="left"/>
                          <w:rPr>
                            <w:rFonts w:ascii="宋体" w:hAnsi="宋体" w:cs="宋体" w:eastAsia="宋体" w:hint="default"/>
                            <w:sz w:val="18"/>
                            <w:szCs w:val="18"/>
                          </w:rPr>
                        </w:pPr>
                        <w:r>
                          <w:rPr>
                            <w:rFonts w:ascii="宋体" w:hAnsi="宋体" w:cs="宋体" w:eastAsia="宋体" w:hint="default"/>
                            <w:sz w:val="18"/>
                            <w:szCs w:val="18"/>
                          </w:rPr>
                          <w:t>子公司哈尔滨海能达科技有限公司土地出让金，截止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1,795.68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万元土地出让金 款已经支付完毕。</w:t>
                        </w:r>
                      </w:p>
                      <w:p>
                        <w:pPr>
                          <w:pStyle w:val="TableParagraph"/>
                          <w:spacing w:line="240" w:lineRule="auto" w:before="68"/>
                          <w:ind w:left="1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pacing w:val="-86"/>
                            <w:sz w:val="18"/>
                            <w:szCs w:val="18"/>
                          </w:rPr>
                          <w:t>、</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1"/>
                            <w:sz w:val="18"/>
                            <w:szCs w:val="18"/>
                          </w:rPr>
                          <w:t>第</w:t>
                        </w:r>
                        <w:r>
                          <w:rPr>
                            <w:rFonts w:ascii="宋体" w:hAnsi="宋体" w:cs="宋体" w:eastAsia="宋体" w:hint="default"/>
                            <w:sz w:val="18"/>
                            <w:szCs w:val="18"/>
                          </w:rPr>
                          <w:t>一届董事会第十三次会议决议</w:t>
                        </w:r>
                        <w:r>
                          <w:rPr>
                            <w:rFonts w:ascii="宋体" w:hAnsi="宋体" w:cs="宋体" w:eastAsia="宋体" w:hint="default"/>
                            <w:spacing w:val="-86"/>
                            <w:sz w:val="18"/>
                            <w:szCs w:val="18"/>
                          </w:rPr>
                          <w:t>，</w:t>
                        </w:r>
                        <w:r>
                          <w:rPr>
                            <w:rFonts w:ascii="宋体" w:hAnsi="宋体" w:cs="宋体" w:eastAsia="宋体" w:hint="default"/>
                            <w:sz w:val="18"/>
                            <w:szCs w:val="18"/>
                          </w:rPr>
                          <w:t>同意用超募资金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r>
                          <w:rPr>
                            <w:rFonts w:ascii="宋体" w:hAnsi="宋体" w:cs="宋体" w:eastAsia="宋体" w:hint="default"/>
                            <w:spacing w:val="1"/>
                            <w:sz w:val="18"/>
                            <w:szCs w:val="18"/>
                          </w:rPr>
                          <w:t>美</w:t>
                        </w:r>
                        <w:r>
                          <w:rPr>
                            <w:rFonts w:ascii="宋体" w:hAnsi="宋体" w:cs="宋体" w:eastAsia="宋体" w:hint="default"/>
                            <w:spacing w:val="-86"/>
                            <w:sz w:val="18"/>
                            <w:szCs w:val="18"/>
                          </w:rPr>
                          <w:t>元</w:t>
                        </w:r>
                        <w:r>
                          <w:rPr>
                            <w:rFonts w:ascii="宋体" w:hAnsi="宋体" w:cs="宋体" w:eastAsia="宋体" w:hint="default"/>
                            <w:sz w:val="18"/>
                            <w:szCs w:val="18"/>
                          </w:rPr>
                          <w:t>（约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4,875</w:t>
                        </w:r>
                      </w:p>
                      <w:p>
                        <w:pPr>
                          <w:pStyle w:val="TableParagraph"/>
                          <w:spacing w:line="302" w:lineRule="auto" w:before="63"/>
                          <w:ind w:left="16" w:right="113"/>
                          <w:jc w:val="left"/>
                          <w:rPr>
                            <w:rFonts w:ascii="宋体" w:hAnsi="宋体" w:cs="宋体" w:eastAsia="宋体" w:hint="default"/>
                            <w:sz w:val="18"/>
                            <w:szCs w:val="18"/>
                          </w:rPr>
                        </w:pPr>
                        <w:r>
                          <w:rPr>
                            <w:rFonts w:ascii="宋体" w:hAnsi="宋体" w:cs="宋体" w:eastAsia="宋体" w:hint="default"/>
                            <w:spacing w:val="-3"/>
                            <w:sz w:val="18"/>
                            <w:szCs w:val="18"/>
                          </w:rPr>
                          <w:t>万元人民币）对华盛通讯有限公司增资，截止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4,733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万元的募集资金已经转出 此项目已结算完毕，余额为汇率差异引起，不需再支付。</w:t>
                        </w:r>
                      </w:p>
                      <w:p>
                        <w:pPr>
                          <w:pStyle w:val="TableParagraph"/>
                          <w:spacing w:line="240" w:lineRule="auto" w:before="68"/>
                          <w:ind w:left="16"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4</w:t>
                        </w:r>
                        <w:r>
                          <w:rPr>
                            <w:rFonts w:ascii="宋体" w:hAnsi="宋体" w:cs="宋体" w:eastAsia="宋体" w:hint="default"/>
                            <w:spacing w:val="-4"/>
                            <w:sz w:val="18"/>
                            <w:szCs w:val="18"/>
                          </w:rPr>
                          <w:t>、根据</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日公司第一届董事会第十四次会议决议，同意用超募资金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6,700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万元设立南</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pacing w:val="-5"/>
                            <w:sz w:val="18"/>
                            <w:szCs w:val="18"/>
                          </w:rPr>
                          <w:t>京子公司，</w:t>
                        </w:r>
                        <w:r>
                          <w:rPr>
                            <w:rFonts w:ascii="Times New Roman" w:hAnsi="Times New Roman" w:cs="Times New Roman" w:eastAsia="Times New Roman" w:hint="default"/>
                            <w:spacing w:val="-5"/>
                            <w:sz w:val="18"/>
                            <w:szCs w:val="18"/>
                          </w:rPr>
                          <w:t>2011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日召开的</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年第二次临时股东大会审议通过了该议案。截止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6,700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万元的募集资金已经转出。</w:t>
                        </w:r>
                      </w:p>
                      <w:p>
                        <w:pPr>
                          <w:pStyle w:val="TableParagraph"/>
                          <w:spacing w:line="240" w:lineRule="auto" w:before="102"/>
                          <w:ind w:left="16" w:right="0"/>
                          <w:jc w:val="both"/>
                          <w:rPr>
                            <w:rFonts w:ascii="宋体" w:hAnsi="宋体" w:cs="宋体" w:eastAsia="宋体" w:hint="default"/>
                            <w:sz w:val="18"/>
                            <w:szCs w:val="18"/>
                          </w:rPr>
                        </w:pPr>
                        <w:r>
                          <w:rPr>
                            <w:rFonts w:ascii="Times New Roman" w:hAnsi="Times New Roman" w:cs="Times New Roman" w:eastAsia="Times New Roman" w:hint="default"/>
                            <w:spacing w:val="-10"/>
                            <w:sz w:val="18"/>
                            <w:szCs w:val="18"/>
                          </w:rPr>
                          <w:t>5</w:t>
                        </w:r>
                        <w:r>
                          <w:rPr>
                            <w:rFonts w:ascii="宋体" w:hAnsi="宋体" w:cs="宋体" w:eastAsia="宋体" w:hint="default"/>
                            <w:spacing w:val="-10"/>
                            <w:sz w:val="18"/>
                            <w:szCs w:val="18"/>
                          </w:rPr>
                          <w:t>、根据</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日公司第一届董事会第十五次会议决议，同意用超募资金</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2,483.46</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万元偿还</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本年度到期企业债券，截止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2,483.46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万元的募集资金已经支付完毕。</w:t>
                        </w:r>
                      </w:p>
                      <w:p>
                        <w:pPr>
                          <w:pStyle w:val="TableParagraph"/>
                          <w:spacing w:line="240" w:lineRule="auto" w:before="101"/>
                          <w:ind w:left="16"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、根据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日公司第一届董事会第十五次会议决议，同意用超募资金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万元永久性</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补充公司流动资金，截止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万元的募集资金已经支付完毕。</w:t>
                        </w:r>
                      </w:p>
                      <w:p>
                        <w:pPr>
                          <w:pStyle w:val="TableParagraph"/>
                          <w:spacing w:line="240" w:lineRule="auto" w:before="101"/>
                          <w:ind w:left="16"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7</w:t>
                        </w:r>
                        <w:r>
                          <w:rPr>
                            <w:rFonts w:ascii="宋体" w:hAnsi="宋体" w:cs="宋体" w:eastAsia="宋体" w:hint="default"/>
                            <w:spacing w:val="-4"/>
                            <w:sz w:val="18"/>
                            <w:szCs w:val="18"/>
                          </w:rPr>
                          <w:t>、根据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日公司第一届董事会第十五次会议决议，同意用不超过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亿元的超募资金</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购买深圳龙岗区厂房，</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年第三次临时股东大会审议通过了该议案。</w:t>
                        </w:r>
                      </w:p>
                      <w:p>
                        <w:pPr>
                          <w:pStyle w:val="TableParagraph"/>
                          <w:spacing w:line="302" w:lineRule="auto" w:before="63"/>
                          <w:ind w:left="16" w:right="22"/>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日，</w:t>
                        </w:r>
                        <w:r>
                          <w:rPr>
                            <w:rFonts w:ascii="Times New Roman" w:hAnsi="Times New Roman" w:cs="Times New Roman" w:eastAsia="Times New Roman" w:hint="default"/>
                            <w:spacing w:val="-4"/>
                            <w:sz w:val="18"/>
                            <w:szCs w:val="18"/>
                          </w:rPr>
                          <w:t>18,619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万元的募集资金已经转出，此项目已结算完毕，余额为项目结算差 异引起，不需再支付。</w:t>
                        </w:r>
                      </w:p>
                      <w:p>
                        <w:pPr>
                          <w:pStyle w:val="TableParagraph"/>
                          <w:spacing w:line="240" w:lineRule="auto" w:before="69"/>
                          <w:ind w:left="16" w:right="0"/>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8</w:t>
                        </w:r>
                        <w:r>
                          <w:rPr>
                            <w:rFonts w:ascii="宋体" w:hAnsi="宋体" w:cs="宋体" w:eastAsia="宋体" w:hint="default"/>
                            <w:spacing w:val="-4"/>
                            <w:sz w:val="18"/>
                            <w:szCs w:val="18"/>
                          </w:rPr>
                          <w:t>、根据</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日公司第一届董事会第十七次会议决议，同意用超募资金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万元用于深</w:t>
                        </w:r>
                      </w:p>
                      <w:p>
                        <w:pPr>
                          <w:pStyle w:val="TableParagraph"/>
                          <w:spacing w:line="240" w:lineRule="auto" w:before="64"/>
                          <w:ind w:left="16" w:right="0"/>
                          <w:jc w:val="both"/>
                          <w:rPr>
                            <w:rFonts w:ascii="宋体" w:hAnsi="宋体" w:cs="宋体" w:eastAsia="宋体" w:hint="default"/>
                            <w:sz w:val="18"/>
                            <w:szCs w:val="18"/>
                          </w:rPr>
                        </w:pPr>
                        <w:r>
                          <w:rPr>
                            <w:rFonts w:ascii="宋体" w:hAnsi="宋体" w:cs="宋体" w:eastAsia="宋体" w:hint="default"/>
                            <w:sz w:val="18"/>
                            <w:szCs w:val="18"/>
                          </w:rPr>
                          <w:t>圳市赛格通信有限公司增资，截止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万元的募集资金已经支付完毕。</w:t>
                        </w:r>
                      </w:p>
                      <w:p>
                        <w:pPr>
                          <w:pStyle w:val="TableParagraph"/>
                          <w:spacing w:line="300" w:lineRule="auto" w:before="101"/>
                          <w:ind w:left="16"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、根据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日公司第一届董事会第十八次会议决议，同意公司在收购关闭且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PMR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股权 </w:t>
                        </w:r>
                        <w:r>
                          <w:rPr>
                            <w:rFonts w:ascii="宋体" w:hAnsi="宋体" w:cs="宋体" w:eastAsia="宋体" w:hint="default"/>
                            <w:spacing w:val="-7"/>
                            <w:sz w:val="18"/>
                            <w:szCs w:val="18"/>
                          </w:rPr>
                          <w:t>变更完成后，使用超募资金</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600</w:t>
                        </w:r>
                        <w:r>
                          <w:rPr>
                            <w:rFonts w:ascii="Times New Roman" w:hAnsi="Times New Roman" w:cs="Times New Roman" w:eastAsia="Times New Roman" w:hint="default"/>
                            <w:spacing w:val="2"/>
                            <w:sz w:val="18"/>
                            <w:szCs w:val="18"/>
                          </w:rPr>
                          <w:t> </w:t>
                        </w:r>
                        <w:r>
                          <w:rPr>
                            <w:rFonts w:ascii="宋体" w:hAnsi="宋体" w:cs="宋体" w:eastAsia="宋体" w:hint="default"/>
                            <w:spacing w:val="-9"/>
                            <w:sz w:val="18"/>
                            <w:szCs w:val="18"/>
                          </w:rPr>
                          <w:t>万欧元（约合人民币</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4847</w:t>
                        </w:r>
                        <w:r>
                          <w:rPr>
                            <w:rFonts w:ascii="Times New Roman" w:hAnsi="Times New Roman" w:cs="Times New Roman" w:eastAsia="Times New Roman" w:hint="default"/>
                            <w:spacing w:val="2"/>
                            <w:sz w:val="18"/>
                            <w:szCs w:val="18"/>
                          </w:rPr>
                          <w:t> </w:t>
                        </w:r>
                        <w:r>
                          <w:rPr>
                            <w:rFonts w:ascii="宋体" w:hAnsi="宋体" w:cs="宋体" w:eastAsia="宋体" w:hint="default"/>
                            <w:spacing w:val="-13"/>
                            <w:sz w:val="18"/>
                            <w:szCs w:val="18"/>
                          </w:rPr>
                          <w:t>万元）向德国</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Rohde</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&amp;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Schwarz</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pacing w:val="-1"/>
                            <w:w w:val="99"/>
                            <w:sz w:val="18"/>
                            <w:szCs w:val="18"/>
                          </w:rPr>
                          <w:t>Professional</w:t>
                        </w:r>
                        <w:r>
                          <w:rPr>
                            <w:rFonts w:ascii="Times New Roman" w:hAnsi="Times New Roman" w:cs="Times New Roman" w:eastAsia="Times New Roman" w:hint="default"/>
                            <w:spacing w:val="-43"/>
                            <w:w w:val="99"/>
                            <w:sz w:val="18"/>
                            <w:szCs w:val="18"/>
                          </w:rPr>
                          <w:t> </w:t>
                        </w:r>
                        <w:r>
                          <w:rPr>
                            <w:rFonts w:ascii="Times New Roman" w:hAnsi="Times New Roman" w:cs="Times New Roman" w:eastAsia="Times New Roman" w:hint="default"/>
                            <w:spacing w:val="-43"/>
                            <w:w w:val="99"/>
                            <w:sz w:val="18"/>
                            <w:szCs w:val="18"/>
                          </w:rPr>
                        </w:r>
                        <w:r>
                          <w:rPr>
                            <w:rFonts w:ascii="Times New Roman" w:hAnsi="Times New Roman" w:cs="Times New Roman" w:eastAsia="Times New Roman" w:hint="default"/>
                            <w:sz w:val="18"/>
                            <w:szCs w:val="18"/>
                          </w:rPr>
                          <w:t>Mobile</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Radio</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GmbH</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公司进行增资，用于补充</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PMR</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流动资金并改善其净资产状况。截止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4,786.14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万元的募集资金已经转出，此项目已结算完毕，余额为汇率差异引起，不需再支 付。</w:t>
                        </w:r>
                      </w:p>
                      <w:p>
                        <w:pPr>
                          <w:pStyle w:val="TableParagraph"/>
                          <w:spacing w:line="240" w:lineRule="auto" w:before="70"/>
                          <w:ind w:left="16"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日公司第一届董事会第二十次会议决议，同意公司使用部分超募资金通过</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股权收购的方式购买深圳市兰普源照明科技股份有限公司位于深圳市龙岗区宝龙工业园的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48053.16</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平米的物业，总收购价格不超过</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12,550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11,599.29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万元的募集资金</w:t>
                        </w:r>
                      </w:p>
                    </w:tc>
                  </w:tr>
                  <w:tr>
                    <w:trPr>
                      <w:trHeight w:val="703" w:hRule="exact"/>
                    </w:trPr>
                    <w:tc>
                      <w:tcPr>
                        <w:tcW w:w="17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超募资金的金额、用 途及使用进展情况</w:t>
                        </w:r>
                      </w:p>
                    </w:tc>
                    <w:tc>
                      <w:tcPr>
                        <w:tcW w:w="7804" w:type="dxa"/>
                        <w:gridSpan w:val="11"/>
                        <w:vMerge/>
                        <w:tcBorders>
                          <w:left w:val="single" w:sz="9" w:space="0" w:color="D2D2D2"/>
                          <w:right w:val="single" w:sz="4" w:space="0" w:color="000000"/>
                        </w:tcBorders>
                      </w:tcPr>
                      <w:p>
                        <w:pPr/>
                      </w:p>
                    </w:tc>
                  </w:tr>
                  <w:tr>
                    <w:trPr>
                      <w:trHeight w:val="4580" w:hRule="exact"/>
                    </w:trPr>
                    <w:tc>
                      <w:tcPr>
                        <w:tcW w:w="1764" w:type="dxa"/>
                        <w:tcBorders>
                          <w:top w:val="nil" w:sz="6" w:space="0" w:color="auto"/>
                          <w:left w:val="single" w:sz="4" w:space="0" w:color="000000"/>
                          <w:bottom w:val="single" w:sz="4" w:space="0" w:color="000000"/>
                          <w:right w:val="single" w:sz="4" w:space="0" w:color="000000"/>
                        </w:tcBorders>
                        <w:shd w:val="clear" w:color="auto" w:fill="D2D2D2"/>
                      </w:tcPr>
                      <w:p>
                        <w:pPr/>
                      </w:p>
                    </w:tc>
                    <w:tc>
                      <w:tcPr>
                        <w:tcW w:w="7804" w:type="dxa"/>
                        <w:gridSpan w:val="11"/>
                        <w:vMerge/>
                        <w:tcBorders>
                          <w:left w:val="single" w:sz="9"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6"/>
          <w:szCs w:val="16"/>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64"/>
        <w:gridCol w:w="7804"/>
      </w:tblGrid>
      <w:tr>
        <w:trPr>
          <w:trHeight w:val="4227"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both"/>
              <w:rPr>
                <w:rFonts w:ascii="宋体" w:hAnsi="宋体" w:cs="宋体" w:eastAsia="宋体" w:hint="default"/>
                <w:sz w:val="18"/>
                <w:szCs w:val="18"/>
              </w:rPr>
            </w:pPr>
            <w:r>
              <w:rPr>
                <w:rFonts w:ascii="宋体" w:hAnsi="宋体" w:cs="宋体" w:eastAsia="宋体" w:hint="default"/>
                <w:sz w:val="18"/>
                <w:szCs w:val="18"/>
              </w:rPr>
              <w:t>已经转出，此项目已结算完毕，余额为项目结算差异引起，不需再支付。</w:t>
            </w:r>
          </w:p>
          <w:p>
            <w:pPr>
              <w:pStyle w:val="TableParagraph"/>
              <w:spacing w:line="240" w:lineRule="auto" w:before="116"/>
              <w:ind w:left="22" w:right="0"/>
              <w:jc w:val="both"/>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宋体" w:hAnsi="宋体" w:cs="宋体" w:eastAsia="宋体" w:hint="default"/>
                <w:spacing w:val="-76"/>
                <w:sz w:val="18"/>
                <w:szCs w:val="18"/>
              </w:rPr>
              <w:t>、</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公</w:t>
            </w:r>
            <w:r>
              <w:rPr>
                <w:rFonts w:ascii="宋体" w:hAnsi="宋体" w:cs="宋体" w:eastAsia="宋体" w:hint="default"/>
                <w:sz w:val="18"/>
                <w:szCs w:val="18"/>
              </w:rPr>
              <w:t>司第一届董事会第二十六次会议决议及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东大会决议，同意公司使用超募资金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万元永久性补充流动资金，用于补充公司日常经营所需</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流动资金。 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万超募资金已补充流动资金。</w:t>
            </w:r>
          </w:p>
          <w:p>
            <w:pPr>
              <w:pStyle w:val="TableParagraph"/>
              <w:spacing w:line="240" w:lineRule="auto" w:before="10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pacing w:val="-82"/>
                <w:sz w:val="18"/>
                <w:szCs w:val="18"/>
              </w:rPr>
              <w:t>、</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公</w:t>
            </w:r>
            <w:r>
              <w:rPr>
                <w:rFonts w:ascii="宋体" w:hAnsi="宋体" w:cs="宋体" w:eastAsia="宋体" w:hint="default"/>
                <w:sz w:val="18"/>
                <w:szCs w:val="18"/>
              </w:rPr>
              <w:t>司第二届董事会第三次会议决议及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年第三次临</w:t>
            </w:r>
          </w:p>
          <w:p>
            <w:pPr>
              <w:pStyle w:val="TableParagraph"/>
              <w:spacing w:line="240" w:lineRule="auto" w:before="63"/>
              <w:ind w:left="22" w:right="0"/>
              <w:jc w:val="both"/>
              <w:rPr>
                <w:rFonts w:ascii="宋体" w:hAnsi="宋体" w:cs="宋体" w:eastAsia="宋体" w:hint="default"/>
                <w:sz w:val="18"/>
                <w:szCs w:val="18"/>
              </w:rPr>
            </w:pPr>
            <w:r>
              <w:rPr>
                <w:rFonts w:ascii="宋体" w:hAnsi="宋体" w:cs="宋体" w:eastAsia="宋体" w:hint="default"/>
                <w:sz w:val="18"/>
                <w:szCs w:val="18"/>
              </w:rPr>
              <w:t>时股东大会决议，同意公司使用超募资金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万元永久性补充流动资金，用于补充公司日常经营</w:t>
            </w:r>
          </w:p>
          <w:p>
            <w:pPr>
              <w:pStyle w:val="TableParagraph"/>
              <w:spacing w:line="240" w:lineRule="auto" w:before="64"/>
              <w:ind w:left="22" w:right="0"/>
              <w:jc w:val="both"/>
              <w:rPr>
                <w:rFonts w:ascii="宋体" w:hAnsi="宋体" w:cs="宋体" w:eastAsia="宋体" w:hint="default"/>
                <w:sz w:val="18"/>
                <w:szCs w:val="18"/>
              </w:rPr>
            </w:pPr>
            <w:r>
              <w:rPr>
                <w:rFonts w:ascii="宋体" w:hAnsi="宋体" w:cs="宋体" w:eastAsia="宋体" w:hint="default"/>
                <w:sz w:val="18"/>
                <w:szCs w:val="18"/>
              </w:rPr>
              <w:t>所需流动资金。 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7,300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万超募资金已补充流动资金。</w:t>
            </w:r>
          </w:p>
          <w:p>
            <w:pPr>
              <w:pStyle w:val="TableParagraph"/>
              <w:spacing w:line="300" w:lineRule="auto" w:before="10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日公司第二届董事会第十次会议及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 </w:t>
            </w:r>
            <w:r>
              <w:rPr>
                <w:rFonts w:ascii="宋体" w:hAnsi="宋体" w:cs="宋体" w:eastAsia="宋体" w:hint="default"/>
                <w:spacing w:val="-3"/>
                <w:sz w:val="18"/>
                <w:szCs w:val="18"/>
              </w:rPr>
              <w:t>东大会决议，同意将专业无线通信数字终端产业化项目、基于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标准的数字集群系统产业化项目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结余募集资金及利息</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4,212.82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万元永久性补充流动资金，其中专业无线通信数字终端产业化项目结 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2,257.90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万元、基于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标准的数字集群系统产业化项目结余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1,612.31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万元及银行存款利息及理 财收入扣除银行手续费等净额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342.62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日，上述资金已补充流动资金。</w:t>
            </w:r>
          </w:p>
          <w:p>
            <w:pPr>
              <w:pStyle w:val="TableParagraph"/>
              <w:spacing w:line="240" w:lineRule="auto" w:before="14"/>
              <w:ind w:left="22" w:right="0"/>
              <w:jc w:val="both"/>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日，上述资金已补充流动资金。</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以前年度发生</w:t>
            </w:r>
          </w:p>
        </w:tc>
      </w:tr>
      <w:tr>
        <w:trPr>
          <w:trHeight w:val="1650"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根据</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日公司第一届董事会第十七次会议决议，同意将募投资金</w:t>
            </w:r>
            <w:r>
              <w:rPr>
                <w:rFonts w:ascii="Times New Roman" w:hAnsi="Times New Roman" w:cs="Times New Roman" w:eastAsia="Times New Roman" w:hint="default"/>
                <w:sz w:val="18"/>
                <w:szCs w:val="18"/>
              </w:rPr>
              <w:t>“</w:t>
            </w:r>
            <w:r>
              <w:rPr>
                <w:rFonts w:ascii="宋体" w:hAnsi="宋体" w:cs="宋体" w:eastAsia="宋体" w:hint="default"/>
                <w:sz w:val="18"/>
                <w:szCs w:val="18"/>
              </w:rPr>
              <w:t>专业无线通信数字终</w:t>
            </w:r>
          </w:p>
          <w:p>
            <w:pPr>
              <w:pStyle w:val="TableParagraph"/>
              <w:spacing w:line="300" w:lineRule="auto" w:before="61"/>
              <w:ind w:left="22" w:right="19"/>
              <w:jc w:val="both"/>
              <w:rPr>
                <w:rFonts w:ascii="宋体" w:hAnsi="宋体" w:cs="宋体" w:eastAsia="宋体" w:hint="default"/>
                <w:sz w:val="18"/>
                <w:szCs w:val="18"/>
              </w:rPr>
            </w:pPr>
            <w:r>
              <w:rPr>
                <w:rFonts w:ascii="宋体" w:hAnsi="宋体" w:cs="宋体" w:eastAsia="宋体" w:hint="default"/>
                <w:sz w:val="18"/>
                <w:szCs w:val="18"/>
              </w:rPr>
              <w:t>端产业化项目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实施地点由原来的深圳市高新技术产业园北区北环路好易通大厦</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层和</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层变更至深 圳市龙岗区宝龙工业园兰普源工业厂区；同意将募投资金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 </w:t>
            </w:r>
            <w:r>
              <w:rPr>
                <w:rFonts w:ascii="宋体" w:hAnsi="宋体" w:cs="宋体" w:eastAsia="宋体" w:hint="default"/>
                <w:sz w:val="18"/>
                <w:szCs w:val="18"/>
              </w:rPr>
              <w:t>标准的数字集群系统产业化项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实施地点由原来的深圳市高新技术产业园南区</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R2</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栋</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区一楼变更至深圳市龙岗区宝龙工业园兰 普源工业厂区。</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2" w:hRule="exact"/>
        </w:trPr>
        <w:tc>
          <w:tcPr>
            <w:tcW w:w="1764" w:type="dxa"/>
            <w:vMerge/>
            <w:tcBorders>
              <w:left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2314"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日公司第一届董事会第二十二次会议决议，同意将基于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标准的数字集</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群系统产业化项目的计划完成时间调整为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月，投资金额调整为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8,993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万元；同意将专业数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字终端开发平台项目的计划完成时间调整为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月，投资金额调整为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万元；同意将数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字集群研发中心项目的计划完成时间调整为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月；同意将海外营销和客户服务网络建设项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目的计划完成时间调整为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10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日公司第二届董事会第二次会议决议，同意将专业无线通信数字终端产业化</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项目的计划完成时间调整为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月，投资金额调整为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18,159.70 </w:t>
            </w:r>
            <w:r>
              <w:rPr>
                <w:rFonts w:ascii="宋体" w:hAnsi="宋体" w:cs="宋体" w:eastAsia="宋体" w:hint="default"/>
                <w:sz w:val="18"/>
                <w:szCs w:val="18"/>
              </w:rPr>
              <w:t>万元。</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2" w:right="21"/>
              <w:jc w:val="both"/>
              <w:rPr>
                <w:rFonts w:ascii="宋体" w:hAnsi="宋体" w:cs="宋体" w:eastAsia="宋体" w:hint="default"/>
                <w:sz w:val="18"/>
                <w:szCs w:val="18"/>
              </w:rPr>
            </w:pPr>
            <w:r>
              <w:rPr>
                <w:rFonts w:ascii="宋体" w:hAnsi="宋体" w:cs="宋体" w:eastAsia="宋体" w:hint="default"/>
                <w:sz w:val="18"/>
                <w:szCs w:val="18"/>
              </w:rPr>
              <w:t>在本次募集资金到位前，公司根据生产经营需要，利用自有资金先期投入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2,256.83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万元，以上投入 业经深圳市鹏城会计师事务所有限公司出具的《关于海能达通信股份有限公司以自筹资金预先投入 募投项目的鉴证报告》</w:t>
            </w:r>
            <w:r>
              <w:rPr>
                <w:rFonts w:ascii="Times New Roman" w:hAnsi="Times New Roman" w:cs="Times New Roman" w:eastAsia="Times New Roman" w:hint="default"/>
                <w:sz w:val="18"/>
                <w:szCs w:val="18"/>
              </w:rPr>
              <w:t>(</w:t>
            </w:r>
            <w:r>
              <w:rPr>
                <w:rFonts w:ascii="宋体" w:hAnsi="宋体" w:cs="宋体" w:eastAsia="宋体" w:hint="default"/>
                <w:sz w:val="18"/>
                <w:szCs w:val="18"/>
              </w:rPr>
              <w:t>深鹏所股专字</w:t>
            </w:r>
            <w:r>
              <w:rPr>
                <w:rFonts w:ascii="Times New Roman" w:hAnsi="Times New Roman" w:cs="Times New Roman" w:eastAsia="Times New Roman" w:hint="default"/>
                <w:sz w:val="18"/>
                <w:szCs w:val="18"/>
              </w:rPr>
              <w:t>[2011]0433</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号）鉴证。根据公司第一届董事会第十二次会议决 议，同意公司以本次募集资金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2,256.83</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万元置换预先投入募投项目的自筹资金，此笔资金已于</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年支付完毕。</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6"/>
                <w:szCs w:val="26"/>
              </w:rPr>
            </w:pPr>
          </w:p>
          <w:p>
            <w:pPr>
              <w:pStyle w:val="TableParagraph"/>
              <w:spacing w:line="316" w:lineRule="auto"/>
              <w:ind w:left="22" w:right="111"/>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650"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、根据</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日公司第一届董事会第十九次会议决议，同意公司使用部分闲置募集资金人</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万元暂时补充流动资金，期限为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个月，该笔募集资金借用已于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日全部 归还并存入公司募集资金专用账户。</w:t>
            </w:r>
          </w:p>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、根据</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日公司第一届董事会第二十二次会议决议，同意公司继续使用部分闲置募集</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资金人民币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万元暂时补充流动资金，期限为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个月，该笔募集资金已于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日存</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p>
      <w:pPr>
        <w:spacing w:before="0"/>
        <w:ind w:left="0" w:right="1139" w:firstLine="0"/>
        <w:jc w:val="right"/>
        <w:rPr>
          <w:rFonts w:ascii="宋体" w:hAnsi="宋体" w:cs="宋体" w:eastAsia="宋体" w:hint="default"/>
          <w:sz w:val="18"/>
          <w:szCs w:val="18"/>
        </w:rPr>
      </w:pPr>
      <w:r>
        <w:rPr/>
        <w:pict>
          <v:shape style="position:absolute;margin-left:56.459999pt;margin-top:-187.62825pt;width:479.2pt;height:612.2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64"/>
                    <w:gridCol w:w="7804"/>
                  </w:tblGrid>
                  <w:tr>
                    <w:trPr>
                      <w:trHeight w:val="23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入公司募集资金专用账户。</w:t>
                        </w:r>
                      </w:p>
                      <w:p>
                        <w:pPr>
                          <w:pStyle w:val="TableParagraph"/>
                          <w:spacing w:line="240" w:lineRule="auto" w:before="11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、根据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日公司召开第一届董事会第二十五次会议决议，同意公司使用部分闲置募集</w:t>
                        </w:r>
                      </w:p>
                      <w:p>
                        <w:pPr>
                          <w:pStyle w:val="TableParagraph"/>
                          <w:spacing w:line="302" w:lineRule="auto" w:before="63"/>
                          <w:ind w:left="22" w:right="77"/>
                          <w:jc w:val="left"/>
                          <w:rPr>
                            <w:rFonts w:ascii="宋体" w:hAnsi="宋体" w:cs="宋体" w:eastAsia="宋体" w:hint="default"/>
                            <w:sz w:val="18"/>
                            <w:szCs w:val="18"/>
                          </w:rPr>
                        </w:pPr>
                        <w:r>
                          <w:rPr>
                            <w:rFonts w:ascii="宋体" w:hAnsi="宋体" w:cs="宋体" w:eastAsia="宋体" w:hint="default"/>
                            <w:sz w:val="18"/>
                            <w:szCs w:val="18"/>
                          </w:rPr>
                          <w:t>资金人民币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个月，该笔募集资金已于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 入公司募集资金专用账户。</w:t>
                        </w:r>
                      </w:p>
                      <w:p>
                        <w:pPr>
                          <w:pStyle w:val="TableParagraph"/>
                          <w:spacing w:line="240" w:lineRule="auto" w:before="68"/>
                          <w:ind w:left="22"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、根据</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日公司召开第二届董事会第三次会议决议，同意公司使用部分闲置募集资金</w:t>
                        </w:r>
                      </w:p>
                      <w:p>
                        <w:pPr>
                          <w:pStyle w:val="TableParagraph"/>
                          <w:spacing w:line="302" w:lineRule="auto" w:before="63"/>
                          <w:ind w:left="22" w:right="77"/>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万元暂时补充流动资金，期限为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个月，该笔募集资金已于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日存入公 司募集资金专用账户。</w:t>
                        </w:r>
                      </w:p>
                    </w:tc>
                  </w:tr>
                  <w:tr>
                    <w:trPr>
                      <w:trHeight w:val="402" w:hRule="exact"/>
                    </w:trPr>
                    <w:tc>
                      <w:tcPr>
                        <w:tcW w:w="17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2" w:right="111"/>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779" w:hRule="exact"/>
                    </w:trPr>
                    <w:tc>
                      <w:tcPr>
                        <w:tcW w:w="1764" w:type="dxa"/>
                        <w:vMerge/>
                        <w:tcBorders>
                          <w:left w:val="single" w:sz="4" w:space="0" w:color="000000"/>
                          <w:bottom w:val="single" w:sz="4" w:space="0" w:color="000000"/>
                          <w:right w:val="single" w:sz="4" w:space="0" w:color="000000"/>
                        </w:tcBorders>
                        <w:shd w:val="clear" w:color="auto" w:fill="D2D2D2"/>
                      </w:tcPr>
                      <w:p>
                        <w:pP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日，公司共有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个项目出现募集资金结余。</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、数字集群研发中心项目原计划总投资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日该项目已完工，累计</w:t>
                        </w:r>
                      </w:p>
                      <w:p>
                        <w:pPr>
                          <w:pStyle w:val="TableParagraph"/>
                          <w:spacing w:line="300"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投入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3,285.88</w:t>
                        </w:r>
                        <w:r>
                          <w:rPr>
                            <w:rFonts w:ascii="Times New Roman" w:hAnsi="Times New Roman" w:cs="Times New Roman" w:eastAsia="Times New Roman" w:hint="default"/>
                            <w:spacing w:val="-1"/>
                            <w:sz w:val="18"/>
                            <w:szCs w:val="18"/>
                          </w:rPr>
                          <w:t> </w:t>
                        </w:r>
                        <w:r>
                          <w:rPr>
                            <w:rFonts w:ascii="宋体" w:hAnsi="宋体" w:cs="宋体" w:eastAsia="宋体" w:hint="default"/>
                            <w:spacing w:val="-2"/>
                            <w:sz w:val="18"/>
                            <w:szCs w:val="18"/>
                          </w:rPr>
                          <w:t>万元，结余</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652.09</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万元，原因主要是：（</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）公司采用招标的方式选取基建和设备供应</w:t>
                        </w:r>
                        <w:r>
                          <w:rPr>
                            <w:rFonts w:ascii="宋体" w:hAnsi="宋体" w:cs="宋体" w:eastAsia="宋体" w:hint="default"/>
                            <w:sz w:val="18"/>
                            <w:szCs w:val="18"/>
                          </w:rPr>
                          <w:t> </w:t>
                        </w:r>
                        <w:r>
                          <w:rPr>
                            <w:rFonts w:ascii="宋体" w:hAnsi="宋体" w:cs="宋体" w:eastAsia="宋体" w:hint="default"/>
                            <w:spacing w:val="-4"/>
                            <w:sz w:val="18"/>
                            <w:szCs w:val="18"/>
                          </w:rPr>
                          <w:t>商，合理降低了基建和设备采购的成本；（</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）在保证项目建设质量的前提下，公司本着节约的原则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严格控制该项目的各项支出，合理降低项目成本和费用。</w:t>
                        </w:r>
                      </w:p>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、海外营销和客户服务网络建设项目原计划总投资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3,648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w:t>
                        </w:r>
                      </w:p>
                      <w:p>
                        <w:pPr>
                          <w:pStyle w:val="TableParagraph"/>
                          <w:spacing w:line="319" w:lineRule="auto" w:before="63"/>
                          <w:ind w:left="22" w:right="20"/>
                          <w:jc w:val="left"/>
                          <w:rPr>
                            <w:rFonts w:ascii="宋体" w:hAnsi="宋体" w:cs="宋体" w:eastAsia="宋体" w:hint="default"/>
                            <w:sz w:val="18"/>
                            <w:szCs w:val="18"/>
                          </w:rPr>
                        </w:pPr>
                        <w:r>
                          <w:rPr>
                            <w:rFonts w:ascii="宋体" w:hAnsi="宋体" w:cs="宋体" w:eastAsia="宋体" w:hint="default"/>
                            <w:spacing w:val="-2"/>
                            <w:sz w:val="18"/>
                            <w:szCs w:val="18"/>
                          </w:rPr>
                          <w:t>完工，累计投入</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3,095.72</w:t>
                        </w:r>
                        <w:r>
                          <w:rPr>
                            <w:rFonts w:ascii="Times New Roman" w:hAnsi="Times New Roman" w:cs="Times New Roman" w:eastAsia="Times New Roman" w:hint="default"/>
                            <w:spacing w:val="4"/>
                            <w:sz w:val="18"/>
                            <w:szCs w:val="18"/>
                          </w:rPr>
                          <w:t> </w:t>
                        </w:r>
                        <w:r>
                          <w:rPr>
                            <w:rFonts w:ascii="宋体" w:hAnsi="宋体" w:cs="宋体" w:eastAsia="宋体" w:hint="default"/>
                            <w:spacing w:val="-2"/>
                            <w:sz w:val="18"/>
                            <w:szCs w:val="18"/>
                          </w:rPr>
                          <w:t>万元，结余</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552.28</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万元，原因主要是：（</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）部分地区未履行办事处的法律</w:t>
                        </w:r>
                        <w:r>
                          <w:rPr>
                            <w:rFonts w:ascii="宋体" w:hAnsi="宋体" w:cs="宋体" w:eastAsia="宋体" w:hint="default"/>
                            <w:sz w:val="18"/>
                            <w:szCs w:val="18"/>
                          </w:rPr>
                          <w:t> 登记手续，而是租用经销商的办公场地，减少了部分办公室租赁费用、固定资产置办费用和信息化 </w:t>
                        </w:r>
                        <w:r>
                          <w:rPr>
                            <w:rFonts w:ascii="宋体" w:hAnsi="宋体" w:cs="宋体" w:eastAsia="宋体" w:hint="default"/>
                            <w:spacing w:val="-3"/>
                            <w:sz w:val="18"/>
                            <w:szCs w:val="18"/>
                          </w:rPr>
                          <w:t>建设费用支出；（</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）海外分支机构设立的中间机构费用明显低于预算金额。</w:t>
                        </w:r>
                        <w:r>
                          <w:rPr>
                            <w:rFonts w:ascii="宋体" w:hAnsi="宋体" w:cs="宋体" w:eastAsia="宋体" w:hint="default"/>
                            <w:spacing w:val="-78"/>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、专业数字终端开发平台项目原计划总投资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日该项目已完工，</w:t>
                        </w:r>
                      </w:p>
                      <w:p>
                        <w:pPr>
                          <w:pStyle w:val="TableParagraph"/>
                          <w:spacing w:line="300" w:lineRule="auto"/>
                          <w:ind w:left="22" w:right="31"/>
                          <w:jc w:val="left"/>
                          <w:rPr>
                            <w:rFonts w:ascii="宋体" w:hAnsi="宋体" w:cs="宋体" w:eastAsia="宋体" w:hint="default"/>
                            <w:sz w:val="18"/>
                            <w:szCs w:val="18"/>
                          </w:rPr>
                        </w:pPr>
                        <w:r>
                          <w:rPr>
                            <w:rFonts w:ascii="宋体" w:hAnsi="宋体" w:cs="宋体" w:eastAsia="宋体" w:hint="default"/>
                            <w:sz w:val="18"/>
                            <w:szCs w:val="18"/>
                          </w:rPr>
                          <w:t>累计投入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3,527.10</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万元，结余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846.81</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万元，原因主要是：（</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）公司采用招标的方式选取设备供应商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w w:val="100"/>
                            <w:sz w:val="18"/>
                            <w:szCs w:val="18"/>
                          </w:rPr>
                          <w:t>合理降低了设备采购的成本；（</w:t>
                        </w:r>
                        <w:r>
                          <w:rPr>
                            <w:rFonts w:ascii="Times New Roman" w:hAnsi="Times New Roman" w:cs="Times New Roman" w:eastAsia="Times New Roman" w:hint="default"/>
                            <w:spacing w:val="-2"/>
                            <w:w w:val="100"/>
                            <w:sz w:val="18"/>
                            <w:szCs w:val="18"/>
                          </w:rPr>
                          <w:t>2</w:t>
                        </w:r>
                        <w:r>
                          <w:rPr>
                            <w:rFonts w:ascii="宋体" w:hAnsi="宋体" w:cs="宋体" w:eastAsia="宋体" w:hint="default"/>
                            <w:spacing w:val="-2"/>
                            <w:w w:val="100"/>
                            <w:sz w:val="18"/>
                            <w:szCs w:val="18"/>
                          </w:rPr>
                          <w:t>）公司在数字产品研发上强调</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软件无线电</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技术，硬件设备采购比</w:t>
                        </w:r>
                        <w:r>
                          <w:rPr>
                            <w:rFonts w:ascii="宋体" w:hAnsi="宋体" w:cs="宋体" w:eastAsia="宋体" w:hint="default"/>
                            <w:sz w:val="18"/>
                            <w:szCs w:val="18"/>
                          </w:rPr>
                          <w:t> </w:t>
                        </w:r>
                        <w:r>
                          <w:rPr>
                            <w:rFonts w:ascii="宋体" w:hAnsi="宋体" w:cs="宋体" w:eastAsia="宋体" w:hint="default"/>
                            <w:spacing w:val="-3"/>
                            <w:sz w:val="18"/>
                            <w:szCs w:val="18"/>
                          </w:rPr>
                          <w:t>例相应减少；（</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）在保证项目建设质量的前提下，公司本着节约的原则，严格控制该项目的各项支</w:t>
                        </w:r>
                        <w:r>
                          <w:rPr>
                            <w:rFonts w:ascii="宋体" w:hAnsi="宋体" w:cs="宋体" w:eastAsia="宋体" w:hint="default"/>
                            <w:spacing w:val="-48"/>
                            <w:sz w:val="18"/>
                            <w:szCs w:val="18"/>
                          </w:rPr>
                          <w:t> </w:t>
                        </w:r>
                        <w:r>
                          <w:rPr>
                            <w:rFonts w:ascii="宋体" w:hAnsi="宋体" w:cs="宋体" w:eastAsia="宋体" w:hint="default"/>
                            <w:sz w:val="18"/>
                            <w:szCs w:val="18"/>
                          </w:rPr>
                          <w:t>出，合理降低项目成本和费用。</w:t>
                        </w:r>
                      </w:p>
                      <w:p>
                        <w:pPr>
                          <w:pStyle w:val="TableParagraph"/>
                          <w:spacing w:line="240" w:lineRule="auto" w:before="7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、专业无线通信数字终端产业化项目原计划总投资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18,159.70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日该项目</w:t>
                        </w:r>
                      </w:p>
                      <w:p>
                        <w:pPr>
                          <w:pStyle w:val="TableParagraph"/>
                          <w:spacing w:line="304" w:lineRule="auto" w:before="63"/>
                          <w:ind w:left="22" w:right="22"/>
                          <w:jc w:val="left"/>
                          <w:rPr>
                            <w:rFonts w:ascii="宋体" w:hAnsi="宋体" w:cs="宋体" w:eastAsia="宋体" w:hint="default"/>
                            <w:sz w:val="18"/>
                            <w:szCs w:val="18"/>
                          </w:rPr>
                        </w:pPr>
                        <w:r>
                          <w:rPr>
                            <w:rFonts w:ascii="宋体" w:hAnsi="宋体" w:cs="宋体" w:eastAsia="宋体" w:hint="default"/>
                            <w:spacing w:val="-3"/>
                            <w:sz w:val="18"/>
                            <w:szCs w:val="18"/>
                          </w:rPr>
                          <w:t>已完工，累计投入</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15,901.80</w:t>
                        </w:r>
                        <w:r>
                          <w:rPr>
                            <w:rFonts w:ascii="Times New Roman" w:hAnsi="Times New Roman" w:cs="Times New Roman" w:eastAsia="Times New Roman" w:hint="default"/>
                            <w:spacing w:val="7"/>
                            <w:sz w:val="18"/>
                            <w:szCs w:val="18"/>
                          </w:rPr>
                          <w:t> </w:t>
                        </w:r>
                        <w:r>
                          <w:rPr>
                            <w:rFonts w:ascii="宋体" w:hAnsi="宋体" w:cs="宋体" w:eastAsia="宋体" w:hint="default"/>
                            <w:spacing w:val="-4"/>
                            <w:sz w:val="18"/>
                            <w:szCs w:val="18"/>
                          </w:rPr>
                          <w:t>万元，结余</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2,257.90</w:t>
                        </w:r>
                        <w:r>
                          <w:rPr>
                            <w:rFonts w:ascii="Times New Roman" w:hAnsi="Times New Roman" w:cs="Times New Roman" w:eastAsia="Times New Roman" w:hint="default"/>
                            <w:spacing w:val="6"/>
                            <w:sz w:val="18"/>
                            <w:szCs w:val="18"/>
                          </w:rPr>
                          <w:t> </w:t>
                        </w:r>
                        <w:r>
                          <w:rPr>
                            <w:rFonts w:ascii="宋体" w:hAnsi="宋体" w:cs="宋体" w:eastAsia="宋体" w:hint="default"/>
                            <w:spacing w:val="-7"/>
                            <w:sz w:val="18"/>
                            <w:szCs w:val="18"/>
                          </w:rPr>
                          <w:t>万元，原因主要是：（</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）公司采用招标的方式选取</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基建和设备供应商，合理降低了基建和设备采购的成本；（</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）充分结合自身技术优势和经验，对部</w:t>
                        </w:r>
                        <w:r>
                          <w:rPr>
                            <w:rFonts w:ascii="宋体" w:hAnsi="宋体" w:cs="宋体" w:eastAsia="宋体" w:hint="default"/>
                            <w:spacing w:val="-48"/>
                            <w:sz w:val="18"/>
                            <w:szCs w:val="18"/>
                          </w:rPr>
                          <w:t> </w:t>
                        </w:r>
                        <w:r>
                          <w:rPr>
                            <w:rFonts w:ascii="宋体" w:hAnsi="宋体" w:cs="宋体" w:eastAsia="宋体" w:hint="default"/>
                            <w:spacing w:val="-4"/>
                            <w:sz w:val="18"/>
                            <w:szCs w:val="18"/>
                          </w:rPr>
                          <w:t>分实验室及系统设备进行自主改造，对部分软件进行自主开发以替代外部采购，节约项目投资；（</w:t>
                        </w:r>
                        <w:r>
                          <w:rPr>
                            <w:rFonts w:ascii="Times New Roman" w:hAnsi="Times New Roman" w:cs="Times New Roman" w:eastAsia="Times New Roman" w:hint="default"/>
                            <w:spacing w:val="-4"/>
                            <w:sz w:val="18"/>
                            <w:szCs w:val="18"/>
                          </w:rPr>
                          <w:t>3</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在保证项目建设质量的前提下，公司本着节约的原则，严格控制该项目的各项支出，合理降低项目 成本和费用。</w:t>
                        </w:r>
                      </w:p>
                      <w:p>
                        <w:pPr>
                          <w:pStyle w:val="TableParagraph"/>
                          <w:spacing w:line="240" w:lineRule="auto" w:before="6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、基于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PDT </w:t>
                        </w:r>
                        <w:r>
                          <w:rPr>
                            <w:rFonts w:ascii="宋体" w:hAnsi="宋体" w:cs="宋体" w:eastAsia="宋体" w:hint="default"/>
                            <w:sz w:val="18"/>
                            <w:szCs w:val="18"/>
                          </w:rPr>
                          <w:t>标准的数字集群系统产业化项目原计划总投资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8,993.05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p>
                        <w:pPr>
                          <w:pStyle w:val="TableParagraph"/>
                          <w:spacing w:line="309" w:lineRule="auto" w:before="63"/>
                          <w:ind w:left="22" w:right="29"/>
                          <w:jc w:val="both"/>
                          <w:rPr>
                            <w:rFonts w:ascii="宋体" w:hAnsi="宋体" w:cs="宋体" w:eastAsia="宋体" w:hint="default"/>
                            <w:sz w:val="18"/>
                            <w:szCs w:val="18"/>
                          </w:rPr>
                        </w:pPr>
                        <w:r>
                          <w:rPr>
                            <w:rFonts w:ascii="宋体" w:hAnsi="宋体" w:cs="宋体" w:eastAsia="宋体" w:hint="default"/>
                            <w:sz w:val="18"/>
                            <w:szCs w:val="18"/>
                          </w:rPr>
                          <w:t>该项目已完工，累计投入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7,380.74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万元，结余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1,612.31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万元，原因主要是：（</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）公司充分结合自身</w:t>
                        </w:r>
                        <w:r>
                          <w:rPr>
                            <w:rFonts w:ascii="宋体" w:hAnsi="宋体" w:cs="宋体" w:eastAsia="宋体" w:hint="default"/>
                            <w:sz w:val="18"/>
                            <w:szCs w:val="18"/>
                          </w:rPr>
                          <w:t> 技术优势和经验，利用现有的设备配置，在资源充分利用的前提下，对项目环节进行优化，减少了 </w:t>
                        </w:r>
                        <w:r>
                          <w:rPr>
                            <w:rFonts w:ascii="宋体" w:hAnsi="宋体" w:cs="宋体" w:eastAsia="宋体" w:hint="default"/>
                            <w:spacing w:val="-4"/>
                            <w:sz w:val="18"/>
                            <w:szCs w:val="18"/>
                          </w:rPr>
                          <w:t>部分设备采购；（</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）公司本着节约的原则，严格控制该项目的各项支出，合理降低项目成本和费用</w:t>
                        </w:r>
                      </w:p>
                    </w:tc>
                  </w:tr>
                  <w:tr>
                    <w:trPr>
                      <w:trHeight w:val="714"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尚未使用的募集资金全部存放在与公司签订募集资金三方监管协议的银行或指定的理财账户。</w:t>
                        </w:r>
                      </w:p>
                    </w:tc>
                  </w:tr>
                  <w:tr>
                    <w:trPr>
                      <w:trHeight w:val="1026" w:hRule="exact"/>
                    </w:trPr>
                    <w:tc>
                      <w:tcPr>
                        <w:tcW w:w="1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1"/>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before="0"/>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spacing w:before="44"/>
        <w:ind w:left="0" w:right="1140"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4"/>
          <w:szCs w:val="24"/>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0"/>
          <w:szCs w:val="20"/>
        </w:rPr>
      </w:pPr>
    </w:p>
    <w:p>
      <w:pPr>
        <w:pStyle w:val="Heading3"/>
        <w:spacing w:line="240" w:lineRule="auto" w:before="35"/>
        <w:ind w:right="1046"/>
        <w:jc w:val="left"/>
        <w:rPr>
          <w:b w:val="0"/>
          <w:bCs w:val="0"/>
        </w:rPr>
      </w:pPr>
      <w:bookmarkStart w:name="（3）募集资金变更项目情况" w:id="46"/>
      <w:bookmarkEnd w:id="46"/>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shape style="position:absolute;margin-left:224.302994pt;margin-top:697.119995pt;width:71.55pt;height:69.2pt;mso-position-horizontal-relative:page;mso-position-vertical-relative:page;z-index:-1064872" type="#_x0000_t202" filled="false" stroked="false">
            <v:textbox inset="0,0,0,0">
              <w:txbxContent>
                <w:p>
                  <w:pPr>
                    <w:spacing w:before="146"/>
                    <w:ind w:left="0" w:right="0" w:firstLine="0"/>
                    <w:jc w:val="left"/>
                    <w:rPr>
                      <w:rFonts w:ascii="宋体" w:hAnsi="宋体" w:cs="宋体" w:eastAsia="宋体" w:hint="default"/>
                      <w:sz w:val="18"/>
                      <w:szCs w:val="18"/>
                    </w:rPr>
                  </w:pPr>
                  <w:r>
                    <w:rPr>
                      <w:rFonts w:ascii="宋体" w:hAnsi="宋体" w:cs="宋体" w:eastAsia="宋体" w:hint="default"/>
                      <w:sz w:val="18"/>
                      <w:szCs w:val="18"/>
                    </w:rPr>
                    <w:t>销售；</w:t>
                  </w:r>
                </w:p>
              </w:txbxContent>
            </v:textbox>
            <w10:wrap type="none"/>
          </v:shape>
        </w:pict>
      </w:r>
      <w:r>
        <w:rPr/>
        <w:pict>
          <v:group style="position:absolute;margin-left:248.5pt;margin-top:697.119995pt;width:47.35pt;height:69.2pt;mso-position-horizontal-relative:page;mso-position-vertical-relative:page;z-index:-1064848" coordorigin="4970,13942" coordsize="947,1384">
            <v:shape style="position:absolute;left:4970;top:13942;width:947;height:1384" coordorigin="4970,13942" coordsize="947,1384" path="m4970,15326l5917,15326,5917,13942,4970,13942,4970,15326xe" filled="true" fillcolor="#ffffff" stroked="false">
              <v:path arrowok="t"/>
              <v:fill type="solid"/>
            </v:shape>
            <w10:wrap type="none"/>
          </v:group>
        </w:pict>
      </w:r>
    </w:p>
    <w:p>
      <w:pPr>
        <w:pStyle w:val="Heading3"/>
        <w:spacing w:line="240" w:lineRule="auto" w:before="35"/>
        <w:ind w:left="153" w:right="1046"/>
        <w:jc w:val="left"/>
        <w:rPr>
          <w:b w:val="0"/>
          <w:bCs w:val="0"/>
        </w:rPr>
      </w:pPr>
      <w:bookmarkStart w:name="4、主要子公司、参股公司分析" w:id="47"/>
      <w:bookmarkEnd w:id="47"/>
      <w:r>
        <w:rPr>
          <w:b w:val="0"/>
          <w:bCs w:val="0"/>
        </w:rPr>
      </w:r>
      <w:r>
        <w:rPr>
          <w:rFonts w:ascii="Times New Roman" w:hAnsi="Times New Roman" w:cs="Times New Roman" w:eastAsia="Times New Roman" w:hint="default"/>
        </w:rPr>
        <w:t>4</w:t>
      </w:r>
      <w:r>
        <w:rPr/>
        <w:t>、主要子公司、参股公司分析</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主要子公司、参股公司情况</w:t>
      </w:r>
    </w:p>
    <w:p>
      <w:pPr>
        <w:spacing w:line="240" w:lineRule="auto" w:before="11"/>
        <w:rPr>
          <w:rFonts w:ascii="宋体" w:hAnsi="宋体" w:cs="宋体" w:eastAsia="宋体" w:hint="default"/>
          <w:sz w:val="26"/>
          <w:szCs w:val="26"/>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713"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4"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所处行业</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92" w:right="23" w:hanging="270"/>
              <w:jc w:val="left"/>
              <w:rPr>
                <w:rFonts w:ascii="宋体" w:hAnsi="宋体" w:cs="宋体" w:eastAsia="宋体" w:hint="default"/>
                <w:sz w:val="18"/>
                <w:szCs w:val="18"/>
              </w:rPr>
            </w:pPr>
            <w:r>
              <w:rPr>
                <w:rFonts w:ascii="宋体" w:hAnsi="宋体" w:cs="宋体" w:eastAsia="宋体" w:hint="default"/>
                <w:sz w:val="18"/>
                <w:szCs w:val="18"/>
              </w:rPr>
              <w:t>主要产品或 服务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445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深圳市海能 达技术服务 有限公司</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（原赛格）</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通信产品及 其部、配件 的开发、生 产与销售； 电子系统工 程设计、组 网、调试与 维修服务； 信息技术咨 询；进出口 业务；自有 物业的租 赁；物业管 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209,631,839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49,560,133.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18,394,253.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-1,816,453.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-1,402,066.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38</w:t>
            </w:r>
          </w:p>
        </w:tc>
      </w:tr>
      <w:tr>
        <w:trPr>
          <w:trHeight w:val="352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2" w:right="27"/>
              <w:jc w:val="both"/>
              <w:rPr>
                <w:rFonts w:ascii="宋体" w:hAnsi="宋体" w:cs="宋体" w:eastAsia="宋体" w:hint="default"/>
                <w:sz w:val="18"/>
                <w:szCs w:val="18"/>
              </w:rPr>
            </w:pPr>
            <w:r>
              <w:rPr>
                <w:rFonts w:ascii="宋体" w:hAnsi="宋体" w:cs="宋体" w:eastAsia="宋体" w:hint="default"/>
                <w:sz w:val="18"/>
                <w:szCs w:val="18"/>
              </w:rPr>
              <w:t>深圳市安智 捷科技有限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软件产品的 开发、销售 与维护；通 信工程的技 术咨询；系 统集成；通 讯器材及配 件、电子产 品的开发、 销售；进出 口业务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404,894,762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151,886,514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105,109,272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49,127,822.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58,110,313.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r>
      <w:tr>
        <w:trPr>
          <w:trHeight w:val="317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哈尔滨海能 达科技有限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无线电通讯 设备技术的 研究、销售 及提供相关 技术服务； 数码产品的 研究、 进出口贸 易；计算机 软、硬件的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1"/>
              <w:jc w:val="right"/>
              <w:rPr>
                <w:rFonts w:ascii="Times New Roman" w:hAnsi="Times New Roman" w:cs="Times New Roman" w:eastAsia="Times New Roman" w:hint="default"/>
                <w:sz w:val="18"/>
                <w:szCs w:val="18"/>
              </w:rPr>
            </w:pPr>
            <w:r>
              <w:rPr>
                <w:rFonts w:ascii="Times New Roman"/>
                <w:sz w:val="18"/>
              </w:rPr>
              <w:t>344,088,431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pacing w:val="-1"/>
                <w:sz w:val="18"/>
              </w:rPr>
              <w:t>18,979,465.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1"/>
              <w:jc w:val="right"/>
              <w:rPr>
                <w:rFonts w:ascii="Times New Roman" w:hAnsi="Times New Roman" w:cs="Times New Roman" w:eastAsia="Times New Roman" w:hint="default"/>
                <w:sz w:val="18"/>
                <w:szCs w:val="18"/>
              </w:rPr>
            </w:pPr>
            <w:r>
              <w:rPr>
                <w:rFonts w:ascii="Times New Roman"/>
                <w:spacing w:val="-1"/>
                <w:sz w:val="18"/>
              </w:rPr>
              <w:t>44,449,267.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1"/>
              <w:jc w:val="right"/>
              <w:rPr>
                <w:rFonts w:ascii="Times New Roman" w:hAnsi="Times New Roman" w:cs="Times New Roman" w:eastAsia="Times New Roman" w:hint="default"/>
                <w:sz w:val="18"/>
                <w:szCs w:val="18"/>
              </w:rPr>
            </w:pPr>
            <w:r>
              <w:rPr>
                <w:rFonts w:ascii="Times New Roman"/>
                <w:spacing w:val="-1"/>
                <w:sz w:val="18"/>
              </w:rPr>
              <w:t>-1,408,645.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20"/>
              <w:jc w:val="right"/>
              <w:rPr>
                <w:rFonts w:ascii="Times New Roman" w:hAnsi="Times New Roman" w:cs="Times New Roman" w:eastAsia="Times New Roman" w:hint="default"/>
                <w:sz w:val="18"/>
                <w:szCs w:val="18"/>
              </w:rPr>
            </w:pPr>
            <w:r>
              <w:rPr>
                <w:rFonts w:ascii="Times New Roman"/>
                <w:spacing w:val="-1"/>
                <w:sz w:val="18"/>
              </w:rPr>
              <w:t>2,371,856.4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674"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3"/>
              <w:jc w:val="left"/>
              <w:rPr>
                <w:rFonts w:ascii="宋体" w:hAnsi="宋体" w:cs="宋体" w:eastAsia="宋体" w:hint="default"/>
                <w:sz w:val="18"/>
                <w:szCs w:val="18"/>
              </w:rPr>
            </w:pPr>
            <w:r>
              <w:rPr>
                <w:rFonts w:ascii="宋体" w:hAnsi="宋体" w:cs="宋体" w:eastAsia="宋体" w:hint="default"/>
                <w:sz w:val="18"/>
                <w:szCs w:val="18"/>
              </w:rPr>
              <w:t>开发及销 售。</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海能达通信</w:t>
            </w:r>
          </w:p>
          <w:p>
            <w:pPr>
              <w:pStyle w:val="TableParagraph"/>
              <w:spacing w:line="319" w:lineRule="auto" w:before="75"/>
              <w:ind w:left="22" w:right="27"/>
              <w:jc w:val="left"/>
              <w:rPr>
                <w:rFonts w:ascii="宋体" w:hAnsi="宋体" w:cs="宋体" w:eastAsia="宋体" w:hint="default"/>
                <w:sz w:val="18"/>
                <w:szCs w:val="18"/>
              </w:rPr>
            </w:pPr>
            <w:r>
              <w:rPr>
                <w:rFonts w:ascii="宋体" w:hAnsi="宋体" w:cs="宋体" w:eastAsia="宋体" w:hint="default"/>
                <w:sz w:val="18"/>
                <w:szCs w:val="18"/>
              </w:rPr>
              <w:t>（香港）有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无线电通讯 器材、配件 的销售及原 材料的采 购，提供相 关技术服务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00" w:lineRule="auto"/>
              <w:ind w:left="22" w:right="157"/>
              <w:jc w:val="left"/>
              <w:rPr>
                <w:rFonts w:ascii="宋体" w:hAnsi="宋体" w:cs="宋体" w:eastAsia="宋体" w:hint="default"/>
                <w:sz w:val="18"/>
                <w:szCs w:val="18"/>
              </w:rPr>
            </w:pPr>
            <w:r>
              <w:rPr>
                <w:rFonts w:ascii="Times New Roman" w:hAnsi="Times New Roman" w:cs="Times New Roman" w:eastAsia="Times New Roman" w:hint="default"/>
                <w:sz w:val="18"/>
                <w:szCs w:val="18"/>
              </w:rPr>
              <w:t>5928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万港 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544,651,491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66,265,861.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49</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365,119,513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-5,560,322.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-5,538,268.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r>
      <w:tr>
        <w:trPr>
          <w:trHeight w:val="19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0" w:lineRule="auto"/>
              <w:ind w:left="22" w:right="47"/>
              <w:jc w:val="left"/>
              <w:rPr>
                <w:rFonts w:ascii="Times New Roman" w:hAnsi="Times New Roman" w:cs="Times New Roman" w:eastAsia="Times New Roman" w:hint="default"/>
                <w:sz w:val="18"/>
                <w:szCs w:val="18"/>
              </w:rPr>
            </w:pPr>
            <w:r>
              <w:rPr>
                <w:rFonts w:ascii="Times New Roman"/>
                <w:sz w:val="18"/>
              </w:rPr>
              <w:t>Hytera Communica tions(U.K.)</w:t>
            </w:r>
          </w:p>
          <w:p>
            <w:pPr>
              <w:pStyle w:val="TableParagraph"/>
              <w:spacing w:line="215"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Co.</w:t>
            </w:r>
            <w:r>
              <w:rPr>
                <w:rFonts w:ascii="宋体" w:hAnsi="宋体" w:cs="宋体" w:eastAsia="宋体" w:hint="default"/>
                <w:sz w:val="18"/>
                <w:szCs w:val="18"/>
              </w:rPr>
              <w:t>，</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Limited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无线电通讯 器材、配件 的销售及原 材料的采 购。提供相 关技术服务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5"/>
              <w:ind w:left="22" w:right="101"/>
              <w:jc w:val="left"/>
              <w:rPr>
                <w:rFonts w:ascii="Times New Roman" w:hAnsi="Times New Roman" w:cs="Times New Roman" w:eastAsia="Times New Roman" w:hint="default"/>
                <w:sz w:val="18"/>
                <w:szCs w:val="18"/>
              </w:rPr>
            </w:pPr>
            <w:r>
              <w:rPr>
                <w:rFonts w:ascii="宋体" w:hAnsi="宋体" w:cs="宋体" w:eastAsia="宋体" w:hint="default"/>
                <w:sz w:val="18"/>
                <w:szCs w:val="18"/>
              </w:rPr>
              <w:t>美元 </w:t>
            </w:r>
            <w:r>
              <w:rPr>
                <w:rFonts w:ascii="Times New Roman" w:hAnsi="Times New Roman" w:cs="Times New Roman" w:eastAsia="Times New Roman" w:hint="default"/>
                <w:sz w:val="18"/>
                <w:szCs w:val="18"/>
              </w:rPr>
              <w:t>200000+</w:t>
            </w:r>
            <w:r>
              <w:rPr>
                <w:rFonts w:ascii="宋体" w:hAnsi="宋体" w:cs="宋体" w:eastAsia="宋体" w:hint="default"/>
                <w:sz w:val="18"/>
                <w:szCs w:val="18"/>
              </w:rPr>
              <w:t>英 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125,209,745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-8,172,132.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96,309,262.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-7,633,543.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-7,611,845.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r>
      <w:tr>
        <w:trPr>
          <w:trHeight w:val="227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45"/>
              <w:ind w:left="22" w:right="96"/>
              <w:jc w:val="left"/>
              <w:rPr>
                <w:rFonts w:ascii="Times New Roman" w:hAnsi="Times New Roman" w:cs="Times New Roman" w:eastAsia="Times New Roman" w:hint="default"/>
                <w:sz w:val="18"/>
                <w:szCs w:val="18"/>
              </w:rPr>
            </w:pPr>
            <w:r>
              <w:rPr>
                <w:rFonts w:ascii="Times New Roman"/>
                <w:sz w:val="18"/>
              </w:rPr>
              <w:t>Hytera America</w:t>
            </w:r>
            <w:r>
              <w:rPr>
                <w:rFonts w:ascii="Times New Roman"/>
                <w:w w:val="99"/>
                <w:sz w:val="18"/>
              </w:rPr>
              <w:t> </w:t>
            </w:r>
            <w:r>
              <w:rPr>
                <w:rFonts w:ascii="Times New Roman"/>
                <w:sz w:val="18"/>
              </w:rPr>
              <w:t>Incorporate</w:t>
            </w:r>
            <w:r>
              <w:rPr>
                <w:rFonts w:ascii="Times New Roman"/>
                <w:w w:val="99"/>
                <w:sz w:val="18"/>
              </w:rPr>
              <w:t> </w:t>
            </w:r>
            <w:r>
              <w:rPr>
                <w:rFonts w:ascii="Times New Roman"/>
                <w:sz w:val="18"/>
              </w:rPr>
              <w:t>d</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无线电通讯 器材、配件 的销售及原 材料的采 购，并提供 相关技术服 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1545077.74</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171,962,165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-9,436,505.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92</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177,006,439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-7,912,633.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-7,931,719.</w:t>
            </w:r>
          </w:p>
          <w:p>
            <w:pPr>
              <w:pStyle w:val="TableParagraph"/>
              <w:spacing w:line="240" w:lineRule="auto" w:before="105"/>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r>
        <w:trPr>
          <w:trHeight w:val="414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7"/>
              <w:jc w:val="both"/>
              <w:rPr>
                <w:rFonts w:ascii="宋体" w:hAnsi="宋体" w:cs="宋体" w:eastAsia="宋体" w:hint="default"/>
                <w:sz w:val="18"/>
                <w:szCs w:val="18"/>
              </w:rPr>
            </w:pPr>
            <w:r>
              <w:rPr>
                <w:rFonts w:ascii="宋体" w:hAnsi="宋体" w:cs="宋体" w:eastAsia="宋体" w:hint="default"/>
                <w:sz w:val="18"/>
                <w:szCs w:val="18"/>
              </w:rPr>
              <w:t>南京海能达 软件科技有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无线通讯软 件的技术开 发；计算机 软件和通信 软件开发； 视频监控系 统技术开 发、销售、 技术咨询、 技术服务； 通讯产品及 配件开发、 生产</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1"/>
              <w:jc w:val="right"/>
              <w:rPr>
                <w:rFonts w:ascii="Times New Roman" w:hAnsi="Times New Roman" w:cs="Times New Roman" w:eastAsia="Times New Roman" w:hint="default"/>
                <w:sz w:val="18"/>
                <w:szCs w:val="18"/>
              </w:rPr>
            </w:pPr>
            <w:r>
              <w:rPr>
                <w:rFonts w:ascii="Times New Roman"/>
                <w:spacing w:val="-1"/>
                <w:sz w:val="18"/>
              </w:rPr>
              <w:t>99,423,322.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right="20"/>
              <w:jc w:val="right"/>
              <w:rPr>
                <w:rFonts w:ascii="Times New Roman" w:hAnsi="Times New Roman" w:cs="Times New Roman" w:eastAsia="Times New Roman" w:hint="default"/>
                <w:sz w:val="18"/>
                <w:szCs w:val="18"/>
              </w:rPr>
            </w:pPr>
            <w:r>
              <w:rPr>
                <w:rFonts w:ascii="Times New Roman"/>
                <w:spacing w:val="-1"/>
                <w:sz w:val="18"/>
              </w:rPr>
              <w:t>98,774,122.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53" w:right="0"/>
              <w:jc w:val="left"/>
              <w:rPr>
                <w:rFonts w:ascii="Times New Roman" w:hAnsi="Times New Roman" w:cs="Times New Roman" w:eastAsia="Times New Roman" w:hint="default"/>
                <w:sz w:val="18"/>
                <w:szCs w:val="18"/>
              </w:rPr>
            </w:pPr>
            <w:r>
              <w:rPr>
                <w:rFonts w:ascii="Times New Roman"/>
                <w:sz w:val="18"/>
              </w:rPr>
              <w:t>-315,550.23</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-324,053.51</w:t>
            </w:r>
          </w:p>
        </w:tc>
      </w:tr>
      <w:tr>
        <w:trPr>
          <w:trHeight w:val="285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深圳市海能 达通信有限 公司（原海 天达）</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无线通讯软 件的技术开 发；计算机 软件和通信 软件开发； 视频监控系 统技术开 发、购销及 相关的技术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z w:val="18"/>
              </w:rPr>
              <w:t>274,696,393</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pacing w:val="-3"/>
                <w:sz w:val="18"/>
              </w:rPr>
              <w:t>.11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0"/>
              <w:jc w:val="right"/>
              <w:rPr>
                <w:rFonts w:ascii="Times New Roman" w:hAnsi="Times New Roman" w:cs="Times New Roman" w:eastAsia="Times New Roman" w:hint="default"/>
                <w:sz w:val="18"/>
                <w:szCs w:val="18"/>
              </w:rPr>
            </w:pPr>
            <w:r>
              <w:rPr>
                <w:rFonts w:ascii="Times New Roman"/>
                <w:sz w:val="18"/>
              </w:rPr>
              <w:t>209,163,812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.83</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71,798,045.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right="21"/>
              <w:jc w:val="right"/>
              <w:rPr>
                <w:rFonts w:ascii="Times New Roman" w:hAnsi="Times New Roman" w:cs="Times New Roman" w:eastAsia="Times New Roman" w:hint="default"/>
                <w:sz w:val="18"/>
                <w:szCs w:val="18"/>
              </w:rPr>
            </w:pPr>
            <w:r>
              <w:rPr>
                <w:rFonts w:ascii="Times New Roman"/>
                <w:spacing w:val="-1"/>
                <w:sz w:val="18"/>
              </w:rPr>
              <w:t>-1,053,877.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-960,902.30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42.240005pt;margin-top:72.47998pt;width:53.6pt;height:282.9pt;mso-position-horizontal-relative:page;mso-position-vertical-relative:page;z-index:-10648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19"/>
                      <w:szCs w:val="19"/>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5667"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咨询；经营 进出口业 务；自有物 业租赁和物 业管理；无 线通讯产品</w:t>
            </w:r>
          </w:p>
          <w:p>
            <w:pPr>
              <w:pStyle w:val="TableParagraph"/>
              <w:spacing w:line="319" w:lineRule="auto" w:before="19"/>
              <w:ind w:left="22" w:right="22"/>
              <w:jc w:val="left"/>
              <w:rPr>
                <w:rFonts w:ascii="宋体" w:hAnsi="宋体" w:cs="宋体" w:eastAsia="宋体" w:hint="default"/>
                <w:sz w:val="18"/>
                <w:szCs w:val="18"/>
              </w:rPr>
            </w:pPr>
            <w:r>
              <w:rPr>
                <w:rFonts w:ascii="宋体" w:hAnsi="宋体" w:cs="宋体" w:eastAsia="宋体" w:hint="default"/>
                <w:sz w:val="18"/>
                <w:szCs w:val="18"/>
              </w:rPr>
              <w:t>（对讲机） 矿用通讯产 品（对讲 </w:t>
            </w:r>
            <w:r>
              <w:rPr>
                <w:rFonts w:ascii="宋体" w:hAnsi="宋体" w:cs="宋体" w:eastAsia="宋体" w:hint="default"/>
                <w:spacing w:val="-30"/>
                <w:sz w:val="18"/>
                <w:szCs w:val="18"/>
              </w:rPr>
              <w:t>机）、防爆通</w:t>
            </w:r>
            <w:r>
              <w:rPr>
                <w:rFonts w:ascii="宋体" w:hAnsi="宋体" w:cs="宋体" w:eastAsia="宋体" w:hint="default"/>
                <w:sz w:val="18"/>
                <w:szCs w:val="18"/>
              </w:rPr>
              <w:t> 讯产品（对 讲机）及配 件的技术开 发、生产及 购销；电子 产品技术开 发、生产及 购销</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5657"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2"/>
                <w:sz w:val="20"/>
                <w:szCs w:val="20"/>
              </w:rPr>
              <w:pict>
                <v:group style="width:47.35pt;height:282.9pt;mso-position-horizontal-relative:char;mso-position-vertical-relative:line" coordorigin="0,0" coordsize="947,5658">
                  <v:group style="position:absolute;left:0;top:0;width:947;height:5658" coordorigin="0,0" coordsize="947,5658">
                    <v:shape style="position:absolute;left:0;top:0;width:947;height:5658" coordorigin="0,0" coordsize="947,5658" path="m0,5657l947,5657,947,0,0,0,0,5657xe" filled="true" fillcolor="#ffffff" stroked="false">
                      <v:path arrowok="t"/>
                      <v:fill type="solid"/>
                    </v:shape>
                  </v:group>
                </v:group>
              </w:pict>
            </w:r>
            <w:r>
              <w:rPr>
                <w:rFonts w:ascii="Times New Roman" w:hAnsi="Times New Roman" w:cs="Times New Roman" w:eastAsia="Times New Roman" w:hint="default"/>
                <w:position w:val="-112"/>
                <w:sz w:val="20"/>
                <w:szCs w:val="20"/>
              </w:rPr>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2" w:right="27"/>
              <w:jc w:val="both"/>
              <w:rPr>
                <w:rFonts w:ascii="宋体" w:hAnsi="宋体" w:cs="宋体" w:eastAsia="宋体" w:hint="default"/>
                <w:sz w:val="18"/>
                <w:szCs w:val="18"/>
              </w:rPr>
            </w:pPr>
            <w:r>
              <w:rPr>
                <w:rFonts w:ascii="宋体" w:hAnsi="宋体" w:cs="宋体" w:eastAsia="宋体" w:hint="default"/>
                <w:sz w:val="18"/>
                <w:szCs w:val="18"/>
              </w:rPr>
              <w:t>深圳市海天 朗科技有限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计算机软硬 件、通讯产 品的技术开 发与购销； 国内贸易； 货物及技术 进出口；自 有物业租 赁；物业管 理</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127,486,779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106,370,262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11,036,385.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-1,507,559.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25</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-1,507,558.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73</w:t>
            </w:r>
          </w:p>
        </w:tc>
      </w:tr>
      <w:tr>
        <w:trPr>
          <w:trHeight w:val="5043"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天津市海能 达信息技术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专业无线通 信数字集群 产品的研 发、销售和 客户服务； 计算机软件 和通信软件 开发；视频 监控系统技 术开发、销 售及相关的 技术咨询服 务；专业无 线通讯产品</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z w:val="18"/>
                <w:szCs w:val="18"/>
              </w:rPr>
              <w:t>（对讲机） 及配件研发</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9,649,874.8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9,532,944.3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53" w:right="0"/>
              <w:jc w:val="left"/>
              <w:rPr>
                <w:rFonts w:ascii="Times New Roman" w:hAnsi="Times New Roman" w:cs="Times New Roman" w:eastAsia="Times New Roman" w:hint="default"/>
                <w:sz w:val="18"/>
                <w:szCs w:val="18"/>
              </w:rPr>
            </w:pPr>
            <w:r>
              <w:rPr>
                <w:rFonts w:ascii="Times New Roman"/>
                <w:sz w:val="18"/>
              </w:rPr>
              <w:t>-294,671.02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53" w:right="0"/>
              <w:jc w:val="left"/>
              <w:rPr>
                <w:rFonts w:ascii="Times New Roman" w:hAnsi="Times New Roman" w:cs="Times New Roman" w:eastAsia="Times New Roman" w:hint="default"/>
                <w:sz w:val="18"/>
                <w:szCs w:val="18"/>
              </w:rPr>
            </w:pPr>
            <w:r>
              <w:rPr>
                <w:rFonts w:ascii="Times New Roman"/>
                <w:sz w:val="18"/>
              </w:rPr>
              <w:t>-294,671.02</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674"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及相关技术 服务</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945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62" w:lineRule="auto"/>
              <w:ind w:left="22" w:right="45"/>
              <w:jc w:val="left"/>
              <w:rPr>
                <w:rFonts w:ascii="Times New Roman" w:hAnsi="Times New Roman" w:cs="Times New Roman" w:eastAsia="Times New Roman" w:hint="default"/>
                <w:sz w:val="18"/>
                <w:szCs w:val="18"/>
              </w:rPr>
            </w:pPr>
            <w:r>
              <w:rPr>
                <w:rFonts w:ascii="Times New Roman"/>
                <w:sz w:val="18"/>
              </w:rPr>
              <w:t>HyteraMobi lfunk GmbH</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电台、电视 广播和无线 通信设备的 制造；电子 电器信号测 试设备和仪 器的制造； 其他电子部 件的制造 售；通信系 统工程技术 服务；信息 系统集成研 发、销售； 从事货物及 技术的进出 口业务（但 国家限定公 司经营或禁 止进出口的 货物及技术 </w:t>
            </w:r>
            <w:r>
              <w:rPr>
                <w:rFonts w:ascii="宋体" w:hAnsi="宋体" w:cs="宋体" w:eastAsia="宋体" w:hint="default"/>
                <w:spacing w:val="-30"/>
                <w:sz w:val="18"/>
                <w:szCs w:val="18"/>
              </w:rPr>
              <w:t>除外）；房屋</w:t>
            </w:r>
            <w:r>
              <w:rPr>
                <w:rFonts w:ascii="宋体" w:hAnsi="宋体" w:cs="宋体" w:eastAsia="宋体" w:hint="default"/>
                <w:sz w:val="18"/>
                <w:szCs w:val="18"/>
              </w:rPr>
              <w:t> 租赁（法律 法规禁止的 不得经营， 法律法规规 定应经审批 的，未获批 准前不得经 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万欧元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z w:val="18"/>
              </w:rPr>
              <w:t>293,028,639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right"/>
              <w:rPr>
                <w:rFonts w:ascii="Times New Roman" w:hAnsi="Times New Roman" w:cs="Times New Roman" w:eastAsia="Times New Roman" w:hint="default"/>
                <w:sz w:val="18"/>
                <w:szCs w:val="18"/>
              </w:rPr>
            </w:pPr>
            <w:r>
              <w:rPr>
                <w:rFonts w:ascii="Times New Roman"/>
                <w:spacing w:val="-1"/>
                <w:sz w:val="18"/>
              </w:rPr>
              <w:t>41,638,694.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right"/>
              <w:rPr>
                <w:rFonts w:ascii="Times New Roman" w:hAnsi="Times New Roman" w:cs="Times New Roman" w:eastAsia="Times New Roman" w:hint="default"/>
                <w:sz w:val="18"/>
                <w:szCs w:val="18"/>
              </w:rPr>
            </w:pPr>
            <w:r>
              <w:rPr>
                <w:rFonts w:ascii="Times New Roman"/>
                <w:sz w:val="18"/>
              </w:rPr>
              <w:t>269,384,842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1"/>
              <w:jc w:val="right"/>
              <w:rPr>
                <w:rFonts w:ascii="Times New Roman" w:hAnsi="Times New Roman" w:cs="Times New Roman" w:eastAsia="Times New Roman" w:hint="default"/>
                <w:sz w:val="18"/>
                <w:szCs w:val="18"/>
              </w:rPr>
            </w:pPr>
            <w:r>
              <w:rPr>
                <w:rFonts w:ascii="Times New Roman"/>
                <w:spacing w:val="-1"/>
                <w:sz w:val="18"/>
              </w:rPr>
              <w:t>-3,547,126.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49</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20"/>
              <w:jc w:val="right"/>
              <w:rPr>
                <w:rFonts w:ascii="Times New Roman" w:hAnsi="Times New Roman" w:cs="Times New Roman" w:eastAsia="Times New Roman" w:hint="default"/>
                <w:sz w:val="18"/>
                <w:szCs w:val="18"/>
              </w:rPr>
            </w:pPr>
            <w:r>
              <w:rPr>
                <w:rFonts w:ascii="Times New Roman"/>
                <w:spacing w:val="-1"/>
                <w:sz w:val="18"/>
              </w:rPr>
              <w:t>-5,772,913.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67</w:t>
            </w:r>
          </w:p>
        </w:tc>
      </w:tr>
      <w:tr>
        <w:trPr>
          <w:trHeight w:val="379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27"/>
              <w:jc w:val="both"/>
              <w:rPr>
                <w:rFonts w:ascii="宋体" w:hAnsi="宋体" w:cs="宋体" w:eastAsia="宋体" w:hint="default"/>
                <w:sz w:val="18"/>
                <w:szCs w:val="18"/>
              </w:rPr>
            </w:pPr>
            <w:r>
              <w:rPr>
                <w:rFonts w:ascii="宋体" w:hAnsi="宋体" w:cs="宋体" w:eastAsia="宋体" w:hint="default"/>
                <w:sz w:val="18"/>
                <w:szCs w:val="18"/>
              </w:rPr>
              <w:t>鹤壁天海电 子信息系统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特种汽车改 装（凭有效 许可证经 </w:t>
            </w:r>
            <w:r>
              <w:rPr>
                <w:rFonts w:ascii="宋体" w:hAnsi="宋体" w:cs="宋体" w:eastAsia="宋体" w:hint="default"/>
                <w:spacing w:val="-30"/>
                <w:sz w:val="18"/>
                <w:szCs w:val="18"/>
              </w:rPr>
              <w:t>营）；车载电</w:t>
            </w:r>
            <w:r>
              <w:rPr>
                <w:rFonts w:ascii="宋体" w:hAnsi="宋体" w:cs="宋体" w:eastAsia="宋体" w:hint="default"/>
                <w:sz w:val="18"/>
                <w:szCs w:val="18"/>
              </w:rPr>
              <w:t> 子信息系统 技术的研 发、生产与 销售；通信 设备开发、 销售及技术 咨询服务； 计算机软件</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521,393,767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12,385,411.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85</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320,151,029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-8,576,828.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1,278,710.5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24.302994pt;margin-top:72.47998pt;width:71.55pt;height:345.3pt;mso-position-horizontal-relative:page;mso-position-vertical-relative:page;z-index:-1064752" type="#_x0000_t202" filled="false" stroked="false">
            <v:textbox inset="0,0,0,0">
              <w:txbxContent>
                <w:p>
                  <w:pPr>
                    <w:spacing w:before="10"/>
                    <w:ind w:left="0" w:right="0" w:firstLine="0"/>
                    <w:jc w:val="left"/>
                    <w:rPr>
                      <w:rFonts w:ascii="宋体" w:hAnsi="宋体" w:cs="宋体" w:eastAsia="宋体" w:hint="default"/>
                      <w:sz w:val="18"/>
                      <w:szCs w:val="18"/>
                    </w:rPr>
                  </w:pPr>
                  <w:r>
                    <w:rPr>
                      <w:rFonts w:ascii="宋体" w:hAnsi="宋体" w:cs="宋体" w:eastAsia="宋体" w:hint="default"/>
                      <w:sz w:val="18"/>
                      <w:szCs w:val="18"/>
                    </w:rPr>
                    <w:t>销售；</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317" w:hRule="exact"/>
        </w:trPr>
        <w:tc>
          <w:tcPr>
            <w:tcW w:w="960"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5" w:type="dxa"/>
            <w:vMerge w:val="restart"/>
            <w:tcBorders>
              <w:top w:val="single" w:sz="4" w:space="0" w:color="000000"/>
              <w:left w:val="single" w:sz="4" w:space="0" w:color="000000"/>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w:t>
            </w:r>
          </w:p>
        </w:tc>
        <w:tc>
          <w:tcPr>
            <w:tcW w:w="956" w:type="dxa"/>
            <w:vMerge w:val="restart"/>
            <w:tcBorders>
              <w:top w:val="single" w:sz="4" w:space="0" w:color="000000"/>
              <w:left w:val="single" w:sz="4" w:space="0" w:color="000000"/>
              <w:right w:val="single" w:sz="4" w:space="0" w:color="000000"/>
            </w:tcBorders>
          </w:tcPr>
          <w:p>
            <w:pPr>
              <w:pStyle w:val="TableParagraph"/>
              <w:spacing w:line="6905"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7"/>
                <w:sz w:val="20"/>
                <w:szCs w:val="20"/>
              </w:rPr>
              <w:pict>
                <v:group style="width:47.35pt;height:345.3pt;mso-position-horizontal-relative:char;mso-position-vertical-relative:line" coordorigin="0,0" coordsize="947,6906">
                  <v:group style="position:absolute;left:0;top:0;width:947;height:6906" coordorigin="0,0" coordsize="947,6906">
                    <v:shape style="position:absolute;left:0;top:0;width:947;height:6906" coordorigin="0,0" coordsize="947,6906" path="m0,6905l947,6905,947,0,0,0,0,6905xe" filled="true" fillcolor="#ffffff" stroked="false">
                      <v:path arrowok="t"/>
                      <v:fill type="solid"/>
                    </v:shape>
                  </v:group>
                </v:group>
              </w:pict>
            </w:r>
            <w:r>
              <w:rPr>
                <w:rFonts w:ascii="Times New Roman" w:hAnsi="Times New Roman" w:cs="Times New Roman" w:eastAsia="Times New Roman" w:hint="default"/>
                <w:position w:val="-137"/>
                <w:sz w:val="20"/>
                <w:szCs w:val="20"/>
              </w:rPr>
            </w:r>
          </w:p>
        </w:tc>
        <w:tc>
          <w:tcPr>
            <w:tcW w:w="956"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通信系统工</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程技术服</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务；信息系</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统集成研</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发、销售；</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从事货物及</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技术的进出</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口业务（但</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国家限定公</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司经营或禁</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止进出口的</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货物及技术</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除外</w:t>
            </w:r>
            <w:r>
              <w:rPr>
                <w:rFonts w:ascii="宋体" w:hAnsi="宋体" w:cs="宋体" w:eastAsia="宋体" w:hint="default"/>
                <w:spacing w:val="-90"/>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房屋</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租赁（法律</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法规禁止的</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不得经营，</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法律法规规</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定应经审批</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的，未获批</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3" w:hRule="exact"/>
        </w:trPr>
        <w:tc>
          <w:tcPr>
            <w:tcW w:w="960"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5" w:type="dxa"/>
            <w:vMerge/>
            <w:tcBorders>
              <w:left w:val="single" w:sz="4" w:space="0" w:color="000000"/>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准前不得经</w:t>
            </w: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57" w:hRule="exact"/>
        </w:trPr>
        <w:tc>
          <w:tcPr>
            <w:tcW w:w="960"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5" w:type="dxa"/>
            <w:vMerge/>
            <w:tcBorders>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营）</w:t>
            </w: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r>
        <w:trPr>
          <w:trHeight w:val="1650"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海能达通信</w:t>
            </w:r>
          </w:p>
          <w:p>
            <w:pPr>
              <w:pStyle w:val="TableParagraph"/>
              <w:spacing w:line="319" w:lineRule="auto" w:before="75"/>
              <w:ind w:left="22" w:right="27"/>
              <w:jc w:val="left"/>
              <w:rPr>
                <w:rFonts w:ascii="宋体" w:hAnsi="宋体" w:cs="宋体" w:eastAsia="宋体" w:hint="default"/>
                <w:sz w:val="18"/>
                <w:szCs w:val="18"/>
              </w:rPr>
            </w:pPr>
            <w:r>
              <w:rPr>
                <w:rFonts w:ascii="宋体" w:hAnsi="宋体" w:cs="宋体" w:eastAsia="宋体" w:hint="default"/>
                <w:sz w:val="18"/>
                <w:szCs w:val="18"/>
              </w:rPr>
              <w:t>（澳大利 亚）有限公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无线电通信 器材、配件 的销售及提 供相关技术 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6,678,063.8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230,399.36</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465,147.95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-2,743,435.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-2,743,845.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54</w:t>
            </w:r>
          </w:p>
        </w:tc>
      </w:tr>
      <w:tr>
        <w:trPr>
          <w:trHeight w:val="196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36"/>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z w:val="18"/>
              </w:rPr>
              <w:t>COMMUNI</w:t>
            </w:r>
            <w:r>
              <w:rPr>
                <w:rFonts w:ascii="Times New Roman"/>
                <w:w w:val="99"/>
                <w:sz w:val="18"/>
              </w:rPr>
              <w:t> </w:t>
            </w:r>
            <w:r>
              <w:rPr>
                <w:rFonts w:ascii="Times New Roman"/>
                <w:spacing w:val="-4"/>
                <w:sz w:val="18"/>
              </w:rPr>
              <w:t>CATION</w:t>
            </w:r>
            <w:r>
              <w:rPr>
                <w:rFonts w:ascii="Times New Roman"/>
                <w:spacing w:val="-43"/>
                <w:sz w:val="18"/>
              </w:rPr>
              <w:t> </w:t>
            </w:r>
            <w:r>
              <w:rPr>
                <w:rFonts w:ascii="Times New Roman"/>
                <w:spacing w:val="-43"/>
                <w:sz w:val="18"/>
              </w:rPr>
            </w:r>
            <w:r>
              <w:rPr>
                <w:rFonts w:ascii="Times New Roman"/>
                <w:sz w:val="18"/>
              </w:rPr>
              <w:t>DO</w:t>
            </w:r>
            <w:r>
              <w:rPr>
                <w:rFonts w:ascii="Times New Roman"/>
                <w:spacing w:val="-1"/>
                <w:w w:val="99"/>
                <w:sz w:val="18"/>
              </w:rPr>
              <w:t> </w:t>
            </w:r>
            <w:r>
              <w:rPr>
                <w:rFonts w:ascii="Times New Roman"/>
                <w:sz w:val="18"/>
              </w:rPr>
              <w:t>BRASIL</w:t>
            </w:r>
            <w:r>
              <w:rPr>
                <w:rFonts w:ascii="Times New Roman"/>
                <w:w w:val="99"/>
                <w:sz w:val="18"/>
              </w:rPr>
              <w:t> </w:t>
            </w:r>
            <w:r>
              <w:rPr>
                <w:rFonts w:ascii="Times New Roman"/>
                <w:spacing w:val="-5"/>
                <w:sz w:val="18"/>
              </w:rPr>
              <w:t>LTDA</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3"/>
              <w:jc w:val="both"/>
              <w:rPr>
                <w:rFonts w:ascii="宋体" w:hAnsi="宋体" w:cs="宋体" w:eastAsia="宋体" w:hint="default"/>
                <w:sz w:val="18"/>
                <w:szCs w:val="18"/>
              </w:rPr>
            </w:pPr>
            <w:r>
              <w:rPr>
                <w:rFonts w:ascii="宋体" w:hAnsi="宋体" w:cs="宋体" w:eastAsia="宋体" w:hint="default"/>
                <w:sz w:val="18"/>
                <w:szCs w:val="18"/>
              </w:rPr>
              <w:t>无线电通信 器材、配件 的销售及提 供相关技术 服务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00" w:lineRule="auto"/>
              <w:ind w:left="22" w:right="67"/>
              <w:jc w:val="left"/>
              <w:rPr>
                <w:rFonts w:ascii="宋体" w:hAnsi="宋体" w:cs="宋体" w:eastAsia="宋体" w:hint="default"/>
                <w:sz w:val="18"/>
                <w:szCs w:val="18"/>
              </w:rPr>
            </w:pP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万雷亚 尔</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140,455.76</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-2,509,483.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42</w:t>
            </w: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-7,723,021.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-7,723,021.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37</w:t>
            </w:r>
          </w:p>
        </w:tc>
      </w:tr>
      <w:tr>
        <w:trPr>
          <w:trHeight w:val="362" w:hRule="exact"/>
        </w:trPr>
        <w:tc>
          <w:tcPr>
            <w:tcW w:w="960"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
        </w:tc>
        <w:tc>
          <w:tcPr>
            <w:tcW w:w="955" w:type="dxa"/>
            <w:tcBorders>
              <w:top w:val="single" w:sz="4" w:space="0" w:color="000000"/>
              <w:left w:val="single" w:sz="4" w:space="0" w:color="000000"/>
              <w:bottom w:val="nil" w:sz="6" w:space="0" w:color="auto"/>
              <w:right w:val="single" w:sz="4" w:space="0" w:color="000000"/>
            </w:tcBorders>
          </w:tcPr>
          <w:p>
            <w:pPr/>
          </w:p>
        </w:tc>
        <w:tc>
          <w:tcPr>
            <w:tcW w:w="95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兆赫无</w:t>
            </w: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6" w:type="dxa"/>
            <w:tcBorders>
              <w:top w:val="single" w:sz="4" w:space="0" w:color="000000"/>
              <w:left w:val="single" w:sz="4" w:space="0" w:color="000000"/>
              <w:bottom w:val="nil" w:sz="6" w:space="0" w:color="auto"/>
              <w:right w:val="single" w:sz="4" w:space="0" w:color="000000"/>
            </w:tcBorders>
          </w:tcPr>
          <w:p>
            <w:pPr/>
          </w:p>
        </w:tc>
        <w:tc>
          <w:tcPr>
            <w:tcW w:w="957" w:type="dxa"/>
            <w:vMerge w:val="restart"/>
            <w:tcBorders>
              <w:top w:val="single" w:sz="4" w:space="0" w:color="000000"/>
              <w:left w:val="single" w:sz="4" w:space="0" w:color="000000"/>
              <w:right w:val="single" w:sz="4" w:space="0" w:color="000000"/>
            </w:tcBorders>
          </w:tcPr>
          <w:p>
            <w:pPr/>
          </w:p>
        </w:tc>
        <w:tc>
          <w:tcPr>
            <w:tcW w:w="958" w:type="dxa"/>
            <w:vMerge w:val="restart"/>
            <w:tcBorders>
              <w:top w:val="single" w:sz="4" w:space="0" w:color="000000"/>
              <w:left w:val="single" w:sz="4" w:space="0" w:color="000000"/>
              <w:right w:val="single" w:sz="4" w:space="0" w:color="000000"/>
            </w:tcBorders>
          </w:tcPr>
          <w:p>
            <w:pPr/>
          </w:p>
        </w:tc>
        <w:tc>
          <w:tcPr>
            <w:tcW w:w="956" w:type="dxa"/>
            <w:vMerge w:val="restart"/>
            <w:tcBorders>
              <w:top w:val="single" w:sz="4" w:space="0" w:color="000000"/>
              <w:left w:val="single" w:sz="4" w:space="0" w:color="000000"/>
              <w:right w:val="single" w:sz="4" w:space="0" w:color="000000"/>
            </w:tcBorders>
          </w:tcPr>
          <w:p>
            <w:pPr/>
          </w:p>
        </w:tc>
      </w:tr>
      <w:tr>
        <w:trPr>
          <w:trHeight w:val="306"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线电集群通</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信业务；无</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1248" w:hRule="exact"/>
        </w:trPr>
        <w:tc>
          <w:tcPr>
            <w:tcW w:w="960"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7"/>
              <w:jc w:val="both"/>
              <w:rPr>
                <w:rFonts w:ascii="宋体" w:hAnsi="宋体" w:cs="宋体" w:eastAsia="宋体" w:hint="default"/>
                <w:sz w:val="18"/>
                <w:szCs w:val="18"/>
              </w:rPr>
            </w:pPr>
            <w:r>
              <w:rPr>
                <w:rFonts w:ascii="宋体" w:hAnsi="宋体" w:cs="宋体" w:eastAsia="宋体" w:hint="default"/>
                <w:sz w:val="18"/>
                <w:szCs w:val="18"/>
              </w:rPr>
              <w:t>深圳市运联 通通信服务 有限公司</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5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319"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线电数据传 输业务；通 信设备、器 材销售和维</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1"/>
              <w:jc w:val="right"/>
              <w:rPr>
                <w:rFonts w:ascii="Times New Roman" w:hAnsi="Times New Roman" w:cs="Times New Roman" w:eastAsia="Times New Roman" w:hint="default"/>
                <w:sz w:val="18"/>
                <w:szCs w:val="18"/>
              </w:rPr>
            </w:pPr>
            <w:r>
              <w:rPr>
                <w:rFonts w:ascii="Times New Roman"/>
                <w:spacing w:val="-1"/>
                <w:sz w:val="18"/>
              </w:rPr>
              <w:t>9,706,803.9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20"/>
              <w:jc w:val="right"/>
              <w:rPr>
                <w:rFonts w:ascii="Times New Roman" w:hAnsi="Times New Roman" w:cs="Times New Roman" w:eastAsia="Times New Roman" w:hint="default"/>
                <w:sz w:val="18"/>
                <w:szCs w:val="18"/>
              </w:rPr>
            </w:pPr>
            <w:r>
              <w:rPr>
                <w:rFonts w:ascii="Times New Roman"/>
                <w:spacing w:val="-1"/>
                <w:sz w:val="18"/>
              </w:rPr>
              <w:t>8,772,157.9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修；电信业</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2" w:hRule="exact"/>
        </w:trPr>
        <w:tc>
          <w:tcPr>
            <w:tcW w:w="960"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
        </w:tc>
        <w:tc>
          <w:tcPr>
            <w:tcW w:w="955" w:type="dxa"/>
            <w:tcBorders>
              <w:top w:val="nil" w:sz="6" w:space="0" w:color="auto"/>
              <w:left w:val="single" w:sz="4" w:space="0" w:color="000000"/>
              <w:bottom w:val="nil" w:sz="6" w:space="0" w:color="auto"/>
              <w:right w:val="single" w:sz="4" w:space="0" w:color="000000"/>
            </w:tcBorders>
          </w:tcPr>
          <w:p>
            <w:pPr/>
          </w:p>
        </w:tc>
        <w:tc>
          <w:tcPr>
            <w:tcW w:w="95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务代理；进</w:t>
            </w: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6" w:type="dxa"/>
            <w:tcBorders>
              <w:top w:val="nil" w:sz="6" w:space="0" w:color="auto"/>
              <w:left w:val="single" w:sz="4" w:space="0" w:color="000000"/>
              <w:bottom w:val="nil" w:sz="6" w:space="0" w:color="auto"/>
              <w:right w:val="single" w:sz="4" w:space="0" w:color="000000"/>
            </w:tcBorders>
          </w:tcPr>
          <w:p>
            <w:pPr/>
          </w:p>
        </w:tc>
        <w:tc>
          <w:tcPr>
            <w:tcW w:w="957" w:type="dxa"/>
            <w:vMerge/>
            <w:tcBorders>
              <w:left w:val="single" w:sz="4" w:space="0" w:color="000000"/>
              <w:right w:val="single" w:sz="4" w:space="0" w:color="000000"/>
            </w:tcBorders>
          </w:tcPr>
          <w:p>
            <w:pPr/>
          </w:p>
        </w:tc>
        <w:tc>
          <w:tcPr>
            <w:tcW w:w="958" w:type="dxa"/>
            <w:vMerge/>
            <w:tcBorders>
              <w:left w:val="single" w:sz="4" w:space="0" w:color="000000"/>
              <w:right w:val="single" w:sz="4" w:space="0" w:color="000000"/>
            </w:tcBorders>
          </w:tcPr>
          <w:p>
            <w:pPr/>
          </w:p>
        </w:tc>
        <w:tc>
          <w:tcPr>
            <w:tcW w:w="956" w:type="dxa"/>
            <w:vMerge/>
            <w:tcBorders>
              <w:left w:val="single" w:sz="4" w:space="0" w:color="000000"/>
              <w:right w:val="single" w:sz="4" w:space="0" w:color="000000"/>
            </w:tcBorders>
          </w:tcPr>
          <w:p>
            <w:pPr/>
          </w:p>
        </w:tc>
      </w:tr>
      <w:tr>
        <w:trPr>
          <w:trHeight w:val="318" w:hRule="exact"/>
        </w:trPr>
        <w:tc>
          <w:tcPr>
            <w:tcW w:w="960"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
        </w:tc>
        <w:tc>
          <w:tcPr>
            <w:tcW w:w="955" w:type="dxa"/>
            <w:tcBorders>
              <w:top w:val="nil" w:sz="6" w:space="0" w:color="auto"/>
              <w:left w:val="single" w:sz="4" w:space="0" w:color="000000"/>
              <w:bottom w:val="single" w:sz="4" w:space="0" w:color="000000"/>
              <w:right w:val="single" w:sz="4" w:space="0" w:color="000000"/>
            </w:tcBorders>
          </w:tcPr>
          <w:p>
            <w:pPr/>
          </w:p>
        </w:tc>
        <w:tc>
          <w:tcPr>
            <w:tcW w:w="9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出口业务</w:t>
            </w: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6" w:type="dxa"/>
            <w:tcBorders>
              <w:top w:val="nil" w:sz="6" w:space="0" w:color="auto"/>
              <w:left w:val="single" w:sz="4" w:space="0" w:color="000000"/>
              <w:bottom w:val="single" w:sz="4" w:space="0" w:color="000000"/>
              <w:right w:val="single" w:sz="4" w:space="0" w:color="000000"/>
            </w:tcBorders>
          </w:tcPr>
          <w:p>
            <w:pPr/>
          </w:p>
        </w:tc>
        <w:tc>
          <w:tcPr>
            <w:tcW w:w="957" w:type="dxa"/>
            <w:vMerge/>
            <w:tcBorders>
              <w:left w:val="single" w:sz="4" w:space="0" w:color="000000"/>
              <w:bottom w:val="single" w:sz="4" w:space="0" w:color="000000"/>
              <w:right w:val="single" w:sz="4" w:space="0" w:color="000000"/>
            </w:tcBorders>
          </w:tcPr>
          <w:p>
            <w:pPr/>
          </w:p>
        </w:tc>
        <w:tc>
          <w:tcPr>
            <w:tcW w:w="958" w:type="dxa"/>
            <w:vMerge/>
            <w:tcBorders>
              <w:left w:val="single" w:sz="4" w:space="0" w:color="000000"/>
              <w:bottom w:val="single" w:sz="4" w:space="0" w:color="000000"/>
              <w:right w:val="single" w:sz="4" w:space="0" w:color="000000"/>
            </w:tcBorders>
          </w:tcPr>
          <w:p>
            <w:pPr/>
          </w:p>
        </w:tc>
        <w:tc>
          <w:tcPr>
            <w:tcW w:w="956"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960"/>
        <w:gridCol w:w="958"/>
        <w:gridCol w:w="955"/>
        <w:gridCol w:w="958"/>
        <w:gridCol w:w="956"/>
        <w:gridCol w:w="956"/>
        <w:gridCol w:w="956"/>
        <w:gridCol w:w="957"/>
        <w:gridCol w:w="958"/>
        <w:gridCol w:w="956"/>
      </w:tblGrid>
      <w:tr>
        <w:trPr>
          <w:trHeight w:val="1298" w:hRule="exact"/>
        </w:trPr>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（按中国进 出口企业资 格证书办 理）</w:t>
            </w: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8052" w:firstLine="0"/>
        <w:jc w:val="left"/>
        <w:rPr>
          <w:rFonts w:ascii="宋体" w:hAnsi="宋体" w:cs="宋体" w:eastAsia="宋体" w:hint="default"/>
          <w:sz w:val="18"/>
          <w:szCs w:val="18"/>
        </w:rPr>
      </w:pPr>
      <w:r>
        <w:rPr>
          <w:rFonts w:ascii="宋体" w:hAnsi="宋体" w:cs="宋体" w:eastAsia="宋体" w:hint="default"/>
          <w:sz w:val="18"/>
          <w:szCs w:val="18"/>
        </w:rPr>
        <w:t>主要子公司、参股公司情况说明 报告期内取得和处置子公司的情况</w:t>
      </w:r>
    </w:p>
    <w:p>
      <w:pPr>
        <w:spacing w:before="26"/>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1"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目的</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10" w:right="111" w:hanging="900"/>
              <w:jc w:val="left"/>
              <w:rPr>
                <w:rFonts w:ascii="宋体" w:hAnsi="宋体" w:cs="宋体" w:eastAsia="宋体" w:hint="default"/>
                <w:sz w:val="18"/>
                <w:szCs w:val="18"/>
              </w:rPr>
            </w:pPr>
            <w:r>
              <w:rPr>
                <w:rFonts w:ascii="宋体" w:hAnsi="宋体" w:cs="宋体" w:eastAsia="宋体" w:hint="default"/>
                <w:sz w:val="18"/>
                <w:szCs w:val="18"/>
              </w:rPr>
              <w:t>报告期内取得和处置子公司 方式</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深圳市运联通通信服务有限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进入新的市场领域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592"/>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Communications</w:t>
            </w:r>
            <w:r>
              <w:rPr>
                <w:rFonts w:ascii="Times New Roman"/>
                <w:w w:val="99"/>
                <w:sz w:val="18"/>
              </w:rPr>
              <w:t> </w:t>
            </w:r>
            <w:r>
              <w:rPr>
                <w:rFonts w:ascii="Times New Roman"/>
                <w:sz w:val="18"/>
              </w:rPr>
              <w:t>(Australia)Pty</w:t>
            </w:r>
            <w:r>
              <w:rPr>
                <w:rFonts w:ascii="Times New Roman"/>
                <w:spacing w:val="-3"/>
                <w:sz w:val="18"/>
              </w:rPr>
              <w:t> </w:t>
            </w:r>
            <w:r>
              <w:rPr>
                <w:rFonts w:ascii="Times New Roman"/>
                <w:sz w:val="18"/>
              </w:rPr>
              <w:t>Ltd</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拓展和深耕市场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-2,743,845.54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南京宙达通信技术有限公司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21"/>
              <w:jc w:val="left"/>
              <w:rPr>
                <w:rFonts w:ascii="宋体" w:hAnsi="宋体" w:cs="宋体" w:eastAsia="宋体" w:hint="default"/>
                <w:sz w:val="18"/>
                <w:szCs w:val="18"/>
              </w:rPr>
            </w:pPr>
            <w:r>
              <w:rPr>
                <w:rFonts w:ascii="宋体" w:hAnsi="宋体" w:cs="宋体" w:eastAsia="宋体" w:hint="default"/>
                <w:sz w:val="18"/>
                <w:szCs w:val="18"/>
              </w:rPr>
              <w:t>获取新的技术、进入新的市场 领域</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-35,467.96</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44"/>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27"/>
                <w:sz w:val="18"/>
              </w:rPr>
              <w:t> </w:t>
            </w:r>
            <w:r>
              <w:rPr>
                <w:rFonts w:ascii="Times New Roman"/>
                <w:sz w:val="18"/>
              </w:rPr>
              <w:t>COMMUNICATION</w:t>
            </w:r>
            <w:r>
              <w:rPr>
                <w:rFonts w:ascii="Times New Roman"/>
                <w:w w:val="99"/>
                <w:sz w:val="18"/>
              </w:rPr>
              <w:t> </w:t>
            </w:r>
            <w:r>
              <w:rPr>
                <w:rFonts w:ascii="Times New Roman"/>
                <w:sz w:val="18"/>
              </w:rPr>
              <w:t>DO BRASIL</w:t>
            </w:r>
            <w:r>
              <w:rPr>
                <w:rFonts w:ascii="Times New Roman"/>
                <w:spacing w:val="-7"/>
                <w:sz w:val="18"/>
              </w:rPr>
              <w:t> </w:t>
            </w:r>
            <w:r>
              <w:rPr>
                <w:rFonts w:ascii="Times New Roman"/>
                <w:spacing w:val="-5"/>
                <w:sz w:val="18"/>
              </w:rPr>
              <w:t>LTDA</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拓展和深耕市场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-7,723,021.37</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5、非募集资金投资的重大项目情况" w:id="48"/>
      <w:bookmarkEnd w:id="48"/>
      <w:r>
        <w:rPr>
          <w:b w:val="0"/>
          <w:bCs w:val="0"/>
        </w:rPr>
      </w:r>
      <w:r>
        <w:rPr>
          <w:rFonts w:ascii="Times New Roman" w:hAnsi="Times New Roman" w:cs="Times New Roman" w:eastAsia="Times New Roman" w:hint="default"/>
        </w:rPr>
        <w:t>5</w:t>
      </w:r>
      <w:r>
        <w:rPr/>
        <w:t>、非募集资金投资的重大项目情况</w:t>
      </w:r>
      <w:r>
        <w:rPr>
          <w:b w:val="0"/>
          <w:bCs w:val="0"/>
        </w:rPr>
      </w:r>
    </w:p>
    <w:p>
      <w:pPr>
        <w:spacing w:line="240" w:lineRule="auto" w:before="3"/>
        <w:rPr>
          <w:rFonts w:ascii="宋体" w:hAnsi="宋体" w:cs="宋体" w:eastAsia="宋体" w:hint="default"/>
          <w:b/>
          <w:bCs/>
          <w:sz w:val="23"/>
          <w:szCs w:val="23"/>
        </w:rPr>
      </w:pPr>
    </w:p>
    <w:p>
      <w:pPr>
        <w:spacing w:before="44"/>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025"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50"/>
              <w:jc w:val="right"/>
              <w:rPr>
                <w:rFonts w:ascii="宋体" w:hAnsi="宋体" w:cs="宋体" w:eastAsia="宋体" w:hint="default"/>
                <w:sz w:val="18"/>
                <w:szCs w:val="18"/>
              </w:rPr>
            </w:pPr>
            <w:r>
              <w:rPr>
                <w:rFonts w:ascii="宋体" w:hAnsi="宋体" w:cs="宋体" w:eastAsia="宋体" w:hint="default"/>
                <w:sz w:val="18"/>
                <w:szCs w:val="18"/>
              </w:rPr>
              <w:t>计划投资总额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3" w:right="50" w:hanging="360"/>
              <w:jc w:val="left"/>
              <w:rPr>
                <w:rFonts w:ascii="宋体" w:hAnsi="宋体" w:cs="宋体" w:eastAsia="宋体" w:hint="default"/>
                <w:sz w:val="18"/>
                <w:szCs w:val="18"/>
              </w:rPr>
            </w:pPr>
            <w:r>
              <w:rPr>
                <w:rFonts w:ascii="宋体" w:hAnsi="宋体" w:cs="宋体" w:eastAsia="宋体" w:hint="default"/>
                <w:sz w:val="18"/>
                <w:szCs w:val="18"/>
              </w:rPr>
              <w:t>本报告期投入 金额</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2"/>
              <w:jc w:val="center"/>
              <w:rPr>
                <w:rFonts w:ascii="宋体" w:hAnsi="宋体" w:cs="宋体" w:eastAsia="宋体" w:hint="default"/>
                <w:sz w:val="18"/>
                <w:szCs w:val="18"/>
              </w:rPr>
            </w:pPr>
            <w:r>
              <w:rPr>
                <w:rFonts w:ascii="宋体" w:hAnsi="宋体" w:cs="宋体" w:eastAsia="宋体" w:hint="default"/>
                <w:sz w:val="18"/>
                <w:szCs w:val="18"/>
              </w:rPr>
              <w:t>截至报告期末 累计实际投入 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2" w:right="0"/>
              <w:jc w:val="left"/>
              <w:rPr>
                <w:rFonts w:ascii="宋体" w:hAnsi="宋体" w:cs="宋体" w:eastAsia="宋体" w:hint="default"/>
                <w:sz w:val="18"/>
                <w:szCs w:val="18"/>
              </w:rPr>
            </w:pPr>
            <w:r>
              <w:rPr>
                <w:rFonts w:ascii="宋体" w:hAnsi="宋体" w:cs="宋体" w:eastAsia="宋体" w:hint="default"/>
                <w:sz w:val="18"/>
                <w:szCs w:val="18"/>
              </w:rPr>
              <w:t>项目进度</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3" w:right="0"/>
              <w:jc w:val="left"/>
              <w:rPr>
                <w:rFonts w:ascii="宋体" w:hAnsi="宋体" w:cs="宋体" w:eastAsia="宋体" w:hint="default"/>
                <w:sz w:val="18"/>
                <w:szCs w:val="18"/>
              </w:rPr>
            </w:pPr>
            <w:r>
              <w:rPr>
                <w:rFonts w:ascii="宋体" w:hAnsi="宋体" w:cs="宋体" w:eastAsia="宋体" w:hint="default"/>
                <w:sz w:val="18"/>
                <w:szCs w:val="18"/>
              </w:rPr>
              <w:t>项目收益情况</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披露日期（如 有）</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2" w:right="50" w:hanging="360"/>
              <w:jc w:val="left"/>
              <w:rPr>
                <w:rFonts w:ascii="宋体" w:hAnsi="宋体" w:cs="宋体" w:eastAsia="宋体" w:hint="default"/>
                <w:sz w:val="18"/>
                <w:szCs w:val="18"/>
              </w:rPr>
            </w:pPr>
            <w:r>
              <w:rPr>
                <w:rFonts w:ascii="宋体" w:hAnsi="宋体" w:cs="宋体" w:eastAsia="宋体" w:hint="default"/>
                <w:sz w:val="18"/>
                <w:szCs w:val="18"/>
              </w:rPr>
              <w:t>披露索引（如 有）</w:t>
            </w:r>
          </w:p>
        </w:tc>
      </w:tr>
      <w:tr>
        <w:trPr>
          <w:trHeight w:val="4458"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南京海能达大 楼项目</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339.37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0.85%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0"/>
              <w:jc w:val="both"/>
              <w:rPr>
                <w:rFonts w:ascii="宋体" w:hAnsi="宋体" w:cs="宋体" w:eastAsia="宋体" w:hint="default"/>
                <w:sz w:val="18"/>
                <w:szCs w:val="18"/>
              </w:rPr>
            </w:pPr>
            <w:r>
              <w:rPr>
                <w:rFonts w:ascii="宋体" w:hAnsi="宋体" w:cs="宋体" w:eastAsia="宋体" w:hint="default"/>
                <w:sz w:val="18"/>
                <w:szCs w:val="18"/>
              </w:rPr>
              <w:t>《关于设立南 京子公司并由 其负责购买南 京雨花区土地 使用权的公</w:t>
            </w:r>
          </w:p>
          <w:p>
            <w:pPr>
              <w:pStyle w:val="TableParagraph"/>
              <w:spacing w:line="240" w:lineRule="auto" w:before="19"/>
              <w:ind w:left="22" w:right="0"/>
              <w:jc w:val="both"/>
              <w:rPr>
                <w:rFonts w:ascii="宋体" w:hAnsi="宋体" w:cs="宋体" w:eastAsia="宋体" w:hint="default"/>
                <w:sz w:val="18"/>
                <w:szCs w:val="18"/>
              </w:rPr>
            </w:pPr>
            <w:r>
              <w:rPr>
                <w:rFonts w:ascii="宋体" w:hAnsi="宋体" w:cs="宋体" w:eastAsia="宋体" w:hint="default"/>
                <w:sz w:val="18"/>
                <w:szCs w:val="18"/>
              </w:rPr>
              <w:t>告 》刊登于</w:t>
            </w:r>
          </w:p>
          <w:p>
            <w:pPr>
              <w:pStyle w:val="TableParagraph"/>
              <w:spacing w:line="240" w:lineRule="auto" w:before="76"/>
              <w:ind w:left="22" w:right="0"/>
              <w:jc w:val="both"/>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w:t>
            </w:r>
          </w:p>
          <w:p>
            <w:pPr>
              <w:pStyle w:val="TableParagraph"/>
              <w:spacing w:line="316" w:lineRule="auto" w:before="76"/>
              <w:ind w:left="22" w:right="80"/>
              <w:jc w:val="left"/>
              <w:rPr>
                <w:rFonts w:ascii="宋体" w:hAnsi="宋体" w:cs="宋体" w:eastAsia="宋体" w:hint="default"/>
                <w:sz w:val="18"/>
                <w:szCs w:val="18"/>
              </w:rPr>
            </w:pPr>
            <w:r>
              <w:rPr>
                <w:rFonts w:ascii="宋体" w:hAnsi="宋体" w:cs="宋体" w:eastAsia="宋体" w:hint="default"/>
                <w:sz w:val="18"/>
                <w:szCs w:val="18"/>
              </w:rPr>
              <w:t>《上海证券 </w:t>
            </w:r>
            <w:r>
              <w:rPr>
                <w:rFonts w:ascii="宋体" w:hAnsi="宋体" w:cs="宋体" w:eastAsia="宋体" w:hint="default"/>
                <w:spacing w:val="-26"/>
                <w:sz w:val="18"/>
                <w:szCs w:val="18"/>
              </w:rPr>
              <w:t>报》、《证券日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报》及巨潮资 讯网</w:t>
            </w:r>
          </w:p>
          <w:p>
            <w:pPr>
              <w:pStyle w:val="TableParagraph"/>
              <w:spacing w:line="302" w:lineRule="auto" w:before="19"/>
              <w:ind w:left="22" w:right="19"/>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www.cninfo. </w:t>
            </w:r>
            <w:r>
              <w:rPr>
                <w:rFonts w:ascii="Times New Roman" w:hAnsi="Times New Roman" w:cs="Times New Roman" w:eastAsia="Times New Roman" w:hint="default"/>
                <w:spacing w:val="-11"/>
                <w:sz w:val="18"/>
                <w:szCs w:val="18"/>
              </w:rPr>
              <w:t>com.cn</w:t>
            </w:r>
            <w:r>
              <w:rPr>
                <w:rFonts w:ascii="宋体" w:hAnsi="宋体" w:cs="宋体" w:eastAsia="宋体" w:hint="default"/>
                <w:spacing w:val="-11"/>
                <w:sz w:val="18"/>
                <w:szCs w:val="18"/>
              </w:rPr>
              <w:t>），公告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编号：</w:t>
            </w:r>
            <w:r>
              <w:rPr>
                <w:rFonts w:ascii="Times New Roman" w:hAnsi="Times New Roman" w:cs="Times New Roman" w:eastAsia="Times New Roman" w:hint="default"/>
                <w:spacing w:val="-9"/>
                <w:sz w:val="18"/>
                <w:szCs w:val="18"/>
              </w:rPr>
              <w:t>2011-022</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339.37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4,356</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46"/>
        <w:jc w:val="left"/>
        <w:rPr>
          <w:b w:val="0"/>
          <w:bCs w:val="0"/>
        </w:rPr>
      </w:pPr>
      <w:bookmarkStart w:name="七、公司控制的特殊目的主体情况" w:id="49"/>
      <w:bookmarkEnd w:id="49"/>
      <w:r>
        <w:rPr>
          <w:b w:val="0"/>
          <w:bCs w:val="0"/>
        </w:rPr>
      </w: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046"/>
        <w:jc w:val="left"/>
        <w:rPr>
          <w:b w:val="0"/>
          <w:bCs w:val="0"/>
        </w:rPr>
      </w:pPr>
      <w:bookmarkStart w:name="八、公司未来发展的展望" w:id="50"/>
      <w:bookmarkEnd w:id="50"/>
      <w:r>
        <w:rPr>
          <w:b w:val="0"/>
          <w:bCs w:val="0"/>
        </w:rPr>
      </w:r>
      <w:r>
        <w:rPr/>
        <w:t>八、公司未来发展的展望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1046"/>
        <w:jc w:val="left"/>
      </w:pPr>
      <w:r>
        <w:rPr>
          <w:rFonts w:ascii="宋体" w:hAnsi="宋体" w:cs="宋体" w:eastAsia="宋体" w:hint="default"/>
        </w:rPr>
        <w:t>1</w:t>
      </w:r>
      <w:r>
        <w:rPr/>
        <w:t>、公司所处行业的发展趋势</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w:t>
      </w:r>
      <w:r>
        <w:rPr>
          <w:rFonts w:ascii="宋体" w:hAnsi="宋体" w:cs="宋体" w:eastAsia="宋体" w:hint="default"/>
        </w:rPr>
        <w:t>1</w:t>
      </w:r>
      <w:r>
        <w:rPr/>
        <w:t>）行业的数字化进程加快</w:t>
      </w:r>
    </w:p>
    <w:p>
      <w:pPr>
        <w:spacing w:line="240" w:lineRule="auto" w:before="10"/>
        <w:rPr>
          <w:rFonts w:ascii="宋体" w:hAnsi="宋体" w:cs="宋体" w:eastAsia="宋体" w:hint="default"/>
          <w:sz w:val="14"/>
          <w:szCs w:val="14"/>
        </w:rPr>
      </w:pPr>
    </w:p>
    <w:p>
      <w:pPr>
        <w:pStyle w:val="BodyText"/>
        <w:spacing w:line="408" w:lineRule="auto" w:before="0"/>
        <w:ind w:right="1119" w:firstLine="420"/>
        <w:jc w:val="left"/>
      </w:pPr>
      <w:r>
        <w:rPr/>
        <w:t>根据</w:t>
      </w:r>
      <w:r>
        <w:rPr>
          <w:spacing w:val="-55"/>
        </w:rPr>
        <w:t> </w:t>
      </w:r>
      <w:r>
        <w:rPr>
          <w:rFonts w:ascii="宋体" w:hAnsi="宋体" w:cs="宋体" w:eastAsia="宋体" w:hint="default"/>
        </w:rPr>
        <w:t>IHS</w:t>
      </w:r>
      <w:r>
        <w:rPr>
          <w:rFonts w:ascii="宋体" w:hAnsi="宋体" w:cs="宋体" w:eastAsia="宋体" w:hint="default"/>
          <w:spacing w:val="-55"/>
        </w:rPr>
        <w:t> </w:t>
      </w:r>
      <w:r>
        <w:rPr>
          <w:spacing w:val="-3"/>
        </w:rPr>
        <w:t>报告数据显示，模拟产品的需求急剧下减，</w:t>
      </w:r>
      <w:r>
        <w:rPr>
          <w:rFonts w:ascii="宋体" w:hAnsi="宋体" w:cs="宋体" w:eastAsia="宋体" w:hint="default"/>
          <w:spacing w:val="-3"/>
        </w:rPr>
        <w:t>2014</w:t>
      </w:r>
      <w:r>
        <w:rPr>
          <w:rFonts w:ascii="宋体" w:hAnsi="宋体" w:cs="宋体" w:eastAsia="宋体" w:hint="default"/>
          <w:spacing w:val="-57"/>
        </w:rPr>
        <w:t> </w:t>
      </w:r>
      <w:r>
        <w:rPr/>
        <w:t>年，模拟产品的市场规模仅占全球市场规模 的</w:t>
      </w:r>
      <w:r>
        <w:rPr>
          <w:spacing w:val="-54"/>
        </w:rPr>
        <w:t> </w:t>
      </w:r>
      <w:r>
        <w:rPr>
          <w:rFonts w:ascii="宋体" w:hAnsi="宋体" w:cs="宋体" w:eastAsia="宋体" w:hint="default"/>
        </w:rPr>
        <w:t>13%</w:t>
      </w:r>
      <w:r>
        <w:rPr/>
        <w:t>，而数字产品市场规模的快速提升是模拟产品市场规模急剧下滑的主要原因。</w:t>
      </w:r>
    </w:p>
    <w:p>
      <w:pPr>
        <w:pStyle w:val="BodyText"/>
        <w:spacing w:line="408" w:lineRule="auto"/>
        <w:ind w:left="573" w:right="1093"/>
        <w:jc w:val="left"/>
      </w:pPr>
      <w:r>
        <w:rPr/>
        <w:t>（</w:t>
      </w:r>
      <w:r>
        <w:rPr>
          <w:rFonts w:ascii="宋体" w:hAnsi="宋体" w:cs="宋体" w:eastAsia="宋体" w:hint="default"/>
        </w:rPr>
        <w:t>2</w:t>
      </w:r>
      <w:r>
        <w:rPr/>
        <w:t>）用户需求促使传统的专业无线通信逐步与多种宽带技术互补融合 专业无线通信业务已不再局限于传统的语音对讲等普通业务，用户需求也逐步的升级，如信息查询、</w:t>
      </w:r>
    </w:p>
    <w:p>
      <w:pPr>
        <w:pStyle w:val="BodyText"/>
        <w:spacing w:line="408" w:lineRule="auto"/>
        <w:ind w:right="1046"/>
        <w:jc w:val="left"/>
      </w:pPr>
      <w:r>
        <w:rPr>
          <w:spacing w:val="-1"/>
        </w:rPr>
        <w:t>视频图像传输等数据和视频业务，这需要传统专网技术融合高速宽带传输才能更好的满足部分行业用户的</w:t>
      </w:r>
      <w:r>
        <w:rPr>
          <w:spacing w:val="-81"/>
        </w:rPr>
        <w:t> </w:t>
      </w:r>
      <w:r>
        <w:rPr>
          <w:spacing w:val="-81"/>
        </w:rPr>
      </w:r>
      <w:r>
        <w:rPr/>
        <w:t>高级业务需求，如为用户提供多模式的终端等。</w:t>
      </w:r>
    </w:p>
    <w:p>
      <w:pPr>
        <w:pStyle w:val="BodyText"/>
        <w:spacing w:line="408" w:lineRule="auto"/>
        <w:ind w:left="574" w:right="1046"/>
        <w:jc w:val="left"/>
      </w:pPr>
      <w:r>
        <w:rPr/>
        <w:t>（</w:t>
      </w:r>
      <w:r>
        <w:rPr>
          <w:rFonts w:ascii="宋体" w:hAnsi="宋体" w:cs="宋体" w:eastAsia="宋体" w:hint="default"/>
        </w:rPr>
        <w:t>3</w:t>
      </w:r>
      <w:r>
        <w:rPr/>
        <w:t>）行业内兼并收购频繁，行业的集中度提高 </w:t>
      </w:r>
      <w:r>
        <w:rPr>
          <w:spacing w:val="-1"/>
        </w:rPr>
        <w:t>随着全球宽带化趋势的确立，各行业用户的需求也在逐渐变化，宽带化的需求逐渐显现。传统的专网</w:t>
      </w:r>
    </w:p>
    <w:p>
      <w:pPr>
        <w:pStyle w:val="BodyText"/>
        <w:spacing w:line="240" w:lineRule="auto"/>
        <w:ind w:left="154" w:right="1046"/>
        <w:jc w:val="left"/>
      </w:pPr>
      <w:r>
        <w:rPr/>
        <w:t>厂商仅投入窄带通信已体现出较大的局限性，为实现优势互补、强强联合，行业内的合作、收购频发。</w:t>
      </w:r>
    </w:p>
    <w:p>
      <w:pPr>
        <w:spacing w:line="240" w:lineRule="auto" w:before="10"/>
        <w:rPr>
          <w:rFonts w:ascii="宋体" w:hAnsi="宋体" w:cs="宋体" w:eastAsia="宋体" w:hint="default"/>
          <w:sz w:val="14"/>
          <w:szCs w:val="14"/>
        </w:rPr>
      </w:pPr>
    </w:p>
    <w:p>
      <w:pPr>
        <w:pStyle w:val="BodyText"/>
        <w:spacing w:line="408" w:lineRule="auto" w:before="0"/>
        <w:ind w:left="573" w:right="1046"/>
        <w:jc w:val="left"/>
      </w:pPr>
      <w:r>
        <w:rPr/>
        <w:t>（</w:t>
      </w:r>
      <w:r>
        <w:rPr>
          <w:rFonts w:ascii="宋体" w:hAnsi="宋体" w:cs="宋体" w:eastAsia="宋体" w:hint="default"/>
        </w:rPr>
        <w:t>4</w:t>
      </w:r>
      <w:r>
        <w:rPr/>
        <w:t>）行业技术产业升级，新技术推动产业的创新发展 </w:t>
      </w:r>
      <w:r>
        <w:rPr>
          <w:spacing w:val="-1"/>
        </w:rPr>
        <w:t>专网行业长期处于模拟向数字转型的过渡期，而近年来互联网、物联网、大数据及云计算等技术的快</w:t>
      </w:r>
    </w:p>
    <w:p>
      <w:pPr>
        <w:pStyle w:val="BodyText"/>
        <w:spacing w:line="408" w:lineRule="auto"/>
        <w:ind w:right="1131"/>
        <w:jc w:val="both"/>
      </w:pPr>
      <w:r>
        <w:rPr>
          <w:spacing w:val="-1"/>
        </w:rPr>
        <w:t>速发展，成为专网行业的技术创新发展和产业升级的变量。为用户提供更先进、更多样化、更加符合用户</w:t>
      </w:r>
      <w:r>
        <w:rPr>
          <w:spacing w:val="-86"/>
        </w:rPr>
        <w:t> </w:t>
      </w:r>
      <w:r>
        <w:rPr>
          <w:spacing w:val="-86"/>
        </w:rPr>
      </w:r>
      <w:r>
        <w:rPr>
          <w:spacing w:val="-1"/>
        </w:rPr>
        <w:t>需求的信息化产品，有效提升用户调度管理效率和应急处理能力，成为专网行业产业升级的推力，也为专</w:t>
      </w:r>
      <w:r>
        <w:rPr>
          <w:spacing w:val="-83"/>
        </w:rPr>
        <w:t> </w:t>
      </w:r>
      <w:r>
        <w:rPr>
          <w:spacing w:val="-83"/>
        </w:rPr>
      </w:r>
      <w:r>
        <w:rPr/>
        <w:t>网厂商提供了更为广阔的市场空间，使专网产业快速进入全球</w:t>
      </w:r>
      <w:r>
        <w:rPr>
          <w:spacing w:val="-53"/>
        </w:rPr>
        <w:t> </w:t>
      </w:r>
      <w:r>
        <w:rPr>
          <w:rFonts w:ascii="宋体" w:hAnsi="宋体" w:cs="宋体" w:eastAsia="宋体" w:hint="default"/>
        </w:rPr>
        <w:t>ICT</w:t>
      </w:r>
      <w:r>
        <w:rPr>
          <w:rFonts w:ascii="宋体" w:hAnsi="宋体" w:cs="宋体" w:eastAsia="宋体" w:hint="default"/>
          <w:spacing w:val="-53"/>
        </w:rPr>
        <w:t> </w:t>
      </w:r>
      <w:r>
        <w:rPr/>
        <w:t>领域和智慧城市领域。</w:t>
      </w:r>
    </w:p>
    <w:p>
      <w:pPr>
        <w:pStyle w:val="BodyText"/>
        <w:spacing w:line="408" w:lineRule="auto"/>
        <w:ind w:left="573" w:right="1046"/>
        <w:jc w:val="left"/>
      </w:pPr>
      <w:r>
        <w:rPr>
          <w:rFonts w:ascii="宋体" w:hAnsi="宋体" w:cs="宋体" w:eastAsia="宋体" w:hint="default"/>
        </w:rPr>
        <w:t>2</w:t>
      </w:r>
      <w:r>
        <w:rPr/>
        <w:t>、面临的市场竞争格局 </w:t>
      </w:r>
      <w:r>
        <w:rPr>
          <w:spacing w:val="-1"/>
        </w:rPr>
        <w:t>摩托罗拉依然处于市场领导地位，主导专业无线通信行业的发展，引领行业内新技术、新产品的发展</w:t>
      </w:r>
    </w:p>
    <w:p>
      <w:pPr>
        <w:pStyle w:val="BodyText"/>
        <w:spacing w:line="408" w:lineRule="auto"/>
        <w:ind w:right="0"/>
        <w:jc w:val="left"/>
      </w:pPr>
      <w:r>
        <w:rPr/>
        <w:t>趋势。摩托罗拉拥有</w:t>
      </w:r>
      <w:r>
        <w:rPr>
          <w:spacing w:val="-59"/>
        </w:rPr>
        <w:t> </w:t>
      </w:r>
      <w:r>
        <w:rPr>
          <w:rFonts w:ascii="宋体" w:hAnsi="宋体" w:cs="宋体" w:eastAsia="宋体" w:hint="default"/>
        </w:rPr>
        <w:t>TETRA</w:t>
      </w:r>
      <w:r>
        <w:rPr/>
        <w:t>、</w:t>
      </w:r>
      <w:r>
        <w:rPr>
          <w:rFonts w:ascii="宋体" w:hAnsi="宋体" w:cs="宋体" w:eastAsia="宋体" w:hint="default"/>
        </w:rPr>
        <w:t>DMR</w:t>
      </w:r>
      <w:r>
        <w:rPr/>
        <w:t>、</w:t>
      </w:r>
      <w:r>
        <w:rPr>
          <w:rFonts w:ascii="宋体" w:hAnsi="宋体" w:cs="宋体" w:eastAsia="宋体" w:hint="default"/>
        </w:rPr>
        <w:t>P25</w:t>
      </w:r>
      <w:r>
        <w:rPr>
          <w:rFonts w:ascii="宋体" w:hAnsi="宋体" w:cs="宋体" w:eastAsia="宋体" w:hint="default"/>
          <w:spacing w:val="-59"/>
        </w:rPr>
        <w:t> </w:t>
      </w:r>
      <w:r>
        <w:rPr/>
        <w:t>以及宽带集群等齐全的产品线，其优势市场以北美、欧洲为主，而 </w:t>
      </w:r>
      <w:r>
        <w:rPr>
          <w:spacing w:val="-3"/>
        </w:rPr>
        <w:t>在行业应用中聚焦于中高端行业市场，如公共安全、机场、港口、地铁等。</w:t>
      </w:r>
      <w:r>
        <w:rPr>
          <w:rFonts w:ascii="宋体" w:hAnsi="宋体" w:cs="宋体" w:eastAsia="宋体" w:hint="default"/>
          <w:spacing w:val="-3"/>
        </w:rPr>
        <w:t>CASSIDIAN</w:t>
      </w:r>
      <w:r>
        <w:rPr>
          <w:spacing w:val="-3"/>
        </w:rPr>
        <w:t>、海能达、</w:t>
      </w:r>
      <w:r>
        <w:rPr>
          <w:rFonts w:ascii="宋体" w:hAnsi="宋体" w:cs="宋体" w:eastAsia="宋体" w:hint="default"/>
          <w:spacing w:val="-3"/>
        </w:rPr>
        <w:t>Kenwood</w:t>
      </w:r>
      <w:r>
        <w:rPr>
          <w:spacing w:val="-3"/>
        </w:rPr>
        <w:t>、</w:t>
      </w:r>
      <w:r>
        <w:rPr>
          <w:spacing w:val="-71"/>
        </w:rPr>
        <w:t> </w:t>
      </w:r>
      <w:r>
        <w:rPr>
          <w:rFonts w:ascii="宋体" w:hAnsi="宋体" w:cs="宋体" w:eastAsia="宋体" w:hint="default"/>
        </w:rPr>
        <w:t>ICOM</w:t>
      </w:r>
      <w:r>
        <w:rPr/>
        <w:t>、</w:t>
      </w:r>
      <w:r>
        <w:rPr>
          <w:rFonts w:ascii="宋体" w:hAnsi="宋体" w:cs="宋体" w:eastAsia="宋体" w:hint="default"/>
        </w:rPr>
        <w:t>SEPURA</w:t>
      </w:r>
      <w:r>
        <w:rPr/>
        <w:t>、</w:t>
      </w:r>
      <w:r>
        <w:rPr>
          <w:rFonts w:ascii="宋体" w:hAnsi="宋体" w:cs="宋体" w:eastAsia="宋体" w:hint="default"/>
        </w:rPr>
        <w:t>Teltronic</w:t>
      </w:r>
      <w:r>
        <w:rPr/>
        <w:t>、</w:t>
      </w:r>
      <w:r>
        <w:rPr>
          <w:rFonts w:ascii="宋体" w:hAnsi="宋体" w:cs="宋体" w:eastAsia="宋体" w:hint="default"/>
        </w:rPr>
        <w:t>Selex ES</w:t>
      </w:r>
      <w:r>
        <w:rPr>
          <w:rFonts w:ascii="宋体" w:hAnsi="宋体" w:cs="宋体" w:eastAsia="宋体" w:hint="default"/>
          <w:spacing w:val="-55"/>
        </w:rPr>
        <w:t> </w:t>
      </w:r>
      <w:r>
        <w:rPr/>
        <w:t>等企业紧随其后，在各自本土区域及某些细分市场占有一定的市场 优势。在模拟向数字技术的转型的过程中，部分企业受数字转型方向的影响，整体市场地位有所下降；同 时，部分企业为了突破市场规模发展瓶颈问题，也开始向解决方案转型。</w:t>
      </w:r>
    </w:p>
    <w:p>
      <w:pPr>
        <w:pStyle w:val="BodyText"/>
        <w:spacing w:line="240" w:lineRule="auto"/>
        <w:ind w:left="573" w:right="1046"/>
        <w:jc w:val="left"/>
      </w:pPr>
      <w:r>
        <w:rPr>
          <w:rFonts w:ascii="宋体" w:hAnsi="宋体" w:cs="宋体" w:eastAsia="宋体" w:hint="default"/>
        </w:rPr>
        <w:t>3</w:t>
      </w:r>
      <w:r>
        <w:rPr/>
        <w:t>、公司近期发展战略</w:t>
      </w:r>
    </w:p>
    <w:p>
      <w:pPr>
        <w:spacing w:line="240" w:lineRule="auto" w:before="10"/>
        <w:rPr>
          <w:rFonts w:ascii="宋体" w:hAnsi="宋体" w:cs="宋体" w:eastAsia="宋体" w:hint="default"/>
          <w:sz w:val="14"/>
          <w:szCs w:val="14"/>
        </w:rPr>
      </w:pPr>
    </w:p>
    <w:p>
      <w:pPr>
        <w:pStyle w:val="BodyText"/>
        <w:spacing w:line="408" w:lineRule="auto" w:before="0"/>
        <w:ind w:right="1116" w:firstLine="420"/>
        <w:jc w:val="left"/>
      </w:pPr>
      <w:r>
        <w:rPr/>
        <w:t>未来</w:t>
      </w:r>
      <w:r>
        <w:rPr>
          <w:spacing w:val="-64"/>
        </w:rPr>
        <w:t> </w:t>
      </w:r>
      <w:r>
        <w:rPr>
          <w:rFonts w:ascii="宋体" w:hAnsi="宋体" w:cs="宋体" w:eastAsia="宋体" w:hint="default"/>
        </w:rPr>
        <w:t>3</w:t>
      </w:r>
      <w:r>
        <w:rPr>
          <w:rFonts w:ascii="宋体" w:hAnsi="宋体" w:cs="宋体" w:eastAsia="宋体" w:hint="default"/>
          <w:spacing w:val="-64"/>
        </w:rPr>
        <w:t> </w:t>
      </w:r>
      <w:r>
        <w:rPr/>
        <w:t>年，公司处于模拟向数字转型的市场爆发期，数字产品将有高速的增长，尤其是国内公共安全 </w:t>
      </w:r>
      <w:r>
        <w:rPr>
          <w:rFonts w:ascii="宋体" w:hAnsi="宋体" w:cs="宋体" w:eastAsia="宋体" w:hint="default"/>
        </w:rPr>
        <w:t>PDT</w:t>
      </w:r>
      <w:r>
        <w:rPr>
          <w:rFonts w:ascii="宋体" w:hAnsi="宋体" w:cs="宋体" w:eastAsia="宋体" w:hint="default"/>
          <w:spacing w:val="-54"/>
        </w:rPr>
        <w:t> </w:t>
      </w:r>
      <w:r>
        <w:rPr/>
        <w:t>专网市场将迎来重大的市场机遇。公司将抓住这一机遇，大力推动</w:t>
      </w:r>
      <w:r>
        <w:rPr>
          <w:spacing w:val="-54"/>
        </w:rPr>
        <w:t> </w:t>
      </w:r>
      <w:r>
        <w:rPr>
          <w:rFonts w:ascii="宋体" w:hAnsi="宋体" w:cs="宋体" w:eastAsia="宋体" w:hint="default"/>
        </w:rPr>
        <w:t>PDT</w:t>
      </w:r>
      <w:r>
        <w:rPr>
          <w:rFonts w:ascii="宋体" w:hAnsi="宋体" w:cs="宋体" w:eastAsia="宋体" w:hint="default"/>
          <w:spacing w:val="-54"/>
        </w:rPr>
        <w:t> </w:t>
      </w:r>
      <w:r>
        <w:rPr/>
        <w:t>在国内的建设，做好大项目的</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t>攻单能力，积极抢占市场份额；</w:t>
      </w:r>
      <w:r>
        <w:rPr>
          <w:rFonts w:ascii="宋体" w:hAnsi="宋体" w:cs="宋体" w:eastAsia="宋体" w:hint="default"/>
        </w:rPr>
        <w:t>DMR</w:t>
      </w:r>
      <w:r>
        <w:rPr>
          <w:rFonts w:ascii="宋体" w:hAnsi="宋体" w:cs="宋体" w:eastAsia="宋体" w:hint="default"/>
          <w:spacing w:val="-53"/>
        </w:rPr>
        <w:t> </w:t>
      </w:r>
      <w:r>
        <w:rPr/>
        <w:t>产品在全球推广销售进入良性扩展阶段，要牢牢把握住竞争对手当前 薄弱环节，最快速度抢占更多市场份额，形成市场全面多点开花结果；充分发挥</w:t>
      </w:r>
      <w:r>
        <w:rPr>
          <w:spacing w:val="-64"/>
        </w:rPr>
        <w:t> </w:t>
      </w:r>
      <w:r>
        <w:rPr>
          <w:rFonts w:ascii="宋体" w:hAnsi="宋体" w:cs="宋体" w:eastAsia="宋体" w:hint="default"/>
        </w:rPr>
        <w:t>HMF</w:t>
      </w:r>
      <w:r>
        <w:rPr>
          <w:rFonts w:ascii="宋体" w:hAnsi="宋体" w:cs="宋体" w:eastAsia="宋体" w:hint="default"/>
          <w:spacing w:val="-64"/>
        </w:rPr>
        <w:t> </w:t>
      </w:r>
      <w:r>
        <w:rPr/>
        <w:t>子公司完美整合后的 强大竞争优势，全面迅速进入更多</w:t>
      </w:r>
      <w:r>
        <w:rPr>
          <w:spacing w:val="-63"/>
        </w:rPr>
        <w:t> </w:t>
      </w:r>
      <w:r>
        <w:rPr>
          <w:rFonts w:ascii="宋体" w:hAnsi="宋体" w:cs="宋体" w:eastAsia="宋体" w:hint="default"/>
        </w:rPr>
        <w:t>Tetra</w:t>
      </w:r>
      <w:r>
        <w:rPr>
          <w:rFonts w:ascii="宋体" w:hAnsi="宋体" w:cs="宋体" w:eastAsia="宋体" w:hint="default"/>
          <w:spacing w:val="-63"/>
        </w:rPr>
        <w:t> </w:t>
      </w:r>
      <w:r>
        <w:rPr/>
        <w:t>高端公共安全市场，同时积极扩张在全球及国内地铁和机场等行 业和企事业市场，进入全球</w:t>
      </w:r>
      <w:r>
        <w:rPr>
          <w:spacing w:val="-64"/>
        </w:rPr>
        <w:t> </w:t>
      </w:r>
      <w:r>
        <w:rPr>
          <w:rFonts w:ascii="宋体" w:hAnsi="宋体" w:cs="宋体" w:eastAsia="宋体" w:hint="default"/>
        </w:rPr>
        <w:t>Tetra</w:t>
      </w:r>
      <w:r>
        <w:rPr>
          <w:rFonts w:ascii="宋体" w:hAnsi="宋体" w:cs="宋体" w:eastAsia="宋体" w:hint="default"/>
          <w:spacing w:val="-65"/>
        </w:rPr>
        <w:t> </w:t>
      </w:r>
      <w:r>
        <w:rPr/>
        <w:t>销售份额前列；积极开拓通信车集成和改装市场。在研发上，做好数字 产品的技术创新，不断丰富数字产品系列，进一步完善和优化产品功能，同时关注及部署下一代</w:t>
      </w:r>
      <w:r>
        <w:rPr>
          <w:spacing w:val="-65"/>
        </w:rPr>
        <w:t> </w:t>
      </w:r>
      <w:r>
        <w:rPr>
          <w:rFonts w:ascii="宋体" w:hAnsi="宋体" w:cs="宋体" w:eastAsia="宋体" w:hint="default"/>
        </w:rPr>
        <w:t>LTE</w:t>
      </w:r>
      <w:r>
        <w:rPr>
          <w:rFonts w:ascii="宋体" w:hAnsi="宋体" w:cs="宋体" w:eastAsia="宋体" w:hint="default"/>
          <w:spacing w:val="-65"/>
        </w:rPr>
        <w:t> </w:t>
      </w:r>
      <w:r>
        <w:rPr/>
        <w:t>专网</w:t>
      </w:r>
      <w:r>
        <w:rPr>
          <w:spacing w:val="-2"/>
        </w:rPr>
        <w:t> </w:t>
      </w:r>
      <w:r>
        <w:rPr>
          <w:spacing w:val="-1"/>
        </w:rPr>
        <w:t>系统及终端产品的研发，为进入新的市场领域做好准备。在市场方面，立足国内优势行业，深耕海外高端</w:t>
      </w:r>
      <w:r>
        <w:rPr>
          <w:spacing w:val="-86"/>
        </w:rPr>
        <w:t> </w:t>
      </w:r>
      <w:r>
        <w:rPr>
          <w:spacing w:val="-86"/>
        </w:rPr>
      </w:r>
      <w:r>
        <w:rPr>
          <w:spacing w:val="-1"/>
        </w:rPr>
        <w:t>行业市场；瞄准大项目，继续提升集成解决方案能力，加速从“卖产品”向“卖价值”转型，成为全球领</w:t>
      </w:r>
      <w:r>
        <w:rPr>
          <w:spacing w:val="-85"/>
        </w:rPr>
        <w:t> </w:t>
      </w:r>
      <w:r>
        <w:rPr>
          <w:spacing w:val="-85"/>
        </w:rPr>
      </w:r>
      <w:r>
        <w:rPr>
          <w:spacing w:val="-1"/>
        </w:rPr>
        <w:t>先的专业通信解决方案提供商。同时公司将继续提升法人治理和经营管理水平，为公司的快速发展提供强</w:t>
      </w:r>
      <w:r>
        <w:rPr>
          <w:spacing w:val="-81"/>
        </w:rPr>
        <w:t> </w:t>
      </w:r>
      <w:r>
        <w:rPr>
          <w:spacing w:val="-81"/>
        </w:rPr>
      </w:r>
      <w:r>
        <w:rPr/>
        <w:t>有力的组织保障。</w:t>
      </w:r>
    </w:p>
    <w:p>
      <w:pPr>
        <w:pStyle w:val="BodyText"/>
        <w:spacing w:line="408" w:lineRule="auto"/>
        <w:ind w:left="573" w:right="1117"/>
        <w:jc w:val="left"/>
        <w:rPr>
          <w:rFonts w:ascii="宋体" w:hAnsi="宋体" w:cs="宋体" w:eastAsia="宋体" w:hint="default"/>
        </w:rPr>
      </w:pPr>
      <w:r>
        <w:rPr>
          <w:rFonts w:ascii="宋体" w:hAnsi="宋体" w:cs="宋体" w:eastAsia="宋体" w:hint="default"/>
        </w:rPr>
        <w:t>4</w:t>
      </w:r>
      <w:r>
        <w:rPr/>
        <w:t>、公司</w:t>
      </w:r>
      <w:r>
        <w:rPr>
          <w:spacing w:val="-53"/>
        </w:rPr>
        <w:t> </w:t>
      </w:r>
      <w:r>
        <w:rPr>
          <w:rFonts w:ascii="宋体" w:hAnsi="宋体" w:cs="宋体" w:eastAsia="宋体" w:hint="default"/>
        </w:rPr>
        <w:t>2015</w:t>
      </w:r>
      <w:r>
        <w:rPr>
          <w:rFonts w:ascii="宋体" w:hAnsi="宋体" w:cs="宋体" w:eastAsia="宋体" w:hint="default"/>
          <w:spacing w:val="-53"/>
        </w:rPr>
        <w:t> </w:t>
      </w:r>
      <w:r>
        <w:rPr/>
        <w:t>年重点工作 </w:t>
      </w:r>
      <w:r>
        <w:rPr>
          <w:spacing w:val="-5"/>
        </w:rPr>
        <w:t>专网通信数字化进程加快，宽带技术积极进入公共安全领域，公网厂商加速向专网市场渗透，国内</w:t>
      </w:r>
      <w:r>
        <w:rPr>
          <w:spacing w:val="-19"/>
        </w:rPr>
        <w:t> </w:t>
      </w:r>
      <w:r>
        <w:rPr>
          <w:rFonts w:ascii="宋体" w:hAnsi="宋体" w:cs="宋体" w:eastAsia="宋体" w:hint="default"/>
        </w:rPr>
        <w:t>PDT</w:t>
      </w:r>
    </w:p>
    <w:p>
      <w:pPr>
        <w:pStyle w:val="BodyText"/>
        <w:spacing w:line="408" w:lineRule="auto"/>
        <w:ind w:right="1131"/>
        <w:jc w:val="both"/>
      </w:pPr>
      <w:r>
        <w:rPr>
          <w:spacing w:val="-1"/>
        </w:rPr>
        <w:t>专网厂家竞争激烈，公司将继续坚持在专业通讯领域内发展，做最具价值的专网通信解决方案提供商，加</w:t>
      </w:r>
      <w:r>
        <w:rPr>
          <w:spacing w:val="-83"/>
        </w:rPr>
        <w:t> </w:t>
      </w:r>
      <w:r>
        <w:rPr>
          <w:spacing w:val="-83"/>
        </w:rPr>
      </w:r>
      <w:r>
        <w:rPr>
          <w:spacing w:val="-1"/>
        </w:rPr>
        <w:t>快从“技术领先”向“技术引领”的转型、从“推广式营销”向“顾问式营销”的转型，并根据“营销再</w:t>
      </w:r>
      <w:r>
        <w:rPr>
          <w:spacing w:val="-89"/>
        </w:rPr>
        <w:t> </w:t>
      </w:r>
      <w:r>
        <w:rPr>
          <w:spacing w:val="-89"/>
        </w:rPr>
      </w:r>
      <w:r>
        <w:rPr/>
        <w:t>变革、研发再创新、管理再提升”的总体思路，落实公司重点举措，夯实未来高速发展的基础。</w:t>
      </w:r>
    </w:p>
    <w:p>
      <w:pPr>
        <w:pStyle w:val="BodyText"/>
        <w:spacing w:line="240" w:lineRule="auto"/>
        <w:ind w:left="573" w:right="1046"/>
        <w:jc w:val="left"/>
      </w:pPr>
      <w:r>
        <w:rPr>
          <w:rFonts w:ascii="宋体" w:hAnsi="宋体" w:cs="宋体" w:eastAsia="宋体" w:hint="default"/>
        </w:rPr>
        <w:t>2015</w:t>
      </w:r>
      <w:r>
        <w:rPr>
          <w:rFonts w:ascii="宋体" w:hAnsi="宋体" w:cs="宋体" w:eastAsia="宋体" w:hint="default"/>
          <w:spacing w:val="-53"/>
        </w:rPr>
        <w:t> </w:t>
      </w:r>
      <w:r>
        <w:rPr/>
        <w:t>年，公司将完成以下重点工作：</w:t>
      </w:r>
    </w:p>
    <w:p>
      <w:pPr>
        <w:spacing w:line="240" w:lineRule="auto" w:before="10"/>
        <w:rPr>
          <w:rFonts w:ascii="宋体" w:hAnsi="宋体" w:cs="宋体" w:eastAsia="宋体" w:hint="default"/>
          <w:sz w:val="14"/>
          <w:szCs w:val="14"/>
        </w:rPr>
      </w:pPr>
    </w:p>
    <w:p>
      <w:pPr>
        <w:pStyle w:val="BodyText"/>
        <w:spacing w:line="408" w:lineRule="auto" w:before="0"/>
        <w:ind w:right="1202" w:firstLine="420"/>
        <w:jc w:val="left"/>
      </w:pPr>
      <w:r>
        <w:rPr/>
        <w:t>①落实公司战略转型策略，确保</w:t>
      </w:r>
      <w:r>
        <w:rPr>
          <w:spacing w:val="-53"/>
        </w:rPr>
        <w:t> </w:t>
      </w:r>
      <w:r>
        <w:rPr>
          <w:rFonts w:ascii="宋体" w:hAnsi="宋体" w:cs="宋体" w:eastAsia="宋体" w:hint="default"/>
        </w:rPr>
        <w:t>PDT</w:t>
      </w:r>
      <w:r>
        <w:rPr/>
        <w:t>、</w:t>
      </w:r>
      <w:r>
        <w:rPr>
          <w:rFonts w:ascii="宋体" w:hAnsi="宋体" w:cs="宋体" w:eastAsia="宋体" w:hint="default"/>
        </w:rPr>
        <w:t>DMR</w:t>
      </w:r>
      <w:r>
        <w:rPr>
          <w:rFonts w:ascii="宋体" w:hAnsi="宋体" w:cs="宋体" w:eastAsia="宋体" w:hint="default"/>
          <w:spacing w:val="-53"/>
        </w:rPr>
        <w:t> </w:t>
      </w:r>
      <w:r>
        <w:rPr/>
        <w:t>和</w:t>
      </w:r>
      <w:r>
        <w:rPr>
          <w:spacing w:val="-55"/>
        </w:rPr>
        <w:t> </w:t>
      </w:r>
      <w:r>
        <w:rPr>
          <w:rFonts w:ascii="宋体" w:hAnsi="宋体" w:cs="宋体" w:eastAsia="宋体" w:hint="default"/>
        </w:rPr>
        <w:t>Tetra</w:t>
      </w:r>
      <w:r>
        <w:rPr>
          <w:rFonts w:ascii="宋体" w:hAnsi="宋体" w:cs="宋体" w:eastAsia="宋体" w:hint="default"/>
          <w:spacing w:val="-53"/>
        </w:rPr>
        <w:t> </w:t>
      </w:r>
      <w:r>
        <w:rPr/>
        <w:t>数字产品的销售成功。实现数字产品销售收入的 高速增长，并继续向专网通信解决方案提供商转型，加大系统销售收入。</w:t>
      </w:r>
    </w:p>
    <w:p>
      <w:pPr>
        <w:pStyle w:val="BodyText"/>
        <w:spacing w:line="408" w:lineRule="auto"/>
        <w:ind w:right="1046" w:firstLine="420"/>
        <w:jc w:val="left"/>
      </w:pPr>
      <w:r>
        <w:rPr>
          <w:spacing w:val="-1"/>
        </w:rPr>
        <w:t>②通过整合营销资源，重点投入围攻大项目，形成大项目与战略产品突破，提升市场份额，不断提升</w:t>
      </w:r>
      <w:r>
        <w:rPr/>
        <w:t> 销售收入规模。</w:t>
      </w:r>
    </w:p>
    <w:p>
      <w:pPr>
        <w:pStyle w:val="BodyText"/>
        <w:spacing w:line="240" w:lineRule="auto"/>
        <w:ind w:left="573" w:right="1046"/>
        <w:jc w:val="left"/>
      </w:pPr>
      <w:r>
        <w:rPr/>
        <w:t>③重点布局，深耕细作，强化全球渠道合作；</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④加大新技术研发，完善老产品布局，加快从“技术领先”向“技术引领”的转型；</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⑤打造精工智坊，从制造型向交付型供应链转变；</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⑥通过组织、流程与</w:t>
      </w:r>
      <w:r>
        <w:rPr>
          <w:spacing w:val="-53"/>
        </w:rPr>
        <w:t> </w:t>
      </w:r>
      <w:r>
        <w:rPr>
          <w:rFonts w:ascii="宋体" w:hAnsi="宋体" w:cs="宋体" w:eastAsia="宋体" w:hint="default"/>
        </w:rPr>
        <w:t>IT</w:t>
      </w:r>
      <w:r>
        <w:rPr>
          <w:rFonts w:ascii="宋体" w:hAnsi="宋体" w:cs="宋体" w:eastAsia="宋体" w:hint="default"/>
          <w:spacing w:val="-54"/>
        </w:rPr>
        <w:t> </w:t>
      </w:r>
      <w:r>
        <w:rPr/>
        <w:t>平台再造，提升运营效率；</w:t>
      </w:r>
    </w:p>
    <w:p>
      <w:pPr>
        <w:spacing w:line="240" w:lineRule="auto" w:before="10"/>
        <w:rPr>
          <w:rFonts w:ascii="宋体" w:hAnsi="宋体" w:cs="宋体" w:eastAsia="宋体" w:hint="default"/>
          <w:sz w:val="14"/>
          <w:szCs w:val="14"/>
        </w:rPr>
      </w:pPr>
    </w:p>
    <w:p>
      <w:pPr>
        <w:pStyle w:val="BodyText"/>
        <w:spacing w:line="408" w:lineRule="auto" w:before="0"/>
        <w:ind w:left="573" w:right="5713"/>
        <w:jc w:val="left"/>
      </w:pPr>
      <w:r>
        <w:rPr/>
        <w:t>⑦强化执行，严格管理，打造学习型高效能组织。 </w:t>
      </w:r>
      <w:r>
        <w:rPr>
          <w:rFonts w:ascii="宋体" w:hAnsi="宋体" w:cs="宋体" w:eastAsia="宋体" w:hint="default"/>
        </w:rPr>
        <w:t>5</w:t>
      </w:r>
      <w:r>
        <w:rPr/>
        <w:t>、未来面对的风险</w:t>
      </w:r>
    </w:p>
    <w:p>
      <w:pPr>
        <w:pStyle w:val="BodyText"/>
        <w:spacing w:line="408" w:lineRule="auto"/>
        <w:ind w:left="573" w:right="1046"/>
        <w:jc w:val="left"/>
      </w:pPr>
      <w:r>
        <w:rPr/>
        <w:t>（</w:t>
      </w:r>
      <w:r>
        <w:rPr>
          <w:rFonts w:ascii="宋体" w:hAnsi="宋体" w:cs="宋体" w:eastAsia="宋体" w:hint="default"/>
        </w:rPr>
        <w:t>1</w:t>
      </w:r>
      <w:r>
        <w:rPr/>
        <w:t>）专业无线通信行业竞争加剧的风险 </w:t>
      </w:r>
      <w:r>
        <w:rPr>
          <w:spacing w:val="-1"/>
        </w:rPr>
        <w:t>随着专业无线通信行业从模拟向数字的转型，行业的竞争格局也在逐渐发生变化。随着数字产品门槛</w:t>
      </w:r>
    </w:p>
    <w:p>
      <w:pPr>
        <w:pStyle w:val="BodyText"/>
        <w:spacing w:line="408" w:lineRule="auto"/>
        <w:ind w:right="1131"/>
        <w:jc w:val="both"/>
      </w:pPr>
      <w:r>
        <w:rPr>
          <w:spacing w:val="-1"/>
        </w:rPr>
        <w:t>的提高，竞争对手在数量逐渐变少，但实力更强，竞争更为激烈。而且，有可能存在特定项目竞争激烈所</w:t>
      </w:r>
      <w:r>
        <w:rPr>
          <w:spacing w:val="-83"/>
        </w:rPr>
        <w:t> </w:t>
      </w:r>
      <w:r>
        <w:rPr>
          <w:spacing w:val="-83"/>
        </w:rPr>
      </w:r>
      <w:r>
        <w:rPr>
          <w:spacing w:val="-1"/>
        </w:rPr>
        <w:t>导致的价格偏低现象，从而影响到公司的获利能力。此外，全球专业无线通信市场需求的不断扩大以及模</w:t>
      </w:r>
      <w:r>
        <w:rPr>
          <w:spacing w:val="-83"/>
        </w:rPr>
        <w:t> </w:t>
      </w:r>
      <w:r>
        <w:rPr>
          <w:spacing w:val="-83"/>
        </w:rPr>
      </w:r>
      <w:r>
        <w:rPr>
          <w:spacing w:val="-1"/>
        </w:rPr>
        <w:t>拟向数字转型也吸引了一部分新的行业进入者，长期来看这部分新进入者也可能给公司带来一定的竞争压</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力。</w:t>
      </w:r>
    </w:p>
    <w:p>
      <w:pPr>
        <w:spacing w:line="240" w:lineRule="auto" w:before="10"/>
        <w:rPr>
          <w:rFonts w:ascii="宋体" w:hAnsi="宋体" w:cs="宋体" w:eastAsia="宋体" w:hint="default"/>
          <w:sz w:val="14"/>
          <w:szCs w:val="14"/>
        </w:rPr>
      </w:pPr>
    </w:p>
    <w:p>
      <w:pPr>
        <w:pStyle w:val="BodyText"/>
        <w:spacing w:line="408" w:lineRule="auto" w:before="0"/>
        <w:ind w:left="573" w:right="1013"/>
        <w:jc w:val="left"/>
      </w:pPr>
      <w:r>
        <w:rPr/>
        <w:t>（</w:t>
      </w:r>
      <w:r>
        <w:rPr>
          <w:rFonts w:ascii="宋体" w:hAnsi="宋体" w:cs="宋体" w:eastAsia="宋体" w:hint="default"/>
        </w:rPr>
        <w:t>2</w:t>
      </w:r>
      <w:r>
        <w:rPr/>
        <w:t>）国内公安</w:t>
      </w:r>
      <w:r>
        <w:rPr>
          <w:spacing w:val="-54"/>
        </w:rPr>
        <w:t> </w:t>
      </w:r>
      <w:r>
        <w:rPr>
          <w:rFonts w:ascii="宋体" w:hAnsi="宋体" w:cs="宋体" w:eastAsia="宋体" w:hint="default"/>
        </w:rPr>
        <w:t>PDT</w:t>
      </w:r>
      <w:r>
        <w:rPr>
          <w:rFonts w:ascii="宋体" w:hAnsi="宋体" w:cs="宋体" w:eastAsia="宋体" w:hint="default"/>
          <w:spacing w:val="-53"/>
        </w:rPr>
        <w:t> </w:t>
      </w:r>
      <w:r>
        <w:rPr/>
        <w:t>集群网络建设延迟的风险 </w:t>
      </w:r>
      <w:r>
        <w:rPr>
          <w:spacing w:val="-4"/>
        </w:rPr>
        <w:t>近年来，我国公安部门推动模拟集群数字化升级并制定了我国自主知识产权的</w:t>
      </w:r>
      <w:r>
        <w:rPr>
          <w:spacing w:val="-49"/>
        </w:rPr>
        <w:t> </w:t>
      </w:r>
      <w:r>
        <w:rPr>
          <w:rFonts w:ascii="宋体" w:hAnsi="宋体" w:cs="宋体" w:eastAsia="宋体" w:hint="default"/>
        </w:rPr>
        <w:t>PDT</w:t>
      </w:r>
      <w:r>
        <w:rPr>
          <w:rFonts w:ascii="宋体" w:hAnsi="宋体" w:cs="宋体" w:eastAsia="宋体" w:hint="default"/>
          <w:spacing w:val="-50"/>
        </w:rPr>
        <w:t> </w:t>
      </w:r>
      <w:r>
        <w:rPr/>
        <w:t>警用数字集群标准，</w:t>
      </w:r>
    </w:p>
    <w:p>
      <w:pPr>
        <w:pStyle w:val="BodyText"/>
        <w:spacing w:line="408" w:lineRule="auto"/>
        <w:ind w:right="1130"/>
        <w:jc w:val="both"/>
      </w:pPr>
      <w:r>
        <w:rPr/>
        <w:t>目前基于该标准的</w:t>
      </w:r>
      <w:r>
        <w:rPr>
          <w:spacing w:val="-63"/>
        </w:rPr>
        <w:t> </w:t>
      </w:r>
      <w:r>
        <w:rPr>
          <w:rFonts w:ascii="宋体" w:hAnsi="宋体" w:cs="宋体" w:eastAsia="宋体" w:hint="default"/>
        </w:rPr>
        <w:t>PDT</w:t>
      </w:r>
      <w:r>
        <w:rPr>
          <w:rFonts w:ascii="宋体" w:hAnsi="宋体" w:cs="宋体" w:eastAsia="宋体" w:hint="default"/>
          <w:spacing w:val="-64"/>
        </w:rPr>
        <w:t> </w:t>
      </w:r>
      <w:r>
        <w:rPr/>
        <w:t>产品已成功实现规模商用，公安部也制定了集群网络数字化升级的整体目标，但受 各省整体规划、建设资金安排、各地公安需求差异等因素影响，我国公安</w:t>
      </w:r>
      <w:r>
        <w:rPr>
          <w:spacing w:val="-64"/>
        </w:rPr>
        <w:t> </w:t>
      </w:r>
      <w:r>
        <w:rPr>
          <w:rFonts w:ascii="宋体" w:hAnsi="宋体" w:cs="宋体" w:eastAsia="宋体" w:hint="default"/>
        </w:rPr>
        <w:t>PDT</w:t>
      </w:r>
      <w:r>
        <w:rPr>
          <w:rFonts w:ascii="宋体" w:hAnsi="宋体" w:cs="宋体" w:eastAsia="宋体" w:hint="default"/>
          <w:spacing w:val="-64"/>
        </w:rPr>
        <w:t> </w:t>
      </w:r>
      <w:r>
        <w:rPr/>
        <w:t>数字集群网络建设的进程仍 有一定的不确定性，如建设进程延迟，将影响公司短期</w:t>
      </w:r>
      <w:r>
        <w:rPr>
          <w:spacing w:val="-53"/>
        </w:rPr>
        <w:t> </w:t>
      </w:r>
      <w:r>
        <w:rPr>
          <w:rFonts w:ascii="宋体" w:hAnsi="宋体" w:cs="宋体" w:eastAsia="宋体" w:hint="default"/>
        </w:rPr>
        <w:t>PDT</w:t>
      </w:r>
      <w:r>
        <w:rPr>
          <w:rFonts w:ascii="宋体" w:hAnsi="宋体" w:cs="宋体" w:eastAsia="宋体" w:hint="default"/>
          <w:spacing w:val="-53"/>
        </w:rPr>
        <w:t> </w:t>
      </w:r>
      <w:r>
        <w:rPr/>
        <w:t>产品销售收入。</w:t>
      </w:r>
    </w:p>
    <w:p>
      <w:pPr>
        <w:pStyle w:val="BodyText"/>
        <w:spacing w:line="408" w:lineRule="auto"/>
        <w:ind w:left="574" w:right="1046"/>
        <w:jc w:val="left"/>
      </w:pPr>
      <w:r>
        <w:rPr/>
        <w:t>（</w:t>
      </w:r>
      <w:r>
        <w:rPr>
          <w:rFonts w:ascii="宋体" w:hAnsi="宋体" w:cs="宋体" w:eastAsia="宋体" w:hint="default"/>
        </w:rPr>
        <w:t>3</w:t>
      </w:r>
      <w:r>
        <w:rPr/>
        <w:t>）成本和费用较高的风险 </w:t>
      </w:r>
      <w:r>
        <w:rPr>
          <w:spacing w:val="-1"/>
        </w:rPr>
        <w:t>公司所处的专业无线通信行业中，绝大多数企业的研发、生产、销售、服务都是企业独自完成，且产</w:t>
      </w:r>
    </w:p>
    <w:p>
      <w:pPr>
        <w:pStyle w:val="BodyText"/>
        <w:spacing w:line="408" w:lineRule="auto"/>
        <w:ind w:left="154" w:right="1130"/>
        <w:jc w:val="both"/>
      </w:pPr>
      <w:r>
        <w:rPr>
          <w:spacing w:val="-1"/>
        </w:rPr>
        <w:t>品以小批量定制为主，相比公网企业来说对上下游的议价能力较弱，同时行业的客户群体非常分散，导致</w:t>
      </w:r>
      <w:r>
        <w:rPr>
          <w:spacing w:val="-82"/>
        </w:rPr>
        <w:t> </w:t>
      </w:r>
      <w:r>
        <w:rPr>
          <w:spacing w:val="-82"/>
        </w:rPr>
      </w:r>
      <w:r>
        <w:rPr>
          <w:spacing w:val="-1"/>
        </w:rPr>
        <w:t>制造成本、管理和销售费用较高且较为刚性，如果未来行业竞争加剧，会导致毛利率下滑，从而加重公司</w:t>
      </w:r>
      <w:r>
        <w:rPr>
          <w:spacing w:val="-86"/>
        </w:rPr>
        <w:t> </w:t>
      </w:r>
      <w:r>
        <w:rPr>
          <w:spacing w:val="-86"/>
        </w:rPr>
      </w:r>
      <w:r>
        <w:rPr/>
        <w:t>负担。</w:t>
      </w:r>
    </w:p>
    <w:p>
      <w:pPr>
        <w:pStyle w:val="BodyText"/>
        <w:spacing w:line="408" w:lineRule="auto"/>
        <w:ind w:left="574" w:right="1046"/>
        <w:jc w:val="left"/>
      </w:pPr>
      <w:r>
        <w:rPr/>
        <w:t>（</w:t>
      </w:r>
      <w:r>
        <w:rPr>
          <w:rFonts w:ascii="宋体" w:hAnsi="宋体" w:cs="宋体" w:eastAsia="宋体" w:hint="default"/>
        </w:rPr>
        <w:t>4</w:t>
      </w:r>
      <w:r>
        <w:rPr/>
        <w:t>）规模扩张带来的管理风险 </w:t>
      </w:r>
      <w:r>
        <w:rPr>
          <w:spacing w:val="-1"/>
        </w:rPr>
        <w:t>近年来，公司一直处于高速发展阶段，公司的资产规模及销售规模迅速扩大，海外大项目的开展也使</w:t>
      </w:r>
    </w:p>
    <w:p>
      <w:pPr>
        <w:pStyle w:val="BodyText"/>
        <w:spacing w:line="408" w:lineRule="auto"/>
        <w:ind w:left="154" w:right="1110"/>
        <w:jc w:val="both"/>
      </w:pPr>
      <w:r>
        <w:rPr/>
        <w:t>得公司业务模式更加的复杂化，这为公司的管理带来了新的挑战。若公司在高速发展过程中，不能妥善、 有效地解决高速发展带来的管理风险，将对公司生产经营造成不利影响。</w:t>
      </w:r>
    </w:p>
    <w:p>
      <w:pPr>
        <w:pStyle w:val="BodyText"/>
        <w:spacing w:line="408" w:lineRule="auto"/>
        <w:ind w:left="573" w:right="1046"/>
        <w:jc w:val="left"/>
      </w:pPr>
      <w:r>
        <w:rPr/>
        <w:t>（</w:t>
      </w:r>
      <w:r>
        <w:rPr>
          <w:rFonts w:ascii="宋体" w:hAnsi="宋体" w:cs="宋体" w:eastAsia="宋体" w:hint="default"/>
        </w:rPr>
        <w:t>5</w:t>
      </w:r>
      <w:r>
        <w:rPr/>
        <w:t>）国际化经营的风险 </w:t>
      </w:r>
      <w:r>
        <w:rPr>
          <w:spacing w:val="-1"/>
        </w:rPr>
        <w:t>公司海外销售收入已占公司收入的一半以上，在美国、英国、德国、香港等地拥有多个子公司、分公</w:t>
      </w:r>
    </w:p>
    <w:p>
      <w:pPr>
        <w:pStyle w:val="BodyText"/>
        <w:spacing w:line="408" w:lineRule="auto"/>
        <w:ind w:right="1131"/>
        <w:jc w:val="both"/>
      </w:pPr>
      <w:r>
        <w:rPr>
          <w:spacing w:val="-1"/>
        </w:rPr>
        <w:t>司及办事处。作为公司重要的研发、销售和服务平台，海外子公司的设立有助于拓宽公司的销售区域，有</w:t>
      </w:r>
      <w:r>
        <w:rPr>
          <w:spacing w:val="-85"/>
        </w:rPr>
        <w:t> </w:t>
      </w:r>
      <w:r>
        <w:rPr>
          <w:spacing w:val="-85"/>
        </w:rPr>
      </w:r>
      <w:r>
        <w:rPr>
          <w:spacing w:val="-1"/>
        </w:rPr>
        <w:t>助于开拓市场，并为境外客户提供及时的售后服务和物流服务。虽然公司已经制订了完善的子公司管理制</w:t>
      </w:r>
      <w:r>
        <w:rPr>
          <w:spacing w:val="-81"/>
        </w:rPr>
        <w:t> </w:t>
      </w:r>
      <w:r>
        <w:rPr>
          <w:spacing w:val="-81"/>
        </w:rPr>
      </w:r>
      <w:r>
        <w:rPr>
          <w:spacing w:val="-1"/>
        </w:rPr>
        <w:t>度，对其资金、人员、财务、审计等各方面建立了完善的管理制度并严格执行，很大程度降低了境外资金</w:t>
      </w:r>
      <w:r>
        <w:rPr>
          <w:spacing w:val="-83"/>
        </w:rPr>
        <w:t> </w:t>
      </w:r>
      <w:r>
        <w:rPr>
          <w:spacing w:val="-83"/>
        </w:rPr>
      </w:r>
      <w:r>
        <w:rPr>
          <w:spacing w:val="-1"/>
        </w:rPr>
        <w:t>风险和经营风险，但由于海外不同国家在法律环境、经济政策、市场形势以及文化、语言、习俗等方面与</w:t>
      </w:r>
      <w:r>
        <w:rPr>
          <w:spacing w:val="-83"/>
        </w:rPr>
        <w:t> </w:t>
      </w:r>
      <w:r>
        <w:rPr>
          <w:spacing w:val="-83"/>
        </w:rPr>
      </w:r>
      <w:r>
        <w:rPr/>
        <w:t>中国大陆地区存在差异，可能会给公司的海外子公司经营带来一定的风险。</w:t>
      </w:r>
    </w:p>
    <w:p>
      <w:pPr>
        <w:pStyle w:val="BodyText"/>
        <w:spacing w:line="408" w:lineRule="auto"/>
        <w:ind w:left="573" w:right="1046"/>
        <w:jc w:val="left"/>
      </w:pPr>
      <w:r>
        <w:rPr/>
        <w:t>（</w:t>
      </w:r>
      <w:r>
        <w:rPr>
          <w:rFonts w:ascii="宋体" w:hAnsi="宋体" w:cs="宋体" w:eastAsia="宋体" w:hint="default"/>
        </w:rPr>
        <w:t>6</w:t>
      </w:r>
      <w:r>
        <w:rPr/>
        <w:t>）人民币汇率波动的风险 </w:t>
      </w:r>
      <w:r>
        <w:rPr>
          <w:spacing w:val="-1"/>
        </w:rPr>
        <w:t>公司产品销往海外八十多个国家和地区，一半以上的销售收入来自海外市场，原材料采购也大量来自</w:t>
      </w:r>
    </w:p>
    <w:p>
      <w:pPr>
        <w:pStyle w:val="BodyText"/>
        <w:spacing w:line="408" w:lineRule="auto"/>
        <w:ind w:right="1110"/>
        <w:jc w:val="both"/>
      </w:pPr>
      <w:r>
        <w:rPr/>
        <w:t>境外。公司原料采购和产品出口大部分以美元和欧元进行计价，因此汇率波动对公司经营具有重要影响。 如果未来出现人民币汇率大幅波动的情况，公司汇兑损失有进一步扩大的风险。</w:t>
      </w:r>
    </w:p>
    <w:p>
      <w:pPr>
        <w:pStyle w:val="BodyText"/>
        <w:spacing w:line="240" w:lineRule="auto"/>
        <w:ind w:left="573" w:right="1046"/>
        <w:jc w:val="left"/>
      </w:pPr>
      <w:r>
        <w:rPr/>
        <w:t>（</w:t>
      </w:r>
      <w:r>
        <w:rPr>
          <w:rFonts w:ascii="宋体" w:hAnsi="宋体" w:cs="宋体" w:eastAsia="宋体" w:hint="default"/>
        </w:rPr>
        <w:t>7</w:t>
      </w:r>
      <w:r>
        <w:rPr/>
        <w:t>）知识产权遭受侵害的风险</w:t>
      </w:r>
    </w:p>
    <w:p>
      <w:pPr>
        <w:spacing w:line="240" w:lineRule="auto" w:before="10"/>
        <w:rPr>
          <w:rFonts w:ascii="宋体" w:hAnsi="宋体" w:cs="宋体" w:eastAsia="宋体" w:hint="default"/>
          <w:sz w:val="14"/>
          <w:szCs w:val="14"/>
        </w:rPr>
      </w:pPr>
    </w:p>
    <w:p>
      <w:pPr>
        <w:pStyle w:val="BodyText"/>
        <w:spacing w:line="408" w:lineRule="auto" w:before="0"/>
        <w:ind w:right="1024" w:firstLine="420"/>
        <w:jc w:val="left"/>
      </w:pPr>
      <w:r>
        <w:rPr/>
        <w:t>公司作为国家级高新技术企业，拥有近</w:t>
      </w:r>
      <w:r>
        <w:rPr>
          <w:spacing w:val="-53"/>
        </w:rPr>
        <w:t> </w:t>
      </w:r>
      <w:r>
        <w:rPr>
          <w:rFonts w:ascii="宋体" w:hAnsi="宋体" w:cs="宋体" w:eastAsia="宋体" w:hint="default"/>
        </w:rPr>
        <w:t>1000</w:t>
      </w:r>
      <w:r>
        <w:rPr>
          <w:rFonts w:ascii="宋体" w:hAnsi="宋体" w:cs="宋体" w:eastAsia="宋体" w:hint="default"/>
          <w:spacing w:val="-54"/>
        </w:rPr>
        <w:t> </w:t>
      </w:r>
      <w:r>
        <w:rPr/>
        <w:t>人的研发队伍和雄厚的研发实力，并且研发出大量的技 术成果。部分技术成果已经通过申请专利的方式得到保护，其它大部分技术成果尚处于申请专利过程中， </w:t>
      </w:r>
      <w:r>
        <w:rPr>
          <w:spacing w:val="-3"/>
        </w:rPr>
        <w:t>还有一些技术成果尚未申请专利。这些知识产权是构成公司核心竞争力的关键要素，一旦受到侵害或泄密，</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154" w:right="1046"/>
        <w:jc w:val="left"/>
      </w:pPr>
      <w:r>
        <w:rPr>
          <w:spacing w:val="-3"/>
        </w:rPr>
        <w:t>将给公司造成无法估计的损失。为防范上述风险，公司与员工签署了《保密协议》，对涉及的保密事项、</w:t>
      </w:r>
      <w:r>
        <w:rPr>
          <w:spacing w:val="-73"/>
        </w:rPr>
        <w:t> </w:t>
      </w:r>
      <w:r>
        <w:rPr>
          <w:spacing w:val="-73"/>
        </w:rPr>
      </w:r>
      <w:r>
        <w:rPr>
          <w:spacing w:val="-1"/>
        </w:rPr>
        <w:t>保密期限、保密范围、泄密责任等进行了明确的约定。此外，公司还通过加强信息安全建设等技术手段来</w:t>
      </w:r>
      <w:r>
        <w:rPr>
          <w:spacing w:val="-86"/>
        </w:rPr>
        <w:t> </w:t>
      </w:r>
      <w:r>
        <w:rPr>
          <w:spacing w:val="-86"/>
        </w:rPr>
      </w:r>
      <w:r>
        <w:rPr/>
        <w:t>保护公司的知识产权不被侵害。尽管如此，公司知识产权仍然存在遭受侵害的风险。</w:t>
      </w:r>
    </w:p>
    <w:p>
      <w:pPr>
        <w:pStyle w:val="BodyText"/>
        <w:spacing w:line="408" w:lineRule="auto"/>
        <w:ind w:left="573" w:right="1046"/>
        <w:jc w:val="left"/>
      </w:pPr>
      <w:r>
        <w:rPr/>
        <w:t>（</w:t>
      </w:r>
      <w:r>
        <w:rPr>
          <w:rFonts w:ascii="宋体" w:hAnsi="宋体" w:cs="宋体" w:eastAsia="宋体" w:hint="default"/>
        </w:rPr>
        <w:t>8</w:t>
      </w:r>
      <w:r>
        <w:rPr/>
        <w:t>）人力资源的风险 </w:t>
      </w:r>
      <w:r>
        <w:rPr>
          <w:spacing w:val="-1"/>
        </w:rPr>
        <w:t>公司作为一家高新技术企业，属于人才与技术密集型企业，人才的引进、保留、激励与成长对公司的</w:t>
      </w:r>
    </w:p>
    <w:p>
      <w:pPr>
        <w:pStyle w:val="BodyText"/>
        <w:spacing w:line="408" w:lineRule="auto"/>
        <w:ind w:right="1093"/>
        <w:jc w:val="left"/>
      </w:pPr>
      <w:r>
        <w:rPr>
          <w:spacing w:val="-1"/>
        </w:rPr>
        <w:t>发展至关重要。随着公司业务的高速发展，对公司研发、生产、销售与管理人员的水平、素养等提出了更</w:t>
      </w:r>
      <w:r>
        <w:rPr>
          <w:spacing w:val="-83"/>
        </w:rPr>
        <w:t> </w:t>
      </w:r>
      <w:r>
        <w:rPr>
          <w:spacing w:val="-83"/>
        </w:rPr>
      </w:r>
      <w:r>
        <w:rPr/>
        <w:t>高的要求，虽然公司在人力资源机制建设方面比较完善，但公司仍面临如何留住人才和吸引人才的风险。</w:t>
      </w:r>
    </w:p>
    <w:p>
      <w:pPr>
        <w:spacing w:line="240" w:lineRule="auto" w:before="11"/>
        <w:rPr>
          <w:rFonts w:ascii="宋体" w:hAnsi="宋体" w:cs="宋体" w:eastAsia="宋体" w:hint="default"/>
          <w:sz w:val="18"/>
          <w:szCs w:val="18"/>
        </w:rPr>
      </w:pPr>
    </w:p>
    <w:p>
      <w:pPr>
        <w:pStyle w:val="Heading2"/>
        <w:spacing w:line="240" w:lineRule="auto"/>
        <w:ind w:left="154" w:right="1046"/>
        <w:jc w:val="left"/>
        <w:rPr>
          <w:b w:val="0"/>
          <w:bCs w:val="0"/>
        </w:rPr>
      </w:pPr>
      <w:bookmarkStart w:name="九、董事会、监事会对会计师事务所本报告期“非标准审计报告”的说明" w:id="51"/>
      <w:bookmarkEnd w:id="51"/>
      <w:r>
        <w:rPr>
          <w:b w:val="0"/>
          <w:bCs w:val="0"/>
        </w:rPr>
      </w:r>
      <w:r>
        <w:rPr/>
        <w:t>九、董事会、监事会对会计师事务所本报告期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46"/>
        <w:jc w:val="left"/>
        <w:rPr>
          <w:b w:val="0"/>
          <w:bCs w:val="0"/>
        </w:rPr>
      </w:pPr>
      <w:bookmarkStart w:name="十、与上年度财务报告相比，会计政策、会计估计和核算方法发生变化的情况说明" w:id="52"/>
      <w:bookmarkEnd w:id="52"/>
      <w:r>
        <w:rPr>
          <w:b w:val="0"/>
          <w:bCs w:val="0"/>
        </w:rPr>
      </w:r>
      <w:r>
        <w:rPr/>
        <w:t>十、与上年度财务报告相比，会计政策、会计估计和核算方法发生变化的情况说明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73" w:right="8023"/>
        <w:jc w:val="left"/>
      </w:pPr>
      <w:r>
        <w:rPr/>
        <w:t>（一）会计政策变更情况 </w:t>
      </w:r>
      <w:r>
        <w:rPr>
          <w:rFonts w:ascii="宋体" w:hAnsi="宋体" w:cs="宋体" w:eastAsia="宋体" w:hint="default"/>
        </w:rPr>
        <w:t>1</w:t>
      </w:r>
      <w:r>
        <w:rPr/>
        <w:t>、会计政策变更原因</w:t>
      </w:r>
    </w:p>
    <w:p>
      <w:pPr>
        <w:pStyle w:val="BodyText"/>
        <w:spacing w:line="240" w:lineRule="auto"/>
        <w:ind w:left="573" w:right="1046"/>
        <w:jc w:val="left"/>
        <w:rPr>
          <w:rFonts w:ascii="宋体" w:hAnsi="宋体" w:cs="宋体" w:eastAsia="宋体" w:hint="default"/>
        </w:rPr>
      </w:pPr>
      <w:r>
        <w:rPr>
          <w:spacing w:val="-4"/>
        </w:rPr>
        <w:t>中华人民共和国财政部（以下简称“财政部”）</w:t>
      </w:r>
      <w:r>
        <w:rPr>
          <w:rFonts w:ascii="宋体" w:hAnsi="宋体" w:cs="宋体" w:eastAsia="宋体" w:hint="default"/>
          <w:spacing w:val="-4"/>
        </w:rPr>
        <w:t>2014 </w:t>
      </w:r>
      <w:r>
        <w:rPr/>
        <w:t>年 </w:t>
      </w:r>
      <w:r>
        <w:rPr>
          <w:rFonts w:ascii="宋体" w:hAnsi="宋体" w:cs="宋体" w:eastAsia="宋体" w:hint="default"/>
        </w:rPr>
        <w:t>1 </w:t>
      </w:r>
      <w:r>
        <w:rPr/>
        <w:t>月 </w:t>
      </w:r>
      <w:r>
        <w:rPr>
          <w:rFonts w:ascii="宋体" w:hAnsi="宋体" w:cs="宋体" w:eastAsia="宋体" w:hint="default"/>
        </w:rPr>
        <w:t>26 </w:t>
      </w:r>
      <w:r>
        <w:rPr>
          <w:spacing w:val="-4"/>
        </w:rPr>
        <w:t>日起陆续颁布《企业会计准则第</w:t>
      </w:r>
      <w:r>
        <w:rPr>
          <w:spacing w:val="31"/>
        </w:rPr>
        <w:t> </w:t>
      </w:r>
      <w:r>
        <w:rPr>
          <w:rFonts w:ascii="宋体" w:hAnsi="宋体" w:cs="宋体" w:eastAsia="宋体" w:hint="default"/>
        </w:rPr>
        <w:t>39</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号——公允价值计量</w:t>
      </w:r>
      <w:r>
        <w:rPr>
          <w:spacing w:val="-105"/>
        </w:rPr>
        <w:t>》</w:t>
      </w:r>
      <w:r>
        <w:rPr>
          <w:spacing w:val="-117"/>
        </w:rPr>
        <w:t>、</w:t>
      </w:r>
      <w:r>
        <w:rPr/>
        <w:t>《企业会计准则第 </w:t>
      </w:r>
      <w:r>
        <w:rPr>
          <w:rFonts w:ascii="宋体" w:hAnsi="宋体" w:cs="宋体" w:eastAsia="宋体" w:hint="default"/>
        </w:rPr>
        <w:t>40</w:t>
      </w:r>
      <w:r>
        <w:rPr>
          <w:rFonts w:ascii="宋体" w:hAnsi="宋体" w:cs="宋体" w:eastAsia="宋体" w:hint="default"/>
          <w:spacing w:val="-1"/>
        </w:rPr>
        <w:t> </w:t>
      </w:r>
      <w:r>
        <w:rPr/>
        <w:t>号——合营安排</w:t>
      </w:r>
      <w:r>
        <w:rPr>
          <w:spacing w:val="-105"/>
        </w:rPr>
        <w:t>》</w:t>
      </w:r>
      <w:r>
        <w:rPr>
          <w:spacing w:val="-116"/>
        </w:rPr>
        <w:t>、</w:t>
      </w:r>
      <w:r>
        <w:rPr/>
        <w:t>《</w:t>
      </w:r>
      <w:r>
        <w:rPr>
          <w:spacing w:val="-2"/>
        </w:rPr>
        <w:t>企</w:t>
      </w:r>
      <w:r>
        <w:rPr/>
        <w:t>业会计准则第</w:t>
      </w:r>
      <w:r>
        <w:rPr>
          <w:spacing w:val="1"/>
        </w:rPr>
        <w:t> </w:t>
      </w:r>
      <w:r>
        <w:rPr>
          <w:rFonts w:ascii="宋体" w:hAnsi="宋体" w:cs="宋体" w:eastAsia="宋体" w:hint="default"/>
        </w:rPr>
        <w:t>41 </w:t>
      </w:r>
      <w:r>
        <w:rPr/>
        <w:t>号</w:t>
      </w:r>
      <w:r>
        <w:rPr>
          <w:spacing w:val="-2"/>
        </w:rPr>
        <w:t>—</w:t>
      </w:r>
      <w:r>
        <w:rPr/>
        <w:t>—在其他主体</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中权益的披露》三项新增会计准则，并修订了《企业会计准则第</w:t>
      </w:r>
      <w:r>
        <w:rPr>
          <w:spacing w:val="1"/>
        </w:rPr>
        <w:t> </w:t>
      </w:r>
      <w:r>
        <w:rPr>
          <w:rFonts w:ascii="宋体" w:hAnsi="宋体" w:cs="宋体" w:eastAsia="宋体" w:hint="default"/>
        </w:rPr>
        <w:t>2 </w:t>
      </w:r>
      <w:r>
        <w:rPr>
          <w:spacing w:val="-2"/>
        </w:rPr>
        <w:t>号</w:t>
      </w:r>
      <w:r>
        <w:rPr/>
        <w:t>——长期股权投资</w:t>
      </w:r>
      <w:r>
        <w:rPr>
          <w:spacing w:val="-105"/>
        </w:rPr>
        <w:t>》、</w:t>
      </w:r>
      <w:r>
        <w:rPr>
          <w:spacing w:val="-2"/>
        </w:rPr>
        <w:t>《</w:t>
      </w:r>
      <w:r>
        <w:rPr/>
        <w:t>企业会计准</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则第</w:t>
      </w:r>
      <w:r>
        <w:rPr>
          <w:spacing w:val="1"/>
        </w:rPr>
        <w:t> </w:t>
      </w:r>
      <w:r>
        <w:rPr>
          <w:rFonts w:ascii="宋体" w:hAnsi="宋体" w:cs="宋体" w:eastAsia="宋体" w:hint="default"/>
        </w:rPr>
        <w:t>9 </w:t>
      </w:r>
      <w:r>
        <w:rPr/>
        <w:t>号</w:t>
      </w:r>
      <w:r>
        <w:rPr>
          <w:spacing w:val="-2"/>
        </w:rPr>
        <w:t>—</w:t>
      </w:r>
      <w:r>
        <w:rPr/>
        <w:t>—职工薪酬</w:t>
      </w:r>
      <w:r>
        <w:rPr>
          <w:spacing w:val="-106"/>
        </w:rPr>
        <w:t>》</w:t>
      </w:r>
      <w:r>
        <w:rPr>
          <w:spacing w:val="-105"/>
        </w:rPr>
        <w:t>、</w:t>
      </w:r>
      <w:r>
        <w:rPr/>
        <w:t>《企业会</w:t>
      </w:r>
      <w:r>
        <w:rPr>
          <w:spacing w:val="-2"/>
        </w:rPr>
        <w:t>计</w:t>
      </w:r>
      <w:r>
        <w:rPr/>
        <w:t>准则第</w:t>
      </w:r>
      <w:r>
        <w:rPr>
          <w:spacing w:val="1"/>
        </w:rPr>
        <w:t> </w:t>
      </w:r>
      <w:r>
        <w:rPr>
          <w:rFonts w:ascii="宋体" w:hAnsi="宋体" w:cs="宋体" w:eastAsia="宋体" w:hint="default"/>
        </w:rPr>
        <w:t>30</w:t>
      </w:r>
      <w:r>
        <w:rPr>
          <w:rFonts w:ascii="宋体" w:hAnsi="宋体" w:cs="宋体" w:eastAsia="宋体" w:hint="default"/>
          <w:spacing w:val="-1"/>
        </w:rPr>
        <w:t> </w:t>
      </w:r>
      <w:r>
        <w:rPr/>
        <w:t>号——财务报表列报</w:t>
      </w:r>
      <w:r>
        <w:rPr>
          <w:spacing w:val="-105"/>
        </w:rPr>
        <w:t>》</w:t>
      </w:r>
      <w:r>
        <w:rPr>
          <w:spacing w:val="-106"/>
        </w:rPr>
        <w:t>、</w:t>
      </w:r>
      <w:r>
        <w:rPr/>
        <w:t>《企业会计准则第</w:t>
      </w:r>
      <w:r>
        <w:rPr>
          <w:spacing w:val="1"/>
        </w:rPr>
        <w:t> </w:t>
      </w:r>
      <w:r>
        <w:rPr>
          <w:rFonts w:ascii="宋体" w:hAnsi="宋体" w:cs="宋体" w:eastAsia="宋体" w:hint="default"/>
        </w:rPr>
        <w:t>33</w:t>
      </w:r>
      <w:r>
        <w:rPr>
          <w:rFonts w:ascii="宋体" w:hAnsi="宋体" w:cs="宋体" w:eastAsia="宋体" w:hint="default"/>
          <w:spacing w:val="-1"/>
        </w:rPr>
        <w:t> </w:t>
      </w:r>
      <w:r>
        <w:rPr/>
        <w:t>号——合</w:t>
      </w:r>
    </w:p>
    <w:p>
      <w:pPr>
        <w:spacing w:line="240" w:lineRule="auto" w:before="10"/>
        <w:rPr>
          <w:rFonts w:ascii="宋体" w:hAnsi="宋体" w:cs="宋体" w:eastAsia="宋体" w:hint="default"/>
          <w:sz w:val="14"/>
          <w:szCs w:val="14"/>
        </w:rPr>
      </w:pPr>
    </w:p>
    <w:p>
      <w:pPr>
        <w:pStyle w:val="BodyText"/>
        <w:spacing w:line="408" w:lineRule="auto" w:before="0"/>
        <w:ind w:left="154" w:right="1115"/>
        <w:jc w:val="left"/>
      </w:pPr>
      <w:r>
        <w:rPr/>
        <w:t>并财务报表》四项具体会计准则，要求上述准则自 </w:t>
      </w:r>
      <w:r>
        <w:rPr>
          <w:rFonts w:ascii="宋体" w:hAnsi="宋体" w:cs="宋体" w:eastAsia="宋体" w:hint="default"/>
        </w:rPr>
        <w:t>2014 </w:t>
      </w:r>
      <w:r>
        <w:rPr/>
        <w:t>年 </w:t>
      </w:r>
      <w:r>
        <w:rPr>
          <w:rFonts w:ascii="宋体" w:hAnsi="宋体" w:cs="宋体" w:eastAsia="宋体" w:hint="default"/>
        </w:rPr>
        <w:t>7 </w:t>
      </w:r>
      <w:r>
        <w:rPr/>
        <w:t>月 </w:t>
      </w:r>
      <w:r>
        <w:rPr>
          <w:rFonts w:ascii="宋体" w:hAnsi="宋体" w:cs="宋体" w:eastAsia="宋体" w:hint="default"/>
        </w:rPr>
        <w:t>1</w:t>
      </w:r>
      <w:r>
        <w:rPr>
          <w:rFonts w:ascii="宋体" w:hAnsi="宋体" w:cs="宋体" w:eastAsia="宋体" w:hint="default"/>
          <w:spacing w:val="-23"/>
        </w:rPr>
        <w:t> </w:t>
      </w:r>
      <w:r>
        <w:rPr/>
        <w:t>日起在所有执行企业会计准则的企业 范围内施行。</w:t>
      </w:r>
    </w:p>
    <w:p>
      <w:pPr>
        <w:pStyle w:val="BodyText"/>
        <w:spacing w:line="240" w:lineRule="auto"/>
        <w:ind w:left="574" w:right="1046"/>
        <w:jc w:val="left"/>
      </w:pPr>
      <w:r>
        <w:rPr>
          <w:rFonts w:ascii="宋体" w:hAnsi="宋体" w:cs="宋体" w:eastAsia="宋体" w:hint="default"/>
        </w:rPr>
        <w:t>2014</w:t>
      </w:r>
      <w:r>
        <w:rPr>
          <w:rFonts w:ascii="宋体" w:hAnsi="宋体" w:cs="宋体" w:eastAsia="宋体" w:hint="default"/>
          <w:spacing w:val="1"/>
        </w:rPr>
        <w:t> </w:t>
      </w:r>
      <w:r>
        <w:rPr/>
        <w:t>年</w:t>
      </w:r>
      <w:r>
        <w:rPr>
          <w:spacing w:val="-1"/>
        </w:rPr>
        <w:t> </w:t>
      </w:r>
      <w:r>
        <w:rPr>
          <w:rFonts w:ascii="宋体" w:hAnsi="宋体" w:cs="宋体" w:eastAsia="宋体" w:hint="default"/>
        </w:rPr>
        <w:t>6 </w:t>
      </w:r>
      <w:r>
        <w:rPr/>
        <w:t>月 </w:t>
      </w:r>
      <w:r>
        <w:rPr>
          <w:rFonts w:ascii="宋体" w:hAnsi="宋体" w:cs="宋体" w:eastAsia="宋体" w:hint="default"/>
        </w:rPr>
        <w:t>20 </w:t>
      </w:r>
      <w:r>
        <w:rPr/>
        <w:t>日</w:t>
      </w:r>
      <w:r>
        <w:rPr>
          <w:spacing w:val="-2"/>
        </w:rPr>
        <w:t>，</w:t>
      </w:r>
      <w:r>
        <w:rPr/>
        <w:t>财政部修订《企业会计准则第</w:t>
      </w:r>
      <w:r>
        <w:rPr>
          <w:spacing w:val="1"/>
        </w:rPr>
        <w:t> </w:t>
      </w:r>
      <w:r>
        <w:rPr>
          <w:rFonts w:ascii="宋体" w:hAnsi="宋体" w:cs="宋体" w:eastAsia="宋体" w:hint="default"/>
        </w:rPr>
        <w:t>37</w:t>
      </w:r>
      <w:r>
        <w:rPr>
          <w:rFonts w:ascii="宋体" w:hAnsi="宋体" w:cs="宋体" w:eastAsia="宋体" w:hint="default"/>
          <w:spacing w:val="-1"/>
        </w:rPr>
        <w:t> </w:t>
      </w:r>
      <w:r>
        <w:rPr/>
        <w:t>号——金融工具列报</w:t>
      </w:r>
      <w:r>
        <w:rPr>
          <w:spacing w:val="-105"/>
        </w:rPr>
        <w:t>》</w:t>
      </w:r>
      <w:r>
        <w:rPr>
          <w:spacing w:val="-2"/>
        </w:rPr>
        <w:t>，</w:t>
      </w:r>
      <w:r>
        <w:rPr/>
        <w:t>要求执行企业会计</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准则的企业在 </w:t>
      </w:r>
      <w:r>
        <w:rPr>
          <w:rFonts w:ascii="宋体" w:hAnsi="宋体" w:cs="宋体" w:eastAsia="宋体" w:hint="default"/>
        </w:rPr>
        <w:t>2014</w:t>
      </w:r>
      <w:r>
        <w:rPr>
          <w:rFonts w:ascii="宋体" w:hAnsi="宋体" w:cs="宋体" w:eastAsia="宋体" w:hint="default"/>
          <w:spacing w:val="-1"/>
        </w:rPr>
        <w:t> </w:t>
      </w:r>
      <w:r>
        <w:rPr/>
        <w:t>年度及以后期间的财务报告中按照该准则要求对金融工具进行列报。</w:t>
      </w:r>
    </w:p>
    <w:p>
      <w:pPr>
        <w:spacing w:line="240" w:lineRule="auto" w:before="10"/>
        <w:rPr>
          <w:rFonts w:ascii="宋体" w:hAnsi="宋体" w:cs="宋体" w:eastAsia="宋体" w:hint="default"/>
          <w:sz w:val="14"/>
          <w:szCs w:val="14"/>
        </w:rPr>
      </w:pPr>
    </w:p>
    <w:p>
      <w:pPr>
        <w:pStyle w:val="BodyText"/>
        <w:spacing w:line="408" w:lineRule="auto" w:before="0"/>
        <w:ind w:left="154" w:right="1202" w:firstLine="420"/>
        <w:jc w:val="left"/>
      </w:pPr>
      <w:r>
        <w:rPr>
          <w:rFonts w:ascii="宋体" w:hAnsi="宋体" w:cs="宋体" w:eastAsia="宋体" w:hint="default"/>
        </w:rPr>
        <w:t>2014 </w:t>
      </w:r>
      <w:r>
        <w:rPr/>
        <w:t>年 </w:t>
      </w:r>
      <w:r>
        <w:rPr>
          <w:rFonts w:ascii="宋体" w:hAnsi="宋体" w:cs="宋体" w:eastAsia="宋体" w:hint="default"/>
        </w:rPr>
        <w:t>7 </w:t>
      </w:r>
      <w:r>
        <w:rPr/>
        <w:t>月 </w:t>
      </w:r>
      <w:r>
        <w:rPr>
          <w:rFonts w:ascii="宋体" w:hAnsi="宋体" w:cs="宋体" w:eastAsia="宋体" w:hint="default"/>
        </w:rPr>
        <w:t>23</w:t>
      </w:r>
      <w:r>
        <w:rPr>
          <w:rFonts w:ascii="宋体" w:hAnsi="宋体" w:cs="宋体" w:eastAsia="宋体" w:hint="default"/>
          <w:spacing w:val="1"/>
        </w:rPr>
        <w:t> </w:t>
      </w:r>
      <w:r>
        <w:rPr>
          <w:spacing w:val="-3"/>
        </w:rPr>
        <w:t>日，财政部发布了《财政部关于修改</w:t>
      </w:r>
      <w:r>
        <w:rPr>
          <w:rFonts w:ascii="宋体" w:hAnsi="宋体" w:cs="宋体" w:eastAsia="宋体" w:hint="default"/>
          <w:spacing w:val="-3"/>
        </w:rPr>
        <w:t>&lt;</w:t>
      </w:r>
      <w:r>
        <w:rPr>
          <w:spacing w:val="-3"/>
        </w:rPr>
        <w:t>企业会计准则——基本准则</w:t>
      </w:r>
      <w:r>
        <w:rPr>
          <w:rFonts w:ascii="宋体" w:hAnsi="宋体" w:cs="宋体" w:eastAsia="宋体" w:hint="default"/>
          <w:spacing w:val="-3"/>
        </w:rPr>
        <w:t>&gt;</w:t>
      </w:r>
      <w:r>
        <w:rPr>
          <w:spacing w:val="-3"/>
        </w:rPr>
        <w:t>的决定》，要求</w:t>
      </w:r>
      <w:r>
        <w:rPr/>
        <w:t> 所有执行企业会计准则的企业发布之日起施行。</w:t>
      </w:r>
    </w:p>
    <w:p>
      <w:pPr>
        <w:pStyle w:val="BodyText"/>
        <w:spacing w:line="240" w:lineRule="auto"/>
        <w:ind w:left="574" w:right="1046"/>
        <w:jc w:val="left"/>
      </w:pPr>
      <w:r>
        <w:rPr>
          <w:rFonts w:ascii="宋体" w:hAnsi="宋体" w:cs="宋体" w:eastAsia="宋体" w:hint="default"/>
        </w:rPr>
        <w:t>2</w:t>
      </w:r>
      <w:r>
        <w:rPr/>
        <w:t>、变更前公司采用的会计政策</w:t>
      </w:r>
    </w:p>
    <w:p>
      <w:pPr>
        <w:spacing w:line="240" w:lineRule="auto" w:before="10"/>
        <w:rPr>
          <w:rFonts w:ascii="宋体" w:hAnsi="宋体" w:cs="宋体" w:eastAsia="宋体" w:hint="default"/>
          <w:sz w:val="14"/>
          <w:szCs w:val="14"/>
        </w:rPr>
      </w:pPr>
    </w:p>
    <w:p>
      <w:pPr>
        <w:pStyle w:val="BodyText"/>
        <w:spacing w:line="408" w:lineRule="auto" w:before="0"/>
        <w:ind w:right="1203" w:firstLine="420"/>
        <w:jc w:val="left"/>
      </w:pPr>
      <w:r>
        <w:rPr/>
        <w:t>本次变更前公司执行财政部于 </w:t>
      </w:r>
      <w:r>
        <w:rPr>
          <w:rFonts w:ascii="宋体" w:hAnsi="宋体" w:cs="宋体" w:eastAsia="宋体" w:hint="default"/>
        </w:rPr>
        <w:t>2006 </w:t>
      </w:r>
      <w:r>
        <w:rPr/>
        <w:t>年 </w:t>
      </w:r>
      <w:r>
        <w:rPr>
          <w:rFonts w:ascii="宋体" w:hAnsi="宋体" w:cs="宋体" w:eastAsia="宋体" w:hint="default"/>
        </w:rPr>
        <w:t>2 </w:t>
      </w:r>
      <w:r>
        <w:rPr/>
        <w:t>月 </w:t>
      </w:r>
      <w:r>
        <w:rPr>
          <w:rFonts w:ascii="宋体" w:hAnsi="宋体" w:cs="宋体" w:eastAsia="宋体" w:hint="default"/>
        </w:rPr>
        <w:t>15 </w:t>
      </w:r>
      <w:r>
        <w:rPr/>
        <w:t>日颁布的《企业会计准则——基本准则》和 </w:t>
      </w:r>
      <w:r>
        <w:rPr>
          <w:rFonts w:ascii="宋体" w:hAnsi="宋体" w:cs="宋体" w:eastAsia="宋体" w:hint="default"/>
        </w:rPr>
        <w:t>38</w:t>
      </w:r>
      <w:r>
        <w:rPr>
          <w:rFonts w:ascii="宋体" w:hAnsi="宋体" w:cs="宋体" w:eastAsia="宋体" w:hint="default"/>
          <w:spacing w:val="-5"/>
        </w:rPr>
        <w:t> </w:t>
      </w:r>
      <w:r>
        <w:rPr/>
        <w:t>项 具体会计准则、企业会计准则应用指南、企业会计准则解释公告及其他相关规定。</w:t>
      </w:r>
    </w:p>
    <w:p>
      <w:pPr>
        <w:pStyle w:val="BodyText"/>
        <w:spacing w:line="408" w:lineRule="auto"/>
        <w:ind w:left="573" w:right="1046"/>
        <w:jc w:val="left"/>
      </w:pPr>
      <w:r>
        <w:rPr>
          <w:rFonts w:ascii="宋体" w:hAnsi="宋体" w:cs="宋体" w:eastAsia="宋体" w:hint="default"/>
        </w:rPr>
        <w:t>3</w:t>
      </w:r>
      <w:r>
        <w:rPr/>
        <w:t>、变更后公司采用的会计政策 </w:t>
      </w:r>
      <w:r>
        <w:rPr>
          <w:spacing w:val="-1"/>
        </w:rPr>
        <w:t>根据财政部的规定，公司自上述文件规定的起始日开始执行上述新修订和新颁布的会计准则，本次准</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846" w:hanging="420"/>
        <w:jc w:val="left"/>
      </w:pPr>
      <w:r>
        <w:rPr/>
        <w:t>则修订未涉及部分，公司仍采用财政部于 </w:t>
      </w:r>
      <w:r>
        <w:rPr>
          <w:rFonts w:ascii="宋体" w:hAnsi="宋体" w:cs="宋体" w:eastAsia="宋体" w:hint="default"/>
        </w:rPr>
        <w:t>2006 </w:t>
      </w:r>
      <w:r>
        <w:rPr/>
        <w:t>年 </w:t>
      </w:r>
      <w:r>
        <w:rPr>
          <w:rFonts w:ascii="宋体" w:hAnsi="宋体" w:cs="宋体" w:eastAsia="宋体" w:hint="default"/>
        </w:rPr>
        <w:t>2 </w:t>
      </w:r>
      <w:r>
        <w:rPr/>
        <w:t>月 </w:t>
      </w:r>
      <w:r>
        <w:rPr>
          <w:rFonts w:ascii="宋体" w:hAnsi="宋体" w:cs="宋体" w:eastAsia="宋体" w:hint="default"/>
        </w:rPr>
        <w:t>15</w:t>
      </w:r>
      <w:r>
        <w:rPr>
          <w:rFonts w:ascii="宋体" w:hAnsi="宋体" w:cs="宋体" w:eastAsia="宋体" w:hint="default"/>
          <w:spacing w:val="-4"/>
        </w:rPr>
        <w:t> </w:t>
      </w:r>
      <w:r>
        <w:rPr/>
        <w:t>日颁布的相关会计准则及有关规定。 </w:t>
      </w:r>
      <w:r>
        <w:rPr>
          <w:rFonts w:ascii="宋体" w:hAnsi="宋体" w:cs="宋体" w:eastAsia="宋体" w:hint="default"/>
        </w:rPr>
        <w:t>4</w:t>
      </w:r>
      <w:r>
        <w:rPr/>
        <w:t>、会计政策变更日期 根据规定，公司自上述文件规定的起始日开始执行上述企业会计准则。 </w:t>
      </w:r>
      <w:r>
        <w:rPr>
          <w:rFonts w:ascii="宋体" w:hAnsi="宋体" w:cs="宋体" w:eastAsia="宋体" w:hint="default"/>
        </w:rPr>
        <w:t>5</w:t>
      </w:r>
      <w:r>
        <w:rPr/>
        <w:t>、本次会计政策变更对公司的影响</w:t>
      </w:r>
    </w:p>
    <w:p>
      <w:pPr>
        <w:pStyle w:val="BodyText"/>
        <w:spacing w:line="240" w:lineRule="auto"/>
        <w:ind w:left="0" w:right="1132"/>
        <w:jc w:val="right"/>
      </w:pPr>
      <w:r>
        <w:rPr/>
        <w:t>执</w:t>
      </w:r>
      <w:r>
        <w:rPr>
          <w:spacing w:val="-8"/>
        </w:rPr>
        <w:t>行</w:t>
      </w:r>
      <w:r>
        <w:rPr/>
        <w:t>《企业会计准则第</w:t>
      </w:r>
      <w:r>
        <w:rPr>
          <w:spacing w:val="-1"/>
        </w:rPr>
        <w:t> </w:t>
      </w:r>
      <w:r>
        <w:rPr>
          <w:rFonts w:ascii="宋体" w:hAnsi="宋体" w:cs="宋体" w:eastAsia="宋体" w:hint="default"/>
        </w:rPr>
        <w:t>2</w:t>
      </w:r>
      <w:r>
        <w:rPr>
          <w:rFonts w:ascii="宋体" w:hAnsi="宋体" w:cs="宋体" w:eastAsia="宋体" w:hint="default"/>
          <w:spacing w:val="1"/>
        </w:rPr>
        <w:t> </w:t>
      </w:r>
      <w:r>
        <w:rPr/>
        <w:t>号——</w:t>
      </w:r>
      <w:r>
        <w:rPr>
          <w:spacing w:val="-2"/>
        </w:rPr>
        <w:t>长</w:t>
      </w:r>
      <w:r>
        <w:rPr/>
        <w:t>期股权投资</w:t>
      </w:r>
      <w:r>
        <w:rPr>
          <w:spacing w:val="-106"/>
        </w:rPr>
        <w:t>》</w:t>
      </w:r>
      <w:r>
        <w:rPr>
          <w:spacing w:val="-112"/>
        </w:rPr>
        <w:t>、</w:t>
      </w:r>
      <w:r>
        <w:rPr/>
        <w:t>《企业会</w:t>
      </w:r>
      <w:r>
        <w:rPr>
          <w:spacing w:val="-2"/>
        </w:rPr>
        <w:t>计</w:t>
      </w:r>
      <w:r>
        <w:rPr/>
        <w:t>准则第</w:t>
      </w:r>
      <w:r>
        <w:rPr>
          <w:spacing w:val="1"/>
        </w:rPr>
        <w:t> </w:t>
      </w:r>
      <w:r>
        <w:rPr>
          <w:rFonts w:ascii="宋体" w:hAnsi="宋体" w:cs="宋体" w:eastAsia="宋体" w:hint="default"/>
        </w:rPr>
        <w:t>9 </w:t>
      </w:r>
      <w:r>
        <w:rPr>
          <w:spacing w:val="-1"/>
        </w:rPr>
        <w:t>号</w:t>
      </w:r>
      <w:r>
        <w:rPr/>
        <w:t>——职工薪酬</w:t>
      </w:r>
      <w:r>
        <w:rPr>
          <w:spacing w:val="-105"/>
        </w:rPr>
        <w:t>》</w:t>
      </w:r>
      <w:r>
        <w:rPr>
          <w:spacing w:val="-112"/>
        </w:rPr>
        <w:t>、</w:t>
      </w:r>
      <w:r>
        <w:rPr/>
        <w:t>《企</w:t>
      </w:r>
      <w:r>
        <w:rPr>
          <w:spacing w:val="-2"/>
        </w:rPr>
        <w:t>业</w:t>
      </w:r>
      <w:r>
        <w:rPr>
          <w:spacing w:val="1"/>
        </w:rPr>
        <w:t>会</w:t>
      </w:r>
      <w:r>
        <w:rPr/>
        <w:t>计</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准则第</w:t>
      </w:r>
      <w:r>
        <w:rPr>
          <w:spacing w:val="1"/>
        </w:rPr>
        <w:t> </w:t>
      </w:r>
      <w:r>
        <w:rPr>
          <w:rFonts w:ascii="宋体" w:hAnsi="宋体" w:cs="宋体" w:eastAsia="宋体" w:hint="default"/>
        </w:rPr>
        <w:t>30</w:t>
      </w:r>
      <w:r>
        <w:rPr>
          <w:rFonts w:ascii="宋体" w:hAnsi="宋体" w:cs="宋体" w:eastAsia="宋体" w:hint="default"/>
          <w:spacing w:val="-1"/>
        </w:rPr>
        <w:t> </w:t>
      </w:r>
      <w:r>
        <w:rPr/>
        <w:t>号——财务报表列报</w:t>
      </w:r>
      <w:r>
        <w:rPr>
          <w:spacing w:val="-105"/>
        </w:rPr>
        <w:t>》</w:t>
      </w:r>
      <w:r>
        <w:rPr>
          <w:spacing w:val="-117"/>
        </w:rPr>
        <w:t>、</w:t>
      </w:r>
      <w:r>
        <w:rPr/>
        <w:t>《企业会计准则第 </w:t>
      </w:r>
      <w:r>
        <w:rPr>
          <w:rFonts w:ascii="宋体" w:hAnsi="宋体" w:cs="宋体" w:eastAsia="宋体" w:hint="default"/>
        </w:rPr>
        <w:t>33</w:t>
      </w:r>
      <w:r>
        <w:rPr>
          <w:rFonts w:ascii="宋体" w:hAnsi="宋体" w:cs="宋体" w:eastAsia="宋体" w:hint="default"/>
          <w:spacing w:val="-1"/>
        </w:rPr>
        <w:t> </w:t>
      </w:r>
      <w:r>
        <w:rPr/>
        <w:t>号——合并财务报表</w:t>
      </w:r>
      <w:r>
        <w:rPr>
          <w:spacing w:val="-105"/>
        </w:rPr>
        <w:t>》</w:t>
      </w:r>
      <w:r>
        <w:rPr>
          <w:spacing w:val="-117"/>
        </w:rPr>
        <w:t>、</w:t>
      </w:r>
      <w:r>
        <w:rPr/>
        <w:t>《企业会计准则第 </w:t>
      </w:r>
      <w:r>
        <w:rPr>
          <w:rFonts w:ascii="宋体" w:hAnsi="宋体" w:cs="宋体" w:eastAsia="宋体" w:hint="default"/>
        </w:rPr>
        <w:t>37</w:t>
      </w:r>
      <w:r>
        <w:rPr>
          <w:rFonts w:ascii="宋体" w:hAnsi="宋体" w:cs="宋体" w:eastAsia="宋体" w:hint="default"/>
          <w:spacing w:val="-1"/>
        </w:rPr>
        <w:t> </w:t>
      </w:r>
      <w:r>
        <w:rPr/>
        <w:t>号</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——金融工具列报</w:t>
      </w:r>
      <w:r>
        <w:rPr>
          <w:spacing w:val="-105"/>
        </w:rPr>
        <w:t>》、</w:t>
      </w:r>
      <w:r>
        <w:rPr>
          <w:spacing w:val="-2"/>
        </w:rPr>
        <w:t>《</w:t>
      </w:r>
      <w:r>
        <w:rPr/>
        <w:t>企业会计准则第</w:t>
      </w:r>
      <w:r>
        <w:rPr>
          <w:spacing w:val="1"/>
        </w:rPr>
        <w:t> </w:t>
      </w:r>
      <w:r>
        <w:rPr>
          <w:rFonts w:ascii="宋体" w:hAnsi="宋体" w:cs="宋体" w:eastAsia="宋体" w:hint="default"/>
        </w:rPr>
        <w:t>39</w:t>
      </w:r>
      <w:r>
        <w:rPr>
          <w:rFonts w:ascii="宋体" w:hAnsi="宋体" w:cs="宋体" w:eastAsia="宋体" w:hint="default"/>
          <w:spacing w:val="1"/>
        </w:rPr>
        <w:t> </w:t>
      </w:r>
      <w:r>
        <w:rPr>
          <w:spacing w:val="-2"/>
        </w:rPr>
        <w:t>号</w:t>
      </w:r>
      <w:r>
        <w:rPr/>
        <w:t>——公允价值计量</w:t>
      </w:r>
      <w:r>
        <w:rPr>
          <w:spacing w:val="-105"/>
        </w:rPr>
        <w:t>》、</w:t>
      </w:r>
      <w:r>
        <w:rPr>
          <w:spacing w:val="-2"/>
        </w:rPr>
        <w:t>《</w:t>
      </w:r>
      <w:r>
        <w:rPr/>
        <w:t>企业会计准则第</w:t>
      </w:r>
      <w:r>
        <w:rPr>
          <w:spacing w:val="1"/>
        </w:rPr>
        <w:t> </w:t>
      </w:r>
      <w:r>
        <w:rPr>
          <w:rFonts w:ascii="宋体" w:hAnsi="宋体" w:cs="宋体" w:eastAsia="宋体" w:hint="default"/>
        </w:rPr>
        <w:t>40 </w:t>
      </w:r>
      <w:r>
        <w:rPr>
          <w:spacing w:val="-2"/>
        </w:rPr>
        <w:t>号</w:t>
      </w:r>
      <w:r>
        <w:rPr/>
        <w:t>——合营安</w:t>
      </w:r>
    </w:p>
    <w:p>
      <w:pPr>
        <w:spacing w:line="240" w:lineRule="auto" w:before="10"/>
        <w:rPr>
          <w:rFonts w:ascii="宋体" w:hAnsi="宋体" w:cs="宋体" w:eastAsia="宋体" w:hint="default"/>
          <w:sz w:val="14"/>
          <w:szCs w:val="14"/>
        </w:rPr>
      </w:pPr>
    </w:p>
    <w:p>
      <w:pPr>
        <w:pStyle w:val="BodyText"/>
        <w:spacing w:line="408" w:lineRule="auto" w:before="0"/>
        <w:ind w:right="0"/>
        <w:jc w:val="left"/>
      </w:pPr>
      <w:r>
        <w:rPr>
          <w:spacing w:val="-20"/>
        </w:rPr>
        <w:t>排》、《企业会计准则第</w:t>
      </w:r>
      <w:r>
        <w:rPr/>
        <w:t> </w:t>
      </w:r>
      <w:r>
        <w:rPr>
          <w:rFonts w:ascii="宋体" w:hAnsi="宋体" w:cs="宋体" w:eastAsia="宋体" w:hint="default"/>
        </w:rPr>
        <w:t>41 </w:t>
      </w:r>
      <w:r>
        <w:rPr>
          <w:spacing w:val="-1"/>
        </w:rPr>
        <w:t>号——在其他主体中权益的披露》和《财政部关于修改</w:t>
      </w:r>
      <w:r>
        <w:rPr>
          <w:rFonts w:ascii="宋体" w:hAnsi="宋体" w:cs="宋体" w:eastAsia="宋体" w:hint="default"/>
          <w:spacing w:val="-1"/>
        </w:rPr>
        <w:t>&lt;</w:t>
      </w:r>
      <w:r>
        <w:rPr>
          <w:spacing w:val="-1"/>
        </w:rPr>
        <w:t>企业会计准则——基</w:t>
      </w:r>
      <w:r>
        <w:rPr>
          <w:spacing w:val="-67"/>
        </w:rPr>
        <w:t> </w:t>
      </w:r>
      <w:r>
        <w:rPr>
          <w:spacing w:val="-1"/>
        </w:rPr>
        <w:t>本准则</w:t>
      </w:r>
      <w:r>
        <w:rPr>
          <w:rFonts w:ascii="宋体" w:hAnsi="宋体" w:cs="宋体" w:eastAsia="宋体" w:hint="default"/>
          <w:spacing w:val="-1"/>
        </w:rPr>
        <w:t>&gt;</w:t>
      </w:r>
      <w:r>
        <w:rPr>
          <w:spacing w:val="-1"/>
        </w:rPr>
        <w:t>》的情况：公司本次会计政策变更之前财务报表中关于长期股权投资、职工薪酬、财务报表列报、</w:t>
      </w:r>
      <w:r>
        <w:rPr>
          <w:spacing w:val="-85"/>
        </w:rPr>
        <w:t> </w:t>
      </w:r>
      <w:r>
        <w:rPr>
          <w:spacing w:val="-85"/>
        </w:rPr>
      </w:r>
      <w:r>
        <w:rPr/>
        <w:t>合并财务报表、公允价值计量、合营安排、在其他主体中权益的披露、金融工具列报的相关业务及事项， 从以上文件规定的起始日起按上述准则的规定进行核算与披露，并根据各准则衔接要求进行了调整。本次</w:t>
      </w:r>
      <w:r>
        <w:rPr/>
        <w:t> 会计政策变更对当期和列报前期财务报表项目及金额的影响如下：</w:t>
      </w:r>
    </w:p>
    <w:p>
      <w:pPr>
        <w:pStyle w:val="BodyText"/>
        <w:spacing w:line="240" w:lineRule="auto" w:before="88"/>
        <w:ind w:left="0" w:right="1130"/>
        <w:jc w:val="right"/>
      </w:pPr>
      <w:r>
        <w:rPr/>
        <w:t>单位：人民币元</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410"/>
        <w:gridCol w:w="4060"/>
        <w:gridCol w:w="1767"/>
        <w:gridCol w:w="1768"/>
      </w:tblGrid>
      <w:tr>
        <w:trPr>
          <w:trHeight w:val="659" w:hRule="exact"/>
        </w:trPr>
        <w:tc>
          <w:tcPr>
            <w:tcW w:w="141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337"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4060"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6"/>
                <w:szCs w:val="26"/>
              </w:rPr>
            </w:pPr>
          </w:p>
          <w:p>
            <w:pPr>
              <w:pStyle w:val="TableParagraph"/>
              <w:spacing w:line="316" w:lineRule="auto"/>
              <w:ind w:left="1842" w:right="401" w:hanging="144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 说明</w:t>
            </w:r>
          </w:p>
        </w:tc>
        <w:tc>
          <w:tcPr>
            <w:tcW w:w="3534" w:type="dxa"/>
            <w:gridSpan w:val="2"/>
            <w:tcBorders>
              <w:top w:val="single" w:sz="6" w:space="0" w:color="000000"/>
              <w:left w:val="single" w:sz="6" w:space="0" w:color="000000"/>
              <w:bottom w:val="single" w:sz="6" w:space="0" w:color="000000"/>
              <w:right w:val="single" w:sz="6" w:space="0" w:color="000000"/>
            </w:tcBorders>
          </w:tcPr>
          <w:p>
            <w:pPr>
              <w:pStyle w:val="TableParagraph"/>
              <w:spacing w:line="300" w:lineRule="auto" w:before="21"/>
              <w:ind w:left="589" w:right="588" w:firstLine="154"/>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 相关财务报表项目的影响金额</w:t>
            </w:r>
          </w:p>
        </w:tc>
      </w:tr>
      <w:tr>
        <w:trPr>
          <w:trHeight w:val="659" w:hRule="exact"/>
        </w:trPr>
        <w:tc>
          <w:tcPr>
            <w:tcW w:w="1410" w:type="dxa"/>
            <w:vMerge/>
            <w:tcBorders>
              <w:left w:val="single" w:sz="6" w:space="0" w:color="000000"/>
              <w:bottom w:val="single" w:sz="6" w:space="0" w:color="000000"/>
              <w:right w:val="single" w:sz="6" w:space="0" w:color="000000"/>
            </w:tcBorders>
          </w:tcPr>
          <w:p>
            <w:pPr/>
          </w:p>
        </w:tc>
        <w:tc>
          <w:tcPr>
            <w:tcW w:w="4060" w:type="dxa"/>
            <w:vMerge/>
            <w:tcBorders>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410" w:right="408"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47" w:hRule="exact"/>
        </w:trPr>
        <w:tc>
          <w:tcPr>
            <w:tcW w:w="141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9"/>
                <w:szCs w:val="19"/>
              </w:rPr>
            </w:pPr>
          </w:p>
          <w:p>
            <w:pPr>
              <w:pStyle w:val="TableParagraph"/>
              <w:spacing w:line="309" w:lineRule="auto"/>
              <w:ind w:left="21" w:right="23"/>
              <w:jc w:val="center"/>
              <w:rPr>
                <w:rFonts w:ascii="宋体" w:hAnsi="宋体" w:cs="宋体" w:eastAsia="宋体" w:hint="default"/>
                <w:sz w:val="18"/>
                <w:szCs w:val="18"/>
              </w:rPr>
            </w:pPr>
            <w:r>
              <w:rPr>
                <w:rFonts w:ascii="宋体" w:hAnsi="宋体" w:cs="宋体" w:eastAsia="宋体" w:hint="default"/>
                <w:sz w:val="18"/>
                <w:szCs w:val="18"/>
              </w:rPr>
              <w:t>《企业会计准则 第</w:t>
            </w: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 酬》</w:t>
            </w:r>
          </w:p>
        </w:tc>
        <w:tc>
          <w:tcPr>
            <w:tcW w:w="4060" w:type="dxa"/>
            <w:vMerge w:val="restart"/>
            <w:tcBorders>
              <w:top w:val="single" w:sz="6" w:space="0" w:color="000000"/>
              <w:left w:val="single" w:sz="6" w:space="0" w:color="000000"/>
              <w:right w:val="single" w:sz="6" w:space="0" w:color="000000"/>
            </w:tcBorders>
          </w:tcPr>
          <w:p>
            <w:pPr>
              <w:pStyle w:val="TableParagraph"/>
              <w:spacing w:line="316" w:lineRule="auto" w:before="21"/>
              <w:ind w:left="2" w:right="3"/>
              <w:jc w:val="both"/>
              <w:rPr>
                <w:rFonts w:ascii="宋体" w:hAnsi="宋体" w:cs="宋体" w:eastAsia="宋体" w:hint="default"/>
                <w:sz w:val="18"/>
                <w:szCs w:val="18"/>
              </w:rPr>
            </w:pPr>
            <w:r>
              <w:rPr>
                <w:rFonts w:ascii="宋体" w:hAnsi="宋体" w:cs="宋体" w:eastAsia="宋体" w:hint="default"/>
                <w:spacing w:val="-1"/>
                <w:sz w:val="18"/>
                <w:szCs w:val="18"/>
              </w:rPr>
              <w:t>《企业会计准则第</w:t>
            </w:r>
            <w:r>
              <w:rPr>
                <w:rFonts w:ascii="Times New Roman" w:hAnsi="Times New Roman" w:cs="Times New Roman" w:eastAsia="Times New Roman" w:hint="default"/>
                <w:spacing w:val="-1"/>
                <w:sz w:val="18"/>
                <w:szCs w:val="18"/>
              </w:rPr>
              <w:t>9</w:t>
            </w: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职工薪酬》在职工劳动合</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同到期之前解除与职工的劳动关系，或为鼓励职工</w:t>
            </w:r>
            <w:r>
              <w:rPr>
                <w:rFonts w:ascii="宋体" w:hAnsi="宋体" w:cs="宋体" w:eastAsia="宋体" w:hint="default"/>
                <w:sz w:val="18"/>
                <w:szCs w:val="18"/>
              </w:rPr>
              <w:t> </w:t>
            </w:r>
            <w:r>
              <w:rPr>
                <w:rFonts w:ascii="宋体" w:hAnsi="宋体" w:cs="宋体" w:eastAsia="宋体" w:hint="default"/>
                <w:spacing w:val="3"/>
                <w:sz w:val="18"/>
                <w:szCs w:val="18"/>
              </w:rPr>
              <w:t>自愿接受裁减而提出给予补偿的建议，在本公司不</w:t>
            </w:r>
            <w:r>
              <w:rPr>
                <w:rFonts w:ascii="宋体" w:hAnsi="宋体" w:cs="宋体" w:eastAsia="宋体" w:hint="default"/>
                <w:sz w:val="18"/>
                <w:szCs w:val="18"/>
              </w:rPr>
              <w:t> </w:t>
            </w:r>
            <w:r>
              <w:rPr>
                <w:rFonts w:ascii="宋体" w:hAnsi="宋体" w:cs="宋体" w:eastAsia="宋体" w:hint="default"/>
                <w:spacing w:val="3"/>
                <w:sz w:val="18"/>
                <w:szCs w:val="18"/>
              </w:rPr>
              <w:t>能单方面撤回因解除劳动关系计划或裁减建议所提</w:t>
            </w:r>
            <w:r>
              <w:rPr>
                <w:rFonts w:ascii="宋体" w:hAnsi="宋体" w:cs="宋体" w:eastAsia="宋体" w:hint="default"/>
                <w:sz w:val="18"/>
                <w:szCs w:val="18"/>
              </w:rPr>
              <w:t> </w:t>
            </w:r>
            <w:r>
              <w:rPr>
                <w:rFonts w:ascii="宋体" w:hAnsi="宋体" w:cs="宋体" w:eastAsia="宋体" w:hint="default"/>
                <w:spacing w:val="3"/>
                <w:sz w:val="18"/>
                <w:szCs w:val="18"/>
              </w:rPr>
              <w:t>供的辞退福利时，和本公司确认与涉及支付辞退福</w:t>
            </w:r>
            <w:r>
              <w:rPr>
                <w:rFonts w:ascii="宋体" w:hAnsi="宋体" w:cs="宋体" w:eastAsia="宋体" w:hint="default"/>
                <w:sz w:val="18"/>
                <w:szCs w:val="18"/>
              </w:rPr>
              <w:t> </w:t>
            </w:r>
            <w:r>
              <w:rPr>
                <w:rFonts w:ascii="宋体" w:hAnsi="宋体" w:cs="宋体" w:eastAsia="宋体" w:hint="default"/>
                <w:spacing w:val="3"/>
                <w:sz w:val="18"/>
                <w:szCs w:val="18"/>
              </w:rPr>
              <w:t>利的重组相关的成本两者孰早日，确认辞退福利产</w:t>
            </w:r>
            <w:r>
              <w:rPr>
                <w:rFonts w:ascii="宋体" w:hAnsi="宋体" w:cs="宋体" w:eastAsia="宋体" w:hint="default"/>
                <w:sz w:val="18"/>
                <w:szCs w:val="18"/>
              </w:rPr>
              <w:t> </w:t>
            </w:r>
            <w:r>
              <w:rPr>
                <w:rFonts w:ascii="宋体" w:hAnsi="宋体" w:cs="宋体" w:eastAsia="宋体" w:hint="default"/>
                <w:spacing w:val="3"/>
                <w:sz w:val="18"/>
                <w:szCs w:val="18"/>
              </w:rPr>
              <w:t>生的职工薪酬负债，并计入当期损益。但辞退福利</w:t>
            </w:r>
            <w:r>
              <w:rPr>
                <w:rFonts w:ascii="宋体" w:hAnsi="宋体" w:cs="宋体" w:eastAsia="宋体" w:hint="default"/>
                <w:sz w:val="18"/>
                <w:szCs w:val="18"/>
              </w:rPr>
              <w:t> </w:t>
            </w:r>
            <w:r>
              <w:rPr>
                <w:rFonts w:ascii="宋体" w:hAnsi="宋体" w:cs="宋体" w:eastAsia="宋体" w:hint="default"/>
                <w:spacing w:val="11"/>
                <w:sz w:val="18"/>
                <w:szCs w:val="18"/>
              </w:rPr>
              <w:t>预期在年度报告期结束后十二个月不能完全支付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的，按照其他长期职工薪酬处理。</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应付职工薪酬</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-2,959,596.91</w:t>
            </w:r>
          </w:p>
        </w:tc>
      </w:tr>
      <w:tr>
        <w:trPr>
          <w:trHeight w:val="2496" w:hRule="exact"/>
        </w:trPr>
        <w:tc>
          <w:tcPr>
            <w:tcW w:w="1410" w:type="dxa"/>
            <w:vMerge/>
            <w:tcBorders>
              <w:left w:val="single" w:sz="6" w:space="0" w:color="000000"/>
              <w:bottom w:val="single" w:sz="6" w:space="0" w:color="000000"/>
              <w:right w:val="single" w:sz="6" w:space="0" w:color="000000"/>
            </w:tcBorders>
          </w:tcPr>
          <w:p>
            <w:pPr/>
          </w:p>
        </w:tc>
        <w:tc>
          <w:tcPr>
            <w:tcW w:w="4060" w:type="dxa"/>
            <w:vMerge/>
            <w:tcBorders>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2,959,596.91</w:t>
            </w:r>
          </w:p>
        </w:tc>
      </w:tr>
      <w:tr>
        <w:trPr>
          <w:trHeight w:val="348" w:hRule="exact"/>
        </w:trPr>
        <w:tc>
          <w:tcPr>
            <w:tcW w:w="141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309" w:lineRule="auto"/>
              <w:ind w:left="67" w:right="66" w:hanging="1"/>
              <w:jc w:val="center"/>
              <w:rPr>
                <w:rFonts w:ascii="宋体" w:hAnsi="宋体" w:cs="宋体" w:eastAsia="宋体" w:hint="default"/>
                <w:sz w:val="18"/>
                <w:szCs w:val="18"/>
              </w:rPr>
            </w:pPr>
            <w:r>
              <w:rPr>
                <w:rFonts w:ascii="宋体" w:hAnsi="宋体" w:cs="宋体" w:eastAsia="宋体" w:hint="default"/>
                <w:sz w:val="18"/>
                <w:szCs w:val="18"/>
              </w:rPr>
              <w:t>《企业会计准则 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 报表列报》</w:t>
            </w:r>
          </w:p>
        </w:tc>
        <w:tc>
          <w:tcPr>
            <w:tcW w:w="4060" w:type="dxa"/>
            <w:vMerge w:val="restart"/>
            <w:tcBorders>
              <w:top w:val="single" w:sz="6" w:space="0" w:color="000000"/>
              <w:left w:val="single" w:sz="6" w:space="0" w:color="000000"/>
              <w:right w:val="single" w:sz="6" w:space="0" w:color="000000"/>
            </w:tcBorders>
          </w:tcPr>
          <w:p>
            <w:pPr>
              <w:pStyle w:val="TableParagraph"/>
              <w:spacing w:line="309" w:lineRule="auto" w:before="21"/>
              <w:ind w:left="2" w:right="-1"/>
              <w:jc w:val="both"/>
              <w:rPr>
                <w:rFonts w:ascii="宋体" w:hAnsi="宋体" w:cs="宋体" w:eastAsia="宋体" w:hint="default"/>
                <w:sz w:val="18"/>
                <w:szCs w:val="18"/>
              </w:rPr>
            </w:pPr>
            <w:r>
              <w:rPr>
                <w:rFonts w:ascii="宋体" w:hAnsi="宋体" w:cs="宋体" w:eastAsia="宋体" w:hint="default"/>
                <w:spacing w:val="2"/>
                <w:sz w:val="18"/>
                <w:szCs w:val="18"/>
              </w:rPr>
              <w:t>《企业会计准则第</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财务报表列报（</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74"/>
                <w:sz w:val="18"/>
                <w:szCs w:val="18"/>
              </w:rPr>
              <w:t> </w:t>
            </w:r>
            <w:r>
              <w:rPr>
                <w:rFonts w:ascii="宋体" w:hAnsi="宋体" w:cs="宋体" w:eastAsia="宋体" w:hint="default"/>
                <w:sz w:val="18"/>
                <w:szCs w:val="18"/>
              </w:rPr>
              <w:t>修订）》将其他综合收益划分为两类：</w:t>
            </w:r>
            <w:r>
              <w:rPr>
                <w:rFonts w:ascii="Times New Roman" w:hAnsi="Times New Roman" w:cs="Times New Roman" w:eastAsia="Times New Roman" w:hint="default"/>
                <w:sz w:val="18"/>
                <w:szCs w:val="18"/>
              </w:rPr>
              <w:t>(1)</w:t>
            </w:r>
            <w:r>
              <w:rPr>
                <w:rFonts w:ascii="宋体" w:hAnsi="宋体" w:cs="宋体" w:eastAsia="宋体" w:hint="default"/>
                <w:sz w:val="18"/>
                <w:szCs w:val="18"/>
              </w:rPr>
              <w:t>以后会计</w:t>
            </w:r>
            <w:r>
              <w:rPr>
                <w:rFonts w:ascii="宋体" w:hAnsi="宋体" w:cs="宋体" w:eastAsia="宋体" w:hint="default"/>
                <w:spacing w:val="-47"/>
                <w:sz w:val="18"/>
                <w:szCs w:val="18"/>
              </w:rPr>
              <w:t> </w:t>
            </w:r>
            <w:r>
              <w:rPr>
                <w:rFonts w:ascii="宋体" w:hAnsi="宋体" w:cs="宋体" w:eastAsia="宋体" w:hint="default"/>
                <w:sz w:val="18"/>
                <w:szCs w:val="18"/>
              </w:rPr>
              <w:t>期间不能重分类进损益的其他综合收益项目；</w:t>
            </w:r>
            <w:r>
              <w:rPr>
                <w:rFonts w:ascii="Times New Roman" w:hAnsi="Times New Roman" w:cs="Times New Roman" w:eastAsia="Times New Roman" w:hint="default"/>
                <w:sz w:val="18"/>
                <w:szCs w:val="18"/>
              </w:rPr>
              <w:t>(2)</w:t>
            </w:r>
            <w:r>
              <w:rPr>
                <w:rFonts w:ascii="宋体" w:hAnsi="宋体" w:cs="宋体" w:eastAsia="宋体" w:hint="default"/>
                <w:sz w:val="18"/>
                <w:szCs w:val="18"/>
              </w:rPr>
              <w:t>以</w:t>
            </w:r>
            <w:r>
              <w:rPr>
                <w:rFonts w:ascii="宋体" w:hAnsi="宋体" w:cs="宋体" w:eastAsia="宋体" w:hint="default"/>
                <w:spacing w:val="-49"/>
                <w:sz w:val="18"/>
                <w:szCs w:val="18"/>
              </w:rPr>
              <w:t> </w:t>
            </w:r>
            <w:r>
              <w:rPr>
                <w:rFonts w:ascii="宋体" w:hAnsi="宋体" w:cs="宋体" w:eastAsia="宋体" w:hint="default"/>
                <w:spacing w:val="3"/>
                <w:sz w:val="18"/>
                <w:szCs w:val="18"/>
              </w:rPr>
              <w:t>后会计期间在满足特定条件时将重分类进损益的其</w:t>
            </w:r>
            <w:r>
              <w:rPr>
                <w:rFonts w:ascii="宋体" w:hAnsi="宋体" w:cs="宋体" w:eastAsia="宋体" w:hint="default"/>
                <w:sz w:val="18"/>
                <w:szCs w:val="18"/>
              </w:rPr>
              <w:t> </w:t>
            </w:r>
            <w:r>
              <w:rPr>
                <w:rFonts w:ascii="宋体" w:hAnsi="宋体" w:cs="宋体" w:eastAsia="宋体" w:hint="default"/>
                <w:spacing w:val="3"/>
                <w:sz w:val="18"/>
                <w:szCs w:val="18"/>
              </w:rPr>
              <w:t>他综合收益项目，本财务报表已按该准则的规定进</w:t>
            </w:r>
            <w:r>
              <w:rPr>
                <w:rFonts w:ascii="宋体" w:hAnsi="宋体" w:cs="宋体" w:eastAsia="宋体" w:hint="default"/>
                <w:sz w:val="18"/>
                <w:szCs w:val="18"/>
              </w:rPr>
              <w:t> </w:t>
            </w:r>
            <w:r>
              <w:rPr>
                <w:rFonts w:ascii="宋体" w:hAnsi="宋体" w:cs="宋体" w:eastAsia="宋体" w:hint="default"/>
                <w:spacing w:val="3"/>
                <w:sz w:val="18"/>
                <w:szCs w:val="18"/>
              </w:rPr>
              <w:t>行列报，并对可比年度财务报表的列报进行了相应</w:t>
            </w:r>
            <w:r>
              <w:rPr>
                <w:rFonts w:ascii="宋体" w:hAnsi="宋体" w:cs="宋体" w:eastAsia="宋体" w:hint="default"/>
                <w:sz w:val="18"/>
                <w:szCs w:val="18"/>
              </w:rPr>
              <w:t> 调整。</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其他综合收益</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2,669,177.37</w:t>
            </w:r>
          </w:p>
        </w:tc>
      </w:tr>
      <w:tr>
        <w:trPr>
          <w:trHeight w:val="1872" w:hRule="exact"/>
        </w:trPr>
        <w:tc>
          <w:tcPr>
            <w:tcW w:w="1410" w:type="dxa"/>
            <w:vMerge/>
            <w:tcBorders>
              <w:left w:val="single" w:sz="6" w:space="0" w:color="000000"/>
              <w:bottom w:val="single" w:sz="6" w:space="0" w:color="000000"/>
              <w:right w:val="single" w:sz="6" w:space="0" w:color="000000"/>
            </w:tcBorders>
          </w:tcPr>
          <w:p>
            <w:pPr/>
          </w:p>
        </w:tc>
        <w:tc>
          <w:tcPr>
            <w:tcW w:w="4060" w:type="dxa"/>
            <w:vMerge/>
            <w:tcBorders>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pacing w:val="-1"/>
                <w:sz w:val="18"/>
              </w:rPr>
              <w:t>-2,669,177.37</w:t>
            </w:r>
          </w:p>
        </w:tc>
      </w:tr>
      <w:tr>
        <w:trPr>
          <w:trHeight w:val="347" w:hRule="exact"/>
        </w:trPr>
        <w:tc>
          <w:tcPr>
            <w:tcW w:w="1410" w:type="dxa"/>
            <w:vMerge w:val="restart"/>
            <w:tcBorders>
              <w:top w:val="single" w:sz="6" w:space="0" w:color="000000"/>
              <w:left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309" w:lineRule="auto"/>
              <w:ind w:left="67" w:right="66" w:hanging="1"/>
              <w:jc w:val="center"/>
              <w:rPr>
                <w:rFonts w:ascii="宋体" w:hAnsi="宋体" w:cs="宋体" w:eastAsia="宋体" w:hint="default"/>
                <w:sz w:val="18"/>
                <w:szCs w:val="18"/>
              </w:rPr>
            </w:pPr>
            <w:r>
              <w:rPr>
                <w:rFonts w:ascii="宋体" w:hAnsi="宋体" w:cs="宋体" w:eastAsia="宋体" w:hint="default"/>
                <w:sz w:val="18"/>
                <w:szCs w:val="18"/>
              </w:rPr>
              <w:t>《企业会计准则 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 报表列报》</w:t>
            </w:r>
          </w:p>
        </w:tc>
        <w:tc>
          <w:tcPr>
            <w:tcW w:w="4060" w:type="dxa"/>
            <w:vMerge w:val="restart"/>
            <w:tcBorders>
              <w:top w:val="single" w:sz="6" w:space="0" w:color="000000"/>
              <w:left w:val="single" w:sz="6" w:space="0" w:color="000000"/>
              <w:right w:val="single" w:sz="6" w:space="0" w:color="000000"/>
            </w:tcBorders>
          </w:tcPr>
          <w:p>
            <w:pPr>
              <w:pStyle w:val="TableParagraph"/>
              <w:spacing w:line="312" w:lineRule="auto" w:before="20"/>
              <w:ind w:left="2" w:right="2"/>
              <w:jc w:val="both"/>
              <w:rPr>
                <w:rFonts w:ascii="宋体" w:hAnsi="宋体" w:cs="宋体" w:eastAsia="宋体" w:hint="default"/>
                <w:sz w:val="18"/>
                <w:szCs w:val="18"/>
              </w:rPr>
            </w:pPr>
            <w:r>
              <w:rPr>
                <w:rFonts w:ascii="宋体" w:hAnsi="宋体" w:cs="宋体" w:eastAsia="宋体" w:hint="default"/>
                <w:spacing w:val="2"/>
                <w:sz w:val="18"/>
                <w:szCs w:val="18"/>
              </w:rPr>
              <w:t>《企业会计准则第</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财务报表列报（</w:t>
            </w:r>
            <w:r>
              <w:rPr>
                <w:rFonts w:ascii="Times New Roman" w:hAnsi="Times New Roman" w:cs="Times New Roman" w:eastAsia="Times New Roman" w:hint="default"/>
                <w:spacing w:val="2"/>
                <w:sz w:val="18"/>
                <w:szCs w:val="18"/>
              </w:rPr>
              <w:t>2014</w:t>
            </w:r>
            <w:r>
              <w:rPr>
                <w:rFonts w:ascii="宋体" w:hAnsi="宋体" w:cs="宋体" w:eastAsia="宋体" w:hint="default"/>
                <w:spacing w:val="2"/>
                <w:sz w:val="18"/>
                <w:szCs w:val="18"/>
              </w:rPr>
              <w:t>年</w:t>
            </w:r>
            <w:r>
              <w:rPr>
                <w:rFonts w:ascii="宋体" w:hAnsi="宋体" w:cs="宋体" w:eastAsia="宋体" w:hint="default"/>
                <w:spacing w:val="-74"/>
                <w:sz w:val="18"/>
                <w:szCs w:val="18"/>
              </w:rPr>
              <w:t> </w:t>
            </w:r>
            <w:r>
              <w:rPr>
                <w:rFonts w:ascii="宋体" w:hAnsi="宋体" w:cs="宋体" w:eastAsia="宋体" w:hint="default"/>
                <w:spacing w:val="3"/>
                <w:sz w:val="18"/>
                <w:szCs w:val="18"/>
              </w:rPr>
              <w:t>修订）》将递延收益从其他非流动负债项目重分类</w:t>
            </w:r>
            <w:r>
              <w:rPr>
                <w:rFonts w:ascii="宋体" w:hAnsi="宋体" w:cs="宋体" w:eastAsia="宋体" w:hint="default"/>
                <w:sz w:val="18"/>
                <w:szCs w:val="18"/>
              </w:rPr>
              <w:t> </w:t>
            </w:r>
            <w:r>
              <w:rPr>
                <w:rFonts w:ascii="宋体" w:hAnsi="宋体" w:cs="宋体" w:eastAsia="宋体" w:hint="default"/>
                <w:spacing w:val="3"/>
                <w:sz w:val="18"/>
                <w:szCs w:val="18"/>
              </w:rPr>
              <w:t>进递延收益项目，本财务报表已按该准则的规定进</w:t>
            </w:r>
            <w:r>
              <w:rPr>
                <w:rFonts w:ascii="宋体" w:hAnsi="宋体" w:cs="宋体" w:eastAsia="宋体" w:hint="default"/>
                <w:sz w:val="18"/>
                <w:szCs w:val="18"/>
              </w:rPr>
              <w:t> </w:t>
            </w:r>
            <w:r>
              <w:rPr>
                <w:rFonts w:ascii="宋体" w:hAnsi="宋体" w:cs="宋体" w:eastAsia="宋体" w:hint="default"/>
                <w:spacing w:val="3"/>
                <w:sz w:val="18"/>
                <w:szCs w:val="18"/>
              </w:rPr>
              <w:t>行列报，并对可比年度财务报表的列报进行了相应</w:t>
            </w: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58,181,549.51</w:t>
            </w:r>
          </w:p>
        </w:tc>
      </w:tr>
      <w:tr>
        <w:trPr>
          <w:trHeight w:val="936" w:hRule="exact"/>
        </w:trPr>
        <w:tc>
          <w:tcPr>
            <w:tcW w:w="1410" w:type="dxa"/>
            <w:vMerge/>
            <w:tcBorders>
              <w:left w:val="single" w:sz="6" w:space="0" w:color="000000"/>
              <w:bottom w:val="single" w:sz="6" w:space="0" w:color="000000"/>
              <w:right w:val="single" w:sz="6" w:space="0" w:color="000000"/>
            </w:tcBorders>
          </w:tcPr>
          <w:p>
            <w:pPr/>
          </w:p>
        </w:tc>
        <w:tc>
          <w:tcPr>
            <w:tcW w:w="4060" w:type="dxa"/>
            <w:vMerge/>
            <w:tcBorders>
              <w:left w:val="single" w:sz="6" w:space="0" w:color="000000"/>
              <w:bottom w:val="single" w:sz="6" w:space="0" w:color="000000"/>
              <w:right w:val="single" w:sz="6" w:space="0" w:color="000000"/>
            </w:tcBorders>
          </w:tcPr>
          <w:p>
            <w:pPr/>
          </w:p>
        </w:tc>
        <w:tc>
          <w:tcPr>
            <w:tcW w:w="17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
              <w:jc w:val="right"/>
              <w:rPr>
                <w:rFonts w:ascii="Times New Roman" w:hAnsi="Times New Roman" w:cs="Times New Roman" w:eastAsia="Times New Roman" w:hint="default"/>
                <w:sz w:val="18"/>
                <w:szCs w:val="18"/>
              </w:rPr>
            </w:pPr>
            <w:r>
              <w:rPr>
                <w:rFonts w:ascii="Times New Roman"/>
                <w:spacing w:val="-1"/>
                <w:sz w:val="18"/>
              </w:rPr>
              <w:t>-58,181,549.51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410"/>
        <w:gridCol w:w="4060"/>
        <w:gridCol w:w="1767"/>
        <w:gridCol w:w="1768"/>
      </w:tblGrid>
      <w:tr>
        <w:trPr>
          <w:trHeight w:val="348" w:hRule="exact"/>
        </w:trPr>
        <w:tc>
          <w:tcPr>
            <w:tcW w:w="1410" w:type="dxa"/>
            <w:tcBorders>
              <w:top w:val="single" w:sz="6" w:space="0" w:color="000000"/>
              <w:left w:val="single" w:sz="6" w:space="0" w:color="000000"/>
              <w:bottom w:val="single" w:sz="6" w:space="0" w:color="000000"/>
              <w:right w:val="single" w:sz="6" w:space="0" w:color="000000"/>
            </w:tcBorders>
          </w:tcPr>
          <w:p>
            <w:pPr/>
          </w:p>
        </w:tc>
        <w:tc>
          <w:tcPr>
            <w:tcW w:w="4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调整。</w:t>
            </w:r>
          </w:p>
        </w:tc>
        <w:tc>
          <w:tcPr>
            <w:tcW w:w="1767" w:type="dxa"/>
            <w:tcBorders>
              <w:top w:val="single" w:sz="6" w:space="0" w:color="000000"/>
              <w:left w:val="single" w:sz="6" w:space="0" w:color="000000"/>
              <w:bottom w:val="single" w:sz="6" w:space="0" w:color="000000"/>
              <w:right w:val="single" w:sz="6" w:space="0" w:color="000000"/>
            </w:tcBorders>
          </w:tcPr>
          <w:p>
            <w:pPr/>
          </w:p>
        </w:tc>
        <w:tc>
          <w:tcPr>
            <w:tcW w:w="1768" w:type="dxa"/>
            <w:tcBorders>
              <w:top w:val="single" w:sz="6" w:space="0" w:color="000000"/>
              <w:left w:val="single" w:sz="6" w:space="0" w:color="000000"/>
              <w:bottom w:val="single" w:sz="6" w:space="0" w:color="000000"/>
              <w:right w:val="single" w:sz="6" w:space="0" w:color="000000"/>
            </w:tcBorders>
          </w:tcPr>
          <w:p>
            <w:pPr/>
          </w:p>
        </w:tc>
      </w:tr>
    </w:tbl>
    <w:p>
      <w:pPr>
        <w:pStyle w:val="BodyText"/>
        <w:spacing w:line="408" w:lineRule="auto" w:before="63"/>
        <w:ind w:left="154" w:right="1046" w:firstLine="420"/>
        <w:jc w:val="left"/>
      </w:pPr>
      <w:r>
        <w:rPr>
          <w:spacing w:val="-1"/>
        </w:rPr>
        <w:t>除上述之外，本次变更不会对公司财务状况、经营成果和现金流量产生重大影响，也无其他需追溯调</w:t>
      </w:r>
      <w:r>
        <w:rPr/>
        <w:t> 整会计事项。</w:t>
      </w:r>
    </w:p>
    <w:p>
      <w:pPr>
        <w:pStyle w:val="BodyText"/>
        <w:spacing w:line="408" w:lineRule="auto"/>
        <w:ind w:left="573" w:right="2563"/>
        <w:jc w:val="left"/>
      </w:pPr>
      <w:r>
        <w:rPr/>
        <w:t>（二）对采用账龄分析法的应收款项坏账准备计提比例进行变更的会计估计变更情况 </w:t>
      </w:r>
      <w:r>
        <w:rPr>
          <w:rFonts w:ascii="宋体" w:hAnsi="宋体" w:cs="宋体" w:eastAsia="宋体" w:hint="default"/>
        </w:rPr>
        <w:t>1</w:t>
      </w:r>
      <w:r>
        <w:rPr/>
        <w:t>、变更生效日期：</w:t>
      </w:r>
      <w:r>
        <w:rPr>
          <w:rFonts w:ascii="宋体" w:hAnsi="宋体" w:cs="宋体" w:eastAsia="宋体" w:hint="default"/>
        </w:rPr>
        <w:t>2015 </w:t>
      </w:r>
      <w:r>
        <w:rPr/>
        <w:t>年 </w:t>
      </w:r>
      <w:r>
        <w:rPr>
          <w:rFonts w:ascii="宋体" w:hAnsi="宋体" w:cs="宋体" w:eastAsia="宋体" w:hint="default"/>
        </w:rPr>
        <w:t>3 </w:t>
      </w:r>
      <w:r>
        <w:rPr/>
        <w:t>月 </w:t>
      </w:r>
      <w:r>
        <w:rPr>
          <w:rFonts w:ascii="宋体" w:hAnsi="宋体" w:cs="宋体" w:eastAsia="宋体" w:hint="default"/>
        </w:rPr>
        <w:t>1 </w:t>
      </w:r>
      <w:r>
        <w:rPr/>
        <w:t>日</w:t>
      </w:r>
      <w:r>
        <w:rPr>
          <w:spacing w:val="-3"/>
        </w:rPr>
        <w:t> </w:t>
      </w:r>
      <w:r>
        <w:rPr/>
        <w:t>。</w:t>
      </w:r>
    </w:p>
    <w:p>
      <w:pPr>
        <w:pStyle w:val="BodyText"/>
        <w:spacing w:line="240" w:lineRule="auto"/>
        <w:ind w:left="573" w:right="1046"/>
        <w:jc w:val="left"/>
      </w:pPr>
      <w:r>
        <w:rPr>
          <w:rFonts w:ascii="宋体" w:hAnsi="宋体" w:cs="宋体" w:eastAsia="宋体" w:hint="default"/>
        </w:rPr>
        <w:t>2</w:t>
      </w:r>
      <w:r>
        <w:rPr/>
        <w:t>、变更原因：公司认为，公司现有 </w:t>
      </w:r>
      <w:r>
        <w:rPr>
          <w:rFonts w:ascii="宋体" w:hAnsi="宋体" w:cs="宋体" w:eastAsia="宋体" w:hint="default"/>
        </w:rPr>
        <w:t>1 </w:t>
      </w:r>
      <w:r>
        <w:rPr/>
        <w:t>年以内（含 </w:t>
      </w:r>
      <w:r>
        <w:rPr>
          <w:rFonts w:ascii="宋体" w:hAnsi="宋体" w:cs="宋体" w:eastAsia="宋体" w:hint="default"/>
        </w:rPr>
        <w:t>1</w:t>
      </w:r>
      <w:r>
        <w:rPr>
          <w:rFonts w:ascii="宋体" w:hAnsi="宋体" w:cs="宋体" w:eastAsia="宋体" w:hint="default"/>
          <w:spacing w:val="-5"/>
        </w:rPr>
        <w:t> </w:t>
      </w:r>
      <w:r>
        <w:rPr/>
        <w:t>年）应收账款存在坏账风险的可能性很小，同</w:t>
      </w:r>
    </w:p>
    <w:p>
      <w:pPr>
        <w:spacing w:line="240" w:lineRule="auto" w:before="10"/>
        <w:rPr>
          <w:rFonts w:ascii="宋体" w:hAnsi="宋体" w:cs="宋体" w:eastAsia="宋体" w:hint="default"/>
          <w:sz w:val="14"/>
          <w:szCs w:val="14"/>
        </w:rPr>
      </w:pPr>
    </w:p>
    <w:p>
      <w:pPr>
        <w:pStyle w:val="BodyText"/>
        <w:spacing w:line="408" w:lineRule="auto" w:before="0"/>
        <w:ind w:right="1024"/>
        <w:jc w:val="left"/>
      </w:pPr>
      <w:r>
        <w:rPr/>
        <w:t>时 </w:t>
      </w:r>
      <w:r>
        <w:rPr>
          <w:rFonts w:ascii="宋体" w:hAnsi="宋体" w:cs="宋体" w:eastAsia="宋体" w:hint="default"/>
        </w:rPr>
        <w:t>4-5 </w:t>
      </w:r>
      <w:r>
        <w:rPr/>
        <w:t>年及 </w:t>
      </w:r>
      <w:r>
        <w:rPr>
          <w:rFonts w:ascii="宋体" w:hAnsi="宋体" w:cs="宋体" w:eastAsia="宋体" w:hint="default"/>
        </w:rPr>
        <w:t>5</w:t>
      </w:r>
      <w:r>
        <w:rPr>
          <w:rFonts w:ascii="宋体" w:hAnsi="宋体" w:cs="宋体" w:eastAsia="宋体" w:hint="default"/>
          <w:spacing w:val="-20"/>
        </w:rPr>
        <w:t> </w:t>
      </w:r>
      <w:r>
        <w:rPr/>
        <w:t>年以上的应收款存在坏账风险可能性较大，但原计提比例较低。为使应收款项坏账准备的 </w:t>
      </w:r>
      <w:r>
        <w:rPr>
          <w:spacing w:val="-3"/>
        </w:rPr>
        <w:t>计提更加合理和规范，能客观、公允的反映公司资产状况和经营成果，根据《企业会计准则》等相关规定，</w:t>
      </w:r>
      <w:r>
        <w:rPr>
          <w:spacing w:val="-94"/>
        </w:rPr>
        <w:t> </w:t>
      </w:r>
      <w:r>
        <w:rPr>
          <w:spacing w:val="-94"/>
        </w:rPr>
      </w:r>
      <w:r>
        <w:rPr/>
        <w:t>本着谨慎性原则，公司决定对</w:t>
      </w:r>
      <w:r>
        <w:rPr>
          <w:spacing w:val="3"/>
        </w:rPr>
        <w:t> </w:t>
      </w:r>
      <w:r>
        <w:rPr>
          <w:rFonts w:ascii="宋体" w:hAnsi="宋体" w:cs="宋体" w:eastAsia="宋体" w:hint="default"/>
        </w:rPr>
        <w:t>1</w:t>
      </w:r>
      <w:r>
        <w:rPr>
          <w:rFonts w:ascii="宋体" w:hAnsi="宋体" w:cs="宋体" w:eastAsia="宋体" w:hint="default"/>
          <w:spacing w:val="2"/>
        </w:rPr>
        <w:t> </w:t>
      </w:r>
      <w:r>
        <w:rPr>
          <w:spacing w:val="-1"/>
        </w:rPr>
        <w:t>年以内（含</w:t>
      </w:r>
      <w:r>
        <w:rPr>
          <w:spacing w:val="3"/>
        </w:rPr>
        <w:t> </w:t>
      </w:r>
      <w:r>
        <w:rPr>
          <w:rFonts w:ascii="宋体" w:hAnsi="宋体" w:cs="宋体" w:eastAsia="宋体" w:hint="default"/>
        </w:rPr>
        <w:t>1 </w:t>
      </w:r>
      <w:r>
        <w:rPr>
          <w:spacing w:val="-18"/>
        </w:rPr>
        <w:t>年）、</w:t>
      </w:r>
      <w:r>
        <w:rPr>
          <w:rFonts w:ascii="宋体" w:hAnsi="宋体" w:cs="宋体" w:eastAsia="宋体" w:hint="default"/>
          <w:spacing w:val="-18"/>
        </w:rPr>
        <w:t>4-5</w:t>
      </w:r>
      <w:r>
        <w:rPr>
          <w:rFonts w:ascii="宋体" w:hAnsi="宋体" w:cs="宋体" w:eastAsia="宋体" w:hint="default"/>
          <w:spacing w:val="2"/>
        </w:rPr>
        <w:t> </w:t>
      </w:r>
      <w:r>
        <w:rPr>
          <w:spacing w:val="-1"/>
        </w:rPr>
        <w:t>年及</w:t>
      </w:r>
      <w:r>
        <w:rPr>
          <w:spacing w:val="2"/>
        </w:rPr>
        <w:t> </w:t>
      </w:r>
      <w:r>
        <w:rPr>
          <w:rFonts w:ascii="宋体" w:hAnsi="宋体" w:cs="宋体" w:eastAsia="宋体" w:hint="default"/>
        </w:rPr>
        <w:t>5</w:t>
      </w:r>
      <w:r>
        <w:rPr>
          <w:rFonts w:ascii="宋体" w:hAnsi="宋体" w:cs="宋体" w:eastAsia="宋体" w:hint="default"/>
          <w:spacing w:val="-51"/>
        </w:rPr>
        <w:t> </w:t>
      </w:r>
      <w:r>
        <w:rPr>
          <w:spacing w:val="-1"/>
        </w:rPr>
        <w:t>年以上的应收账款坏账准备计提比例进</w:t>
      </w:r>
      <w:r>
        <w:rPr>
          <w:spacing w:val="-102"/>
        </w:rPr>
        <w:t> </w:t>
      </w:r>
      <w:r>
        <w:rPr>
          <w:spacing w:val="-102"/>
        </w:rPr>
      </w:r>
      <w:r>
        <w:rPr/>
        <w:t>行适当变更，除此之外，其他不做变更。</w:t>
      </w:r>
    </w:p>
    <w:p>
      <w:pPr>
        <w:pStyle w:val="BodyText"/>
        <w:spacing w:line="240" w:lineRule="auto"/>
        <w:ind w:left="573" w:right="1046"/>
        <w:jc w:val="left"/>
      </w:pPr>
      <w:r>
        <w:rPr>
          <w:rFonts w:ascii="宋体" w:hAnsi="宋体" w:cs="宋体" w:eastAsia="宋体" w:hint="default"/>
        </w:rPr>
        <w:t>3</w:t>
      </w:r>
      <w:r>
        <w:rPr/>
        <w:t>、变更前采用账龄分析法的应收款项坏账准备计提比例如下：</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3419"/>
        <w:gridCol w:w="3234"/>
        <w:gridCol w:w="3003"/>
      </w:tblGrid>
      <w:tr>
        <w:trPr>
          <w:trHeight w:val="364" w:hRule="exact"/>
        </w:trPr>
        <w:tc>
          <w:tcPr>
            <w:tcW w:w="3419" w:type="dxa"/>
            <w:tcBorders>
              <w:top w:val="single" w:sz="6" w:space="0" w:color="000000"/>
              <w:left w:val="single" w:sz="6" w:space="0" w:color="000000"/>
              <w:bottom w:val="single" w:sz="6" w:space="0" w:color="000000"/>
              <w:right w:val="single" w:sz="6" w:space="0" w:color="000000"/>
            </w:tcBorders>
          </w:tcPr>
          <w:p>
            <w:pPr>
              <w:pStyle w:val="TableParagraph"/>
              <w:tabs>
                <w:tab w:pos="461" w:val="left" w:leader="none"/>
              </w:tabs>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64" w:hRule="exact"/>
        </w:trPr>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center"/>
              <w:rPr>
                <w:rFonts w:ascii="Times New Roman" w:hAnsi="Times New Roman" w:cs="Times New Roman" w:eastAsia="Times New Roman" w:hint="default"/>
                <w:sz w:val="21"/>
                <w:szCs w:val="21"/>
              </w:rPr>
            </w:pPr>
            <w:r>
              <w:rPr>
                <w:rFonts w:ascii="Times New Roman"/>
                <w:sz w:val="21"/>
              </w:rPr>
              <w:t>3</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3</w:t>
            </w:r>
          </w:p>
        </w:tc>
      </w:tr>
      <w:tr>
        <w:trPr>
          <w:trHeight w:val="365" w:hRule="exact"/>
        </w:trPr>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r>
      <w:tr>
        <w:trPr>
          <w:trHeight w:val="364" w:hRule="exact"/>
        </w:trPr>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20</w:t>
            </w:r>
          </w:p>
        </w:tc>
      </w:tr>
      <w:tr>
        <w:trPr>
          <w:trHeight w:val="365" w:hRule="exact"/>
        </w:trPr>
        <w:tc>
          <w:tcPr>
            <w:tcW w:w="3419"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32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50</w:t>
            </w:r>
          </w:p>
        </w:tc>
        <w:tc>
          <w:tcPr>
            <w:tcW w:w="30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50</w:t>
            </w:r>
          </w:p>
        </w:tc>
      </w:tr>
    </w:tbl>
    <w:p>
      <w:pPr>
        <w:pStyle w:val="BodyText"/>
        <w:spacing w:line="240" w:lineRule="auto" w:before="63"/>
        <w:ind w:left="574" w:right="1046"/>
        <w:jc w:val="left"/>
      </w:pPr>
      <w:r>
        <w:rPr>
          <w:rFonts w:ascii="宋体" w:hAnsi="宋体" w:cs="宋体" w:eastAsia="宋体" w:hint="default"/>
        </w:rPr>
        <w:t>4</w:t>
      </w:r>
      <w:r>
        <w:rPr/>
        <w:t>、变更后采用账龄分析法的应收款项坏账准备计提比例如下：</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2914"/>
        <w:gridCol w:w="2452"/>
        <w:gridCol w:w="2615"/>
        <w:gridCol w:w="1642"/>
      </w:tblGrid>
      <w:tr>
        <w:trPr>
          <w:trHeight w:val="355"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tabs>
                <w:tab w:pos="461" w:val="left" w:leader="none"/>
              </w:tabs>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账</w:t>
              <w:tab/>
              <w:t>龄</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应收账款计提比例（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其他应收计提比例（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center"/>
              <w:rPr>
                <w:rFonts w:ascii="宋体" w:hAnsi="宋体" w:cs="宋体" w:eastAsia="宋体" w:hint="default"/>
                <w:sz w:val="21"/>
                <w:szCs w:val="21"/>
              </w:rPr>
            </w:pPr>
            <w:r>
              <w:rPr>
                <w:rFonts w:ascii="宋体" w:hAnsi="宋体" w:cs="宋体" w:eastAsia="宋体" w:hint="default"/>
                <w:sz w:val="21"/>
                <w:szCs w:val="21"/>
              </w:rPr>
              <w:t>同行业（</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6"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年以内（含</w:t>
            </w:r>
            <w:r>
              <w:rPr>
                <w:rFonts w:ascii="Times New Roman" w:hAnsi="Times New Roman" w:cs="Times New Roman" w:eastAsia="Times New Roman" w:hint="default"/>
                <w:sz w:val="21"/>
                <w:szCs w:val="21"/>
              </w:rPr>
              <w:t>1</w:t>
            </w:r>
            <w:r>
              <w:rPr>
                <w:rFonts w:ascii="宋体" w:hAnsi="宋体" w:cs="宋体" w:eastAsia="宋体" w:hint="default"/>
                <w:sz w:val="21"/>
                <w:szCs w:val="21"/>
              </w:rPr>
              <w:t>年，下同）</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0-5</w:t>
            </w:r>
          </w:p>
        </w:tc>
      </w:tr>
      <w:tr>
        <w:trPr>
          <w:trHeight w:val="356"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10</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2-10</w:t>
            </w:r>
          </w:p>
        </w:tc>
      </w:tr>
      <w:tr>
        <w:trPr>
          <w:trHeight w:val="355"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宋体" w:hAnsi="宋体" w:cs="宋体" w:eastAsia="宋体" w:hint="default"/>
                <w:sz w:val="21"/>
                <w:szCs w:val="21"/>
              </w:rPr>
              <w:t>年</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20</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20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4-30</w:t>
            </w:r>
          </w:p>
        </w:tc>
      </w:tr>
      <w:tr>
        <w:trPr>
          <w:trHeight w:val="356"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宋体" w:hAnsi="宋体" w:cs="宋体" w:eastAsia="宋体" w:hint="default"/>
                <w:sz w:val="21"/>
                <w:szCs w:val="21"/>
              </w:rPr>
              <w:t>年</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50</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20-50</w:t>
            </w:r>
          </w:p>
        </w:tc>
      </w:tr>
      <w:tr>
        <w:trPr>
          <w:trHeight w:val="356"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宋体" w:hAnsi="宋体" w:cs="宋体" w:eastAsia="宋体" w:hint="default"/>
                <w:sz w:val="21"/>
                <w:szCs w:val="21"/>
              </w:rPr>
              <w:t>年</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80</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80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2"/>
                <w:szCs w:val="22"/>
              </w:rPr>
            </w:pPr>
            <w:r>
              <w:rPr>
                <w:rFonts w:ascii="Times New Roman"/>
                <w:sz w:val="22"/>
              </w:rPr>
              <w:t>20-80</w:t>
            </w:r>
          </w:p>
        </w:tc>
      </w:tr>
      <w:tr>
        <w:trPr>
          <w:trHeight w:val="356" w:hRule="exact"/>
        </w:trPr>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年以上</w:t>
            </w:r>
          </w:p>
        </w:tc>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100</w:t>
            </w:r>
          </w:p>
        </w:tc>
        <w:tc>
          <w:tcPr>
            <w:tcW w:w="26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100</w:t>
            </w:r>
          </w:p>
        </w:tc>
        <w:tc>
          <w:tcPr>
            <w:tcW w:w="16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0"/>
              <w:jc w:val="center"/>
              <w:rPr>
                <w:rFonts w:ascii="Times New Roman" w:hAnsi="Times New Roman" w:cs="Times New Roman" w:eastAsia="Times New Roman" w:hint="default"/>
                <w:sz w:val="22"/>
                <w:szCs w:val="22"/>
              </w:rPr>
            </w:pPr>
            <w:r>
              <w:rPr>
                <w:rFonts w:ascii="Times New Roman"/>
                <w:sz w:val="22"/>
              </w:rPr>
              <w:t>20-100</w:t>
            </w:r>
          </w:p>
        </w:tc>
      </w:tr>
    </w:tbl>
    <w:p>
      <w:pPr>
        <w:pStyle w:val="BodyText"/>
        <w:spacing w:line="240" w:lineRule="auto" w:before="63"/>
        <w:ind w:left="574" w:right="1046"/>
        <w:jc w:val="left"/>
      </w:pPr>
      <w:r>
        <w:rPr>
          <w:rFonts w:ascii="宋体" w:hAnsi="宋体" w:cs="宋体" w:eastAsia="宋体" w:hint="default"/>
        </w:rPr>
        <w:t>5</w:t>
      </w:r>
      <w:r>
        <w:rPr/>
        <w:t>、本次会计估计变更对公司的影响</w:t>
      </w:r>
    </w:p>
    <w:p>
      <w:pPr>
        <w:spacing w:line="240" w:lineRule="auto" w:before="10"/>
        <w:rPr>
          <w:rFonts w:ascii="宋体" w:hAnsi="宋体" w:cs="宋体" w:eastAsia="宋体" w:hint="default"/>
          <w:sz w:val="14"/>
          <w:szCs w:val="14"/>
        </w:rPr>
      </w:pPr>
    </w:p>
    <w:p>
      <w:pPr>
        <w:pStyle w:val="BodyText"/>
        <w:spacing w:line="408" w:lineRule="auto" w:before="0"/>
        <w:ind w:left="154" w:right="1110" w:firstLine="420"/>
        <w:jc w:val="both"/>
      </w:pPr>
      <w:r>
        <w:rPr/>
        <w:t>（</w:t>
      </w:r>
      <w:r>
        <w:rPr>
          <w:rFonts w:ascii="宋体" w:hAnsi="宋体" w:cs="宋体" w:eastAsia="宋体" w:hint="default"/>
        </w:rPr>
        <w:t>1</w:t>
      </w:r>
      <w:r>
        <w:rPr/>
        <w:t>）根据《中小企业板信息披露业务备忘录第 </w:t>
      </w:r>
      <w:r>
        <w:rPr>
          <w:rFonts w:ascii="宋体" w:hAnsi="宋体" w:cs="宋体" w:eastAsia="宋体" w:hint="default"/>
        </w:rPr>
        <w:t>13</w:t>
      </w:r>
      <w:r>
        <w:rPr>
          <w:rFonts w:ascii="宋体" w:hAnsi="宋体" w:cs="宋体" w:eastAsia="宋体" w:hint="default"/>
          <w:spacing w:val="-4"/>
        </w:rPr>
        <w:t> </w:t>
      </w:r>
      <w:r>
        <w:rPr/>
        <w:t>号：会计政策及会计估计变更》以及相关规定， 本次会计估计变更采用未来适用法处理，不追溯调整，不会对以往各年度财务状况和经营成果产生影响。</w:t>
      </w:r>
    </w:p>
    <w:p>
      <w:pPr>
        <w:pStyle w:val="BodyText"/>
        <w:spacing w:line="240" w:lineRule="auto"/>
        <w:ind w:left="574" w:right="1046"/>
        <w:jc w:val="left"/>
        <w:rPr>
          <w:rFonts w:ascii="宋体" w:hAnsi="宋体" w:cs="宋体" w:eastAsia="宋体" w:hint="default"/>
        </w:rPr>
      </w:pPr>
      <w:r>
        <w:rPr>
          <w:spacing w:val="-6"/>
        </w:rPr>
        <w:t>（</w:t>
      </w:r>
      <w:r>
        <w:rPr>
          <w:rFonts w:ascii="宋体" w:hAnsi="宋体" w:cs="宋体" w:eastAsia="宋体" w:hint="default"/>
          <w:spacing w:val="-6"/>
        </w:rPr>
        <w:t>2</w:t>
      </w:r>
      <w:r>
        <w:rPr>
          <w:spacing w:val="-6"/>
        </w:rPr>
        <w:t>）经公司财务部门初步测算</w:t>
      </w:r>
      <w:r>
        <w:rPr>
          <w:rFonts w:ascii="宋体" w:hAnsi="宋体" w:cs="宋体" w:eastAsia="宋体" w:hint="default"/>
          <w:spacing w:val="-6"/>
        </w:rPr>
        <w:t>,</w:t>
      </w:r>
      <w:r>
        <w:rPr>
          <w:rFonts w:ascii="宋体" w:hAnsi="宋体" w:cs="宋体" w:eastAsia="宋体" w:hint="default"/>
          <w:spacing w:val="4"/>
        </w:rPr>
        <w:t> </w:t>
      </w:r>
      <w:r>
        <w:rPr/>
        <w:t>本次会计估计变更预计</w:t>
      </w:r>
      <w:r>
        <w:rPr>
          <w:spacing w:val="-51"/>
        </w:rPr>
        <w:t> </w:t>
      </w:r>
      <w:r>
        <w:rPr>
          <w:rFonts w:ascii="宋体" w:hAnsi="宋体" w:cs="宋体" w:eastAsia="宋体" w:hint="default"/>
        </w:rPr>
        <w:t>2015</w:t>
      </w:r>
      <w:r>
        <w:rPr>
          <w:rFonts w:ascii="宋体" w:hAnsi="宋体" w:cs="宋体" w:eastAsia="宋体" w:hint="default"/>
          <w:spacing w:val="-52"/>
        </w:rPr>
        <w:t> </w:t>
      </w:r>
      <w:r>
        <w:rPr/>
        <w:t>年将减少计提应收款项坏账准备约</w:t>
      </w:r>
      <w:r>
        <w:rPr>
          <w:spacing w:val="-51"/>
        </w:rPr>
        <w:t> </w:t>
      </w:r>
      <w:r>
        <w:rPr>
          <w:rFonts w:ascii="宋体" w:hAnsi="宋体" w:cs="宋体" w:eastAsia="宋体" w:hint="default"/>
        </w:rPr>
        <w:t>1596</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万元、预计增加</w:t>
      </w:r>
      <w:r>
        <w:rPr>
          <w:spacing w:val="1"/>
        </w:rPr>
        <w:t> </w:t>
      </w:r>
      <w:r>
        <w:rPr>
          <w:rFonts w:ascii="宋体" w:hAnsi="宋体" w:cs="宋体" w:eastAsia="宋体" w:hint="default"/>
        </w:rPr>
        <w:t>2015</w:t>
      </w:r>
      <w:r>
        <w:rPr>
          <w:rFonts w:ascii="宋体" w:hAnsi="宋体" w:cs="宋体" w:eastAsia="宋体" w:hint="default"/>
          <w:spacing w:val="-1"/>
        </w:rPr>
        <w:t> </w:t>
      </w:r>
      <w:r>
        <w:rPr/>
        <w:t>年度归属于上市公司股东净利润约</w:t>
      </w:r>
      <w:r>
        <w:rPr>
          <w:spacing w:val="-52"/>
        </w:rPr>
        <w:t> </w:t>
      </w:r>
      <w:r>
        <w:rPr>
          <w:rFonts w:ascii="宋体" w:hAnsi="宋体" w:cs="宋体" w:eastAsia="宋体" w:hint="default"/>
        </w:rPr>
        <w:t>1436</w:t>
      </w:r>
      <w:r>
        <w:rPr>
          <w:rFonts w:ascii="宋体" w:hAnsi="宋体" w:cs="宋体" w:eastAsia="宋体" w:hint="default"/>
          <w:spacing w:val="-53"/>
        </w:rPr>
        <w:t> </w:t>
      </w:r>
      <w:r>
        <w:rPr/>
        <w:t>万元。</w:t>
      </w:r>
    </w:p>
    <w:p>
      <w:pPr>
        <w:spacing w:line="240" w:lineRule="auto" w:before="10"/>
        <w:rPr>
          <w:rFonts w:ascii="宋体" w:hAnsi="宋体" w:cs="宋体" w:eastAsia="宋体" w:hint="default"/>
          <w:sz w:val="14"/>
          <w:szCs w:val="14"/>
        </w:rPr>
      </w:pPr>
    </w:p>
    <w:p>
      <w:pPr>
        <w:pStyle w:val="BodyText"/>
        <w:spacing w:line="408" w:lineRule="auto" w:before="0"/>
        <w:ind w:right="1162" w:firstLine="420"/>
        <w:jc w:val="both"/>
      </w:pPr>
      <w:r>
        <w:rPr/>
        <w:t>（</w:t>
      </w:r>
      <w:r>
        <w:rPr>
          <w:rFonts w:ascii="宋体" w:hAnsi="宋体" w:cs="宋体" w:eastAsia="宋体" w:hint="default"/>
        </w:rPr>
        <w:t>3</w:t>
      </w:r>
      <w:r>
        <w:rPr/>
        <w:t>）根据《深圳证券交易所中小企业板信息披露业务备忘录第 </w:t>
      </w:r>
      <w:r>
        <w:rPr>
          <w:rFonts w:ascii="宋体" w:hAnsi="宋体" w:cs="宋体" w:eastAsia="宋体" w:hint="default"/>
        </w:rPr>
        <w:t>13</w:t>
      </w:r>
      <w:r>
        <w:rPr>
          <w:rFonts w:ascii="宋体" w:hAnsi="宋体" w:cs="宋体" w:eastAsia="宋体" w:hint="default"/>
          <w:spacing w:val="-3"/>
        </w:rPr>
        <w:t> </w:t>
      </w:r>
      <w:r>
        <w:rPr/>
        <w:t>号：会计政策及会计估计变更》 的规定，本次会计估计变更影响比例未超过公司最近一个会计年度经审计的净利润的</w:t>
      </w:r>
      <w:r>
        <w:rPr>
          <w:spacing w:val="-53"/>
        </w:rPr>
        <w:t> </w:t>
      </w:r>
      <w:r>
        <w:rPr>
          <w:rFonts w:ascii="宋体" w:hAnsi="宋体" w:cs="宋体" w:eastAsia="宋体" w:hint="default"/>
        </w:rPr>
        <w:t>50%</w:t>
      </w:r>
      <w:r>
        <w:rPr/>
        <w:t>，未超过公司最 近一期经审计的所有者权益的</w:t>
      </w:r>
      <w:r>
        <w:rPr>
          <w:spacing w:val="-54"/>
        </w:rPr>
        <w:t> </w:t>
      </w:r>
      <w:r>
        <w:rPr>
          <w:rFonts w:ascii="宋体" w:hAnsi="宋体" w:cs="宋体" w:eastAsia="宋体" w:hint="default"/>
        </w:rPr>
        <w:t>50%</w:t>
      </w:r>
      <w:r>
        <w:rPr/>
        <w:t>，也不会导致公司最近一期定期报告的盈亏性质发生变化。</w:t>
      </w:r>
    </w:p>
    <w:p>
      <w:pPr>
        <w:spacing w:after="0" w:line="408"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46"/>
        <w:jc w:val="left"/>
        <w:rPr>
          <w:b w:val="0"/>
          <w:bCs w:val="0"/>
        </w:rPr>
      </w:pPr>
      <w:bookmarkStart w:name="十一、报告期内发生重大会计差错更正需追溯重述的情况说明" w:id="53"/>
      <w:bookmarkEnd w:id="53"/>
      <w:r>
        <w:rPr>
          <w:b w:val="0"/>
          <w:bCs w:val="0"/>
        </w:rPr>
      </w:r>
      <w:r>
        <w:rPr/>
        <w:t>十一、报告期内发生重大会计差错更正需追溯重述的情况说明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38" w:lineRule="auto" w:before="0"/>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6"/>
        <w:rPr>
          <w:rFonts w:ascii="宋体" w:hAnsi="宋体" w:cs="宋体" w:eastAsia="宋体" w:hint="default"/>
          <w:sz w:val="19"/>
          <w:szCs w:val="19"/>
        </w:rPr>
      </w:pPr>
    </w:p>
    <w:p>
      <w:pPr>
        <w:pStyle w:val="Heading2"/>
        <w:spacing w:line="240" w:lineRule="auto"/>
        <w:ind w:left="154" w:right="1046"/>
        <w:jc w:val="left"/>
        <w:rPr>
          <w:b w:val="0"/>
          <w:bCs w:val="0"/>
        </w:rPr>
      </w:pPr>
      <w:bookmarkStart w:name="十二、与上年度财务报告相比，合并报表范围发生变化的情况说明" w:id="54"/>
      <w:bookmarkEnd w:id="54"/>
      <w:r>
        <w:rPr>
          <w:b w:val="0"/>
          <w:bCs w:val="0"/>
        </w:rPr>
      </w:r>
      <w:r>
        <w:rPr/>
        <w:t>十二、与上年度财务报告相比，合并报表范围发生变化的情况说明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573" w:right="1046"/>
        <w:jc w:val="left"/>
      </w:pPr>
      <w:r>
        <w:rPr/>
        <w:t>与上年相比本年新增合并单位</w:t>
      </w:r>
      <w:r>
        <w:rPr>
          <w:spacing w:val="-53"/>
        </w:rPr>
        <w:t> </w:t>
      </w:r>
      <w:r>
        <w:rPr>
          <w:rFonts w:ascii="宋体" w:hAnsi="宋体" w:cs="宋体" w:eastAsia="宋体" w:hint="default"/>
        </w:rPr>
        <w:t>4</w:t>
      </w:r>
      <w:r>
        <w:rPr>
          <w:rFonts w:ascii="宋体" w:hAnsi="宋体" w:cs="宋体" w:eastAsia="宋体" w:hint="default"/>
          <w:spacing w:val="-53"/>
        </w:rPr>
        <w:t> </w:t>
      </w:r>
      <w:r>
        <w:rPr/>
        <w:t>家，原因为：</w:t>
      </w:r>
    </w:p>
    <w:p>
      <w:pPr>
        <w:spacing w:line="240" w:lineRule="auto" w:before="10"/>
        <w:rPr>
          <w:rFonts w:ascii="宋体" w:hAnsi="宋体" w:cs="宋体" w:eastAsia="宋体" w:hint="default"/>
          <w:sz w:val="14"/>
          <w:szCs w:val="14"/>
        </w:rPr>
      </w:pPr>
    </w:p>
    <w:p>
      <w:pPr>
        <w:pStyle w:val="BodyText"/>
        <w:spacing w:line="408" w:lineRule="auto" w:before="0"/>
        <w:ind w:right="1123" w:firstLine="420"/>
        <w:jc w:val="left"/>
      </w:pPr>
      <w:r>
        <w:rPr/>
        <w:t>①</w:t>
      </w:r>
      <w:r>
        <w:rPr>
          <w:rFonts w:ascii="宋体" w:hAnsi="宋体" w:cs="宋体" w:eastAsia="宋体" w:hint="default"/>
        </w:rPr>
        <w:t>2014</w:t>
      </w:r>
      <w:r>
        <w:rPr>
          <w:rFonts w:ascii="宋体" w:hAnsi="宋体" w:cs="宋体" w:eastAsia="宋体" w:hint="default"/>
          <w:spacing w:val="-47"/>
        </w:rPr>
        <w:t> </w:t>
      </w:r>
      <w:r>
        <w:rPr/>
        <w:t>年</w:t>
      </w:r>
      <w:r>
        <w:rPr>
          <w:spacing w:val="-47"/>
        </w:rPr>
        <w:t> </w:t>
      </w:r>
      <w:r>
        <w:rPr>
          <w:rFonts w:ascii="宋体" w:hAnsi="宋体" w:cs="宋体" w:eastAsia="宋体" w:hint="default"/>
        </w:rPr>
        <w:t>4</w:t>
      </w:r>
      <w:r>
        <w:rPr>
          <w:rFonts w:ascii="宋体" w:hAnsi="宋体" w:cs="宋体" w:eastAsia="宋体" w:hint="default"/>
          <w:spacing w:val="-47"/>
        </w:rPr>
        <w:t> </w:t>
      </w:r>
      <w:r>
        <w:rPr/>
        <w:t>月</w:t>
      </w:r>
      <w:r>
        <w:rPr>
          <w:spacing w:val="-47"/>
        </w:rPr>
        <w:t> </w:t>
      </w:r>
      <w:r>
        <w:rPr>
          <w:rFonts w:ascii="宋体" w:hAnsi="宋体" w:cs="宋体" w:eastAsia="宋体" w:hint="default"/>
        </w:rPr>
        <w:t>1</w:t>
      </w:r>
      <w:r>
        <w:rPr>
          <w:rFonts w:ascii="宋体" w:hAnsi="宋体" w:cs="宋体" w:eastAsia="宋体" w:hint="default"/>
          <w:spacing w:val="-46"/>
        </w:rPr>
        <w:t> </w:t>
      </w:r>
      <w:r>
        <w:rPr>
          <w:spacing w:val="-3"/>
        </w:rPr>
        <w:t>日，公司第二届董事会第七次会议审议通过了《关于收购南京宙达通信技术有限公司</w:t>
      </w:r>
      <w:r>
        <w:rPr/>
        <w:t> </w:t>
      </w:r>
      <w:r>
        <w:rPr>
          <w:rFonts w:ascii="宋体" w:hAnsi="宋体" w:cs="宋体" w:eastAsia="宋体" w:hint="default"/>
          <w:spacing w:val="-3"/>
        </w:rPr>
        <w:t>100%</w:t>
      </w:r>
      <w:r>
        <w:rPr>
          <w:spacing w:val="-3"/>
        </w:rPr>
        <w:t>股权的议案》，同意通过全资孙公司鹤壁市新元电子有限公司（以下简称“新元电子”）收购南京宙</w:t>
      </w:r>
      <w:r>
        <w:rPr>
          <w:spacing w:val="-68"/>
        </w:rPr>
        <w:t> </w:t>
      </w:r>
      <w:r>
        <w:rPr>
          <w:spacing w:val="-68"/>
        </w:rPr>
      </w:r>
      <w:r>
        <w:rPr/>
        <w:t>达通信技术有限公司（以下简称“宙达通信”）</w:t>
      </w:r>
      <w:r>
        <w:rPr>
          <w:rFonts w:ascii="宋体" w:hAnsi="宋体" w:cs="宋体" w:eastAsia="宋体" w:hint="default"/>
        </w:rPr>
        <w:t>100%</w:t>
      </w:r>
      <w:r>
        <w:rPr/>
        <w:t>股权。本次股权收购价格以宙达通信</w:t>
      </w:r>
      <w:r>
        <w:rPr>
          <w:spacing w:val="-53"/>
        </w:rPr>
        <w:t> </w:t>
      </w:r>
      <w:r>
        <w:rPr>
          <w:rFonts w:ascii="宋体" w:hAnsi="宋体" w:cs="宋体" w:eastAsia="宋体" w:hint="default"/>
        </w:rPr>
        <w:t>2013</w:t>
      </w:r>
      <w:r>
        <w:rPr>
          <w:rFonts w:ascii="宋体" w:hAnsi="宋体" w:cs="宋体" w:eastAsia="宋体" w:hint="default"/>
          <w:spacing w:val="-54"/>
        </w:rPr>
        <w:t> </w:t>
      </w:r>
      <w:r>
        <w:rPr/>
        <w:t>年度经审</w:t>
      </w:r>
    </w:p>
    <w:p>
      <w:pPr>
        <w:pStyle w:val="BodyText"/>
        <w:spacing w:line="240" w:lineRule="auto"/>
        <w:ind w:right="1046"/>
        <w:jc w:val="left"/>
        <w:rPr>
          <w:rFonts w:ascii="宋体" w:hAnsi="宋体" w:cs="宋体" w:eastAsia="宋体" w:hint="default"/>
        </w:rPr>
      </w:pPr>
      <w:r>
        <w:rPr/>
        <w:t>计的财务报表及</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6"/>
        </w:rPr>
        <w:t> </w:t>
      </w:r>
      <w:r>
        <w:rPr/>
        <w:t>月的财务报表为作价参考依据，确定收购价格为</w:t>
      </w:r>
      <w:r>
        <w:rPr>
          <w:spacing w:val="-56"/>
        </w:rPr>
        <w:t> </w:t>
      </w:r>
      <w:r>
        <w:rPr>
          <w:rFonts w:ascii="宋体" w:hAnsi="宋体" w:cs="宋体" w:eastAsia="宋体" w:hint="default"/>
        </w:rPr>
        <w:t>1000</w:t>
      </w:r>
      <w:r>
        <w:rPr>
          <w:rFonts w:ascii="宋体" w:hAnsi="宋体" w:cs="宋体" w:eastAsia="宋体" w:hint="default"/>
          <w:spacing w:val="-57"/>
        </w:rPr>
        <w:t> </w:t>
      </w:r>
      <w:r>
        <w:rPr/>
        <w:t>万元人民币。</w:t>
      </w:r>
      <w:r>
        <w:rPr>
          <w:rFonts w:ascii="宋体" w:hAnsi="宋体" w:cs="宋体" w:eastAsia="宋体" w:hint="default"/>
        </w:rPr>
        <w:t>2014</w:t>
      </w:r>
      <w:r>
        <w:rPr>
          <w:rFonts w:ascii="宋体" w:hAnsi="宋体" w:cs="宋体" w:eastAsia="宋体" w:hint="default"/>
          <w:spacing w:val="-57"/>
        </w:rPr>
        <w:t> </w:t>
      </w:r>
      <w:r>
        <w:rPr/>
        <w:t>年</w:t>
      </w:r>
      <w:r>
        <w:rPr>
          <w:spacing w:val="-57"/>
        </w:rPr>
        <w:t> </w:t>
      </w:r>
      <w:r>
        <w:rPr>
          <w:rFonts w:ascii="宋体" w:hAnsi="宋体" w:cs="宋体" w:eastAsia="宋体" w:hint="default"/>
        </w:rPr>
        <w:t>4</w:t>
      </w:r>
    </w:p>
    <w:p>
      <w:pPr>
        <w:spacing w:line="240" w:lineRule="auto" w:before="10"/>
        <w:rPr>
          <w:rFonts w:ascii="宋体" w:hAnsi="宋体" w:cs="宋体" w:eastAsia="宋体" w:hint="default"/>
          <w:sz w:val="14"/>
          <w:szCs w:val="14"/>
        </w:rPr>
      </w:pPr>
    </w:p>
    <w:p>
      <w:pPr>
        <w:pStyle w:val="BodyText"/>
        <w:spacing w:line="408" w:lineRule="auto" w:before="0"/>
        <w:ind w:right="1125"/>
        <w:jc w:val="left"/>
      </w:pPr>
      <w:r>
        <w:rPr/>
        <w:t>月</w:t>
      </w:r>
      <w:r>
        <w:rPr>
          <w:spacing w:val="-50"/>
        </w:rPr>
        <w:t> </w:t>
      </w:r>
      <w:r>
        <w:rPr>
          <w:rFonts w:ascii="宋体" w:hAnsi="宋体" w:cs="宋体" w:eastAsia="宋体" w:hint="default"/>
          <w:spacing w:val="-1"/>
        </w:rPr>
        <w:t>21</w:t>
      </w:r>
      <w:r>
        <w:rPr>
          <w:rFonts w:ascii="宋体" w:hAnsi="宋体" w:cs="宋体" w:eastAsia="宋体" w:hint="default"/>
          <w:spacing w:val="-49"/>
        </w:rPr>
        <w:t> </w:t>
      </w:r>
      <w:r>
        <w:rPr>
          <w:spacing w:val="-1"/>
        </w:rPr>
        <w:t>日，公司与宙达通信原</w:t>
      </w:r>
      <w:r>
        <w:rPr>
          <w:spacing w:val="-50"/>
        </w:rPr>
        <w:t> </w:t>
      </w:r>
      <w:r>
        <w:rPr>
          <w:rFonts w:ascii="宋体" w:hAnsi="宋体" w:cs="宋体" w:eastAsia="宋体" w:hint="default"/>
        </w:rPr>
        <w:t>4</w:t>
      </w:r>
      <w:r>
        <w:rPr>
          <w:rFonts w:ascii="宋体" w:hAnsi="宋体" w:cs="宋体" w:eastAsia="宋体" w:hint="default"/>
          <w:spacing w:val="-49"/>
        </w:rPr>
        <w:t> </w:t>
      </w:r>
      <w:r>
        <w:rPr>
          <w:spacing w:val="-5"/>
        </w:rPr>
        <w:t>位自然人股东签订了《股权转让合同》，约定公司以人民币</w:t>
      </w:r>
      <w:r>
        <w:rPr>
          <w:spacing w:val="-49"/>
        </w:rPr>
        <w:t> </w:t>
      </w:r>
      <w:r>
        <w:rPr>
          <w:rFonts w:ascii="宋体" w:hAnsi="宋体" w:cs="宋体" w:eastAsia="宋体" w:hint="default"/>
        </w:rPr>
        <w:t>1000</w:t>
      </w:r>
      <w:r>
        <w:rPr>
          <w:rFonts w:ascii="宋体" w:hAnsi="宋体" w:cs="宋体" w:eastAsia="宋体" w:hint="default"/>
          <w:spacing w:val="-51"/>
        </w:rPr>
        <w:t> </w:t>
      </w:r>
      <w:r>
        <w:rPr/>
        <w:t>万元收购</w:t>
      </w:r>
      <w:r>
        <w:rPr>
          <w:spacing w:val="-98"/>
        </w:rPr>
        <w:t> </w:t>
      </w:r>
      <w:r>
        <w:rPr/>
        <w:t>宙达通信</w:t>
      </w:r>
      <w:r>
        <w:rPr>
          <w:spacing w:val="-57"/>
        </w:rPr>
        <w:t> </w:t>
      </w:r>
      <w:r>
        <w:rPr>
          <w:rFonts w:ascii="宋体" w:hAnsi="宋体" w:cs="宋体" w:eastAsia="宋体" w:hint="default"/>
        </w:rPr>
        <w:t>100%</w:t>
      </w:r>
      <w:r>
        <w:rPr/>
        <w:t>股权。</w:t>
      </w:r>
      <w:r>
        <w:rPr>
          <w:rFonts w:ascii="宋体" w:hAnsi="宋体" w:cs="宋体" w:eastAsia="宋体" w:hint="default"/>
        </w:rPr>
        <w:t>2014</w:t>
      </w:r>
      <w:r>
        <w:rPr>
          <w:rFonts w:ascii="宋体" w:hAnsi="宋体" w:cs="宋体" w:eastAsia="宋体" w:hint="default"/>
          <w:spacing w:val="-59"/>
        </w:rPr>
        <w:t> </w:t>
      </w:r>
      <w:r>
        <w:rPr/>
        <w:t>年</w:t>
      </w:r>
      <w:r>
        <w:rPr>
          <w:spacing w:val="-58"/>
        </w:rPr>
        <w:t> </w:t>
      </w:r>
      <w:r>
        <w:rPr>
          <w:rFonts w:ascii="宋体" w:hAnsi="宋体" w:cs="宋体" w:eastAsia="宋体" w:hint="default"/>
        </w:rPr>
        <w:t>5</w:t>
      </w:r>
      <w:r>
        <w:rPr>
          <w:rFonts w:ascii="宋体" w:hAnsi="宋体" w:cs="宋体" w:eastAsia="宋体" w:hint="default"/>
          <w:spacing w:val="-57"/>
        </w:rPr>
        <w:t> </w:t>
      </w:r>
      <w:r>
        <w:rPr/>
        <w:t>月</w:t>
      </w:r>
      <w:r>
        <w:rPr>
          <w:spacing w:val="-59"/>
        </w:rPr>
        <w:t> </w:t>
      </w:r>
      <w:r>
        <w:rPr>
          <w:rFonts w:ascii="宋体" w:hAnsi="宋体" w:cs="宋体" w:eastAsia="宋体" w:hint="default"/>
        </w:rPr>
        <w:t>23</w:t>
      </w:r>
      <w:r>
        <w:rPr>
          <w:rFonts w:ascii="宋体" w:hAnsi="宋体" w:cs="宋体" w:eastAsia="宋体" w:hint="default"/>
          <w:spacing w:val="-57"/>
        </w:rPr>
        <w:t> </w:t>
      </w:r>
      <w:r>
        <w:rPr/>
        <w:t>日，公司就上述收购事宜办结股权移交手续，并完成了相应的工商登 记变更手续，领取了股权变更后的营业执照。</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月，宙达通信正式纳入公司的合并范围。</w:t>
      </w:r>
    </w:p>
    <w:p>
      <w:pPr>
        <w:pStyle w:val="BodyText"/>
        <w:spacing w:line="408" w:lineRule="auto"/>
        <w:ind w:right="1132" w:firstLine="420"/>
        <w:jc w:val="both"/>
      </w:pPr>
      <w:r>
        <w:rPr/>
        <w:t>②</w:t>
      </w:r>
      <w:r>
        <w:rPr>
          <w:spacing w:val="9"/>
        </w:rPr>
        <w:t> </w:t>
      </w:r>
      <w:r>
        <w:rPr>
          <w:rFonts w:ascii="宋体" w:hAnsi="宋体" w:cs="宋体" w:eastAsia="宋体" w:hint="default"/>
        </w:rPr>
        <w:t>2014</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48"/>
        </w:rPr>
        <w:t> </w:t>
      </w:r>
      <w:r>
        <w:rPr/>
        <w:t>月</w:t>
      </w:r>
      <w:r>
        <w:rPr>
          <w:spacing w:val="-51"/>
        </w:rPr>
        <w:t> </w:t>
      </w:r>
      <w:r>
        <w:rPr>
          <w:rFonts w:ascii="宋体" w:hAnsi="宋体" w:cs="宋体" w:eastAsia="宋体" w:hint="default"/>
        </w:rPr>
        <w:t>2</w:t>
      </w:r>
      <w:r>
        <w:rPr>
          <w:rFonts w:ascii="宋体" w:hAnsi="宋体" w:cs="宋体" w:eastAsia="宋体" w:hint="default"/>
          <w:spacing w:val="-48"/>
        </w:rPr>
        <w:t> </w:t>
      </w:r>
      <w:r>
        <w:rPr>
          <w:spacing w:val="-3"/>
        </w:rPr>
        <w:t>日，公司第二届董事会第十四次会议审议通过了《关于收购深圳市运联通通信服务</w:t>
      </w:r>
      <w:r>
        <w:rPr/>
        <w:t> 有限公司</w:t>
      </w:r>
      <w:r>
        <w:rPr>
          <w:spacing w:val="-39"/>
        </w:rPr>
        <w:t> </w:t>
      </w:r>
      <w:r>
        <w:rPr>
          <w:rFonts w:ascii="宋体" w:hAnsi="宋体" w:cs="宋体" w:eastAsia="宋体" w:hint="default"/>
          <w:spacing w:val="-3"/>
        </w:rPr>
        <w:t>100%</w:t>
      </w:r>
      <w:r>
        <w:rPr>
          <w:spacing w:val="-3"/>
        </w:rPr>
        <w:t>股权的议案》，同意公司使用自有资金收购深圳市运联通通信服务有限公司（以下简称“运</w:t>
      </w:r>
      <w:r>
        <w:rPr>
          <w:spacing w:val="-95"/>
        </w:rPr>
        <w:t> </w:t>
      </w:r>
      <w:r>
        <w:rPr>
          <w:spacing w:val="-95"/>
        </w:rPr>
      </w:r>
      <w:r>
        <w:rPr>
          <w:spacing w:val="-3"/>
        </w:rPr>
        <w:t>联通”）</w:t>
      </w:r>
      <w:r>
        <w:rPr>
          <w:rFonts w:ascii="宋体" w:hAnsi="宋体" w:cs="宋体" w:eastAsia="宋体" w:hint="default"/>
          <w:spacing w:val="-3"/>
        </w:rPr>
        <w:t>100%</w:t>
      </w:r>
      <w:r>
        <w:rPr>
          <w:spacing w:val="-3"/>
        </w:rPr>
        <w:t>股权。</w:t>
      </w:r>
      <w:r>
        <w:rPr>
          <w:rFonts w:ascii="宋体" w:hAnsi="宋体" w:cs="宋体" w:eastAsia="宋体" w:hint="default"/>
          <w:spacing w:val="-3"/>
        </w:rPr>
        <w:t>2014</w:t>
      </w:r>
      <w:r>
        <w:rPr>
          <w:rFonts w:ascii="宋体" w:hAnsi="宋体" w:cs="宋体" w:eastAsia="宋体" w:hint="default"/>
          <w:spacing w:val="-60"/>
        </w:rPr>
        <w:t> </w:t>
      </w:r>
      <w:r>
        <w:rPr/>
        <w:t>年</w:t>
      </w:r>
      <w:r>
        <w:rPr>
          <w:spacing w:val="-60"/>
        </w:rPr>
        <w:t> </w:t>
      </w:r>
      <w:r>
        <w:rPr>
          <w:rFonts w:ascii="宋体" w:hAnsi="宋体" w:cs="宋体" w:eastAsia="宋体" w:hint="default"/>
        </w:rPr>
        <w:t>12</w:t>
      </w:r>
      <w:r>
        <w:rPr>
          <w:rFonts w:ascii="宋体" w:hAnsi="宋体" w:cs="宋体" w:eastAsia="宋体" w:hint="default"/>
          <w:spacing w:val="-59"/>
        </w:rPr>
        <w:t> </w:t>
      </w:r>
      <w:r>
        <w:rPr/>
        <w:t>月</w:t>
      </w:r>
      <w:r>
        <w:rPr>
          <w:spacing w:val="-60"/>
        </w:rPr>
        <w:t> </w:t>
      </w:r>
      <w:r>
        <w:rPr>
          <w:rFonts w:ascii="宋体" w:hAnsi="宋体" w:cs="宋体" w:eastAsia="宋体" w:hint="default"/>
        </w:rPr>
        <w:t>10</w:t>
      </w:r>
      <w:r>
        <w:rPr>
          <w:rFonts w:ascii="宋体" w:hAnsi="宋体" w:cs="宋体" w:eastAsia="宋体" w:hint="default"/>
          <w:spacing w:val="-60"/>
        </w:rPr>
        <w:t> </w:t>
      </w:r>
      <w:r>
        <w:rPr/>
        <w:t>日，经深圳联合产权交易所公告确认，深圳市对外经济贸易投资有限 公司持有的运联通</w:t>
      </w:r>
      <w:r>
        <w:rPr>
          <w:spacing w:val="-52"/>
        </w:rPr>
        <w:t> </w:t>
      </w:r>
      <w:r>
        <w:rPr>
          <w:rFonts w:ascii="宋体" w:hAnsi="宋体" w:cs="宋体" w:eastAsia="宋体" w:hint="default"/>
        </w:rPr>
        <w:t>100%</w:t>
      </w:r>
      <w:r>
        <w:rPr/>
        <w:t>股权最终以人民币</w:t>
      </w:r>
      <w:r>
        <w:rPr>
          <w:spacing w:val="-52"/>
        </w:rPr>
        <w:t> </w:t>
      </w:r>
      <w:r>
        <w:rPr>
          <w:rFonts w:ascii="宋体" w:hAnsi="宋体" w:cs="宋体" w:eastAsia="宋体" w:hint="default"/>
        </w:rPr>
        <w:t>1079</w:t>
      </w:r>
      <w:r>
        <w:rPr>
          <w:rFonts w:ascii="宋体" w:hAnsi="宋体" w:cs="宋体" w:eastAsia="宋体" w:hint="default"/>
          <w:spacing w:val="-54"/>
        </w:rPr>
        <w:t> </w:t>
      </w:r>
      <w:r>
        <w:rPr/>
        <w:t>万元的价格协议转让给海能达通信股份有限公司。公司已 完成股权转让事宜的办理，并于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30</w:t>
      </w:r>
      <w:r>
        <w:rPr>
          <w:rFonts w:ascii="宋体" w:hAnsi="宋体" w:cs="宋体" w:eastAsia="宋体" w:hint="default"/>
          <w:spacing w:val="-53"/>
        </w:rPr>
        <w:t> </w:t>
      </w:r>
      <w:r>
        <w:rPr/>
        <w:t>日取得了深圳市市场监督管理局颁发的《企业法人营业</w:t>
      </w:r>
    </w:p>
    <w:p>
      <w:pPr>
        <w:pStyle w:val="BodyText"/>
        <w:spacing w:line="240" w:lineRule="auto"/>
        <w:ind w:right="1046"/>
        <w:jc w:val="left"/>
      </w:pPr>
      <w:r>
        <w:rPr/>
        <w:t>执照</w:t>
      </w:r>
      <w:r>
        <w:rPr>
          <w:spacing w:val="-105"/>
        </w:rPr>
        <w:t>》</w:t>
      </w:r>
      <w:r>
        <w:rPr/>
        <w:t>。</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3"/>
        </w:rPr>
        <w:t> </w:t>
      </w:r>
      <w:r>
        <w:rPr/>
        <w:t>日，运联通正式纳公司入合并范围。</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③</w:t>
      </w:r>
      <w:r>
        <w:rPr>
          <w:rFonts w:ascii="宋体" w:hAnsi="宋体" w:cs="宋体" w:eastAsia="宋体" w:hint="default"/>
        </w:rPr>
        <w:t>2013</w:t>
      </w:r>
      <w:r>
        <w:rPr>
          <w:rFonts w:ascii="宋体" w:hAnsi="宋体" w:cs="宋体" w:eastAsia="宋体" w:hint="default"/>
          <w:spacing w:val="-53"/>
        </w:rPr>
        <w:t> </w:t>
      </w:r>
      <w:r>
        <w:rPr/>
        <w:t>年</w:t>
      </w:r>
      <w:r>
        <w:rPr>
          <w:spacing w:val="-53"/>
        </w:rPr>
        <w:t> </w:t>
      </w:r>
      <w:r>
        <w:rPr>
          <w:rFonts w:ascii="宋体" w:hAnsi="宋体" w:cs="宋体" w:eastAsia="宋体" w:hint="default"/>
        </w:rPr>
        <w:t>8</w:t>
      </w:r>
      <w:r>
        <w:rPr>
          <w:rFonts w:ascii="宋体" w:hAnsi="宋体" w:cs="宋体" w:eastAsia="宋体" w:hint="default"/>
          <w:spacing w:val="-53"/>
        </w:rPr>
        <w:t> </w:t>
      </w:r>
      <w:r>
        <w:rPr/>
        <w:t>月</w:t>
      </w:r>
      <w:r>
        <w:rPr>
          <w:spacing w:val="-53"/>
        </w:rPr>
        <w:t> </w:t>
      </w:r>
      <w:r>
        <w:rPr>
          <w:rFonts w:ascii="宋体" w:hAnsi="宋体" w:cs="宋体" w:eastAsia="宋体" w:hint="default"/>
          <w:spacing w:val="-1"/>
        </w:rPr>
        <w:t>1</w:t>
      </w:r>
      <w:r>
        <w:rPr>
          <w:rFonts w:ascii="宋体" w:hAnsi="宋体" w:cs="宋体" w:eastAsia="宋体" w:hint="default"/>
        </w:rPr>
        <w:t>3</w:t>
      </w:r>
      <w:r>
        <w:rPr>
          <w:rFonts w:ascii="宋体" w:hAnsi="宋体" w:cs="宋体" w:eastAsia="宋体" w:hint="default"/>
          <w:spacing w:val="-52"/>
        </w:rPr>
        <w:t> </w:t>
      </w:r>
      <w:r>
        <w:rPr/>
        <w:t>日公</w:t>
      </w:r>
      <w:r>
        <w:rPr>
          <w:spacing w:val="-2"/>
        </w:rPr>
        <w:t>司</w:t>
      </w:r>
      <w:r>
        <w:rPr/>
        <w:t>第二届董事会第三次会议审议通过</w:t>
      </w:r>
      <w:r>
        <w:rPr>
          <w:spacing w:val="-38"/>
        </w:rPr>
        <w:t>了</w:t>
      </w:r>
      <w:r>
        <w:rPr/>
        <w:t>《关于设立澳大利亚子公司的议案</w:t>
      </w:r>
      <w:r>
        <w:rPr>
          <w:spacing w:val="-106"/>
        </w:rPr>
        <w:t>》</w:t>
      </w:r>
      <w:r>
        <w:rPr>
          <w:spacing w:val="-38"/>
        </w:rPr>
        <w:t>，</w:t>
      </w:r>
      <w:r>
        <w:rPr/>
        <w:t>同</w:t>
      </w:r>
    </w:p>
    <w:p>
      <w:pPr>
        <w:spacing w:line="240" w:lineRule="auto" w:before="10"/>
        <w:rPr>
          <w:rFonts w:ascii="宋体" w:hAnsi="宋体" w:cs="宋体" w:eastAsia="宋体" w:hint="default"/>
          <w:sz w:val="14"/>
          <w:szCs w:val="14"/>
        </w:rPr>
      </w:pPr>
    </w:p>
    <w:p>
      <w:pPr>
        <w:pStyle w:val="BodyText"/>
        <w:spacing w:line="408" w:lineRule="auto" w:before="0"/>
        <w:ind w:right="1022"/>
        <w:jc w:val="left"/>
      </w:pPr>
      <w:r>
        <w:rPr/>
        <w:t>意公司使用自有资金</w:t>
      </w:r>
      <w:r>
        <w:rPr>
          <w:spacing w:val="-52"/>
        </w:rPr>
        <w:t> </w:t>
      </w:r>
      <w:r>
        <w:rPr>
          <w:rFonts w:ascii="宋体" w:hAnsi="宋体" w:cs="宋体" w:eastAsia="宋体" w:hint="default"/>
        </w:rPr>
        <w:t>50</w:t>
      </w:r>
      <w:r>
        <w:rPr>
          <w:rFonts w:ascii="宋体" w:hAnsi="宋体" w:cs="宋体" w:eastAsia="宋体" w:hint="default"/>
          <w:spacing w:val="-53"/>
        </w:rPr>
        <w:t> </w:t>
      </w:r>
      <w:r>
        <w:rPr>
          <w:spacing w:val="-5"/>
        </w:rPr>
        <w:t>万美元设立澳大利亚子公司。</w:t>
      </w:r>
      <w:r>
        <w:rPr>
          <w:rFonts w:ascii="宋体" w:hAnsi="宋体" w:cs="宋体" w:eastAsia="宋体" w:hint="default"/>
          <w:spacing w:val="-5"/>
        </w:rPr>
        <w:t>2013</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18</w:t>
      </w:r>
      <w:r>
        <w:rPr>
          <w:rFonts w:ascii="宋体" w:hAnsi="宋体" w:cs="宋体" w:eastAsia="宋体" w:hint="default"/>
          <w:spacing w:val="-52"/>
        </w:rPr>
        <w:t> </w:t>
      </w:r>
      <w:r>
        <w:rPr/>
        <w:t>日澳大利亚证劵和投资委员会核准并 颁发了海能达通信（澳大利亚）有限公司注册登记证明文件。公司名称：海能达通信（澳大利亚）有限公 司；注册号：</w:t>
      </w:r>
      <w:r>
        <w:rPr>
          <w:rFonts w:ascii="宋体" w:hAnsi="宋体" w:cs="宋体" w:eastAsia="宋体" w:hint="default"/>
        </w:rPr>
        <w:t>165879701</w:t>
      </w:r>
      <w:r>
        <w:rPr/>
        <w:t>；地址：澳大利亚昆士兰州；公司类型：股份有限责任公司。公司主营业务为专 </w:t>
      </w:r>
      <w:r>
        <w:rPr>
          <w:spacing w:val="-4"/>
        </w:rPr>
        <w:t>业无线通信产品的销售和服务。该投资款已于</w:t>
      </w:r>
      <w:r>
        <w:rPr>
          <w:spacing w:val="-51"/>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4</w:t>
      </w:r>
      <w:r>
        <w:rPr>
          <w:rFonts w:ascii="宋体" w:hAnsi="宋体" w:cs="宋体" w:eastAsia="宋体" w:hint="default"/>
          <w:spacing w:val="-51"/>
        </w:rPr>
        <w:t> </w:t>
      </w:r>
      <w:r>
        <w:rPr/>
        <w:t>月</w:t>
      </w:r>
      <w:r>
        <w:rPr>
          <w:spacing w:val="-53"/>
        </w:rPr>
        <w:t> </w:t>
      </w:r>
      <w:r>
        <w:rPr>
          <w:rFonts w:ascii="宋体" w:hAnsi="宋体" w:cs="宋体" w:eastAsia="宋体" w:hint="default"/>
        </w:rPr>
        <w:t>2</w:t>
      </w:r>
      <w:r>
        <w:rPr>
          <w:rFonts w:ascii="宋体" w:hAnsi="宋体" w:cs="宋体" w:eastAsia="宋体" w:hint="default"/>
          <w:spacing w:val="-51"/>
        </w:rPr>
        <w:t> </w:t>
      </w:r>
      <w:r>
        <w:rPr>
          <w:spacing w:val="-11"/>
        </w:rPr>
        <w:t>日支付，并于</w:t>
      </w:r>
      <w:r>
        <w:rPr>
          <w:spacing w:val="-52"/>
        </w:rPr>
        <w:t> </w:t>
      </w:r>
      <w:r>
        <w:rPr>
          <w:rFonts w:ascii="宋体" w:hAnsi="宋体" w:cs="宋体" w:eastAsia="宋体" w:hint="default"/>
        </w:rPr>
        <w:t>2014</w:t>
      </w:r>
      <w:r>
        <w:rPr>
          <w:rFonts w:ascii="宋体" w:hAnsi="宋体" w:cs="宋体" w:eastAsia="宋体" w:hint="default"/>
          <w:spacing w:val="-51"/>
        </w:rPr>
        <w:t> </w:t>
      </w:r>
      <w:r>
        <w:rPr/>
        <w:t>年</w:t>
      </w:r>
      <w:r>
        <w:rPr>
          <w:spacing w:val="-53"/>
        </w:rPr>
        <w:t> </w:t>
      </w:r>
      <w:r>
        <w:rPr>
          <w:rFonts w:ascii="宋体" w:hAnsi="宋体" w:cs="宋体" w:eastAsia="宋体" w:hint="default"/>
        </w:rPr>
        <w:t>4</w:t>
      </w:r>
      <w:r>
        <w:rPr>
          <w:rFonts w:ascii="宋体" w:hAnsi="宋体" w:cs="宋体" w:eastAsia="宋体" w:hint="default"/>
          <w:spacing w:val="-51"/>
        </w:rPr>
        <w:t> </w:t>
      </w:r>
      <w:r>
        <w:rPr/>
        <w:t>月纳入公司合并范围。</w:t>
      </w:r>
    </w:p>
    <w:p>
      <w:pPr>
        <w:pStyle w:val="BodyText"/>
        <w:spacing w:line="408" w:lineRule="auto"/>
        <w:ind w:right="1129" w:firstLine="420"/>
        <w:jc w:val="left"/>
      </w:pPr>
      <w:r>
        <w:rPr/>
        <w:t>④</w:t>
      </w:r>
      <w:r>
        <w:rPr>
          <w:rFonts w:ascii="宋体" w:hAnsi="宋体" w:cs="宋体" w:eastAsia="宋体" w:hint="default"/>
        </w:rPr>
        <w:t>2014</w:t>
      </w:r>
      <w:r>
        <w:rPr>
          <w:rFonts w:ascii="宋体" w:hAnsi="宋体" w:cs="宋体" w:eastAsia="宋体" w:hint="default"/>
          <w:spacing w:val="-51"/>
        </w:rPr>
        <w:t> </w:t>
      </w:r>
      <w:r>
        <w:rPr/>
        <w:t>年</w:t>
      </w:r>
      <w:r>
        <w:rPr>
          <w:spacing w:val="-51"/>
        </w:rPr>
        <w:t> </w:t>
      </w:r>
      <w:r>
        <w:rPr>
          <w:rFonts w:ascii="宋体" w:hAnsi="宋体" w:cs="宋体" w:eastAsia="宋体" w:hint="default"/>
        </w:rPr>
        <w:t>8</w:t>
      </w:r>
      <w:r>
        <w:rPr>
          <w:rFonts w:ascii="宋体" w:hAnsi="宋体" w:cs="宋体" w:eastAsia="宋体" w:hint="default"/>
          <w:spacing w:val="-51"/>
        </w:rPr>
        <w:t> </w:t>
      </w:r>
      <w:r>
        <w:rPr/>
        <w:t>月</w:t>
      </w:r>
      <w:r>
        <w:rPr>
          <w:spacing w:val="-51"/>
        </w:rPr>
        <w:t> </w:t>
      </w:r>
      <w:r>
        <w:rPr>
          <w:rFonts w:ascii="宋体" w:hAnsi="宋体" w:cs="宋体" w:eastAsia="宋体" w:hint="default"/>
        </w:rPr>
        <w:t>14</w:t>
      </w:r>
      <w:r>
        <w:rPr>
          <w:rFonts w:ascii="宋体" w:hAnsi="宋体" w:cs="宋体" w:eastAsia="宋体" w:hint="default"/>
          <w:spacing w:val="-50"/>
        </w:rPr>
        <w:t> </w:t>
      </w:r>
      <w:r>
        <w:rPr>
          <w:spacing w:val="-3"/>
        </w:rPr>
        <w:t>日，公司以自有资金</w:t>
      </w:r>
      <w:r>
        <w:rPr>
          <w:spacing w:val="-50"/>
        </w:rPr>
        <w:t> </w:t>
      </w:r>
      <w:r>
        <w:rPr>
          <w:rFonts w:ascii="宋体" w:hAnsi="宋体" w:cs="宋体" w:eastAsia="宋体" w:hint="default"/>
        </w:rPr>
        <w:t>200</w:t>
      </w:r>
      <w:r>
        <w:rPr>
          <w:rFonts w:ascii="宋体" w:hAnsi="宋体" w:cs="宋体" w:eastAsia="宋体" w:hint="default"/>
          <w:spacing w:val="-50"/>
        </w:rPr>
        <w:t> </w:t>
      </w:r>
      <w:r>
        <w:rPr>
          <w:spacing w:val="-4"/>
        </w:rPr>
        <w:t>万雷亚尔（约合</w:t>
      </w:r>
      <w:r>
        <w:rPr>
          <w:spacing w:val="-51"/>
        </w:rPr>
        <w:t> </w:t>
      </w:r>
      <w:r>
        <w:rPr>
          <w:rFonts w:ascii="宋体" w:hAnsi="宋体" w:cs="宋体" w:eastAsia="宋体" w:hint="default"/>
        </w:rPr>
        <w:t>89</w:t>
      </w:r>
      <w:r>
        <w:rPr>
          <w:rFonts w:ascii="宋体" w:hAnsi="宋体" w:cs="宋体" w:eastAsia="宋体" w:hint="default"/>
          <w:spacing w:val="-50"/>
        </w:rPr>
        <w:t> </w:t>
      </w:r>
      <w:r>
        <w:rPr>
          <w:spacing w:val="-3"/>
        </w:rPr>
        <w:t>万美元）投资设立巴西子公司，子公司</w:t>
      </w:r>
      <w:r>
        <w:rPr/>
        <w:t> 名称为 </w:t>
      </w:r>
      <w:r>
        <w:rPr>
          <w:rFonts w:ascii="宋体" w:hAnsi="宋体" w:cs="宋体" w:eastAsia="宋体" w:hint="default"/>
        </w:rPr>
        <w:t>Hytera Communication DO BRASIL</w:t>
      </w:r>
      <w:r>
        <w:rPr>
          <w:rFonts w:ascii="宋体" w:hAnsi="宋体" w:cs="宋体" w:eastAsia="宋体" w:hint="default"/>
          <w:spacing w:val="-60"/>
        </w:rPr>
        <w:t> </w:t>
      </w:r>
      <w:r>
        <w:rPr>
          <w:rFonts w:ascii="宋体" w:hAnsi="宋体" w:cs="宋体" w:eastAsia="宋体" w:hint="default"/>
        </w:rPr>
        <w:t>LTDA</w:t>
      </w:r>
      <w:r>
        <w:rPr/>
        <w:t>，注册号：</w:t>
      </w:r>
      <w:r>
        <w:rPr>
          <w:rFonts w:ascii="宋体" w:hAnsi="宋体" w:cs="宋体" w:eastAsia="宋体" w:hint="default"/>
        </w:rPr>
        <w:t>17.521.666/0001-98</w:t>
      </w:r>
      <w:r>
        <w:rPr/>
        <w:t>；地址：巴西圣保罗州； 公司类型：有限责任公司。公司主营业务为专业无线通信产品的销售和服务。于</w:t>
      </w:r>
      <w:r>
        <w:rPr>
          <w:spacing w:val="-52"/>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3"/>
        </w:rPr>
        <w:t> </w:t>
      </w:r>
      <w:r>
        <w:rPr/>
        <w:t>月纳入公司合 并范围。</w:t>
      </w:r>
    </w:p>
    <w:p>
      <w:pPr>
        <w:spacing w:after="0" w:line="408"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46"/>
        <w:jc w:val="left"/>
        <w:rPr>
          <w:b w:val="0"/>
          <w:bCs w:val="0"/>
        </w:rPr>
      </w:pPr>
      <w:bookmarkStart w:name="十三、公司利润分配及分红派息情况" w:id="55"/>
      <w:bookmarkEnd w:id="55"/>
      <w:r>
        <w:rPr>
          <w:b w:val="0"/>
          <w:bCs w:val="0"/>
        </w:rPr>
      </w:r>
      <w:r>
        <w:rPr/>
        <w:t>十三、公司利润分配及分红派息情况</w:t>
      </w:r>
      <w:r>
        <w:rPr>
          <w:b w:val="0"/>
          <w:bCs w:val="0"/>
        </w:rPr>
      </w:r>
    </w:p>
    <w:p>
      <w:pPr>
        <w:spacing w:line="240" w:lineRule="auto" w:before="7"/>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报告期内利润分配政策的制定、执行或调整情况</w:t>
      </w:r>
    </w:p>
    <w:p>
      <w:pPr>
        <w:spacing w:before="116"/>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573" w:right="1046"/>
        <w:jc w:val="left"/>
      </w:pPr>
      <w:r>
        <w:rPr/>
        <w:t>根据中国证券监督管理委员会</w:t>
      </w:r>
      <w:r>
        <w:rPr>
          <w:spacing w:val="-53"/>
        </w:rPr>
        <w:t> </w:t>
      </w:r>
      <w:r>
        <w:rPr>
          <w:rFonts w:ascii="宋体" w:hAnsi="宋体" w:cs="宋体" w:eastAsia="宋体" w:hint="default"/>
        </w:rPr>
        <w:t>2012</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9</w:t>
      </w:r>
      <w:r>
        <w:rPr>
          <w:rFonts w:ascii="宋体" w:hAnsi="宋体" w:cs="宋体" w:eastAsia="宋体" w:hint="default"/>
          <w:spacing w:val="-53"/>
        </w:rPr>
        <w:t> </w:t>
      </w:r>
      <w:r>
        <w:rPr/>
        <w:t>日下发的《关于进一步落实上市公司现金分红有关事项</w:t>
      </w:r>
    </w:p>
    <w:p>
      <w:pPr>
        <w:spacing w:line="240" w:lineRule="auto" w:before="10"/>
        <w:rPr>
          <w:rFonts w:ascii="宋体" w:hAnsi="宋体" w:cs="宋体" w:eastAsia="宋体" w:hint="default"/>
          <w:sz w:val="14"/>
          <w:szCs w:val="14"/>
        </w:rPr>
      </w:pPr>
    </w:p>
    <w:p>
      <w:pPr>
        <w:pStyle w:val="BodyText"/>
        <w:spacing w:line="408" w:lineRule="auto" w:before="0"/>
        <w:ind w:right="1118"/>
        <w:jc w:val="left"/>
      </w:pPr>
      <w:r>
        <w:rPr/>
        <w:t>的通知》和深圳证监局</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18</w:t>
      </w:r>
      <w:r>
        <w:rPr>
          <w:rFonts w:ascii="宋体" w:hAnsi="宋体" w:cs="宋体" w:eastAsia="宋体" w:hint="default"/>
          <w:spacing w:val="-53"/>
        </w:rPr>
        <w:t> </w:t>
      </w:r>
      <w:r>
        <w:rPr/>
        <w:t>日下发的《关于认真贯彻落实</w:t>
      </w:r>
      <w:r>
        <w:rPr>
          <w:rFonts w:ascii="宋体" w:hAnsi="宋体" w:cs="宋体" w:eastAsia="宋体" w:hint="default"/>
        </w:rPr>
        <w:t>&lt;</w:t>
      </w:r>
      <w:r>
        <w:rPr/>
        <w:t>关于进一步落实上市公司现金分红 </w:t>
      </w:r>
      <w:r>
        <w:rPr>
          <w:spacing w:val="-4"/>
        </w:rPr>
        <w:t>有关事项的通知</w:t>
      </w:r>
      <w:r>
        <w:rPr>
          <w:rFonts w:ascii="宋体" w:hAnsi="宋体" w:cs="宋体" w:eastAsia="宋体" w:hint="default"/>
          <w:spacing w:val="-4"/>
        </w:rPr>
        <w:t>&gt;</w:t>
      </w:r>
      <w:r>
        <w:rPr>
          <w:spacing w:val="-4"/>
        </w:rPr>
        <w:t>有关要求的通知》（深证局公司字〔</w:t>
      </w:r>
      <w:r>
        <w:rPr>
          <w:rFonts w:ascii="宋体" w:hAnsi="宋体" w:cs="宋体" w:eastAsia="宋体" w:hint="default"/>
          <w:spacing w:val="-4"/>
        </w:rPr>
        <w:t>2012</w:t>
      </w:r>
      <w:r>
        <w:rPr>
          <w:spacing w:val="-4"/>
        </w:rPr>
        <w:t>〕</w:t>
      </w:r>
      <w:r>
        <w:rPr>
          <w:rFonts w:ascii="宋体" w:hAnsi="宋体" w:cs="宋体" w:eastAsia="宋体" w:hint="default"/>
          <w:spacing w:val="-4"/>
        </w:rPr>
        <w:t>43</w:t>
      </w:r>
      <w:r>
        <w:rPr>
          <w:rFonts w:ascii="宋体" w:hAnsi="宋体" w:cs="宋体" w:eastAsia="宋体" w:hint="default"/>
          <w:spacing w:val="-42"/>
        </w:rPr>
        <w:t> </w:t>
      </w:r>
      <w:r>
        <w:rPr>
          <w:spacing w:val="-6"/>
        </w:rPr>
        <w:t>号）（以下简称“《通知》”）相关规定和</w:t>
      </w:r>
      <w:r>
        <w:rPr>
          <w:spacing w:val="-96"/>
        </w:rPr>
        <w:t> </w:t>
      </w:r>
      <w:r>
        <w:rPr>
          <w:spacing w:val="-96"/>
        </w:rPr>
      </w:r>
      <w:r>
        <w:rPr>
          <w:spacing w:val="-1"/>
        </w:rPr>
        <w:t>要求，为了完善公司持续稳定的分红决策和监督机制，积极回报投资者，引导投资者树立长期投资和理性</w:t>
      </w:r>
      <w:r>
        <w:rPr>
          <w:spacing w:val="-83"/>
        </w:rPr>
        <w:t> </w:t>
      </w:r>
      <w:r>
        <w:rPr>
          <w:spacing w:val="-83"/>
        </w:rPr>
      </w:r>
      <w:r>
        <w:rPr>
          <w:spacing w:val="-1"/>
        </w:rPr>
        <w:t>投资理念，便于投资者形成稳定的投资回报预期，公司根据《通知》要求，通过学习并传达《通知》内容</w:t>
      </w:r>
      <w:r>
        <w:rPr>
          <w:spacing w:val="-85"/>
        </w:rPr>
        <w:t> </w:t>
      </w:r>
      <w:r>
        <w:rPr>
          <w:spacing w:val="-85"/>
        </w:rPr>
      </w:r>
      <w:r>
        <w:rPr>
          <w:spacing w:val="-3"/>
        </w:rPr>
        <w:t>及精神，制订了《关于股东回报规划事宜的论证报告》和《未来三年股东回报规划》，同时修订了《公司</w:t>
      </w:r>
      <w:r>
        <w:rPr>
          <w:spacing w:val="-74"/>
        </w:rPr>
        <w:t> </w:t>
      </w:r>
      <w:r>
        <w:rPr>
          <w:spacing w:val="-74"/>
        </w:rPr>
      </w:r>
      <w:r>
        <w:rPr>
          <w:spacing w:val="-1"/>
        </w:rPr>
        <w:t>章程》中相关内容，完善了股东大会、董事会对公司利润分配事项的决策程序和机制，加强了公司现金分</w:t>
      </w:r>
      <w:r>
        <w:rPr>
          <w:spacing w:val="-86"/>
        </w:rPr>
        <w:t> </w:t>
      </w:r>
      <w:r>
        <w:rPr>
          <w:spacing w:val="-86"/>
        </w:rPr>
      </w:r>
      <w:r>
        <w:rPr>
          <w:spacing w:val="-5"/>
        </w:rPr>
        <w:t>红透明度和现金分红信息披露透明度。公司制定的现金分红政策符合中国证监会的相关要求，修订后的《公</w:t>
      </w:r>
      <w:r>
        <w:rPr>
          <w:spacing w:val="-101"/>
        </w:rPr>
        <w:t> </w:t>
      </w:r>
      <w:r>
        <w:rPr>
          <w:spacing w:val="-101"/>
        </w:rPr>
      </w:r>
      <w:r>
        <w:rPr>
          <w:spacing w:val="-1"/>
        </w:rPr>
        <w:t>司章程》补充完善了利润分配相关条款，明确规定了利润分配的原则和方式、实施现金分红的条件、现金</w:t>
      </w:r>
      <w:r>
        <w:rPr>
          <w:spacing w:val="-86"/>
        </w:rPr>
        <w:t> </w:t>
      </w:r>
      <w:r>
        <w:rPr>
          <w:spacing w:val="-86"/>
        </w:rPr>
      </w:r>
      <w:r>
        <w:rPr/>
        <w:t>分红的比例及时间、现金分红政策的决策程序和机制、利润分配的调整机制。</w:t>
      </w:r>
      <w:r>
        <w:rPr>
          <w:spacing w:val="-1"/>
        </w:rPr>
        <w:t> </w:t>
      </w:r>
      <w:r>
        <w:rPr/>
        <w:t>上述《关于股东回报规划</w:t>
      </w:r>
      <w:r>
        <w:rPr/>
        <w:t> </w:t>
      </w:r>
      <w:r>
        <w:rPr>
          <w:spacing w:val="-8"/>
        </w:rPr>
        <w:t>事宜的论证报告》、《未来三年股东回报规划》和修订的《公司章程》业经</w:t>
      </w:r>
      <w:r>
        <w:rPr>
          <w:spacing w:val="-47"/>
        </w:rPr>
        <w:t> </w:t>
      </w:r>
      <w:r>
        <w:rPr>
          <w:rFonts w:ascii="宋体" w:hAnsi="宋体" w:cs="宋体" w:eastAsia="宋体" w:hint="default"/>
        </w:rPr>
        <w:t>2012</w:t>
      </w:r>
      <w:r>
        <w:rPr>
          <w:rFonts w:ascii="宋体" w:hAnsi="宋体" w:cs="宋体" w:eastAsia="宋体" w:hint="default"/>
          <w:spacing w:val="-47"/>
        </w:rPr>
        <w:t> </w:t>
      </w:r>
      <w:r>
        <w:rPr/>
        <w:t>年</w:t>
      </w:r>
      <w:r>
        <w:rPr>
          <w:spacing w:val="-49"/>
        </w:rPr>
        <w:t> </w:t>
      </w:r>
      <w:r>
        <w:rPr>
          <w:rFonts w:ascii="宋体" w:hAnsi="宋体" w:cs="宋体" w:eastAsia="宋体" w:hint="default"/>
        </w:rPr>
        <w:t>7</w:t>
      </w:r>
      <w:r>
        <w:rPr>
          <w:rFonts w:ascii="宋体" w:hAnsi="宋体" w:cs="宋体" w:eastAsia="宋体" w:hint="default"/>
          <w:spacing w:val="-47"/>
        </w:rPr>
        <w:t> </w:t>
      </w:r>
      <w:r>
        <w:rPr/>
        <w:t>月</w:t>
      </w:r>
      <w:r>
        <w:rPr>
          <w:spacing w:val="-49"/>
        </w:rPr>
        <w:t> </w:t>
      </w:r>
      <w:r>
        <w:rPr>
          <w:rFonts w:ascii="宋体" w:hAnsi="宋体" w:cs="宋体" w:eastAsia="宋体" w:hint="default"/>
        </w:rPr>
        <w:t>10</w:t>
      </w:r>
      <w:r>
        <w:rPr>
          <w:rFonts w:ascii="宋体" w:hAnsi="宋体" w:cs="宋体" w:eastAsia="宋体" w:hint="default"/>
          <w:spacing w:val="-47"/>
        </w:rPr>
        <w:t> </w:t>
      </w:r>
      <w:r>
        <w:rPr>
          <w:spacing w:val="-1"/>
        </w:rPr>
        <w:t>日公司第一届董</w:t>
      </w:r>
    </w:p>
    <w:p>
      <w:pPr>
        <w:pStyle w:val="BodyText"/>
        <w:spacing w:line="240" w:lineRule="auto"/>
        <w:ind w:right="1046"/>
        <w:jc w:val="left"/>
      </w:pPr>
      <w:r>
        <w:rPr/>
        <w:t>事会第二十一次会议和</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日公司</w:t>
      </w:r>
      <w:r>
        <w:rPr>
          <w:spacing w:val="-54"/>
        </w:rPr>
        <w:t> </w:t>
      </w:r>
      <w:r>
        <w:rPr>
          <w:rFonts w:ascii="宋体" w:hAnsi="宋体" w:cs="宋体" w:eastAsia="宋体" w:hint="default"/>
        </w:rPr>
        <w:t>2012</w:t>
      </w:r>
      <w:r>
        <w:rPr>
          <w:rFonts w:ascii="宋体" w:hAnsi="宋体" w:cs="宋体" w:eastAsia="宋体" w:hint="default"/>
          <w:spacing w:val="-54"/>
        </w:rPr>
        <w:t> </w:t>
      </w:r>
      <w:r>
        <w:rPr/>
        <w:t>年第三次临时股东大会审议通过。</w:t>
      </w:r>
    </w:p>
    <w:p>
      <w:pPr>
        <w:spacing w:line="240" w:lineRule="auto" w:before="12"/>
        <w:rPr>
          <w:rFonts w:ascii="宋体" w:hAnsi="宋体" w:cs="宋体" w:eastAsia="宋体" w:hint="default"/>
          <w:sz w:val="9"/>
          <w:szCs w:val="9"/>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8"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年（含报告期）的利润分配预案或方案及资本公积金转增股本预案或方案情况</w:t>
      </w:r>
    </w:p>
    <w:p>
      <w:pPr>
        <w:pStyle w:val="BodyText"/>
        <w:spacing w:line="240" w:lineRule="auto" w:before="155"/>
        <w:ind w:left="573" w:right="1046"/>
        <w:jc w:val="left"/>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54"/>
        </w:rPr>
        <w:t> </w:t>
      </w:r>
      <w:r>
        <w:rPr/>
        <w:t>年度利润分配及资本公积转增股本的方案</w:t>
      </w:r>
    </w:p>
    <w:p>
      <w:pPr>
        <w:spacing w:line="240" w:lineRule="auto" w:before="10"/>
        <w:rPr>
          <w:rFonts w:ascii="宋体" w:hAnsi="宋体" w:cs="宋体" w:eastAsia="宋体" w:hint="default"/>
          <w:sz w:val="14"/>
          <w:szCs w:val="14"/>
        </w:rPr>
      </w:pPr>
    </w:p>
    <w:p>
      <w:pPr>
        <w:pStyle w:val="BodyText"/>
        <w:spacing w:line="408" w:lineRule="auto" w:before="0"/>
        <w:ind w:left="574" w:right="1198"/>
        <w:jc w:val="left"/>
      </w:pPr>
      <w:r>
        <w:rPr/>
        <w:t>（</w:t>
      </w: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53"/>
        </w:rPr>
        <w:t> </w:t>
      </w:r>
      <w:r>
        <w:rPr/>
        <w:t>年年度利润分配及资本公积转增股本的预案 经瑞华会计师事务所（特殊普通合伙）出具的《审计报告》确认，公司</w:t>
      </w:r>
      <w:r>
        <w:rPr>
          <w:spacing w:val="-52"/>
        </w:rPr>
        <w:t> </w:t>
      </w:r>
      <w:r>
        <w:rPr>
          <w:rFonts w:ascii="宋体" w:hAnsi="宋体" w:cs="宋体" w:eastAsia="宋体" w:hint="default"/>
        </w:rPr>
        <w:t>2014</w:t>
      </w:r>
      <w:r>
        <w:rPr>
          <w:rFonts w:ascii="宋体" w:hAnsi="宋体" w:cs="宋体" w:eastAsia="宋体" w:hint="default"/>
          <w:spacing w:val="-54"/>
        </w:rPr>
        <w:t> </w:t>
      </w:r>
      <w:r>
        <w:rPr/>
        <w:t>年度实现归属于母公司</w:t>
      </w:r>
    </w:p>
    <w:p>
      <w:pPr>
        <w:pStyle w:val="BodyText"/>
        <w:spacing w:line="408" w:lineRule="auto"/>
        <w:ind w:right="1019"/>
        <w:jc w:val="left"/>
      </w:pPr>
      <w:r>
        <w:rPr/>
        <w:t>普通股股东的净利润</w:t>
      </w:r>
      <w:r>
        <w:rPr>
          <w:spacing w:val="-53"/>
        </w:rPr>
        <w:t> </w:t>
      </w:r>
      <w:r>
        <w:rPr>
          <w:rFonts w:ascii="宋体" w:hAnsi="宋体" w:cs="宋体" w:eastAsia="宋体" w:hint="default"/>
        </w:rPr>
        <w:t>43,265,565.47</w:t>
      </w:r>
      <w:r>
        <w:rPr>
          <w:rFonts w:ascii="宋体" w:hAnsi="宋体" w:cs="宋体" w:eastAsia="宋体" w:hint="default"/>
          <w:spacing w:val="-54"/>
        </w:rPr>
        <w:t> </w:t>
      </w:r>
      <w:r>
        <w:rPr/>
        <w:t>元，其中，母公司</w:t>
      </w:r>
      <w:r>
        <w:rPr>
          <w:spacing w:val="-53"/>
        </w:rPr>
        <w:t> </w:t>
      </w:r>
      <w:r>
        <w:rPr>
          <w:rFonts w:ascii="宋体" w:hAnsi="宋体" w:cs="宋体" w:eastAsia="宋体" w:hint="default"/>
        </w:rPr>
        <w:t>2014</w:t>
      </w:r>
      <w:r>
        <w:rPr>
          <w:rFonts w:ascii="宋体" w:hAnsi="宋体" w:cs="宋体" w:eastAsia="宋体" w:hint="default"/>
          <w:spacing w:val="-55"/>
        </w:rPr>
        <w:t> </w:t>
      </w:r>
      <w:r>
        <w:rPr/>
        <w:t>年实现净利润</w:t>
      </w:r>
      <w:r>
        <w:rPr>
          <w:spacing w:val="-54"/>
        </w:rPr>
        <w:t> </w:t>
      </w:r>
      <w:r>
        <w:rPr>
          <w:rFonts w:ascii="宋体" w:hAnsi="宋体" w:cs="宋体" w:eastAsia="宋体" w:hint="default"/>
        </w:rPr>
        <w:t>62,104,948.07</w:t>
      </w:r>
      <w:r>
        <w:rPr>
          <w:rFonts w:ascii="宋体" w:hAnsi="宋体" w:cs="宋体" w:eastAsia="宋体" w:hint="default"/>
          <w:spacing w:val="-53"/>
        </w:rPr>
        <w:t> </w:t>
      </w:r>
      <w:r>
        <w:rPr/>
        <w:t>元。根据《公 </w:t>
      </w:r>
      <w:r>
        <w:rPr>
          <w:spacing w:val="-3"/>
        </w:rPr>
        <w:t>司章程》的规定，按母公司实现净利润的</w:t>
      </w:r>
      <w:r>
        <w:rPr>
          <w:spacing w:val="-51"/>
        </w:rPr>
        <w:t> </w:t>
      </w:r>
      <w:r>
        <w:rPr>
          <w:rFonts w:ascii="宋体" w:hAnsi="宋体" w:cs="宋体" w:eastAsia="宋体" w:hint="default"/>
        </w:rPr>
        <w:t>10%</w:t>
      </w:r>
      <w:r>
        <w:rPr/>
        <w:t>提取法定盈余公积金</w:t>
      </w:r>
      <w:r>
        <w:rPr>
          <w:spacing w:val="-52"/>
        </w:rPr>
        <w:t> </w:t>
      </w:r>
      <w:r>
        <w:rPr>
          <w:rFonts w:ascii="宋体" w:hAnsi="宋体" w:cs="宋体" w:eastAsia="宋体" w:hint="default"/>
        </w:rPr>
        <w:t>6,210,494.81</w:t>
      </w:r>
      <w:r>
        <w:rPr>
          <w:rFonts w:ascii="宋体" w:hAnsi="宋体" w:cs="宋体" w:eastAsia="宋体" w:hint="default"/>
          <w:spacing w:val="-51"/>
        </w:rPr>
        <w:t> </w:t>
      </w:r>
      <w:r>
        <w:rPr>
          <w:spacing w:val="-3"/>
        </w:rPr>
        <w:t>元，加上年初未分配利润</w:t>
      </w:r>
      <w:r>
        <w:rPr>
          <w:spacing w:val="-102"/>
        </w:rPr>
        <w:t> </w:t>
      </w:r>
      <w:r>
        <w:rPr>
          <w:spacing w:val="-102"/>
        </w:rPr>
      </w:r>
      <w:r>
        <w:rPr>
          <w:rFonts w:ascii="宋体" w:hAnsi="宋体" w:cs="宋体" w:eastAsia="宋体" w:hint="default"/>
        </w:rPr>
        <w:t>375,458,969.89</w:t>
      </w:r>
      <w:r>
        <w:rPr>
          <w:rFonts w:ascii="宋体" w:hAnsi="宋体" w:cs="宋体" w:eastAsia="宋体" w:hint="default"/>
          <w:spacing w:val="-52"/>
        </w:rPr>
        <w:t> </w:t>
      </w:r>
      <w:r>
        <w:rPr>
          <w:spacing w:val="-10"/>
        </w:rPr>
        <w:t>元，减去</w:t>
      </w:r>
      <w:r>
        <w:rPr>
          <w:spacing w:val="-54"/>
        </w:rPr>
        <w:t> </w:t>
      </w:r>
      <w:r>
        <w:rPr>
          <w:rFonts w:ascii="宋体" w:hAnsi="宋体" w:cs="宋体" w:eastAsia="宋体" w:hint="default"/>
        </w:rPr>
        <w:t>2014</w:t>
      </w:r>
      <w:r>
        <w:rPr>
          <w:rFonts w:ascii="宋体" w:hAnsi="宋体" w:cs="宋体" w:eastAsia="宋体" w:hint="default"/>
          <w:spacing w:val="-51"/>
        </w:rPr>
        <w:t> </w:t>
      </w:r>
      <w:r>
        <w:rPr/>
        <w:t>年度分配</w:t>
      </w:r>
      <w:r>
        <w:rPr>
          <w:spacing w:val="-52"/>
        </w:rPr>
        <w:t> </w:t>
      </w:r>
      <w:r>
        <w:rPr>
          <w:rFonts w:ascii="宋体" w:hAnsi="宋体" w:cs="宋体" w:eastAsia="宋体" w:hint="default"/>
        </w:rPr>
        <w:t>2013</w:t>
      </w:r>
      <w:r>
        <w:rPr>
          <w:rFonts w:ascii="宋体" w:hAnsi="宋体" w:cs="宋体" w:eastAsia="宋体" w:hint="default"/>
          <w:spacing w:val="-53"/>
        </w:rPr>
        <w:t> </w:t>
      </w:r>
      <w:r>
        <w:rPr/>
        <w:t>年度现金股利</w:t>
      </w:r>
      <w:r>
        <w:rPr>
          <w:spacing w:val="-53"/>
        </w:rPr>
        <w:t> </w:t>
      </w:r>
      <w:r>
        <w:rPr>
          <w:rFonts w:ascii="宋体" w:hAnsi="宋体" w:cs="宋体" w:eastAsia="宋体" w:hint="default"/>
        </w:rPr>
        <w:t>22,240,000.00</w:t>
      </w:r>
      <w:r>
        <w:rPr>
          <w:rFonts w:ascii="宋体" w:hAnsi="宋体" w:cs="宋体" w:eastAsia="宋体" w:hint="default"/>
          <w:spacing w:val="-53"/>
        </w:rPr>
        <w:t> </w:t>
      </w:r>
      <w:r>
        <w:rPr>
          <w:spacing w:val="-10"/>
        </w:rPr>
        <w:t>元，截至</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w:t>
      </w:r>
    </w:p>
    <w:p>
      <w:pPr>
        <w:pStyle w:val="BodyText"/>
        <w:spacing w:line="240" w:lineRule="auto"/>
        <w:ind w:right="1046"/>
        <w:jc w:val="left"/>
      </w:pPr>
      <w:r>
        <w:rPr/>
        <w:t>归属于母公司普通股股东累计未分配利润为</w:t>
      </w:r>
      <w:r>
        <w:rPr>
          <w:spacing w:val="-52"/>
        </w:rPr>
        <w:t> </w:t>
      </w:r>
      <w:r>
        <w:rPr>
          <w:rFonts w:ascii="宋体" w:hAnsi="宋体" w:cs="宋体" w:eastAsia="宋体" w:hint="default"/>
        </w:rPr>
        <w:t>390,274,040.55</w:t>
      </w:r>
      <w:r>
        <w:rPr>
          <w:rFonts w:ascii="宋体" w:hAnsi="宋体" w:cs="宋体" w:eastAsia="宋体" w:hint="default"/>
          <w:spacing w:val="-54"/>
        </w:rPr>
        <w:t> </w:t>
      </w:r>
      <w:r>
        <w:rPr/>
        <w:t>元。</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46" w:firstLine="420"/>
        <w:jc w:val="left"/>
      </w:pPr>
      <w:r>
        <w:rPr/>
        <w:t>鉴于公司首期股票期权激励计划第一个行权期采取自主行权方式行权，第一期可行权数量为 </w:t>
      </w:r>
      <w:r>
        <w:rPr>
          <w:rFonts w:ascii="宋体" w:hAnsi="宋体" w:cs="宋体" w:eastAsia="宋体" w:hint="default"/>
        </w:rPr>
        <w:t>3,899,250</w:t>
      </w:r>
      <w:r>
        <w:rPr>
          <w:rFonts w:ascii="宋体" w:hAnsi="宋体" w:cs="宋体" w:eastAsia="宋体" w:hint="default"/>
          <w:spacing w:val="-52"/>
        </w:rPr>
        <w:t> </w:t>
      </w:r>
      <w:r>
        <w:rPr>
          <w:spacing w:val="-4"/>
        </w:rPr>
        <w:t>份，行权周期为</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5</w:t>
      </w:r>
      <w:r>
        <w:rPr>
          <w:rFonts w:ascii="宋体" w:hAnsi="宋体" w:cs="宋体" w:eastAsia="宋体" w:hint="default"/>
          <w:spacing w:val="-52"/>
        </w:rPr>
        <w:t> </w:t>
      </w:r>
      <w:r>
        <w:rPr/>
        <w:t>日至</w:t>
      </w:r>
      <w:r>
        <w:rPr>
          <w:spacing w:val="-54"/>
        </w:rPr>
        <w:t> </w:t>
      </w:r>
      <w:r>
        <w:rPr>
          <w:rFonts w:ascii="宋体" w:hAnsi="宋体" w:cs="宋体" w:eastAsia="宋体" w:hint="default"/>
        </w:rPr>
        <w:t>2015</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4</w:t>
      </w:r>
      <w:r>
        <w:rPr>
          <w:rFonts w:ascii="宋体" w:hAnsi="宋体" w:cs="宋体" w:eastAsia="宋体" w:hint="default"/>
          <w:spacing w:val="-52"/>
        </w:rPr>
        <w:t> </w:t>
      </w:r>
      <w:r>
        <w:rPr>
          <w:spacing w:val="-7"/>
        </w:rPr>
        <w:t>日。截止</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spacing w:val="-4"/>
        </w:rPr>
        <w:t>日，公司总股本为</w:t>
      </w:r>
    </w:p>
    <w:p>
      <w:pPr>
        <w:pStyle w:val="BodyText"/>
        <w:spacing w:line="240" w:lineRule="auto"/>
        <w:ind w:right="1046"/>
        <w:jc w:val="left"/>
      </w:pPr>
      <w:r>
        <w:rPr>
          <w:rFonts w:ascii="宋体" w:hAnsi="宋体" w:cs="宋体" w:eastAsia="宋体" w:hint="default"/>
        </w:rPr>
        <w:t>696,515,650</w:t>
      </w:r>
      <w:r>
        <w:rPr>
          <w:rFonts w:ascii="宋体" w:hAnsi="宋体" w:cs="宋体" w:eastAsia="宋体" w:hint="default"/>
          <w:spacing w:val="-54"/>
        </w:rPr>
        <w:t> </w:t>
      </w:r>
      <w:r>
        <w:rPr/>
        <w:t>股，首期股票期权激励计划第一个行权期已行权</w:t>
      </w:r>
      <w:r>
        <w:rPr>
          <w:spacing w:val="-53"/>
        </w:rPr>
        <w:t> </w:t>
      </w:r>
      <w:r>
        <w:rPr>
          <w:rFonts w:ascii="宋体" w:hAnsi="宋体" w:cs="宋体" w:eastAsia="宋体" w:hint="default"/>
        </w:rPr>
        <w:t>1,515,650</w:t>
      </w:r>
      <w:r>
        <w:rPr>
          <w:rFonts w:ascii="宋体" w:hAnsi="宋体" w:cs="宋体" w:eastAsia="宋体" w:hint="default"/>
          <w:spacing w:val="-53"/>
        </w:rPr>
        <w:t> </w:t>
      </w:r>
      <w:r>
        <w:rPr/>
        <w:t>股，尚有</w:t>
      </w:r>
      <w:r>
        <w:rPr>
          <w:spacing w:val="-54"/>
        </w:rPr>
        <w:t> </w:t>
      </w:r>
      <w:r>
        <w:rPr>
          <w:rFonts w:ascii="宋体" w:hAnsi="宋体" w:cs="宋体" w:eastAsia="宋体" w:hint="default"/>
        </w:rPr>
        <w:t>2,383,600</w:t>
      </w:r>
      <w:r>
        <w:rPr>
          <w:rFonts w:ascii="宋体" w:hAnsi="宋体" w:cs="宋体" w:eastAsia="宋体" w:hint="default"/>
          <w:spacing w:val="-53"/>
        </w:rPr>
        <w:t> </w:t>
      </w:r>
      <w:r>
        <w:rPr/>
        <w:t>份未行权。</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若在本次利润分配前尚未行权部分全部行权，则公司总股本将增加至</w:t>
      </w:r>
      <w:r>
        <w:rPr>
          <w:spacing w:val="-52"/>
        </w:rPr>
        <w:t> </w:t>
      </w:r>
      <w:r>
        <w:rPr>
          <w:rFonts w:ascii="宋体" w:hAnsi="宋体" w:cs="宋体" w:eastAsia="宋体" w:hint="default"/>
        </w:rPr>
        <w:t>698,899,250</w:t>
      </w:r>
      <w:r>
        <w:rPr>
          <w:rFonts w:ascii="宋体" w:hAnsi="宋体" w:cs="宋体" w:eastAsia="宋体" w:hint="default"/>
          <w:spacing w:val="-53"/>
        </w:rPr>
        <w:t> </w:t>
      </w:r>
      <w:r>
        <w:rPr/>
        <w:t>股。</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考虑上述未行权部分对总股本的影响，公司</w:t>
      </w:r>
      <w:r>
        <w:rPr>
          <w:spacing w:val="-53"/>
        </w:rPr>
        <w:t> </w:t>
      </w:r>
      <w:r>
        <w:rPr>
          <w:rFonts w:ascii="宋体" w:hAnsi="宋体" w:cs="宋体" w:eastAsia="宋体" w:hint="default"/>
        </w:rPr>
        <w:t>2014</w:t>
      </w:r>
      <w:r>
        <w:rPr>
          <w:rFonts w:ascii="宋体" w:hAnsi="宋体" w:cs="宋体" w:eastAsia="宋体" w:hint="default"/>
          <w:spacing w:val="-54"/>
        </w:rPr>
        <w:t> </w:t>
      </w:r>
      <w:r>
        <w:rPr/>
        <w:t>年度利润分配方案为：公司拟以总股本不超过</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rFonts w:ascii="宋体" w:hAnsi="宋体" w:cs="宋体" w:eastAsia="宋体" w:hint="default"/>
        </w:rPr>
        <w:t>698,899,250</w:t>
      </w:r>
      <w:r>
        <w:rPr>
          <w:rFonts w:ascii="宋体" w:hAnsi="宋体" w:cs="宋体" w:eastAsia="宋体" w:hint="default"/>
          <w:spacing w:val="-53"/>
        </w:rPr>
        <w:t> </w:t>
      </w:r>
      <w:r>
        <w:rPr/>
        <w:t>股为基</w:t>
      </w:r>
      <w:r>
        <w:rPr>
          <w:spacing w:val="-38"/>
        </w:rPr>
        <w:t>数</w:t>
      </w:r>
      <w:r>
        <w:rPr/>
        <w:t>（以实施分红的股权登记日在中国证券登记结算公司实际登记数为准</w:t>
      </w:r>
      <w:r>
        <w:rPr>
          <w:spacing w:val="-105"/>
        </w:rPr>
        <w:t>）</w:t>
      </w:r>
      <w:r>
        <w:rPr>
          <w:spacing w:val="-38"/>
        </w:rPr>
        <w:t>，</w:t>
      </w:r>
      <w:r>
        <w:rPr>
          <w:spacing w:val="-2"/>
        </w:rPr>
        <w:t>向</w:t>
      </w:r>
      <w:r>
        <w:rPr/>
        <w:t>全体股东</w:t>
      </w:r>
    </w:p>
    <w:p>
      <w:pPr>
        <w:spacing w:line="240" w:lineRule="auto" w:before="10"/>
        <w:rPr>
          <w:rFonts w:ascii="宋体" w:hAnsi="宋体" w:cs="宋体" w:eastAsia="宋体" w:hint="default"/>
          <w:sz w:val="14"/>
          <w:szCs w:val="14"/>
        </w:rPr>
      </w:pPr>
    </w:p>
    <w:p>
      <w:pPr>
        <w:pStyle w:val="BodyText"/>
        <w:spacing w:line="240" w:lineRule="auto" w:before="0"/>
        <w:ind w:right="1046"/>
        <w:jc w:val="left"/>
        <w:rPr>
          <w:rFonts w:ascii="宋体" w:hAnsi="宋体" w:cs="宋体" w:eastAsia="宋体" w:hint="default"/>
        </w:rPr>
      </w:pPr>
      <w:r>
        <w:rPr/>
        <w:t>按每</w:t>
      </w:r>
      <w:r>
        <w:rPr>
          <w:spacing w:val="-53"/>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w:t>
      </w:r>
      <w:r>
        <w:rPr>
          <w:spacing w:val="-2"/>
        </w:rPr>
        <w:t>派</w:t>
      </w:r>
      <w:r>
        <w:rPr/>
        <w:t>发现金红利</w:t>
      </w:r>
      <w:r>
        <w:rPr>
          <w:spacing w:val="-53"/>
        </w:rPr>
        <w:t> </w:t>
      </w:r>
      <w:r>
        <w:rPr>
          <w:rFonts w:ascii="宋体" w:hAnsi="宋体" w:cs="宋体" w:eastAsia="宋体" w:hint="default"/>
        </w:rPr>
        <w:t>0.2</w:t>
      </w:r>
      <w:r>
        <w:rPr>
          <w:rFonts w:ascii="宋体" w:hAnsi="宋体" w:cs="宋体" w:eastAsia="宋体" w:hint="default"/>
          <w:spacing w:val="-52"/>
        </w:rPr>
        <w:t> </w:t>
      </w:r>
      <w:r>
        <w:rPr/>
        <w:t>元人民</w:t>
      </w:r>
      <w:r>
        <w:rPr>
          <w:spacing w:val="-91"/>
        </w:rPr>
        <w:t>币</w:t>
      </w:r>
      <w:r>
        <w:rPr>
          <w:spacing w:val="-2"/>
        </w:rPr>
        <w:t>（</w:t>
      </w:r>
      <w:r>
        <w:rPr/>
        <w:t>含税</w:t>
      </w:r>
      <w:r>
        <w:rPr>
          <w:spacing w:val="-105"/>
        </w:rPr>
        <w:t>）</w:t>
      </w:r>
      <w:r>
        <w:rPr>
          <w:spacing w:val="-91"/>
        </w:rPr>
        <w:t>。</w:t>
      </w:r>
      <w:r>
        <w:rPr/>
        <w:t>实施上述分配方案共计派发现金红利不超过</w:t>
      </w:r>
      <w:r>
        <w:rPr>
          <w:spacing w:val="-52"/>
        </w:rPr>
        <w:t> </w:t>
      </w:r>
      <w:r>
        <w:rPr>
          <w:rFonts w:ascii="宋体" w:hAnsi="宋体" w:cs="宋体" w:eastAsia="宋体" w:hint="default"/>
        </w:rPr>
        <w:t>13,977,985.00</w:t>
      </w:r>
    </w:p>
    <w:p>
      <w:pPr>
        <w:spacing w:line="240" w:lineRule="auto" w:before="10"/>
        <w:rPr>
          <w:rFonts w:ascii="宋体" w:hAnsi="宋体" w:cs="宋体" w:eastAsia="宋体" w:hint="default"/>
          <w:sz w:val="14"/>
          <w:szCs w:val="14"/>
        </w:rPr>
      </w:pPr>
    </w:p>
    <w:p>
      <w:pPr>
        <w:pStyle w:val="BodyText"/>
        <w:spacing w:line="408" w:lineRule="auto" w:before="0"/>
        <w:ind w:left="573" w:right="5399" w:hanging="420"/>
        <w:jc w:val="left"/>
      </w:pPr>
      <w:r>
        <w:rPr/>
        <w:t>元，剩余未分配利润</w:t>
      </w:r>
      <w:r>
        <w:rPr>
          <w:spacing w:val="-52"/>
        </w:rPr>
        <w:t> </w:t>
      </w:r>
      <w:r>
        <w:rPr>
          <w:rFonts w:ascii="宋体" w:hAnsi="宋体" w:cs="宋体" w:eastAsia="宋体" w:hint="default"/>
        </w:rPr>
        <w:t>376,296,055.55</w:t>
      </w:r>
      <w:r>
        <w:rPr>
          <w:rFonts w:ascii="宋体" w:hAnsi="宋体" w:cs="宋体" w:eastAsia="宋体" w:hint="default"/>
          <w:spacing w:val="-54"/>
        </w:rPr>
        <w:t> </w:t>
      </w:r>
      <w:r>
        <w:rPr/>
        <w:t>元结转至下一年度。 上述方案需提交股东大会审议批准后实施。</w:t>
      </w:r>
    </w:p>
    <w:p>
      <w:pPr>
        <w:pStyle w:val="BodyText"/>
        <w:spacing w:line="240" w:lineRule="auto"/>
        <w:ind w:left="574" w:right="1046"/>
        <w:jc w:val="left"/>
      </w:pPr>
      <w:r>
        <w:rPr/>
        <w:t>（</w:t>
      </w: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5"/>
        </w:rPr>
        <w:t> </w:t>
      </w:r>
      <w:r>
        <w:rPr/>
        <w:t>年半年度利润分配及资本公积转增股本的方案</w:t>
      </w:r>
    </w:p>
    <w:p>
      <w:pPr>
        <w:spacing w:line="240" w:lineRule="auto" w:before="10"/>
        <w:rPr>
          <w:rFonts w:ascii="宋体" w:hAnsi="宋体" w:cs="宋体" w:eastAsia="宋体" w:hint="default"/>
          <w:sz w:val="14"/>
          <w:szCs w:val="14"/>
        </w:rPr>
      </w:pPr>
    </w:p>
    <w:p>
      <w:pPr>
        <w:pStyle w:val="BodyText"/>
        <w:spacing w:line="240" w:lineRule="auto" w:before="0"/>
        <w:ind w:left="574" w:right="1046"/>
        <w:jc w:val="left"/>
      </w:pPr>
      <w:r>
        <w:rPr/>
        <w:t>公司以总股本</w:t>
      </w:r>
      <w:r>
        <w:rPr>
          <w:spacing w:val="-56"/>
        </w:rPr>
        <w:t> </w:t>
      </w:r>
      <w:r>
        <w:rPr>
          <w:rFonts w:ascii="宋体" w:hAnsi="宋体" w:cs="宋体" w:eastAsia="宋体" w:hint="default"/>
        </w:rPr>
        <w:t>278,000,000</w:t>
      </w:r>
      <w:r>
        <w:rPr>
          <w:rFonts w:ascii="宋体" w:hAnsi="宋体" w:cs="宋体" w:eastAsia="宋体" w:hint="default"/>
          <w:spacing w:val="-56"/>
        </w:rPr>
        <w:t> </w:t>
      </w:r>
      <w:r>
        <w:rPr/>
        <w:t>股为基数，进行资本公积金转增股本，全体股东每</w:t>
      </w:r>
      <w:r>
        <w:rPr>
          <w:spacing w:val="-56"/>
        </w:rPr>
        <w:t> </w:t>
      </w:r>
      <w:r>
        <w:rPr>
          <w:rFonts w:ascii="宋体" w:hAnsi="宋体" w:cs="宋体" w:eastAsia="宋体" w:hint="default"/>
        </w:rPr>
        <w:t>10</w:t>
      </w:r>
      <w:r>
        <w:rPr>
          <w:rFonts w:ascii="宋体" w:hAnsi="宋体" w:cs="宋体" w:eastAsia="宋体" w:hint="default"/>
          <w:spacing w:val="-56"/>
        </w:rPr>
        <w:t> </w:t>
      </w:r>
      <w:r>
        <w:rPr/>
        <w:t>股转增</w:t>
      </w:r>
      <w:r>
        <w:rPr>
          <w:spacing w:val="-57"/>
        </w:rPr>
        <w:t> </w:t>
      </w:r>
      <w:r>
        <w:rPr>
          <w:rFonts w:ascii="宋体" w:hAnsi="宋体" w:cs="宋体" w:eastAsia="宋体" w:hint="default"/>
        </w:rPr>
        <w:t>15</w:t>
      </w:r>
      <w:r>
        <w:rPr>
          <w:rFonts w:ascii="宋体" w:hAnsi="宋体" w:cs="宋体" w:eastAsia="宋体" w:hint="default"/>
          <w:spacing w:val="-56"/>
        </w:rPr>
        <w:t> </w:t>
      </w:r>
      <w:r>
        <w:rPr>
          <w:spacing w:val="-3"/>
        </w:rPr>
        <w:t>股，共计</w:t>
      </w:r>
    </w:p>
    <w:p>
      <w:pPr>
        <w:spacing w:line="240" w:lineRule="auto" w:before="10"/>
        <w:rPr>
          <w:rFonts w:ascii="宋体" w:hAnsi="宋体" w:cs="宋体" w:eastAsia="宋体" w:hint="default"/>
          <w:sz w:val="14"/>
          <w:szCs w:val="14"/>
        </w:rPr>
      </w:pPr>
    </w:p>
    <w:p>
      <w:pPr>
        <w:pStyle w:val="BodyText"/>
        <w:spacing w:line="408" w:lineRule="auto" w:before="0"/>
        <w:ind w:right="1125"/>
        <w:jc w:val="left"/>
      </w:pPr>
      <w:r>
        <w:rPr/>
        <w:t>转增</w:t>
      </w:r>
      <w:r>
        <w:rPr>
          <w:spacing w:val="-56"/>
        </w:rPr>
        <w:t> </w:t>
      </w:r>
      <w:r>
        <w:rPr>
          <w:rFonts w:ascii="宋体" w:hAnsi="宋体" w:cs="宋体" w:eastAsia="宋体" w:hint="default"/>
        </w:rPr>
        <w:t>417,000,000</w:t>
      </w:r>
      <w:r>
        <w:rPr>
          <w:rFonts w:ascii="宋体" w:hAnsi="宋体" w:cs="宋体" w:eastAsia="宋体" w:hint="default"/>
          <w:spacing w:val="-55"/>
        </w:rPr>
        <w:t> </w:t>
      </w:r>
      <w:r>
        <w:rPr/>
        <w:t>股，转增后公司总股本将增加至</w:t>
      </w:r>
      <w:r>
        <w:rPr>
          <w:spacing w:val="-55"/>
        </w:rPr>
        <w:t> </w:t>
      </w:r>
      <w:r>
        <w:rPr>
          <w:rFonts w:ascii="宋体" w:hAnsi="宋体" w:cs="宋体" w:eastAsia="宋体" w:hint="default"/>
        </w:rPr>
        <w:t>695,000,000</w:t>
      </w:r>
      <w:r>
        <w:rPr>
          <w:rFonts w:ascii="宋体" w:hAnsi="宋体" w:cs="宋体" w:eastAsia="宋体" w:hint="default"/>
          <w:spacing w:val="-55"/>
        </w:rPr>
        <w:t> </w:t>
      </w:r>
      <w:r>
        <w:rPr/>
        <w:t>股。上述方案已于</w:t>
      </w:r>
      <w:r>
        <w:rPr>
          <w:spacing w:val="-55"/>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9</w:t>
      </w:r>
      <w:r>
        <w:rPr>
          <w:rFonts w:ascii="宋体" w:hAnsi="宋体" w:cs="宋体" w:eastAsia="宋体" w:hint="default"/>
          <w:spacing w:val="-55"/>
        </w:rPr>
        <w:t> </w:t>
      </w:r>
      <w:r>
        <w:rPr/>
        <w:t>月</w:t>
      </w:r>
      <w:r>
        <w:rPr>
          <w:spacing w:val="-57"/>
        </w:rPr>
        <w:t> </w:t>
      </w:r>
      <w:r>
        <w:rPr>
          <w:rFonts w:ascii="宋体" w:hAnsi="宋体" w:cs="宋体" w:eastAsia="宋体" w:hint="default"/>
        </w:rPr>
        <w:t>15</w:t>
      </w:r>
      <w:r>
        <w:rPr>
          <w:rFonts w:ascii="宋体" w:hAnsi="宋体" w:cs="宋体" w:eastAsia="宋体" w:hint="default"/>
          <w:spacing w:val="-56"/>
        </w:rPr>
        <w:t> </w:t>
      </w:r>
      <w:r>
        <w:rPr/>
        <w:t>日实施 完毕。</w:t>
      </w:r>
    </w:p>
    <w:p>
      <w:pPr>
        <w:pStyle w:val="BodyText"/>
        <w:spacing w:line="240" w:lineRule="auto"/>
        <w:ind w:left="573" w:right="1046"/>
        <w:jc w:val="left"/>
      </w:pPr>
      <w:r>
        <w:rPr>
          <w:rFonts w:ascii="宋体" w:hAnsi="宋体" w:cs="宋体" w:eastAsia="宋体" w:hint="default"/>
        </w:rPr>
        <w:t>2</w:t>
      </w:r>
      <w:r>
        <w:rPr/>
        <w:t>、</w:t>
      </w:r>
      <w:r>
        <w:rPr>
          <w:rFonts w:ascii="宋体" w:hAnsi="宋体" w:cs="宋体" w:eastAsia="宋体" w:hint="default"/>
        </w:rPr>
        <w:t>2013</w:t>
      </w:r>
      <w:r>
        <w:rPr>
          <w:rFonts w:ascii="宋体" w:hAnsi="宋体" w:cs="宋体" w:eastAsia="宋体" w:hint="default"/>
          <w:spacing w:val="-54"/>
        </w:rPr>
        <w:t> </w:t>
      </w:r>
      <w:r>
        <w:rPr/>
        <w:t>年度利润分配及资本公积转增股本的方案</w:t>
      </w:r>
    </w:p>
    <w:p>
      <w:pPr>
        <w:spacing w:line="240" w:lineRule="auto" w:before="10"/>
        <w:rPr>
          <w:rFonts w:ascii="宋体" w:hAnsi="宋体" w:cs="宋体" w:eastAsia="宋体" w:hint="default"/>
          <w:sz w:val="14"/>
          <w:szCs w:val="14"/>
        </w:rPr>
      </w:pPr>
    </w:p>
    <w:p>
      <w:pPr>
        <w:pStyle w:val="BodyText"/>
        <w:spacing w:line="240" w:lineRule="auto" w:before="0"/>
        <w:ind w:left="574" w:right="1046"/>
        <w:jc w:val="left"/>
      </w:pPr>
      <w:r>
        <w:rPr/>
        <w:t>公司以股本总额</w:t>
      </w:r>
      <w:r>
        <w:rPr>
          <w:spacing w:val="-52"/>
        </w:rPr>
        <w:t> </w:t>
      </w:r>
      <w:r>
        <w:rPr>
          <w:rFonts w:ascii="宋体" w:hAnsi="宋体" w:cs="宋体" w:eastAsia="宋体" w:hint="default"/>
        </w:rPr>
        <w:t>278,000,000</w:t>
      </w:r>
      <w:r>
        <w:rPr>
          <w:rFonts w:ascii="宋体" w:hAnsi="宋体" w:cs="宋体" w:eastAsia="宋体" w:hint="default"/>
          <w:spacing w:val="-52"/>
        </w:rPr>
        <w:t> </w:t>
      </w:r>
      <w:r>
        <w:rPr/>
        <w:t>股为</w:t>
      </w:r>
      <w:r>
        <w:rPr>
          <w:spacing w:val="-2"/>
        </w:rPr>
        <w:t>基</w:t>
      </w:r>
      <w:r>
        <w:rPr/>
        <w:t>数，向全体股东按每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3"/>
        </w:rPr>
        <w:t> </w:t>
      </w:r>
      <w:r>
        <w:rPr/>
        <w:t>股派发现金红利</w:t>
      </w:r>
      <w:r>
        <w:rPr>
          <w:spacing w:val="-52"/>
        </w:rPr>
        <w:t> </w:t>
      </w:r>
      <w:r>
        <w:rPr>
          <w:rFonts w:ascii="宋体" w:hAnsi="宋体" w:cs="宋体" w:eastAsia="宋体" w:hint="default"/>
        </w:rPr>
        <w:t>0.8</w:t>
      </w:r>
      <w:r>
        <w:rPr>
          <w:rFonts w:ascii="宋体" w:hAnsi="宋体" w:cs="宋体" w:eastAsia="宋体" w:hint="default"/>
          <w:spacing w:val="-52"/>
        </w:rPr>
        <w:t> </w:t>
      </w:r>
      <w:r>
        <w:rPr>
          <w:spacing w:val="-2"/>
        </w:rPr>
        <w:t>元</w:t>
      </w:r>
      <w:r>
        <w:rPr/>
        <w:t>人民币（含税</w:t>
      </w:r>
      <w:r>
        <w:rPr>
          <w:spacing w:val="-105"/>
        </w:rPr>
        <w:t>）</w:t>
      </w:r>
      <w:r>
        <w:rPr/>
        <w:t>。</w:t>
      </w:r>
    </w:p>
    <w:p>
      <w:pPr>
        <w:spacing w:line="240" w:lineRule="auto" w:before="10"/>
        <w:rPr>
          <w:rFonts w:ascii="宋体" w:hAnsi="宋体" w:cs="宋体" w:eastAsia="宋体" w:hint="default"/>
          <w:sz w:val="14"/>
          <w:szCs w:val="14"/>
        </w:rPr>
      </w:pPr>
    </w:p>
    <w:p>
      <w:pPr>
        <w:pStyle w:val="BodyText"/>
        <w:spacing w:line="408" w:lineRule="auto" w:before="0"/>
        <w:ind w:left="574" w:right="1013" w:hanging="420"/>
        <w:jc w:val="left"/>
      </w:pPr>
      <w:r>
        <w:rPr/>
        <w:t>实施上述分配方案共计派发现金红利</w:t>
      </w:r>
      <w:r>
        <w:rPr>
          <w:spacing w:val="-58"/>
        </w:rPr>
        <w:t> </w:t>
      </w:r>
      <w:r>
        <w:rPr>
          <w:rFonts w:ascii="宋体" w:hAnsi="宋体" w:cs="宋体" w:eastAsia="宋体" w:hint="default"/>
        </w:rPr>
        <w:t>22,240,000</w:t>
      </w:r>
      <w:r>
        <w:rPr>
          <w:rFonts w:ascii="宋体" w:hAnsi="宋体" w:cs="宋体" w:eastAsia="宋体" w:hint="default"/>
          <w:spacing w:val="-58"/>
        </w:rPr>
        <w:t> </w:t>
      </w:r>
      <w:r>
        <w:rPr>
          <w:spacing w:val="-12"/>
        </w:rPr>
        <w:t>元，剩余未分配利润</w:t>
      </w:r>
      <w:r>
        <w:rPr>
          <w:spacing w:val="-59"/>
        </w:rPr>
        <w:t> </w:t>
      </w:r>
      <w:r>
        <w:rPr>
          <w:rFonts w:ascii="宋体" w:hAnsi="宋体" w:cs="宋体" w:eastAsia="宋体" w:hint="default"/>
        </w:rPr>
        <w:t>353,218,969.89</w:t>
      </w:r>
      <w:r>
        <w:rPr>
          <w:rFonts w:ascii="宋体" w:hAnsi="宋体" w:cs="宋体" w:eastAsia="宋体" w:hint="default"/>
          <w:spacing w:val="-58"/>
        </w:rPr>
        <w:t> </w:t>
      </w:r>
      <w:r>
        <w:rPr/>
        <w:t>元结转至下一年度。 </w:t>
      </w:r>
      <w:r>
        <w:rPr>
          <w:rFonts w:ascii="宋体" w:hAnsi="宋体" w:cs="宋体" w:eastAsia="宋体" w:hint="default"/>
        </w:rPr>
        <w:t>3</w:t>
      </w:r>
      <w:r>
        <w:rPr/>
        <w:t>、</w:t>
      </w:r>
      <w:r>
        <w:rPr>
          <w:rFonts w:ascii="宋体" w:hAnsi="宋体" w:cs="宋体" w:eastAsia="宋体" w:hint="default"/>
        </w:rPr>
        <w:t>2012</w:t>
      </w:r>
      <w:r>
        <w:rPr>
          <w:rFonts w:ascii="宋体" w:hAnsi="宋体" w:cs="宋体" w:eastAsia="宋体" w:hint="default"/>
          <w:spacing w:val="-54"/>
        </w:rPr>
        <w:t> </w:t>
      </w:r>
      <w:r>
        <w:rPr/>
        <w:t>年度利润分配及资本公积转增股本的方案</w:t>
      </w:r>
    </w:p>
    <w:p>
      <w:pPr>
        <w:pStyle w:val="BodyText"/>
        <w:spacing w:line="240" w:lineRule="auto"/>
        <w:ind w:left="574" w:right="1046"/>
        <w:jc w:val="left"/>
      </w:pPr>
      <w:r>
        <w:rPr/>
        <w:t>公司以股本总额</w:t>
      </w:r>
      <w:r>
        <w:rPr>
          <w:spacing w:val="-52"/>
        </w:rPr>
        <w:t> </w:t>
      </w:r>
      <w:r>
        <w:rPr>
          <w:rFonts w:ascii="宋体" w:hAnsi="宋体" w:cs="宋体" w:eastAsia="宋体" w:hint="default"/>
        </w:rPr>
        <w:t>278,000,000</w:t>
      </w:r>
      <w:r>
        <w:rPr>
          <w:rFonts w:ascii="宋体" w:hAnsi="宋体" w:cs="宋体" w:eastAsia="宋体" w:hint="default"/>
          <w:spacing w:val="-52"/>
        </w:rPr>
        <w:t> </w:t>
      </w:r>
      <w:r>
        <w:rPr/>
        <w:t>股为</w:t>
      </w:r>
      <w:r>
        <w:rPr>
          <w:spacing w:val="-2"/>
        </w:rPr>
        <w:t>基</w:t>
      </w:r>
      <w:r>
        <w:rPr/>
        <w:t>数，向全体股东按每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3"/>
        </w:rPr>
        <w:t> </w:t>
      </w:r>
      <w:r>
        <w:rPr/>
        <w:t>股派发现金红利</w:t>
      </w:r>
      <w:r>
        <w:rPr>
          <w:spacing w:val="-52"/>
        </w:rPr>
        <w:t> </w:t>
      </w:r>
      <w:r>
        <w:rPr>
          <w:rFonts w:ascii="宋体" w:hAnsi="宋体" w:cs="宋体" w:eastAsia="宋体" w:hint="default"/>
        </w:rPr>
        <w:t>0.5</w:t>
      </w:r>
      <w:r>
        <w:rPr>
          <w:rFonts w:ascii="宋体" w:hAnsi="宋体" w:cs="宋体" w:eastAsia="宋体" w:hint="default"/>
          <w:spacing w:val="-52"/>
        </w:rPr>
        <w:t> </w:t>
      </w:r>
      <w:r>
        <w:rPr>
          <w:spacing w:val="-2"/>
        </w:rPr>
        <w:t>元</w:t>
      </w:r>
      <w:r>
        <w:rPr/>
        <w:t>人民币（含税</w:t>
      </w:r>
      <w:r>
        <w:rPr>
          <w:spacing w:val="-105"/>
        </w:rPr>
        <w:t>）</w:t>
      </w:r>
      <w:r>
        <w:rPr/>
        <w:t>。</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t>实施上述分配方案共计派发现金红利</w:t>
      </w:r>
      <w:r>
        <w:rPr>
          <w:spacing w:val="-58"/>
        </w:rPr>
        <w:t> </w:t>
      </w:r>
      <w:r>
        <w:rPr>
          <w:rFonts w:ascii="宋体" w:hAnsi="宋体" w:cs="宋体" w:eastAsia="宋体" w:hint="default"/>
        </w:rPr>
        <w:t>1</w:t>
      </w:r>
      <w:r>
        <w:rPr>
          <w:rFonts w:ascii="宋体" w:hAnsi="宋体" w:cs="宋体" w:eastAsia="宋体" w:hint="default"/>
          <w:spacing w:val="1"/>
        </w:rPr>
        <w:t>3</w:t>
      </w:r>
      <w:r>
        <w:rPr>
          <w:rFonts w:ascii="宋体" w:hAnsi="宋体" w:cs="宋体" w:eastAsia="宋体" w:hint="default"/>
        </w:rPr>
        <w:t>,900,000</w:t>
      </w:r>
      <w:r>
        <w:rPr>
          <w:rFonts w:ascii="宋体" w:hAnsi="宋体" w:cs="宋体" w:eastAsia="宋体" w:hint="default"/>
          <w:spacing w:val="-58"/>
        </w:rPr>
        <w:t> </w:t>
      </w:r>
      <w:r>
        <w:rPr/>
        <w:t>元</w:t>
      </w:r>
      <w:r>
        <w:rPr>
          <w:spacing w:val="-105"/>
        </w:rPr>
        <w:t>，</w:t>
      </w:r>
      <w:r>
        <w:rPr/>
        <w:t>剩余</w:t>
      </w:r>
      <w:r>
        <w:rPr>
          <w:spacing w:val="-2"/>
        </w:rPr>
        <w:t>未</w:t>
      </w:r>
      <w:r>
        <w:rPr/>
        <w:t>分配利润</w:t>
      </w:r>
      <w:r>
        <w:rPr>
          <w:spacing w:val="-59"/>
        </w:rPr>
        <w:t> </w:t>
      </w:r>
      <w:r>
        <w:rPr>
          <w:rFonts w:ascii="宋体" w:hAnsi="宋体" w:cs="宋体" w:eastAsia="宋体" w:hint="default"/>
        </w:rPr>
        <w:t>2</w:t>
      </w:r>
      <w:r>
        <w:rPr>
          <w:rFonts w:ascii="宋体" w:hAnsi="宋体" w:cs="宋体" w:eastAsia="宋体" w:hint="default"/>
          <w:spacing w:val="1"/>
        </w:rPr>
        <w:t>6</w:t>
      </w:r>
      <w:r>
        <w:rPr>
          <w:rFonts w:ascii="宋体" w:hAnsi="宋体" w:cs="宋体" w:eastAsia="宋体" w:hint="default"/>
        </w:rPr>
        <w:t>1,412,286.10</w:t>
      </w:r>
      <w:r>
        <w:rPr>
          <w:rFonts w:ascii="宋体" w:hAnsi="宋体" w:cs="宋体" w:eastAsia="宋体" w:hint="default"/>
          <w:spacing w:val="-58"/>
        </w:rPr>
        <w:t> </w:t>
      </w:r>
      <w:r>
        <w:rPr/>
        <w:t>元结转至下一年度。</w:t>
      </w:r>
    </w:p>
    <w:p>
      <w:pPr>
        <w:spacing w:line="240" w:lineRule="auto" w:before="6"/>
        <w:rPr>
          <w:rFonts w:ascii="宋体" w:hAnsi="宋体" w:cs="宋体" w:eastAsia="宋体" w:hint="default"/>
          <w:sz w:val="10"/>
          <w:szCs w:val="10"/>
        </w:rPr>
      </w:pPr>
    </w:p>
    <w:p>
      <w:pPr>
        <w:spacing w:before="44"/>
        <w:ind w:left="154" w:right="1046"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5"/>
        <w:gridCol w:w="1594"/>
        <w:gridCol w:w="1595"/>
        <w:gridCol w:w="1594"/>
        <w:gridCol w:w="1594"/>
        <w:gridCol w:w="1595"/>
      </w:tblGrid>
      <w:tr>
        <w:trPr>
          <w:trHeight w:val="161" w:hRule="exact"/>
        </w:trPr>
        <w:tc>
          <w:tcPr>
            <w:tcW w:w="1585"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股东的净利润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于上市公司股东的 净利润的比率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2" w:right="70"/>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金分红的金额</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73" w:right="71"/>
              <w:jc w:val="center"/>
              <w:rPr>
                <w:rFonts w:ascii="宋体" w:hAnsi="宋体" w:cs="宋体" w:eastAsia="宋体" w:hint="default"/>
                <w:sz w:val="18"/>
                <w:szCs w:val="18"/>
              </w:rPr>
            </w:pPr>
            <w:r>
              <w:rPr>
                <w:rFonts w:ascii="宋体" w:hAnsi="宋体" w:cs="宋体" w:eastAsia="宋体" w:hint="default"/>
                <w:sz w:val="18"/>
                <w:szCs w:val="18"/>
              </w:rPr>
              <w:t>以现金方式要约回 购股份资金计入现 金分红的比例</w:t>
            </w:r>
          </w:p>
        </w:tc>
      </w:tr>
      <w:tr>
        <w:trPr>
          <w:trHeight w:val="156" w:hRule="exact"/>
        </w:trPr>
        <w:tc>
          <w:tcPr>
            <w:tcW w:w="1585"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392" w:hRule="exact"/>
        </w:trPr>
        <w:tc>
          <w:tcPr>
            <w:tcW w:w="15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85"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61" w:hRule="exact"/>
        </w:trPr>
        <w:tc>
          <w:tcPr>
            <w:tcW w:w="1585"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13,977,985.00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43,265,565.47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22,240,000.00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135,071,189.78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33,327,669.82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7"/>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046"/>
        <w:jc w:val="left"/>
        <w:rPr>
          <w:b w:val="0"/>
          <w:bCs w:val="0"/>
        </w:rPr>
      </w:pPr>
      <w:bookmarkStart w:name="十四、本报告期利润分配及资本公积金转增股本预案" w:id="56"/>
      <w:bookmarkEnd w:id="56"/>
      <w:r>
        <w:rPr>
          <w:b w:val="0"/>
          <w:bCs w:val="0"/>
        </w:rPr>
      </w:r>
      <w:r>
        <w:rPr/>
        <w:t>十四、本报告期利润分配及资本公积金转增股本预案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05"/>
        <w:gridCol w:w="5864"/>
      </w:tblGrid>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698,899,250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13,977,985.00</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390,274,040.55</w:t>
            </w:r>
          </w:p>
        </w:tc>
      </w:tr>
      <w:tr>
        <w:trPr>
          <w:trHeight w:val="402" w:hRule="exact"/>
        </w:trPr>
        <w:tc>
          <w:tcPr>
            <w:tcW w:w="37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586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3915"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经瑞华会计师事务所（特殊普通合伙）出具的审计报告确认，公司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年度实现归属于母公司普通股股东的净利润</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43,265,565.47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年实现净利润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62,104,948.07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元。根据《公司章程》的规定，按母公司实现净利润的</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6,210,494.81</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元，加上年初未分配利润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375,458,969.89 </w:t>
            </w:r>
            <w:r>
              <w:rPr>
                <w:rFonts w:ascii="宋体" w:hAnsi="宋体" w:cs="宋体" w:eastAsia="宋体" w:hint="default"/>
                <w:spacing w:val="-12"/>
                <w:sz w:val="18"/>
                <w:szCs w:val="18"/>
              </w:rPr>
              <w:t>元，减去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年度分配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年度现金股利</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22,240,000.00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日，归属于母公司普通股股东累计未分配利润为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390,274,040.55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1"/>
              <w:ind w:left="368" w:right="0"/>
              <w:jc w:val="left"/>
              <w:rPr>
                <w:rFonts w:ascii="宋体" w:hAnsi="宋体" w:cs="宋体" w:eastAsia="宋体" w:hint="default"/>
                <w:sz w:val="18"/>
                <w:szCs w:val="18"/>
              </w:rPr>
            </w:pPr>
            <w:r>
              <w:rPr>
                <w:rFonts w:ascii="宋体" w:hAnsi="宋体" w:cs="宋体" w:eastAsia="宋体" w:hint="default"/>
                <w:sz w:val="18"/>
                <w:szCs w:val="18"/>
              </w:rPr>
              <w:t>鉴于公司首期股票期权激励计划第一个行权期采取自主行权方式行权，第一期可行权数量为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3,899,250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份，行权周期</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日，公司总股本为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696,515,650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股，首期股票期权激励计划</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第一个行权期已行权</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1,515,650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股，尚有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2,383,600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份未行权。若在本次利润分配前尚未行权部分全部行权，则公司总股本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将增加至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698,899,250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368" w:right="0"/>
              <w:jc w:val="left"/>
              <w:rPr>
                <w:rFonts w:ascii="宋体" w:hAnsi="宋体" w:cs="宋体" w:eastAsia="宋体" w:hint="default"/>
                <w:sz w:val="18"/>
                <w:szCs w:val="18"/>
              </w:rPr>
            </w:pPr>
            <w:r>
              <w:rPr>
                <w:rFonts w:ascii="宋体" w:hAnsi="宋体" w:cs="宋体" w:eastAsia="宋体" w:hint="default"/>
                <w:sz w:val="18"/>
                <w:szCs w:val="18"/>
              </w:rPr>
              <w:t>考虑上述未行权部分对总股本的影响，公司</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年度利润分配方案为：公司拟以总股本不超过</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698,899,250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股为基数</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（以实施分红的股权登记日在中国证券登记结算公司实际登记数为准</w:t>
            </w:r>
            <w:r>
              <w:rPr>
                <w:rFonts w:ascii="宋体" w:hAnsi="宋体" w:cs="宋体" w:eastAsia="宋体" w:hint="default"/>
                <w:spacing w:val="-90"/>
                <w:sz w:val="18"/>
                <w:szCs w:val="18"/>
              </w:rPr>
              <w:t>）</w:t>
            </w:r>
            <w:r>
              <w:rPr>
                <w:rFonts w:ascii="宋体" w:hAnsi="宋体" w:cs="宋体" w:eastAsia="宋体" w:hint="default"/>
                <w:sz w:val="18"/>
                <w:szCs w:val="18"/>
              </w:rPr>
              <w:t>，向全体股东按每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w:t>
            </w:r>
            <w:r>
              <w:rPr>
                <w:rFonts w:ascii="宋体" w:hAnsi="宋体" w:cs="宋体" w:eastAsia="宋体" w:hint="default"/>
                <w:spacing w:val="1"/>
                <w:sz w:val="18"/>
                <w:szCs w:val="18"/>
              </w:rPr>
              <w:t>发</w:t>
            </w:r>
            <w:r>
              <w:rPr>
                <w:rFonts w:ascii="宋体" w:hAnsi="宋体" w:cs="宋体" w:eastAsia="宋体" w:hint="default"/>
                <w:sz w:val="18"/>
                <w:szCs w:val="18"/>
              </w:rPr>
              <w:t>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元人民币</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pacing w:val="-4"/>
                <w:sz w:val="18"/>
                <w:szCs w:val="18"/>
              </w:rPr>
              <w:t>（含税）。实施上述分配方案共计派发现金红利不超过</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13,977,985.00</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元，剩余未分配利润</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376,296,055.55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元结转至下一年</w:t>
            </w:r>
            <w:r>
              <w:rPr>
                <w:rFonts w:ascii="宋体" w:hAnsi="宋体" w:cs="宋体" w:eastAsia="宋体" w:hint="default"/>
                <w:spacing w:val="-88"/>
                <w:sz w:val="18"/>
                <w:szCs w:val="18"/>
              </w:rPr>
              <w:t> </w:t>
            </w:r>
            <w:r>
              <w:rPr>
                <w:rFonts w:ascii="宋体" w:hAnsi="宋体" w:cs="宋体" w:eastAsia="宋体" w:hint="default"/>
                <w:sz w:val="18"/>
                <w:szCs w:val="18"/>
              </w:rPr>
              <w:t>度。</w:t>
            </w:r>
          </w:p>
        </w:tc>
      </w:tr>
    </w:tbl>
    <w:p>
      <w:pPr>
        <w:spacing w:line="240" w:lineRule="auto" w:before="2"/>
        <w:rPr>
          <w:rFonts w:ascii="宋体" w:hAnsi="宋体" w:cs="宋体" w:eastAsia="宋体" w:hint="default"/>
          <w:sz w:val="18"/>
          <w:szCs w:val="18"/>
        </w:rPr>
      </w:pPr>
    </w:p>
    <w:p>
      <w:pPr>
        <w:pStyle w:val="Heading2"/>
        <w:spacing w:line="240" w:lineRule="auto" w:before="26"/>
        <w:ind w:left="154" w:right="1046"/>
        <w:jc w:val="left"/>
        <w:rPr>
          <w:b w:val="0"/>
          <w:bCs w:val="0"/>
        </w:rPr>
      </w:pPr>
      <w:bookmarkStart w:name="十五、社会责任情况" w:id="57"/>
      <w:bookmarkEnd w:id="57"/>
      <w:r>
        <w:rPr>
          <w:b w:val="0"/>
          <w:bCs w:val="0"/>
        </w:rPr>
      </w:r>
      <w:r>
        <w:rPr/>
        <w:t>十五、社会责任情况</w:t>
      </w:r>
      <w:r>
        <w:rPr>
          <w:b w:val="0"/>
          <w:bCs w:val="0"/>
        </w:rPr>
      </w:r>
    </w:p>
    <w:p>
      <w:pPr>
        <w:spacing w:line="240" w:lineRule="auto" w:before="7"/>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026" w:firstLine="420"/>
        <w:jc w:val="both"/>
      </w:pPr>
      <w:r>
        <w:rPr>
          <w:spacing w:val="-3"/>
        </w:rPr>
        <w:t>报告期内，公司在追求经济效益和股东利益最大化的同时，积极承担社会责任，维护职工的合法权益，</w:t>
      </w:r>
      <w:r>
        <w:rPr/>
        <w:t> </w:t>
      </w:r>
      <w:r>
        <w:rPr>
          <w:spacing w:val="-3"/>
        </w:rPr>
        <w:t>诚信对待供应商和债权人等利益相关者，积极参与环境保护，支持社会公益和慈善事业，以促进公司与人、</w:t>
      </w:r>
      <w:r>
        <w:rPr>
          <w:spacing w:val="-90"/>
        </w:rPr>
        <w:t> </w:t>
      </w:r>
      <w:r>
        <w:rPr>
          <w:spacing w:val="-90"/>
        </w:rPr>
      </w:r>
      <w:r>
        <w:rPr/>
        <w:t>社会、自然的和谐发展。</w:t>
      </w:r>
    </w:p>
    <w:p>
      <w:pPr>
        <w:pStyle w:val="BodyText"/>
        <w:spacing w:line="408" w:lineRule="auto"/>
        <w:ind w:left="573" w:right="1121"/>
        <w:jc w:val="left"/>
      </w:pPr>
      <w:r>
        <w:rPr/>
        <w:t>（一）股东权益保护 </w:t>
      </w:r>
      <w:r>
        <w:rPr>
          <w:spacing w:val="-14"/>
        </w:rPr>
        <w:t>公司根据《公司法》、《证券法》、《上市公司治理准则》等法律法规，不断完善公司治理，建立了以《公</w:t>
      </w:r>
    </w:p>
    <w:p>
      <w:pPr>
        <w:pStyle w:val="BodyText"/>
        <w:spacing w:line="408" w:lineRule="auto"/>
        <w:ind w:right="1046"/>
        <w:jc w:val="left"/>
      </w:pPr>
      <w:r>
        <w:rPr>
          <w:spacing w:val="-1"/>
        </w:rPr>
        <w:t>司章程》为基础的内部治理结构，形成了以股东大会、董事会、监事会及管理层为主体结构的决策与经营</w:t>
      </w:r>
      <w:r>
        <w:rPr>
          <w:spacing w:val="-85"/>
        </w:rPr>
        <w:t> </w:t>
      </w:r>
      <w:r>
        <w:rPr>
          <w:spacing w:val="-85"/>
        </w:rPr>
      </w:r>
      <w:r>
        <w:rPr/>
        <w:t>体系，切实保障股东尤其是中小股东的合法权益。</w:t>
      </w:r>
    </w:p>
    <w:p>
      <w:pPr>
        <w:pStyle w:val="BodyText"/>
        <w:spacing w:line="408" w:lineRule="auto"/>
        <w:ind w:right="1013" w:firstLine="420"/>
        <w:jc w:val="left"/>
      </w:pPr>
      <w:r>
        <w:rPr/>
        <w:t>公开、公平、公正地进行信息披露，确保信息披露工作的及时、准确、完整，保障了广大股东享有平 </w:t>
      </w:r>
      <w:r>
        <w:rPr>
          <w:spacing w:val="-4"/>
        </w:rPr>
        <w:t>等的知情权。报告期内，累计对外披露公告及相关文件</w:t>
      </w:r>
      <w:r>
        <w:rPr>
          <w:spacing w:val="-38"/>
        </w:rPr>
        <w:t> </w:t>
      </w:r>
      <w:r>
        <w:rPr>
          <w:rFonts w:ascii="宋体" w:hAnsi="宋体" w:cs="宋体" w:eastAsia="宋体" w:hint="default"/>
        </w:rPr>
        <w:t>135</w:t>
      </w:r>
      <w:r>
        <w:rPr>
          <w:rFonts w:ascii="宋体" w:hAnsi="宋体" w:cs="宋体" w:eastAsia="宋体" w:hint="default"/>
          <w:spacing w:val="-38"/>
        </w:rPr>
        <w:t> </w:t>
      </w:r>
      <w:r>
        <w:rPr>
          <w:spacing w:val="-3"/>
        </w:rPr>
        <w:t>余份，有效执行和维护了信息披露的责任机制。</w:t>
      </w:r>
      <w:r>
        <w:rPr>
          <w:spacing w:val="-103"/>
        </w:rPr>
        <w:t> </w:t>
      </w:r>
      <w:r>
        <w:rPr>
          <w:spacing w:val="-103"/>
        </w:rPr>
      </w:r>
      <w:r>
        <w:rPr/>
        <w:t>同时，公司通过与投资者面对面交流、电话沟通、互动易回复及组织接待投资者到公司实地调研等方式，</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046" w:hanging="420"/>
        <w:jc w:val="left"/>
      </w:pPr>
      <w:r>
        <w:rPr/>
        <w:t>不断提高公司的透明度。 </w:t>
      </w:r>
      <w:r>
        <w:rPr>
          <w:spacing w:val="-1"/>
        </w:rPr>
        <w:t>公司一贯重视对投资者的合理回报，上市以来，本着为股东创造价值的核心理念，给投资者带来丰厚</w:t>
      </w:r>
    </w:p>
    <w:p>
      <w:pPr>
        <w:pStyle w:val="BodyText"/>
        <w:spacing w:line="408" w:lineRule="auto"/>
        <w:ind w:right="1017"/>
        <w:jc w:val="left"/>
      </w:pPr>
      <w:r>
        <w:rPr/>
        <w:t>的价值回报。根据中国证监会《关于进一步落实上市公司现金分红有关事项的通知》和深圳证监局《关于 </w:t>
      </w:r>
      <w:r>
        <w:rPr>
          <w:spacing w:val="-3"/>
        </w:rPr>
        <w:t>认真贯彻落实〈关于进一步落实上市公司现金分红有关事项的通知〉有关要求的通知》（深证局公司字</w:t>
      </w:r>
      <w:r>
        <w:rPr>
          <w:spacing w:val="-77"/>
        </w:rPr>
        <w:t> </w:t>
      </w:r>
      <w:r>
        <w:rPr>
          <w:spacing w:val="-77"/>
        </w:rPr>
      </w:r>
      <w:r>
        <w:rPr>
          <w:rFonts w:ascii="宋体" w:hAnsi="宋体" w:cs="宋体" w:eastAsia="宋体" w:hint="default"/>
        </w:rPr>
        <w:t>[2012]43</w:t>
      </w:r>
      <w:r>
        <w:rPr>
          <w:rFonts w:ascii="宋体" w:hAnsi="宋体" w:cs="宋体" w:eastAsia="宋体" w:hint="default"/>
          <w:spacing w:val="-49"/>
        </w:rPr>
        <w:t> </w:t>
      </w:r>
      <w:r>
        <w:rPr>
          <w:spacing w:val="-5"/>
        </w:rPr>
        <w:t>号文件）及相关文件要求，公司起草制定并经股东大会审议通过了《未来三年（</w:t>
      </w:r>
      <w:r>
        <w:rPr>
          <w:rFonts w:ascii="宋体" w:hAnsi="宋体" w:cs="宋体" w:eastAsia="宋体" w:hint="default"/>
          <w:spacing w:val="-5"/>
        </w:rPr>
        <w:t>2012</w:t>
      </w:r>
      <w:r>
        <w:rPr>
          <w:rFonts w:ascii="宋体" w:hAnsi="宋体" w:cs="宋体" w:eastAsia="宋体" w:hint="default"/>
          <w:spacing w:val="-51"/>
        </w:rPr>
        <w:t> </w:t>
      </w:r>
      <w:r>
        <w:rPr/>
        <w:t>年</w:t>
      </w:r>
      <w:r>
        <w:rPr>
          <w:rFonts w:ascii="宋体" w:hAnsi="宋体" w:cs="宋体" w:eastAsia="宋体" w:hint="default"/>
        </w:rPr>
        <w:t>-2014</w:t>
      </w:r>
      <w:r>
        <w:rPr>
          <w:rFonts w:ascii="宋体" w:hAnsi="宋体" w:cs="宋体" w:eastAsia="宋体" w:hint="default"/>
          <w:spacing w:val="-49"/>
        </w:rPr>
        <w:t> </w:t>
      </w:r>
      <w:r>
        <w:rPr/>
        <w:t>年）</w:t>
      </w:r>
      <w:r>
        <w:rPr>
          <w:spacing w:val="-2"/>
        </w:rPr>
        <w:t> </w:t>
      </w:r>
      <w:r>
        <w:rPr>
          <w:spacing w:val="-3"/>
        </w:rPr>
        <w:t>股东回报规划》。以上规划进一步规范了公司分红行为，推动公司建立科学、持续、稳定的分红机制，落</w:t>
      </w:r>
      <w:r>
        <w:rPr>
          <w:spacing w:val="-74"/>
        </w:rPr>
        <w:t> </w:t>
      </w:r>
      <w:r>
        <w:rPr>
          <w:spacing w:val="-74"/>
        </w:rPr>
      </w:r>
      <w:r>
        <w:rPr/>
        <w:t>实了分红回报股东的理念，从制度上保障了股东的良好收益。</w:t>
      </w:r>
    </w:p>
    <w:p>
      <w:pPr>
        <w:pStyle w:val="BodyText"/>
        <w:spacing w:line="408" w:lineRule="auto"/>
        <w:ind w:left="574" w:right="1046"/>
        <w:jc w:val="left"/>
      </w:pPr>
      <w:r>
        <w:rPr/>
        <w:t>（二）职工权益保护 </w:t>
      </w:r>
      <w:r>
        <w:rPr>
          <w:spacing w:val="-3"/>
        </w:rPr>
        <w:t>公司严格遵守《劳动法》和《劳动合同法》，依法保护职工的合法权益。严格执行劳动安全、环境和</w:t>
      </w:r>
    </w:p>
    <w:p>
      <w:pPr>
        <w:pStyle w:val="BodyText"/>
        <w:spacing w:line="408" w:lineRule="auto"/>
        <w:ind w:left="154" w:right="1130"/>
        <w:jc w:val="both"/>
      </w:pPr>
      <w:r>
        <w:rPr>
          <w:spacing w:val="-1"/>
        </w:rPr>
        <w:t>工业卫生的法律法规，积极采取各项措施，改善劳动安全卫生条件，注重员工安全教育与职业培训。</w:t>
      </w:r>
      <w:r>
        <w:rPr>
          <w:rFonts w:ascii="宋体" w:hAnsi="宋体" w:cs="宋体" w:eastAsia="宋体" w:hint="default"/>
          <w:spacing w:val="-1"/>
        </w:rPr>
        <w:t>2014</w:t>
      </w:r>
      <w:r>
        <w:rPr>
          <w:rFonts w:ascii="宋体" w:hAnsi="宋体" w:cs="宋体" w:eastAsia="宋体" w:hint="default"/>
          <w:spacing w:val="-83"/>
        </w:rPr>
        <w:t> </w:t>
      </w:r>
      <w:r>
        <w:rPr>
          <w:spacing w:val="-1"/>
        </w:rPr>
        <w:t>年，公司继续组织一系列形式多样、内容丰富的培训，内容涵盖了财务、技术、管理等，不断提高公司员</w:t>
      </w:r>
      <w:r>
        <w:rPr>
          <w:spacing w:val="-83"/>
        </w:rPr>
        <w:t> </w:t>
      </w:r>
      <w:r>
        <w:rPr>
          <w:spacing w:val="-83"/>
        </w:rPr>
      </w:r>
      <w:r>
        <w:rPr>
          <w:spacing w:val="-1"/>
        </w:rPr>
        <w:t>工的整体素质。公司一直坚持优化激励机制，突出绩效导向，鼓励员工通过加强管理，提高企业效益，促</w:t>
      </w:r>
      <w:r>
        <w:rPr>
          <w:spacing w:val="-83"/>
        </w:rPr>
        <w:t> </w:t>
      </w:r>
      <w:r>
        <w:rPr>
          <w:spacing w:val="-83"/>
        </w:rPr>
      </w:r>
      <w:r>
        <w:rPr>
          <w:spacing w:val="-2"/>
        </w:rPr>
        <w:t>进自身薪酬增长。</w:t>
      </w:r>
      <w:r>
        <w:rPr>
          <w:rFonts w:ascii="宋体" w:hAnsi="宋体" w:cs="宋体" w:eastAsia="宋体" w:hint="default"/>
          <w:spacing w:val="-2"/>
        </w:rPr>
        <w:t>2014</w:t>
      </w:r>
      <w:r>
        <w:rPr>
          <w:rFonts w:ascii="宋体" w:hAnsi="宋体" w:cs="宋体" w:eastAsia="宋体" w:hint="default"/>
          <w:spacing w:val="-38"/>
        </w:rPr>
        <w:t> </w:t>
      </w:r>
      <w:r>
        <w:rPr>
          <w:spacing w:val="-2"/>
        </w:rPr>
        <w:t>年，公司股权激励计划完成预留部分授予和第一期自主行权，将公司的利益与员工</w:t>
      </w:r>
      <w:r>
        <w:rPr>
          <w:spacing w:val="-102"/>
        </w:rPr>
        <w:t> </w:t>
      </w:r>
      <w:r>
        <w:rPr>
          <w:spacing w:val="-102"/>
        </w:rPr>
      </w:r>
      <w:r>
        <w:rPr/>
        <w:t>的利益相结合，增加了员工的主人翁意识，增强了企业的凝聚力。</w:t>
      </w:r>
    </w:p>
    <w:p>
      <w:pPr>
        <w:pStyle w:val="BodyText"/>
        <w:spacing w:line="408" w:lineRule="auto"/>
        <w:ind w:left="574" w:right="1046"/>
        <w:jc w:val="left"/>
      </w:pPr>
      <w:r>
        <w:rPr/>
        <w:t>（三）客户及供应商权益保护 </w:t>
      </w:r>
      <w:r>
        <w:rPr>
          <w:spacing w:val="-1"/>
        </w:rPr>
        <w:t>公司一直遵循―自愿、平等、互利的原则，积极构建和发展与供应商、客户的战略合作伙伴关系，注</w:t>
      </w:r>
    </w:p>
    <w:p>
      <w:pPr>
        <w:pStyle w:val="BodyText"/>
        <w:spacing w:line="408" w:lineRule="auto"/>
        <w:ind w:left="154" w:right="1046"/>
        <w:jc w:val="left"/>
      </w:pPr>
      <w:r>
        <w:rPr>
          <w:spacing w:val="-1"/>
        </w:rPr>
        <w:t>重与各相关方的沟通与协调，共同构筑信任与合作的平台，切实履行公司对供应商、对客户、对消费者的</w:t>
      </w:r>
      <w:r>
        <w:rPr>
          <w:spacing w:val="-86"/>
        </w:rPr>
        <w:t> </w:t>
      </w:r>
      <w:r>
        <w:rPr>
          <w:spacing w:val="-86"/>
        </w:rPr>
      </w:r>
      <w:r>
        <w:rPr/>
        <w:t>社会责任。公司与供应商和客户合同履约良好，各方的权益都得到了应有的保护。</w:t>
      </w:r>
    </w:p>
    <w:p>
      <w:pPr>
        <w:pStyle w:val="BodyText"/>
        <w:spacing w:line="408" w:lineRule="auto"/>
        <w:ind w:left="574" w:right="1046"/>
        <w:jc w:val="left"/>
      </w:pPr>
      <w:r>
        <w:rPr/>
        <w:t>（四）环境保护与可持续发展 </w:t>
      </w:r>
      <w:r>
        <w:rPr>
          <w:spacing w:val="-1"/>
        </w:rPr>
        <w:t>公司高度重视环境保护工作，将环境保护、节能减排工作作为一项重要工作来抓。公司严格按照有关</w:t>
      </w:r>
    </w:p>
    <w:p>
      <w:pPr>
        <w:pStyle w:val="BodyText"/>
        <w:spacing w:line="408" w:lineRule="auto"/>
        <w:ind w:left="154" w:right="1131"/>
        <w:jc w:val="both"/>
      </w:pPr>
      <w:r>
        <w:rPr>
          <w:spacing w:val="-1"/>
        </w:rPr>
        <w:t>环保法规及相应标准对仪器设备进行检测，总体效果良好，节能减排工作有序进行。公司在生产过程中通</w:t>
      </w:r>
      <w:r>
        <w:rPr>
          <w:spacing w:val="-83"/>
        </w:rPr>
        <w:t> </w:t>
      </w:r>
      <w:r>
        <w:rPr>
          <w:spacing w:val="-83"/>
        </w:rPr>
      </w:r>
      <w:r>
        <w:rPr>
          <w:spacing w:val="-1"/>
        </w:rPr>
        <w:t>过改进、创新生产工艺、材料选择等措施，在确保产品质量、稳定性的同时将能耗降至最低。加强了对环</w:t>
      </w:r>
      <w:r>
        <w:rPr>
          <w:spacing w:val="-83"/>
        </w:rPr>
        <w:t> </w:t>
      </w:r>
      <w:r>
        <w:rPr>
          <w:spacing w:val="-83"/>
        </w:rPr>
      </w:r>
      <w:r>
        <w:rPr/>
        <w:t>境保护的宣传工作，提高了全体员工的环保意识，力求公司生产经营符合可持续发展要求。</w:t>
      </w:r>
    </w:p>
    <w:p>
      <w:pPr>
        <w:pStyle w:val="BodyText"/>
        <w:spacing w:line="408" w:lineRule="auto"/>
        <w:ind w:left="574" w:right="1046"/>
        <w:jc w:val="left"/>
      </w:pPr>
      <w:r>
        <w:rPr/>
        <w:t>（五）公共关系及社会公益事业 </w:t>
      </w:r>
      <w:r>
        <w:rPr>
          <w:spacing w:val="-1"/>
        </w:rPr>
        <w:t>公司积极支持国家财政税收和地方经济建设，依法缴纳各种税费，为地方经济发展做出重要贡献。公</w:t>
      </w:r>
    </w:p>
    <w:p>
      <w:pPr>
        <w:pStyle w:val="BodyText"/>
        <w:spacing w:line="405" w:lineRule="auto"/>
        <w:ind w:left="154" w:right="1046"/>
        <w:jc w:val="left"/>
        <w:rPr>
          <w:sz w:val="18"/>
          <w:szCs w:val="18"/>
        </w:rPr>
      </w:pPr>
      <w:r>
        <w:rPr>
          <w:spacing w:val="-1"/>
        </w:rPr>
        <w:t>司在做大做强的同时，注重引进高端人才，每年向社会提供包含高端人才、专业技术人才、大学毕业生等</w:t>
      </w:r>
      <w:r>
        <w:rPr>
          <w:spacing w:val="-86"/>
        </w:rPr>
        <w:t> </w:t>
      </w:r>
      <w:r>
        <w:rPr>
          <w:spacing w:val="-86"/>
        </w:rPr>
      </w:r>
      <w:r>
        <w:rPr>
          <w:spacing w:val="-1"/>
        </w:rPr>
        <w:t>众多就业岗位，不断充实公司新鲜血液和人才力量，同时也为社会和谐稳定创造了有利条件。公司在努力</w:t>
      </w:r>
      <w:r>
        <w:rPr>
          <w:spacing w:val="-83"/>
        </w:rPr>
        <w:t> </w:t>
      </w:r>
      <w:r>
        <w:rPr>
          <w:spacing w:val="-83"/>
        </w:rPr>
      </w:r>
      <w:r>
        <w:rPr/>
        <w:t>发展自身经济的同时，在力所能及的范围内，积极参加义工、捐赠等社会公益活动。 </w:t>
      </w:r>
      <w:r>
        <w:rPr>
          <w:sz w:val="18"/>
          <w:szCs w:val="18"/>
        </w:rPr>
        <w:t>上市公司及其子公司是否属于国家环境保护部门规定的重污染行业</w:t>
      </w:r>
    </w:p>
    <w:p>
      <w:pPr>
        <w:spacing w:line="242" w:lineRule="exact"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after="0" w:line="242" w:lineRule="exact"/>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1046"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上市公司及其子公司是否存在其他重大社会安全问题</w:t>
      </w:r>
    </w:p>
    <w:p>
      <w:pPr>
        <w:spacing w:line="340" w:lineRule="auto" w:before="116"/>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报告期内是否被行政处罚</w:t>
      </w:r>
    </w:p>
    <w:p>
      <w:pPr>
        <w:spacing w:before="4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left="154" w:right="1046"/>
        <w:jc w:val="left"/>
        <w:rPr>
          <w:b w:val="0"/>
          <w:bCs w:val="0"/>
        </w:rPr>
      </w:pPr>
      <w:bookmarkStart w:name="十六、报告期内接待调研、沟通、采访等活动登记表" w:id="58"/>
      <w:bookmarkEnd w:id="58"/>
      <w:r>
        <w:rPr>
          <w:b w:val="0"/>
          <w:bCs w:val="0"/>
        </w:rPr>
      </w:r>
      <w:r>
        <w:rPr/>
        <w:t>十六、报告期内接待调研、沟通、采访等活动登记表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713" w:hRule="exact"/>
        </w:trPr>
        <w:tc>
          <w:tcPr>
            <w:tcW w:w="1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接待地点</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82"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57" w:right="47" w:hanging="810"/>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中投证券、招商证 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行业发展情况、</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行业 市场最新进展、</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 司经营发展情况、公司发 展战略及</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年重点工作 部署、德国子公司情况等</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中信证券、东兴证 券、招商证券、长 城基金、前海开源 基金、第一创业证 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07" w:lineRule="auto"/>
              <w:ind w:left="22" w:right="29"/>
              <w:jc w:val="both"/>
              <w:rPr>
                <w:rFonts w:ascii="宋体" w:hAnsi="宋体" w:cs="宋体" w:eastAsia="宋体" w:hint="default"/>
                <w:sz w:val="18"/>
                <w:szCs w:val="18"/>
              </w:rPr>
            </w:pPr>
            <w:r>
              <w:rPr>
                <w:rFonts w:ascii="宋体" w:hAnsi="宋体" w:cs="宋体" w:eastAsia="宋体" w:hint="default"/>
                <w:sz w:val="18"/>
                <w:szCs w:val="18"/>
              </w:rPr>
              <w:t>行业发展情况、德国子公 司情况、</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行业市场最 新进展、</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年全年情况 展望、产品毛利率情况等</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鹏华基金、招商证 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9"/>
              <w:jc w:val="both"/>
              <w:rPr>
                <w:rFonts w:ascii="宋体" w:hAnsi="宋体" w:cs="宋体" w:eastAsia="宋体" w:hint="default"/>
                <w:sz w:val="18"/>
                <w:szCs w:val="18"/>
              </w:rPr>
            </w:pP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行业市场最新进展、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年全年情况展望、产 品毛利率情况、德国子公 司情况、天海电子情况、 未来研发方向等</w:t>
            </w:r>
          </w:p>
        </w:tc>
      </w:tr>
      <w:tr>
        <w:trPr>
          <w:trHeight w:val="2586"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z w:val="18"/>
                <w:szCs w:val="18"/>
              </w:rPr>
              <w:t>华创证券、浙江博 鸿投资有限公司、 华润元大基金、尚 城资产、金中和投 资有限公司、南方 基金、深圳恒博投 资管理公司、中山 证券、新华基金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2" w:lineRule="auto"/>
              <w:ind w:left="2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行业市场最新进展、 未来研发方向、地铁行业 专网通信需求、全球市场 情况等</w:t>
            </w:r>
          </w:p>
        </w:tc>
      </w:tr>
      <w:tr>
        <w:trPr>
          <w:trHeight w:val="1650"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信达澳银基金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行业市场最新进展、 全球市场情况、公司发展 战略及重点工作方向、未 来竞争局势、德国和河南 子公司销售情况等</w:t>
            </w:r>
          </w:p>
        </w:tc>
      </w:tr>
      <w:tr>
        <w:trPr>
          <w:trHeight w:val="1299"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银河基金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3"/>
              <w:ind w:left="22" w:right="29"/>
              <w:jc w:val="both"/>
              <w:rPr>
                <w:rFonts w:ascii="宋体" w:hAnsi="宋体" w:cs="宋体" w:eastAsia="宋体" w:hint="default"/>
                <w:sz w:val="18"/>
                <w:szCs w:val="18"/>
              </w:rPr>
            </w:pPr>
            <w:r>
              <w:rPr>
                <w:rFonts w:ascii="宋体" w:hAnsi="宋体" w:cs="宋体" w:eastAsia="宋体" w:hint="default"/>
                <w:sz w:val="18"/>
                <w:szCs w:val="18"/>
              </w:rPr>
              <w:t>公司基本情况、行业发展 情况、</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行业市场最新 进展、</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年公司经营发 展情况、近期已公告的中</w:t>
            </w:r>
          </w:p>
        </w:tc>
      </w:tr>
    </w:tbl>
    <w:p>
      <w:pPr>
        <w:spacing w:after="0" w:line="304"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94"/>
        <w:gridCol w:w="1498"/>
        <w:gridCol w:w="1497"/>
        <w:gridCol w:w="1498"/>
        <w:gridCol w:w="1497"/>
        <w:gridCol w:w="2087"/>
      </w:tblGrid>
      <w:tr>
        <w:trPr>
          <w:trHeight w:val="362" w:hRule="exact"/>
        </w:trPr>
        <w:tc>
          <w:tcPr>
            <w:tcW w:w="149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7"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标项目进展等</w:t>
            </w:r>
          </w:p>
        </w:tc>
      </w:tr>
      <w:tr>
        <w:trPr>
          <w:trHeight w:val="196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大成基金、英大人 寿、中海基金、东 </w:t>
            </w:r>
            <w:r>
              <w:rPr>
                <w:rFonts w:ascii="宋体" w:hAnsi="宋体" w:cs="宋体" w:eastAsia="宋体" w:hint="default"/>
                <w:spacing w:val="-14"/>
                <w:sz w:val="18"/>
                <w:szCs w:val="18"/>
              </w:rPr>
              <w:t>方证券、第一创业、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华泰柏瑞基金、国</w:t>
            </w:r>
            <w:r>
              <w:rPr>
                <w:rFonts w:ascii="宋体" w:hAnsi="宋体" w:cs="宋体" w:eastAsia="宋体" w:hint="default"/>
                <w:sz w:val="18"/>
                <w:szCs w:val="18"/>
              </w:rPr>
              <w:t> </w:t>
            </w:r>
            <w:r>
              <w:rPr>
                <w:rFonts w:ascii="宋体" w:hAnsi="宋体" w:cs="宋体" w:eastAsia="宋体" w:hint="default"/>
                <w:spacing w:val="-14"/>
                <w:sz w:val="18"/>
                <w:szCs w:val="18"/>
              </w:rPr>
              <w:t>投瑞银、宗毅润邦、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东方基金</w:t>
            </w:r>
          </w:p>
        </w:tc>
        <w:tc>
          <w:tcPr>
            <w:tcW w:w="2087" w:type="dxa"/>
            <w:tcBorders>
              <w:top w:val="single" w:sz="4" w:space="0" w:color="000000"/>
              <w:left w:val="single" w:sz="13" w:space="0" w:color="FFFFFF"/>
              <w:bottom w:val="single" w:sz="4" w:space="0" w:color="000000"/>
              <w:right w:val="single" w:sz="4" w:space="0" w:color="000000"/>
            </w:tcBorders>
          </w:tcPr>
          <w:p>
            <w:pPr>
              <w:pStyle w:val="TableParagraph"/>
              <w:spacing w:line="314" w:lineRule="auto" w:before="51"/>
              <w:ind w:left="11" w:right="48"/>
              <w:jc w:val="both"/>
              <w:rPr>
                <w:rFonts w:ascii="宋体" w:hAnsi="宋体" w:cs="宋体" w:eastAsia="宋体" w:hint="default"/>
                <w:sz w:val="18"/>
                <w:szCs w:val="18"/>
              </w:rPr>
            </w:pPr>
            <w:r>
              <w:rPr>
                <w:rFonts w:ascii="宋体" w:hAnsi="宋体" w:cs="宋体" w:eastAsia="宋体" w:hint="default"/>
                <w:sz w:val="18"/>
                <w:szCs w:val="18"/>
              </w:rPr>
              <w:t>行业发展情况、</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行业 市场最新进展、各产品线 市场情况、近期已公告的 中标项目进展、海外市场 情况、公司内部运营情况 等</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312"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01.6pt;height:15.6pt;mso-position-horizontal-relative:char;mso-position-vertical-relative:line" coordorigin="0,0" coordsize="2032,312">
                  <v:group style="position:absolute;left:0;top:0;width:2032;height:312" coordorigin="0,0" coordsize="2032,312">
                    <v:shape style="position:absolute;left:0;top:0;width:2032;height:312" coordorigin="0,0" coordsize="2032,312" path="m0,312l2032,312,2032,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12" w:lineRule="exact"/>
              <w:ind w:left="11" w:right="-2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101.6pt;height:15.6pt;mso-position-horizontal-relative:char;mso-position-vertical-relative:line" coordorigin="0,0" coordsize="2032,312">
                  <v:group style="position:absolute;left:0;top:0;width:2032;height:312" coordorigin="0,0" coordsize="2032,312">
                    <v:shape style="position:absolute;left:0;top:0;width:2032;height:312" coordorigin="0,0" coordsize="2032,312" path="m0,312l2032,312,2032,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r>
      <w:tr>
        <w:trPr>
          <w:trHeight w:val="1338"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嘉实基金</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行业发展情况、</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行业 市场最新进展、各产品线 市场情况、海外市场情况 等</w:t>
            </w:r>
          </w:p>
        </w:tc>
      </w:tr>
      <w:tr>
        <w:trPr>
          <w:trHeight w:val="3522" w:hRule="exact"/>
        </w:trPr>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公司会议室</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中投证券、光大证 券、招商证券、国 信证券、</w:t>
            </w:r>
            <w:r>
              <w:rPr>
                <w:rFonts w:ascii="Times New Roman" w:hAnsi="Times New Roman" w:cs="Times New Roman" w:eastAsia="Times New Roman" w:hint="default"/>
                <w:sz w:val="18"/>
                <w:szCs w:val="18"/>
              </w:rPr>
              <w:t>SMC </w:t>
            </w:r>
            <w:r>
              <w:rPr>
                <w:rFonts w:ascii="宋体" w:hAnsi="宋体" w:cs="宋体" w:eastAsia="宋体" w:hint="default"/>
                <w:sz w:val="18"/>
                <w:szCs w:val="18"/>
              </w:rPr>
              <w:t>基 金、北京浦来德资 产管理有限责任公 司、国泰君安、宗 毅润邦、深圳综彩 投资、诺安基金、 上海执力股权投资 管理有限公司、东 吴证券</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9"/>
              <w:ind w:left="22" w:right="47"/>
              <w:jc w:val="left"/>
              <w:rPr>
                <w:rFonts w:ascii="宋体" w:hAnsi="宋体" w:cs="宋体" w:eastAsia="宋体" w:hint="default"/>
                <w:sz w:val="18"/>
                <w:szCs w:val="18"/>
              </w:rPr>
            </w:pP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行业市场最新进展、 政务网市场最新进展情 况、地铁市场最新情况、 海外市场情况、各产品线 市场情况等</w:t>
            </w:r>
          </w:p>
        </w:tc>
      </w:tr>
    </w:tbl>
    <w:p>
      <w:pPr>
        <w:spacing w:after="0" w:line="314"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right="1536"/>
        <w:jc w:val="center"/>
        <w:rPr>
          <w:b w:val="0"/>
          <w:bCs w:val="0"/>
        </w:rPr>
      </w:pPr>
      <w:bookmarkStart w:name="_TOC_250007" w:id="59"/>
      <w:bookmarkStart w:name="第五节 重要事项" w:id="60"/>
      <w:r>
        <w:rPr>
          <w:b w:val="0"/>
          <w:bCs w:val="0"/>
        </w:rPr>
      </w:r>
      <w:r>
        <w:rPr/>
        <w:t>第五节</w:t>
      </w:r>
      <w:r>
        <w:rPr>
          <w:spacing w:val="-5"/>
        </w:rPr>
        <w:t> </w:t>
      </w:r>
      <w:r>
        <w:rPr/>
        <w:t>重要事项</w:t>
      </w:r>
      <w:bookmarkEnd w:id="5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6"/>
        <w:jc w:val="left"/>
        <w:rPr>
          <w:b w:val="0"/>
          <w:bCs w:val="0"/>
        </w:rPr>
      </w:pPr>
      <w:bookmarkStart w:name="一、重大诉讼仲裁事项" w:id="61"/>
      <w:bookmarkEnd w:id="61"/>
      <w:r>
        <w:rPr>
          <w:b w:val="0"/>
          <w:bCs w:val="0"/>
        </w:rPr>
      </w:r>
      <w:r>
        <w:rPr/>
        <w:t>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1046"/>
        <w:jc w:val="left"/>
        <w:rPr>
          <w:b w:val="0"/>
          <w:bCs w:val="0"/>
        </w:rPr>
      </w:pPr>
      <w:bookmarkStart w:name="二、媒体质疑情况" w:id="62"/>
      <w:bookmarkEnd w:id="62"/>
      <w:r>
        <w:rPr>
          <w:b w:val="0"/>
          <w:bCs w:val="0"/>
        </w:rPr>
      </w:r>
      <w:r>
        <w:rPr/>
        <w:t>二、媒体质疑情况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本报告期公司无媒体普遍质疑事项。</w:t>
      </w:r>
    </w:p>
    <w:p>
      <w:pPr>
        <w:spacing w:line="240" w:lineRule="auto" w:before="4"/>
        <w:rPr>
          <w:rFonts w:ascii="宋体" w:hAnsi="宋体" w:cs="宋体" w:eastAsia="宋体" w:hint="default"/>
          <w:sz w:val="19"/>
          <w:szCs w:val="19"/>
        </w:rPr>
      </w:pPr>
    </w:p>
    <w:p>
      <w:pPr>
        <w:pStyle w:val="Heading2"/>
        <w:spacing w:line="240" w:lineRule="auto"/>
        <w:ind w:right="1046"/>
        <w:jc w:val="left"/>
        <w:rPr>
          <w:b w:val="0"/>
          <w:bCs w:val="0"/>
        </w:rPr>
      </w:pPr>
      <w:bookmarkStart w:name="三、控股股东及其关联方对上市公司的非经营性占用资金情况" w:id="63"/>
      <w:bookmarkEnd w:id="63"/>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6"/>
        <w:rPr>
          <w:rFonts w:ascii="宋体" w:hAnsi="宋体" w:cs="宋体" w:eastAsia="宋体" w:hint="default"/>
          <w:sz w:val="19"/>
          <w:szCs w:val="19"/>
        </w:rPr>
      </w:pPr>
    </w:p>
    <w:p>
      <w:pPr>
        <w:pStyle w:val="Heading2"/>
        <w:spacing w:line="240" w:lineRule="auto"/>
        <w:ind w:right="1046"/>
        <w:jc w:val="left"/>
        <w:rPr>
          <w:b w:val="0"/>
          <w:bCs w:val="0"/>
        </w:rPr>
      </w:pPr>
      <w:bookmarkStart w:name="四、破产重整相关事项" w:id="64"/>
      <w:bookmarkEnd w:id="64"/>
      <w:r>
        <w:rPr>
          <w:b w:val="0"/>
          <w:bCs w:val="0"/>
        </w:rPr>
      </w:r>
      <w:r>
        <w:rPr/>
        <w:t>四、破产重整相关事项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1046"/>
        <w:jc w:val="left"/>
        <w:rPr>
          <w:b w:val="0"/>
          <w:bCs w:val="0"/>
        </w:rPr>
      </w:pPr>
      <w:bookmarkStart w:name="五、资产交易事项" w:id="65"/>
      <w:bookmarkEnd w:id="65"/>
      <w:r>
        <w:rPr>
          <w:b w:val="0"/>
          <w:bCs w:val="0"/>
        </w:rPr>
      </w:r>
      <w:r>
        <w:rPr/>
        <w:t>五、资产交易事项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46"/>
        <w:jc w:val="left"/>
        <w:rPr>
          <w:b w:val="0"/>
          <w:bCs w:val="0"/>
        </w:rPr>
      </w:pPr>
      <w:bookmarkStart w:name="1、收购资产情况" w:id="66"/>
      <w:bookmarkEnd w:id="66"/>
      <w:r>
        <w:rPr>
          <w:b w:val="0"/>
          <w:bCs w:val="0"/>
        </w:rPr>
      </w:r>
      <w:r>
        <w:rPr>
          <w:rFonts w:ascii="Times New Roman" w:hAnsi="Times New Roman" w:cs="Times New Roman" w:eastAsia="Times New Roman" w:hint="default"/>
        </w:rPr>
        <w:t>1</w:t>
      </w:r>
      <w:r>
        <w:rPr/>
        <w:t>、收购资产情况</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p>
      <w:pPr>
        <w:spacing w:before="44"/>
        <w:ind w:left="0" w:right="1148" w:firstLine="0"/>
        <w:jc w:val="right"/>
        <w:rPr>
          <w:rFonts w:ascii="宋体" w:hAnsi="宋体" w:cs="宋体" w:eastAsia="宋体" w:hint="default"/>
          <w:sz w:val="18"/>
          <w:szCs w:val="18"/>
        </w:rPr>
      </w:pPr>
      <w:r>
        <w:rPr/>
        <w:pict>
          <v:shape style="position:absolute;margin-left:56.459999pt;margin-top:-176.938278pt;width:478.95pt;height:225.9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961"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6" w:right="66"/>
                          <w:jc w:val="center"/>
                          <w:rPr>
                            <w:rFonts w:ascii="宋体" w:hAnsi="宋体" w:cs="宋体" w:eastAsia="宋体" w:hint="default"/>
                            <w:sz w:val="18"/>
                            <w:szCs w:val="18"/>
                          </w:rPr>
                        </w:pPr>
                        <w:r>
                          <w:rPr>
                            <w:rFonts w:ascii="宋体" w:hAnsi="宋体" w:cs="宋体" w:eastAsia="宋体" w:hint="default"/>
                            <w:sz w:val="18"/>
                            <w:szCs w:val="18"/>
                          </w:rPr>
                          <w:t>交易对方 或最终控 制方</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被收购或 置入资产</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6"/>
                          <w:ind w:left="69"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进展情况</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9" w:right="69"/>
                          <w:jc w:val="left"/>
                          <w:rPr>
                            <w:rFonts w:ascii="宋体" w:hAnsi="宋体" w:cs="宋体" w:eastAsia="宋体" w:hint="default"/>
                            <w:sz w:val="18"/>
                            <w:szCs w:val="18"/>
                          </w:rPr>
                        </w:pPr>
                        <w:r>
                          <w:rPr>
                            <w:rFonts w:ascii="宋体" w:hAnsi="宋体" w:cs="宋体" w:eastAsia="宋体" w:hint="default"/>
                            <w:sz w:val="18"/>
                            <w:szCs w:val="18"/>
                          </w:rPr>
                          <w:t>对公司经 营的影响</w:t>
                        </w:r>
                      </w:p>
                      <w:p>
                        <w:pPr>
                          <w:pStyle w:val="TableParagraph"/>
                          <w:spacing w:line="240" w:lineRule="auto" w:before="20"/>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8" w:right="68"/>
                          <w:jc w:val="left"/>
                          <w:rPr>
                            <w:rFonts w:ascii="宋体" w:hAnsi="宋体" w:cs="宋体" w:eastAsia="宋体" w:hint="default"/>
                            <w:sz w:val="18"/>
                            <w:szCs w:val="18"/>
                          </w:rPr>
                        </w:pPr>
                        <w:r>
                          <w:rPr>
                            <w:rFonts w:ascii="宋体" w:hAnsi="宋体" w:cs="宋体" w:eastAsia="宋体" w:hint="default"/>
                            <w:sz w:val="18"/>
                            <w:szCs w:val="18"/>
                          </w:rPr>
                          <w:t>对公司损 益的影响</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该资产为 上市公司 贡献的净 利润占净 利润总额 的比率</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9" w:right="68" w:hanging="90"/>
                          <w:jc w:val="left"/>
                          <w:rPr>
                            <w:rFonts w:ascii="宋体" w:hAnsi="宋体" w:cs="宋体" w:eastAsia="宋体" w:hint="default"/>
                            <w:sz w:val="18"/>
                            <w:szCs w:val="18"/>
                          </w:rPr>
                        </w:pPr>
                        <w:r>
                          <w:rPr>
                            <w:rFonts w:ascii="宋体" w:hAnsi="宋体" w:cs="宋体" w:eastAsia="宋体" w:hint="default"/>
                            <w:sz w:val="18"/>
                            <w:szCs w:val="18"/>
                          </w:rPr>
                          <w:t>是否为关 联交易</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center"/>
                          <w:rPr>
                            <w:rFonts w:ascii="宋体" w:hAnsi="宋体" w:cs="宋体" w:eastAsia="宋体" w:hint="default"/>
                            <w:sz w:val="18"/>
                            <w:szCs w:val="18"/>
                          </w:rPr>
                        </w:pPr>
                        <w:r>
                          <w:rPr>
                            <w:rFonts w:ascii="宋体" w:hAnsi="宋体" w:cs="宋体" w:eastAsia="宋体" w:hint="default"/>
                            <w:sz w:val="18"/>
                            <w:szCs w:val="18"/>
                          </w:rPr>
                          <w:t>与交易对 方的关联 </w:t>
                        </w:r>
                        <w:r>
                          <w:rPr>
                            <w:rFonts w:ascii="宋体" w:hAnsi="宋体" w:cs="宋体" w:eastAsia="宋体" w:hint="default"/>
                            <w:spacing w:val="-18"/>
                            <w:sz w:val="18"/>
                            <w:szCs w:val="18"/>
                          </w:rPr>
                          <w:t>关系（适用</w:t>
                        </w:r>
                        <w:r>
                          <w:rPr>
                            <w:rFonts w:ascii="宋体" w:hAnsi="宋体" w:cs="宋体" w:eastAsia="宋体" w:hint="default"/>
                            <w:sz w:val="18"/>
                            <w:szCs w:val="18"/>
                          </w:rPr>
                          <w:t> 关联交易 情形</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6"/>
                          <w:ind w:left="9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6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547"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111"/>
                          <w:jc w:val="both"/>
                          <w:rPr>
                            <w:rFonts w:ascii="宋体" w:hAnsi="宋体" w:cs="宋体" w:eastAsia="宋体" w:hint="default"/>
                            <w:sz w:val="18"/>
                            <w:szCs w:val="18"/>
                          </w:rPr>
                        </w:pPr>
                        <w:r>
                          <w:rPr>
                            <w:rFonts w:ascii="宋体" w:hAnsi="宋体" w:cs="宋体" w:eastAsia="宋体" w:hint="default"/>
                            <w:sz w:val="18"/>
                            <w:szCs w:val="18"/>
                          </w:rPr>
                          <w:t>沈瑞松、 冯宝理、 孙镇、刘 军杰四名 自然人</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319" w:lineRule="auto"/>
                          <w:ind w:left="22" w:right="115"/>
                          <w:jc w:val="both"/>
                          <w:rPr>
                            <w:rFonts w:ascii="宋体" w:hAnsi="宋体" w:cs="宋体" w:eastAsia="宋体" w:hint="default"/>
                            <w:sz w:val="18"/>
                            <w:szCs w:val="18"/>
                          </w:rPr>
                        </w:pPr>
                        <w:r>
                          <w:rPr>
                            <w:rFonts w:ascii="宋体" w:hAnsi="宋体" w:cs="宋体" w:eastAsia="宋体" w:hint="default"/>
                            <w:sz w:val="18"/>
                            <w:szCs w:val="18"/>
                          </w:rPr>
                          <w:t>南京宙达 通信技术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41" w:right="0"/>
                          <w:jc w:val="left"/>
                          <w:rPr>
                            <w:rFonts w:ascii="Times New Roman" w:hAnsi="Times New Roman" w:cs="Times New Roman" w:eastAsia="Times New Roman" w:hint="default"/>
                            <w:sz w:val="18"/>
                            <w:szCs w:val="18"/>
                          </w:rPr>
                        </w:pPr>
                        <w:r>
                          <w:rPr>
                            <w:rFonts w:ascii="Times New Roman"/>
                            <w:sz w:val="18"/>
                          </w:rPr>
                          <w:t>919.75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7"/>
                          <w:jc w:val="both"/>
                          <w:rPr>
                            <w:rFonts w:ascii="宋体" w:hAnsi="宋体" w:cs="宋体" w:eastAsia="宋体" w:hint="default"/>
                            <w:sz w:val="18"/>
                            <w:szCs w:val="18"/>
                          </w:rPr>
                        </w:pPr>
                        <w:r>
                          <w:rPr>
                            <w:rFonts w:ascii="宋体" w:hAnsi="宋体" w:cs="宋体" w:eastAsia="宋体" w:hint="default"/>
                            <w:sz w:val="18"/>
                            <w:szCs w:val="18"/>
                          </w:rPr>
                          <w:t>本次收购 有助于明 显加快公 司全资孙 公司新元 电子军用 数字集群 系统的开</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-35,467.96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《关于收 购南京宙 达通信技 术有限公 司</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 权的公告 详见巨潮 资讯网</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7" w:footer="979" w:top="1060" w:bottom="1160" w:left="980" w:right="0"/>
        </w:sectPr>
      </w:pPr>
    </w:p>
    <w:p>
      <w:pPr>
        <w:spacing w:line="319" w:lineRule="auto" w:before="44"/>
        <w:ind w:left="3656" w:right="-20" w:firstLine="0"/>
        <w:jc w:val="left"/>
        <w:rPr>
          <w:rFonts w:ascii="宋体" w:hAnsi="宋体" w:cs="宋体" w:eastAsia="宋体" w:hint="default"/>
          <w:sz w:val="18"/>
          <w:szCs w:val="18"/>
        </w:rPr>
      </w:pPr>
      <w:r>
        <w:rPr/>
        <w:pict>
          <v:group style="position:absolute;margin-left:56.459999pt;margin-top:.951743pt;width:478.7pt;height:647.65pt;mso-position-horizontal-relative:page;mso-position-vertical-relative:paragraph;z-index:-1064656" coordorigin="1129,19" coordsize="9574,12953">
            <v:group style="position:absolute;left:5484;top:33;width:860;height:3474" coordorigin="5484,33" coordsize="860,3474">
              <v:shape style="position:absolute;left:5484;top:33;width:860;height:3474" coordorigin="5484,33" coordsize="860,3474" path="m5484,3507l6343,3507,6343,33,5484,33,5484,3507xe" filled="true" fillcolor="#ffffff" stroked="false">
                <v:path arrowok="t"/>
                <v:fill type="solid"/>
              </v:shape>
            </v:group>
            <v:group style="position:absolute;left:1139;top:29;width:855;height:2" coordorigin="1139,29" coordsize="855,2">
              <v:shape style="position:absolute;left:1139;top:29;width:855;height:2" coordorigin="1139,29" coordsize="855,0" path="m1139,29l1994,29e" filled="false" stroked="true" strokeweight=".48pt" strokecolor="#000000">
                <v:path arrowok="t"/>
              </v:shape>
            </v:group>
            <v:group style="position:absolute;left:2003;top:29;width:861;height:2" coordorigin="2003,29" coordsize="861,2">
              <v:shape style="position:absolute;left:2003;top:29;width:861;height:2" coordorigin="2003,29" coordsize="861,0" path="m2003,29l2864,29e" filled="false" stroked="true" strokeweight=".48pt" strokecolor="#000000">
                <v:path arrowok="t"/>
              </v:shape>
            </v:group>
            <v:group style="position:absolute;left:2873;top:29;width:861;height:2" coordorigin="2873,29" coordsize="861,2">
              <v:shape style="position:absolute;left:2873;top:29;width:861;height:2" coordorigin="2873,29" coordsize="861,0" path="m2873,29l3734,29e" filled="false" stroked="true" strokeweight=".48pt" strokecolor="#000000">
                <v:path arrowok="t"/>
              </v:shape>
            </v:group>
            <v:group style="position:absolute;left:3743;top:29;width:861;height:2" coordorigin="3743,29" coordsize="861,2">
              <v:shape style="position:absolute;left:3743;top:29;width:861;height:2" coordorigin="3743,29" coordsize="861,0" path="m3743,29l4604,29e" filled="false" stroked="true" strokeweight=".48pt" strokecolor="#000000">
                <v:path arrowok="t"/>
              </v:shape>
            </v:group>
            <v:group style="position:absolute;left:4613;top:29;width:861;height:2" coordorigin="4613,29" coordsize="861,2">
              <v:shape style="position:absolute;left:4613;top:29;width:861;height:2" coordorigin="4613,29" coordsize="861,0" path="m4613,29l5474,29e" filled="false" stroked="true" strokeweight=".48pt" strokecolor="#000000">
                <v:path arrowok="t"/>
              </v:shape>
            </v:group>
            <v:group style="position:absolute;left:5484;top:29;width:860;height:2" coordorigin="5484,29" coordsize="860,2">
              <v:shape style="position:absolute;left:5484;top:29;width:860;height:2" coordorigin="5484,29" coordsize="860,0" path="m5484,29l6343,29e" filled="false" stroked="true" strokeweight=".48pt" strokecolor="#000000">
                <v:path arrowok="t"/>
              </v:shape>
            </v:group>
            <v:group style="position:absolute;left:6352;top:29;width:861;height:2" coordorigin="6352,29" coordsize="861,2">
              <v:shape style="position:absolute;left:6352;top:29;width:861;height:2" coordorigin="6352,29" coordsize="861,0" path="m6352,29l7213,29e" filled="false" stroked="true" strokeweight=".48pt" strokecolor="#000000">
                <v:path arrowok="t"/>
              </v:shape>
            </v:group>
            <v:group style="position:absolute;left:7222;top:29;width:861;height:2" coordorigin="7222,29" coordsize="861,2">
              <v:shape style="position:absolute;left:7222;top:29;width:861;height:2" coordorigin="7222,29" coordsize="861,0" path="m7222,29l8083,29e" filled="false" stroked="true" strokeweight=".48pt" strokecolor="#000000">
                <v:path arrowok="t"/>
              </v:shape>
            </v:group>
            <v:group style="position:absolute;left:8092;top:29;width:861;height:2" coordorigin="8092,29" coordsize="861,2">
              <v:shape style="position:absolute;left:8092;top:29;width:861;height:2" coordorigin="8092,29" coordsize="861,0" path="m8092,29l8953,29e" filled="false" stroked="true" strokeweight=".48pt" strokecolor="#000000">
                <v:path arrowok="t"/>
              </v:shape>
            </v:group>
            <v:group style="position:absolute;left:8963;top:29;width:861;height:2" coordorigin="8963,29" coordsize="861,2">
              <v:shape style="position:absolute;left:8963;top:29;width:861;height:2" coordorigin="8963,29" coordsize="861,0" path="m8963,29l9823,29e" filled="false" stroked="true" strokeweight=".48pt" strokecolor="#000000">
                <v:path arrowok="t"/>
              </v:shape>
            </v:group>
            <v:group style="position:absolute;left:9833;top:29;width:861;height:2" coordorigin="9833,29" coordsize="861,2">
              <v:shape style="position:absolute;left:9833;top:29;width:861;height:2" coordorigin="9833,29" coordsize="861,0" path="m9833,29l10693,29e" filled="false" stroked="true" strokeweight=".48pt" strokecolor="#000000">
                <v:path arrowok="t"/>
              </v:shape>
            </v:group>
            <v:group style="position:absolute;left:5484;top:3516;width:860;height:4525" coordorigin="5484,3516" coordsize="860,4525">
              <v:shape style="position:absolute;left:5484;top:3516;width:860;height:4525" coordorigin="5484,3516" coordsize="860,4525" path="m5484,8041l6343,8041,6343,3516,5484,3516,5484,8041xe" filled="true" fillcolor="#ffffff" stroked="false">
                <v:path arrowok="t"/>
                <v:fill type="solid"/>
              </v:shape>
            </v:group>
            <v:group style="position:absolute;left:5495;top:8041;width:2;height:393" coordorigin="5495,8041" coordsize="2,393">
              <v:shape style="position:absolute;left:5495;top:8041;width:2;height:393" coordorigin="5495,8041" coordsize="0,393" path="m5495,8041l5495,8433e" filled="false" stroked="true" strokeweight="1.140pt" strokecolor="#ffffff">
                <v:path arrowok="t"/>
              </v:shape>
            </v:group>
            <v:group style="position:absolute;left:5506;top:8041;width:814;height:393" coordorigin="5506,8041" coordsize="814,393">
              <v:shape style="position:absolute;left:5506;top:8041;width:814;height:393" coordorigin="5506,8041" coordsize="814,393" path="m5506,8433l6320,8433,6320,8041,5506,8041,5506,8433xe" filled="true" fillcolor="#ffffff" stroked="false">
                <v:path arrowok="t"/>
                <v:fill type="solid"/>
              </v:shape>
            </v:group>
            <v:group style="position:absolute;left:1139;top:3511;width:855;height:2" coordorigin="1139,3511" coordsize="855,2">
              <v:shape style="position:absolute;left:1139;top:3511;width:855;height:2" coordorigin="1139,3511" coordsize="855,0" path="m1139,3511l1994,3511e" filled="false" stroked="true" strokeweight=".48pt" strokecolor="#000000">
                <v:path arrowok="t"/>
              </v:shape>
            </v:group>
            <v:group style="position:absolute;left:2003;top:3511;width:861;height:2" coordorigin="2003,3511" coordsize="861,2">
              <v:shape style="position:absolute;left:2003;top:3511;width:861;height:2" coordorigin="2003,3511" coordsize="861,0" path="m2003,3511l2864,3511e" filled="false" stroked="true" strokeweight=".48pt" strokecolor="#000000">
                <v:path arrowok="t"/>
              </v:shape>
            </v:group>
            <v:group style="position:absolute;left:2873;top:3511;width:861;height:2" coordorigin="2873,3511" coordsize="861,2">
              <v:shape style="position:absolute;left:2873;top:3511;width:861;height:2" coordorigin="2873,3511" coordsize="861,0" path="m2873,3511l3734,3511e" filled="false" stroked="true" strokeweight=".48pt" strokecolor="#000000">
                <v:path arrowok="t"/>
              </v:shape>
            </v:group>
            <v:group style="position:absolute;left:3743;top:3511;width:861;height:2" coordorigin="3743,3511" coordsize="861,2">
              <v:shape style="position:absolute;left:3743;top:3511;width:861;height:2" coordorigin="3743,3511" coordsize="861,0" path="m3743,3511l4604,3511e" filled="false" stroked="true" strokeweight=".48pt" strokecolor="#000000">
                <v:path arrowok="t"/>
              </v:shape>
            </v:group>
            <v:group style="position:absolute;left:4613;top:3511;width:861;height:2" coordorigin="4613,3511" coordsize="861,2">
              <v:shape style="position:absolute;left:4613;top:3511;width:861;height:2" coordorigin="4613,3511" coordsize="861,0" path="m4613,3511l5474,3511e" filled="false" stroked="true" strokeweight=".48pt" strokecolor="#000000">
                <v:path arrowok="t"/>
              </v:shape>
            </v:group>
            <v:group style="position:absolute;left:5484;top:3511;width:860;height:2" coordorigin="5484,3511" coordsize="860,2">
              <v:shape style="position:absolute;left:5484;top:3511;width:860;height:2" coordorigin="5484,3511" coordsize="860,0" path="m5484,3511l6343,3511e" filled="false" stroked="true" strokeweight=".48pt" strokecolor="#000000">
                <v:path arrowok="t"/>
              </v:shape>
            </v:group>
            <v:group style="position:absolute;left:6352;top:3511;width:861;height:2" coordorigin="6352,3511" coordsize="861,2">
              <v:shape style="position:absolute;left:6352;top:3511;width:861;height:2" coordorigin="6352,3511" coordsize="861,0" path="m6352,3511l7213,3511e" filled="false" stroked="true" strokeweight=".48pt" strokecolor="#000000">
                <v:path arrowok="t"/>
              </v:shape>
            </v:group>
            <v:group style="position:absolute;left:7222;top:3511;width:861;height:2" coordorigin="7222,3511" coordsize="861,2">
              <v:shape style="position:absolute;left:7222;top:3511;width:861;height:2" coordorigin="7222,3511" coordsize="861,0" path="m7222,3511l8083,3511e" filled="false" stroked="true" strokeweight=".48pt" strokecolor="#000000">
                <v:path arrowok="t"/>
              </v:shape>
            </v:group>
            <v:group style="position:absolute;left:8092;top:3511;width:861;height:2" coordorigin="8092,3511" coordsize="861,2">
              <v:shape style="position:absolute;left:8092;top:3511;width:861;height:2" coordorigin="8092,3511" coordsize="861,0" path="m8092,3511l8953,3511e" filled="false" stroked="true" strokeweight=".48pt" strokecolor="#000000">
                <v:path arrowok="t"/>
              </v:shape>
            </v:group>
            <v:group style="position:absolute;left:8963;top:3511;width:861;height:2" coordorigin="8963,3511" coordsize="861,2">
              <v:shape style="position:absolute;left:8963;top:3511;width:861;height:2" coordorigin="8963,3511" coordsize="861,0" path="m8963,3511l9823,3511e" filled="false" stroked="true" strokeweight=".48pt" strokecolor="#000000">
                <v:path arrowok="t"/>
              </v:shape>
            </v:group>
            <v:group style="position:absolute;left:9833;top:3511;width:861;height:2" coordorigin="9833,3511" coordsize="861,2">
              <v:shape style="position:absolute;left:9833;top:3511;width:861;height:2" coordorigin="9833,3511" coordsize="861,0" path="m9833,3511l10693,3511e" filled="false" stroked="true" strokeweight=".48pt" strokecolor="#000000">
                <v:path arrowok="t"/>
              </v:shape>
            </v:group>
            <v:group style="position:absolute;left:1134;top:24;width:2;height:12944" coordorigin="1134,24" coordsize="2,12944">
              <v:shape style="position:absolute;left:1134;top:24;width:2;height:12944" coordorigin="1134,24" coordsize="0,12944" path="m1134,24l1134,12967e" filled="false" stroked="true" strokeweight=".48pt" strokecolor="#000000">
                <v:path arrowok="t"/>
              </v:shape>
            </v:group>
            <v:group style="position:absolute;left:1139;top:12962;width:855;height:2" coordorigin="1139,12962" coordsize="855,2">
              <v:shape style="position:absolute;left:1139;top:12962;width:855;height:2" coordorigin="1139,12962" coordsize="855,0" path="m1139,12962l1994,12962e" filled="false" stroked="true" strokeweight=".48pt" strokecolor="#000000">
                <v:path arrowok="t"/>
              </v:shape>
            </v:group>
            <v:group style="position:absolute;left:1998;top:24;width:2;height:12944" coordorigin="1998,24" coordsize="2,12944">
              <v:shape style="position:absolute;left:1998;top:24;width:2;height:12944" coordorigin="1998,24" coordsize="0,12944" path="m1998,24l1998,12967e" filled="false" stroked="true" strokeweight=".48pt" strokecolor="#000000">
                <v:path arrowok="t"/>
              </v:shape>
            </v:group>
            <v:group style="position:absolute;left:2003;top:12962;width:861;height:2" coordorigin="2003,12962" coordsize="861,2">
              <v:shape style="position:absolute;left:2003;top:12962;width:861;height:2" coordorigin="2003,12962" coordsize="861,0" path="m2003,12962l2864,12962e" filled="false" stroked="true" strokeweight=".48pt" strokecolor="#000000">
                <v:path arrowok="t"/>
              </v:shape>
            </v:group>
            <v:group style="position:absolute;left:2868;top:24;width:2;height:12944" coordorigin="2868,24" coordsize="2,12944">
              <v:shape style="position:absolute;left:2868;top:24;width:2;height:12944" coordorigin="2868,24" coordsize="0,12944" path="m2868,24l2868,12967e" filled="false" stroked="true" strokeweight=".48pt" strokecolor="#000000">
                <v:path arrowok="t"/>
              </v:shape>
            </v:group>
            <v:group style="position:absolute;left:2873;top:12962;width:861;height:2" coordorigin="2873,12962" coordsize="861,2">
              <v:shape style="position:absolute;left:2873;top:12962;width:861;height:2" coordorigin="2873,12962" coordsize="861,0" path="m2873,12962l3734,12962e" filled="false" stroked="true" strokeweight=".48pt" strokecolor="#000000">
                <v:path arrowok="t"/>
              </v:shape>
            </v:group>
            <v:group style="position:absolute;left:3738;top:24;width:2;height:12944" coordorigin="3738,24" coordsize="2,12944">
              <v:shape style="position:absolute;left:3738;top:24;width:2;height:12944" coordorigin="3738,24" coordsize="0,12944" path="m3738,24l3738,12967e" filled="false" stroked="true" strokeweight=".48pt" strokecolor="#000000">
                <v:path arrowok="t"/>
              </v:shape>
            </v:group>
            <v:group style="position:absolute;left:3743;top:12962;width:861;height:2" coordorigin="3743,12962" coordsize="861,2">
              <v:shape style="position:absolute;left:3743;top:12962;width:861;height:2" coordorigin="3743,12962" coordsize="861,0" path="m3743,12962l4604,12962e" filled="false" stroked="true" strokeweight=".48pt" strokecolor="#000000">
                <v:path arrowok="t"/>
              </v:shape>
            </v:group>
            <v:group style="position:absolute;left:4608;top:24;width:2;height:12944" coordorigin="4608,24" coordsize="2,12944">
              <v:shape style="position:absolute;left:4608;top:24;width:2;height:12944" coordorigin="4608,24" coordsize="0,12944" path="m4608,24l4608,12967e" filled="false" stroked="true" strokeweight=".48pt" strokecolor="#000000">
                <v:path arrowok="t"/>
              </v:shape>
            </v:group>
            <v:group style="position:absolute;left:4613;top:12962;width:861;height:2" coordorigin="4613,12962" coordsize="861,2">
              <v:shape style="position:absolute;left:4613;top:12962;width:861;height:2" coordorigin="4613,12962" coordsize="861,0" path="m4613,12962l5474,12962e" filled="false" stroked="true" strokeweight=".48pt" strokecolor="#000000">
                <v:path arrowok="t"/>
              </v:shape>
            </v:group>
            <v:group style="position:absolute;left:5479;top:24;width:2;height:12944" coordorigin="5479,24" coordsize="2,12944">
              <v:shape style="position:absolute;left:5479;top:24;width:2;height:12944" coordorigin="5479,24" coordsize="0,12944" path="m5479,24l5479,12967e" filled="false" stroked="true" strokeweight=".48pt" strokecolor="#000000">
                <v:path arrowok="t"/>
              </v:shape>
            </v:group>
            <v:group style="position:absolute;left:5484;top:12962;width:860;height:2" coordorigin="5484,12962" coordsize="860,2">
              <v:shape style="position:absolute;left:5484;top:12962;width:860;height:2" coordorigin="5484,12962" coordsize="860,0" path="m5484,12962l6343,12962e" filled="false" stroked="true" strokeweight=".48pt" strokecolor="#000000">
                <v:path arrowok="t"/>
              </v:shape>
            </v:group>
            <v:group style="position:absolute;left:6348;top:24;width:2;height:12944" coordorigin="6348,24" coordsize="2,12944">
              <v:shape style="position:absolute;left:6348;top:24;width:2;height:12944" coordorigin="6348,24" coordsize="0,12944" path="m6348,24l6348,12967e" filled="false" stroked="true" strokeweight=".48pt" strokecolor="#000000">
                <v:path arrowok="t"/>
              </v:shape>
            </v:group>
            <v:group style="position:absolute;left:6352;top:12962;width:861;height:2" coordorigin="6352,12962" coordsize="861,2">
              <v:shape style="position:absolute;left:6352;top:12962;width:861;height:2" coordorigin="6352,12962" coordsize="861,0" path="m6352,12962l7213,12962e" filled="false" stroked="true" strokeweight=".48pt" strokecolor="#000000">
                <v:path arrowok="t"/>
              </v:shape>
            </v:group>
            <v:group style="position:absolute;left:7218;top:24;width:2;height:12944" coordorigin="7218,24" coordsize="2,12944">
              <v:shape style="position:absolute;left:7218;top:24;width:2;height:12944" coordorigin="7218,24" coordsize="0,12944" path="m7218,24l7218,12967e" filled="false" stroked="true" strokeweight=".48pt" strokecolor="#000000">
                <v:path arrowok="t"/>
              </v:shape>
            </v:group>
            <v:group style="position:absolute;left:7222;top:12962;width:861;height:2" coordorigin="7222,12962" coordsize="861,2">
              <v:shape style="position:absolute;left:7222;top:12962;width:861;height:2" coordorigin="7222,12962" coordsize="861,0" path="m7222,12962l8083,12962e" filled="false" stroked="true" strokeweight=".48pt" strokecolor="#000000">
                <v:path arrowok="t"/>
              </v:shape>
            </v:group>
            <v:group style="position:absolute;left:8088;top:24;width:2;height:12944" coordorigin="8088,24" coordsize="2,12944">
              <v:shape style="position:absolute;left:8088;top:24;width:2;height:12944" coordorigin="8088,24" coordsize="0,12944" path="m8088,24l8088,12967e" filled="false" stroked="true" strokeweight=".48pt" strokecolor="#000000">
                <v:path arrowok="t"/>
              </v:shape>
            </v:group>
            <v:group style="position:absolute;left:8092;top:12962;width:861;height:2" coordorigin="8092,12962" coordsize="861,2">
              <v:shape style="position:absolute;left:8092;top:12962;width:861;height:2" coordorigin="8092,12962" coordsize="861,0" path="m8092,12962l8953,12962e" filled="false" stroked="true" strokeweight=".48pt" strokecolor="#000000">
                <v:path arrowok="t"/>
              </v:shape>
            </v:group>
            <v:group style="position:absolute;left:8958;top:24;width:2;height:12944" coordorigin="8958,24" coordsize="2,12944">
              <v:shape style="position:absolute;left:8958;top:24;width:2;height:12944" coordorigin="8958,24" coordsize="0,12944" path="m8958,24l8958,12967e" filled="false" stroked="true" strokeweight=".48pt" strokecolor="#000000">
                <v:path arrowok="t"/>
              </v:shape>
            </v:group>
            <v:group style="position:absolute;left:8963;top:12962;width:861;height:2" coordorigin="8963,12962" coordsize="861,2">
              <v:shape style="position:absolute;left:8963;top:12962;width:861;height:2" coordorigin="8963,12962" coordsize="861,0" path="m8963,12962l9823,12962e" filled="false" stroked="true" strokeweight=".48pt" strokecolor="#000000">
                <v:path arrowok="t"/>
              </v:shape>
            </v:group>
            <v:group style="position:absolute;left:9828;top:24;width:2;height:12944" coordorigin="9828,24" coordsize="2,12944">
              <v:shape style="position:absolute;left:9828;top:24;width:2;height:12944" coordorigin="9828,24" coordsize="0,12944" path="m9828,24l9828,12967e" filled="false" stroked="true" strokeweight=".48pt" strokecolor="#000000">
                <v:path arrowok="t"/>
              </v:shape>
            </v:group>
            <v:group style="position:absolute;left:9833;top:12962;width:861;height:2" coordorigin="9833,12962" coordsize="861,2">
              <v:shape style="position:absolute;left:9833;top:12962;width:861;height:2" coordorigin="9833,12962" coordsize="861,0" path="m9833,12962l10693,12962e" filled="false" stroked="true" strokeweight=".48pt" strokecolor="#000000">
                <v:path arrowok="t"/>
              </v:shape>
            </v:group>
            <v:group style="position:absolute;left:10698;top:24;width:2;height:12944" coordorigin="10698,24" coordsize="2,12944">
              <v:shape style="position:absolute;left:10698;top:24;width:2;height:12944" coordorigin="10698,24" coordsize="0,12944" path="m10698,24l10698,12967e" filled="false" stroked="true" strokeweight=".48pt" strokecolor="#000000">
                <v:path arrowok="t"/>
              </v:shape>
            </v:group>
            <w10:wrap type="none"/>
          </v:group>
        </w:pict>
      </w:r>
      <w:r>
        <w:rPr>
          <w:rFonts w:ascii="宋体" w:hAnsi="宋体" w:cs="宋体" w:eastAsia="宋体" w:hint="default"/>
          <w:spacing w:val="-18"/>
          <w:sz w:val="18"/>
          <w:szCs w:val="18"/>
        </w:rPr>
        <w:t>发进度，开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拓军用数 字集群市 </w:t>
      </w:r>
      <w:r>
        <w:rPr>
          <w:rFonts w:ascii="宋体" w:hAnsi="宋体" w:cs="宋体" w:eastAsia="宋体" w:hint="default"/>
          <w:spacing w:val="-18"/>
          <w:sz w:val="18"/>
          <w:szCs w:val="18"/>
        </w:rPr>
        <w:t>场，丰富新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元电子的 业务领域， 进而增强 新元电子 的市场竞 争力和盈 利能力。</w:t>
      </w:r>
    </w:p>
    <w:p>
      <w:pPr>
        <w:spacing w:line="307" w:lineRule="auto" w:before="84"/>
        <w:ind w:left="3656" w:right="1148" w:firstLine="0"/>
        <w:jc w:val="both"/>
        <w:rPr>
          <w:rFonts w:ascii="宋体" w:hAnsi="宋体" w:cs="宋体" w:eastAsia="宋体" w:hint="default"/>
          <w:sz w:val="18"/>
          <w:szCs w:val="18"/>
        </w:rPr>
      </w:pPr>
      <w:r>
        <w:rPr/>
        <w:br w:type="column"/>
      </w:r>
      <w:r>
        <w:rPr>
          <w:rFonts w:ascii="Times New Roman" w:hAnsi="Times New Roman" w:cs="Times New Roman" w:eastAsia="Times New Roman" w:hint="default"/>
          <w:sz w:val="18"/>
          <w:szCs w:val="18"/>
        </w:rPr>
        <w:t>www.cninf o.com.cn</w:t>
      </w:r>
      <w:r>
        <w:rPr>
          <w:rFonts w:ascii="宋体" w:hAnsi="宋体" w:cs="宋体" w:eastAsia="宋体" w:hint="default"/>
          <w:sz w:val="18"/>
          <w:szCs w:val="18"/>
        </w:rPr>
        <w:t>， 公告编号：</w:t>
      </w:r>
    </w:p>
    <w:p>
      <w:pPr>
        <w:spacing w:before="67"/>
        <w:ind w:left="3656" w:right="0" w:firstLine="0"/>
        <w:jc w:val="both"/>
        <w:rPr>
          <w:rFonts w:ascii="Times New Roman" w:hAnsi="Times New Roman" w:cs="Times New Roman" w:eastAsia="Times New Roman" w:hint="default"/>
          <w:sz w:val="18"/>
          <w:szCs w:val="18"/>
        </w:rPr>
      </w:pPr>
      <w:r>
        <w:rPr>
          <w:rFonts w:ascii="Times New Roman"/>
          <w:sz w:val="18"/>
        </w:rPr>
        <w:t>2014-020</w:t>
      </w:r>
    </w:p>
    <w:p>
      <w:pPr>
        <w:spacing w:after="0"/>
        <w:jc w:val="both"/>
        <w:rPr>
          <w:rFonts w:ascii="Times New Roman" w:hAnsi="Times New Roman" w:cs="Times New Roman" w:eastAsia="Times New Roman" w:hint="default"/>
          <w:sz w:val="18"/>
          <w:szCs w:val="18"/>
        </w:rPr>
        <w:sectPr>
          <w:type w:val="continuous"/>
          <w:pgSz w:w="11910" w:h="16840"/>
          <w:pgMar w:top="1060" w:bottom="1160" w:left="980" w:right="0"/>
          <w:cols w:num="2" w:equalWidth="0">
            <w:col w:w="4557" w:space="663"/>
            <w:col w:w="5710"/>
          </w:cols>
        </w:sect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20"/>
          <w:szCs w:val="20"/>
        </w:rPr>
      </w:pP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深圳市对 外经济贸 易投资有 限公司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316" w:lineRule="auto" w:before="159"/>
        <w:ind w:left="104" w:right="0" w:firstLine="0"/>
        <w:jc w:val="both"/>
        <w:rPr>
          <w:rFonts w:ascii="宋体" w:hAnsi="宋体" w:cs="宋体" w:eastAsia="宋体" w:hint="default"/>
          <w:sz w:val="18"/>
          <w:szCs w:val="18"/>
        </w:rPr>
      </w:pPr>
      <w:r>
        <w:rPr>
          <w:rFonts w:ascii="宋体" w:hAnsi="宋体" w:cs="宋体" w:eastAsia="宋体" w:hint="default"/>
          <w:sz w:val="18"/>
          <w:szCs w:val="18"/>
        </w:rPr>
        <w:t>深圳市运 联通通信 服务有限 公司</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6"/>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1,079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已完成</w:t>
      </w:r>
    </w:p>
    <w:p>
      <w:pPr>
        <w:spacing w:line="316" w:lineRule="auto" w:before="107"/>
        <w:ind w:left="181"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此次收购 可使我司 迅速切入 城市政务 应急网市 </w:t>
      </w:r>
      <w:r>
        <w:rPr>
          <w:rFonts w:ascii="宋体" w:hAnsi="宋体" w:cs="宋体" w:eastAsia="宋体" w:hint="default"/>
          <w:spacing w:val="-18"/>
          <w:sz w:val="18"/>
          <w:szCs w:val="18"/>
        </w:rPr>
        <w:t>场，为公司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城市政务 应急网络 向国内及 海外市场 的复制提 供样板点； </w:t>
      </w:r>
      <w:r>
        <w:rPr>
          <w:rFonts w:ascii="宋体" w:hAnsi="宋体" w:cs="宋体" w:eastAsia="宋体" w:hint="default"/>
          <w:spacing w:val="-18"/>
          <w:sz w:val="18"/>
          <w:szCs w:val="18"/>
        </w:rPr>
        <w:t>另外，在该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无线网络 的基础上， 公司还计 划针对特 殊政府应 用进行解 决方案定 </w:t>
      </w:r>
      <w:r>
        <w:rPr>
          <w:rFonts w:ascii="宋体" w:hAnsi="宋体" w:cs="宋体" w:eastAsia="宋体" w:hint="default"/>
          <w:spacing w:val="-18"/>
          <w:sz w:val="18"/>
          <w:szCs w:val="18"/>
        </w:rPr>
        <w:t>制开发，以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此切入未 来市场前 景广阔的 智慧城市 和平安城 </w:t>
      </w:r>
      <w:r>
        <w:rPr>
          <w:rFonts w:ascii="宋体" w:hAnsi="宋体" w:cs="宋体" w:eastAsia="宋体" w:hint="default"/>
          <w:spacing w:val="-18"/>
          <w:sz w:val="18"/>
          <w:szCs w:val="18"/>
        </w:rPr>
        <w:t>市业务，符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合公司未 来业务发 展方向。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196" w:lineRule="exact" w:before="0"/>
        <w:ind w:left="1051" w:right="-20" w:firstLine="0"/>
        <w:jc w:val="left"/>
        <w:rPr>
          <w:rFonts w:ascii="宋体" w:hAnsi="宋体" w:cs="宋体" w:eastAsia="宋体" w:hint="default"/>
          <w:sz w:val="18"/>
          <w:szCs w:val="18"/>
        </w:rPr>
      </w:pPr>
      <w:r>
        <w:rPr>
          <w:rFonts w:ascii="宋体" w:hAnsi="宋体" w:cs="宋体" w:eastAsia="宋体" w:hint="default"/>
          <w:sz w:val="18"/>
          <w:szCs w:val="18"/>
        </w:rPr>
        <w:t>无关联关</w:t>
      </w:r>
    </w:p>
    <w:p>
      <w:pPr>
        <w:spacing w:line="156" w:lineRule="exact"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196" w:lineRule="exact" w:before="0"/>
        <w:ind w:left="1051" w:right="-20" w:firstLine="0"/>
        <w:jc w:val="left"/>
        <w:rPr>
          <w:rFonts w:ascii="宋体" w:hAnsi="宋体" w:cs="宋体" w:eastAsia="宋体" w:hint="default"/>
          <w:sz w:val="18"/>
          <w:szCs w:val="18"/>
        </w:rPr>
      </w:pPr>
      <w:r>
        <w:rPr>
          <w:rFonts w:ascii="宋体" w:hAnsi="宋体" w:cs="宋体" w:eastAsia="宋体" w:hint="default"/>
          <w:sz w:val="18"/>
          <w:szCs w:val="18"/>
        </w:rPr>
        <w:t>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0"/>
        <w:ind w:left="110" w:right="-19"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spacing w:before="63"/>
        <w:ind w:left="110" w:right="-19"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spacing w:line="316" w:lineRule="auto" w:before="0"/>
        <w:ind w:left="21" w:right="1221" w:firstLine="0"/>
        <w:jc w:val="left"/>
        <w:rPr>
          <w:rFonts w:ascii="宋体" w:hAnsi="宋体" w:cs="宋体" w:eastAsia="宋体" w:hint="default"/>
          <w:sz w:val="18"/>
          <w:szCs w:val="18"/>
        </w:rPr>
      </w:pPr>
      <w:r>
        <w:rPr>
          <w:rFonts w:ascii="宋体" w:hAnsi="宋体" w:cs="宋体" w:eastAsia="宋体" w:hint="default"/>
          <w:sz w:val="18"/>
          <w:szCs w:val="18"/>
        </w:rPr>
        <w:t>《关于收 购深圳市 运联通通 信服务有 限公司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 </w:t>
      </w:r>
      <w:r>
        <w:rPr>
          <w:rFonts w:ascii="宋体" w:hAnsi="宋体" w:cs="宋体" w:eastAsia="宋体" w:hint="default"/>
          <w:spacing w:val="-18"/>
          <w:sz w:val="18"/>
          <w:szCs w:val="18"/>
        </w:rPr>
        <w:t>的公告》详</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见巨潮资 讯网</w:t>
      </w:r>
    </w:p>
    <w:p>
      <w:pPr>
        <w:spacing w:line="307" w:lineRule="auto" w:before="58"/>
        <w:ind w:left="21" w:right="1148"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www.cninf o.com.cn</w:t>
      </w:r>
      <w:r>
        <w:rPr>
          <w:rFonts w:ascii="宋体" w:hAnsi="宋体" w:cs="宋体" w:eastAsia="宋体" w:hint="default"/>
          <w:sz w:val="18"/>
          <w:szCs w:val="18"/>
        </w:rPr>
        <w:t>， 公告编号：</w:t>
      </w:r>
    </w:p>
    <w:p>
      <w:pPr>
        <w:spacing w:before="67"/>
        <w:ind w:left="21" w:right="1221" w:firstLine="0"/>
        <w:jc w:val="left"/>
        <w:rPr>
          <w:rFonts w:ascii="Times New Roman" w:hAnsi="Times New Roman" w:cs="Times New Roman" w:eastAsia="Times New Roman" w:hint="default"/>
          <w:sz w:val="18"/>
          <w:szCs w:val="18"/>
        </w:rPr>
      </w:pPr>
      <w:r>
        <w:rPr>
          <w:rFonts w:ascii="Times New Roman"/>
          <w:sz w:val="18"/>
        </w:rPr>
        <w:t>2014-083</w:t>
      </w:r>
    </w:p>
    <w:p>
      <w:pPr>
        <w:spacing w:after="0"/>
        <w:jc w:val="left"/>
        <w:rPr>
          <w:rFonts w:ascii="Times New Roman" w:hAnsi="Times New Roman" w:cs="Times New Roman" w:eastAsia="Times New Roman" w:hint="default"/>
          <w:sz w:val="18"/>
          <w:szCs w:val="18"/>
        </w:rPr>
        <w:sectPr>
          <w:type w:val="continuous"/>
          <w:pgSz w:w="11910" w:h="16840"/>
          <w:pgMar w:top="1060" w:bottom="1160" w:left="980" w:right="0"/>
          <w:cols w:num="7" w:equalWidth="0">
            <w:col w:w="902" w:space="40"/>
            <w:col w:w="825" w:space="377"/>
            <w:col w:w="1183" w:space="148"/>
            <w:col w:w="1083" w:space="1527"/>
            <w:col w:w="1772" w:space="40"/>
            <w:col w:w="920" w:space="40"/>
            <w:col w:w="2073"/>
          </w:cols>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1046"/>
        <w:jc w:val="left"/>
        <w:rPr>
          <w:b w:val="0"/>
          <w:bCs w:val="0"/>
        </w:rPr>
      </w:pPr>
      <w:bookmarkStart w:name="2、出售资产情况" w:id="67"/>
      <w:bookmarkEnd w:id="67"/>
      <w:r>
        <w:rPr>
          <w:b w:val="0"/>
          <w:bCs w:val="0"/>
        </w:rPr>
      </w:r>
      <w:r>
        <w:rPr>
          <w:rFonts w:ascii="Times New Roman" w:hAnsi="Times New Roman" w:cs="Times New Roman" w:eastAsia="Times New Roman" w:hint="default"/>
        </w:rPr>
        <w:t>2</w:t>
      </w:r>
      <w:r>
        <w:rPr/>
        <w:t>、出售资产情况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公司报告期未出售资产。</w:t>
      </w:r>
    </w:p>
    <w:p>
      <w:pPr>
        <w:spacing w:line="240" w:lineRule="auto" w:before="3"/>
        <w:rPr>
          <w:rFonts w:ascii="宋体" w:hAnsi="宋体" w:cs="宋体" w:eastAsia="宋体" w:hint="default"/>
          <w:sz w:val="21"/>
          <w:szCs w:val="21"/>
        </w:rPr>
      </w:pPr>
    </w:p>
    <w:p>
      <w:pPr>
        <w:pStyle w:val="Heading3"/>
        <w:spacing w:line="240" w:lineRule="auto"/>
        <w:ind w:left="153" w:right="1046"/>
        <w:jc w:val="left"/>
        <w:rPr>
          <w:b w:val="0"/>
          <w:bCs w:val="0"/>
        </w:rPr>
      </w:pPr>
      <w:bookmarkStart w:name="3、企业合并情况" w:id="68"/>
      <w:bookmarkEnd w:id="68"/>
      <w:r>
        <w:rPr>
          <w:b w:val="0"/>
          <w:bCs w:val="0"/>
        </w:rPr>
      </w:r>
      <w:r>
        <w:rPr>
          <w:rFonts w:ascii="Times New Roman" w:hAnsi="Times New Roman" w:cs="Times New Roman" w:eastAsia="Times New Roman" w:hint="default"/>
        </w:rPr>
        <w:t>3</w:t>
      </w:r>
      <w:r>
        <w:rPr/>
        <w:t>、企业合并情况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公司报告期未发生企业合并情况。</w:t>
      </w:r>
    </w:p>
    <w:p>
      <w:pPr>
        <w:spacing w:line="240" w:lineRule="auto" w:before="3"/>
        <w:rPr>
          <w:rFonts w:ascii="宋体" w:hAnsi="宋体" w:cs="宋体" w:eastAsia="宋体" w:hint="default"/>
          <w:sz w:val="19"/>
          <w:szCs w:val="19"/>
        </w:rPr>
      </w:pPr>
    </w:p>
    <w:p>
      <w:pPr>
        <w:pStyle w:val="Heading2"/>
        <w:spacing w:line="240" w:lineRule="auto"/>
        <w:ind w:right="1046"/>
        <w:jc w:val="left"/>
        <w:rPr>
          <w:b w:val="0"/>
          <w:bCs w:val="0"/>
        </w:rPr>
      </w:pPr>
      <w:bookmarkStart w:name="六、公司股权激励的实施情况及其影响" w:id="69"/>
      <w:bookmarkEnd w:id="69"/>
      <w:r>
        <w:rPr>
          <w:b w:val="0"/>
          <w:bCs w:val="0"/>
        </w:rPr>
      </w:r>
      <w:r>
        <w:rPr/>
        <w:t>六、公司股权激励的实施情况及其影响</w:t>
      </w:r>
      <w:r>
        <w:rPr>
          <w:b w:val="0"/>
          <w:bCs w:val="0"/>
        </w:rPr>
      </w:r>
    </w:p>
    <w:p>
      <w:pPr>
        <w:spacing w:line="240" w:lineRule="auto" w:before="9"/>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62" w:firstLine="420"/>
        <w:jc w:val="both"/>
      </w:pPr>
      <w:r>
        <w:rPr>
          <w:rFonts w:ascii="宋体" w:hAnsi="宋体" w:cs="宋体" w:eastAsia="宋体" w:hint="default"/>
        </w:rPr>
        <w:t>1</w:t>
      </w:r>
      <w:r>
        <w:rPr/>
        <w:t>、</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4"/>
        </w:rPr>
        <w:t> </w:t>
      </w:r>
      <w:r>
        <w:rPr/>
        <w:t>月</w:t>
      </w:r>
      <w:r>
        <w:rPr>
          <w:spacing w:val="-54"/>
        </w:rPr>
        <w:t> </w:t>
      </w:r>
      <w:r>
        <w:rPr>
          <w:rFonts w:ascii="宋体" w:hAnsi="宋体" w:cs="宋体" w:eastAsia="宋体" w:hint="default"/>
        </w:rPr>
        <w:t>7</w:t>
      </w:r>
      <w:r>
        <w:rPr>
          <w:rFonts w:ascii="宋体" w:hAnsi="宋体" w:cs="宋体" w:eastAsia="宋体" w:hint="default"/>
          <w:spacing w:val="-53"/>
        </w:rPr>
        <w:t> </w:t>
      </w:r>
      <w:r>
        <w:rPr/>
        <w:t>日，公司分别召开第一届董事会第二十八次会议和第一届监事会第二十一次会议， </w:t>
      </w:r>
      <w:r>
        <w:rPr>
          <w:spacing w:val="-3"/>
        </w:rPr>
        <w:t>审议通过了《关于</w:t>
      </w:r>
      <w:r>
        <w:rPr>
          <w:rFonts w:ascii="宋体" w:hAnsi="宋体" w:cs="宋体" w:eastAsia="宋体" w:hint="default"/>
          <w:spacing w:val="-3"/>
        </w:rPr>
        <w:t>&lt;</w:t>
      </w:r>
      <w:r>
        <w:rPr>
          <w:spacing w:val="-3"/>
        </w:rPr>
        <w:t>海能达通信股份有限公司股票期权激励计划（草案）</w:t>
      </w:r>
      <w:r>
        <w:rPr>
          <w:rFonts w:ascii="宋体" w:hAnsi="宋体" w:cs="宋体" w:eastAsia="宋体" w:hint="default"/>
          <w:spacing w:val="-3"/>
        </w:rPr>
        <w:t>&gt;</w:t>
      </w:r>
      <w:r>
        <w:rPr>
          <w:spacing w:val="-3"/>
        </w:rPr>
        <w:t>及其摘要的议案》，公司独立董</w:t>
      </w:r>
      <w:r>
        <w:rPr>
          <w:spacing w:val="-75"/>
        </w:rPr>
        <w:t> </w:t>
      </w:r>
      <w:r>
        <w:rPr>
          <w:spacing w:val="-75"/>
        </w:rPr>
      </w:r>
      <w:r>
        <w:rPr/>
        <w:t>事就该议案发表了独立意见，律师及财务顾问等中介机构出具了相应报告，并于</w:t>
      </w:r>
      <w:r>
        <w:rPr>
          <w:spacing w:val="-51"/>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8</w:t>
      </w:r>
      <w:r>
        <w:rPr>
          <w:rFonts w:ascii="宋体" w:hAnsi="宋体" w:cs="宋体" w:eastAsia="宋体" w:hint="default"/>
          <w:spacing w:val="-53"/>
        </w:rPr>
        <w:t> </w:t>
      </w:r>
      <w:r>
        <w:rPr/>
        <w:t>日通过指 定披露媒体对外公告。</w:t>
      </w:r>
    </w:p>
    <w:p>
      <w:pPr>
        <w:pStyle w:val="BodyText"/>
        <w:spacing w:line="408" w:lineRule="auto"/>
        <w:ind w:right="1163" w:firstLine="420"/>
        <w:jc w:val="both"/>
      </w:pPr>
      <w:r>
        <w:rPr>
          <w:rFonts w:ascii="宋体" w:hAnsi="宋体" w:cs="宋体" w:eastAsia="宋体" w:hint="default"/>
        </w:rPr>
        <w:t>2</w:t>
      </w:r>
      <w:r>
        <w:rPr/>
        <w:t>、公司向中国证券监督管理委员会（以下简称“证监会”）上报申请备案材料，并根据证监会的反 </w:t>
      </w:r>
      <w:r>
        <w:rPr>
          <w:spacing w:val="-3"/>
        </w:rPr>
        <w:t>馈意见，对《海能达通信股份有限公司股票期权激励计划（草案）》进行了修订。</w:t>
      </w:r>
      <w:r>
        <w:rPr>
          <w:rFonts w:ascii="宋体" w:hAnsi="宋体" w:cs="宋体" w:eastAsia="宋体" w:hint="default"/>
          <w:spacing w:val="-3"/>
        </w:rPr>
        <w:t>2013</w:t>
      </w:r>
      <w:r>
        <w:rPr>
          <w:rFonts w:ascii="宋体" w:hAnsi="宋体" w:cs="宋体" w:eastAsia="宋体" w:hint="default"/>
          <w:spacing w:val="-51"/>
        </w:rPr>
        <w:t> </w:t>
      </w:r>
      <w:r>
        <w:rPr/>
        <w:t>年</w:t>
      </w:r>
      <w:r>
        <w:rPr>
          <w:spacing w:val="-52"/>
        </w:rPr>
        <w:t> </w:t>
      </w:r>
      <w:r>
        <w:rPr>
          <w:rFonts w:ascii="宋体" w:hAnsi="宋体" w:cs="宋体" w:eastAsia="宋体" w:hint="default"/>
        </w:rPr>
        <w:t>8</w:t>
      </w:r>
      <w:r>
        <w:rPr>
          <w:rFonts w:ascii="宋体" w:hAnsi="宋体" w:cs="宋体" w:eastAsia="宋体" w:hint="default"/>
          <w:spacing w:val="-50"/>
        </w:rPr>
        <w:t> </w:t>
      </w:r>
      <w:r>
        <w:rPr/>
        <w:t>月</w:t>
      </w:r>
      <w:r>
        <w:rPr>
          <w:spacing w:val="-52"/>
        </w:rPr>
        <w:t> </w:t>
      </w:r>
      <w:r>
        <w:rPr>
          <w:rFonts w:ascii="宋体" w:hAnsi="宋体" w:cs="宋体" w:eastAsia="宋体" w:hint="default"/>
        </w:rPr>
        <w:t>2</w:t>
      </w:r>
      <w:r>
        <w:rPr>
          <w:rFonts w:ascii="宋体" w:hAnsi="宋体" w:cs="宋体" w:eastAsia="宋体" w:hint="default"/>
          <w:spacing w:val="-51"/>
        </w:rPr>
        <w:t> </w:t>
      </w:r>
      <w:r>
        <w:rPr/>
        <w:t>日，公司 收到证监会对材料确认无异议并备案的批复，公司股权激励方案已获证监会备案无异议。</w:t>
      </w:r>
    </w:p>
    <w:p>
      <w:pPr>
        <w:pStyle w:val="BodyText"/>
        <w:spacing w:line="240" w:lineRule="auto"/>
        <w:ind w:left="573" w:right="1046"/>
        <w:jc w:val="left"/>
      </w:pPr>
      <w:r>
        <w:rPr>
          <w:rFonts w:ascii="宋体" w:hAnsi="宋体" w:cs="宋体" w:eastAsia="宋体" w:hint="default"/>
          <w:spacing w:val="-5"/>
        </w:rPr>
        <w:t>3</w:t>
      </w:r>
      <w:r>
        <w:rPr>
          <w:spacing w:val="-5"/>
        </w:rPr>
        <w:t>、</w:t>
      </w:r>
      <w:r>
        <w:rPr>
          <w:rFonts w:ascii="宋体" w:hAnsi="宋体" w:cs="宋体" w:eastAsia="宋体" w:hint="default"/>
          <w:spacing w:val="-5"/>
        </w:rPr>
        <w:t>2013</w:t>
      </w:r>
      <w:r>
        <w:rPr>
          <w:rFonts w:ascii="宋体" w:hAnsi="宋体" w:cs="宋体" w:eastAsia="宋体" w:hint="default"/>
          <w:spacing w:val="-63"/>
        </w:rPr>
        <w:t> </w:t>
      </w:r>
      <w:r>
        <w:rPr/>
        <w:t>年</w:t>
      </w:r>
      <w:r>
        <w:rPr>
          <w:spacing w:val="-63"/>
        </w:rPr>
        <w:t> </w:t>
      </w:r>
      <w:r>
        <w:rPr>
          <w:rFonts w:ascii="宋体" w:hAnsi="宋体" w:cs="宋体" w:eastAsia="宋体" w:hint="default"/>
        </w:rPr>
        <w:t>8</w:t>
      </w:r>
      <w:r>
        <w:rPr>
          <w:rFonts w:ascii="宋体" w:hAnsi="宋体" w:cs="宋体" w:eastAsia="宋体" w:hint="default"/>
          <w:spacing w:val="-63"/>
        </w:rPr>
        <w:t> </w:t>
      </w:r>
      <w:r>
        <w:rPr/>
        <w:t>月</w:t>
      </w:r>
      <w:r>
        <w:rPr>
          <w:spacing w:val="-63"/>
        </w:rPr>
        <w:t> </w:t>
      </w:r>
      <w:r>
        <w:rPr>
          <w:rFonts w:ascii="宋体" w:hAnsi="宋体" w:cs="宋体" w:eastAsia="宋体" w:hint="default"/>
        </w:rPr>
        <w:t>15</w:t>
      </w:r>
      <w:r>
        <w:rPr>
          <w:rFonts w:ascii="宋体" w:hAnsi="宋体" w:cs="宋体" w:eastAsia="宋体" w:hint="default"/>
          <w:spacing w:val="-62"/>
        </w:rPr>
        <w:t> </w:t>
      </w:r>
      <w:r>
        <w:rPr/>
        <w:t>日，公司召开了第二届董事会第三次会议和第二届监事会第三次会议，审议通过了</w:t>
      </w:r>
    </w:p>
    <w:p>
      <w:pPr>
        <w:spacing w:line="240" w:lineRule="auto" w:before="10"/>
        <w:rPr>
          <w:rFonts w:ascii="宋体" w:hAnsi="宋体" w:cs="宋体" w:eastAsia="宋体" w:hint="default"/>
          <w:sz w:val="14"/>
          <w:szCs w:val="14"/>
        </w:rPr>
      </w:pPr>
    </w:p>
    <w:p>
      <w:pPr>
        <w:pStyle w:val="BodyText"/>
        <w:spacing w:line="408" w:lineRule="auto" w:before="0"/>
        <w:ind w:right="1046"/>
        <w:jc w:val="left"/>
      </w:pPr>
      <w:r>
        <w:rPr>
          <w:spacing w:val="-3"/>
        </w:rPr>
        <w:t>《关于</w:t>
      </w:r>
      <w:r>
        <w:rPr>
          <w:rFonts w:ascii="宋体" w:hAnsi="宋体" w:cs="宋体" w:eastAsia="宋体" w:hint="default"/>
          <w:spacing w:val="-3"/>
        </w:rPr>
        <w:t>&lt;</w:t>
      </w:r>
      <w:r>
        <w:rPr>
          <w:spacing w:val="-3"/>
        </w:rPr>
        <w:t>海能达通信股份有限公司股票期权激励计划（草案修订稿）</w:t>
      </w:r>
      <w:r>
        <w:rPr>
          <w:rFonts w:ascii="宋体" w:hAnsi="宋体" w:cs="宋体" w:eastAsia="宋体" w:hint="default"/>
          <w:spacing w:val="-3"/>
        </w:rPr>
        <w:t>&gt;</w:t>
      </w:r>
      <w:r>
        <w:rPr>
          <w:spacing w:val="-3"/>
        </w:rPr>
        <w:t>及其摘要的议案》，独立董事对此发</w:t>
      </w:r>
      <w:r>
        <w:rPr>
          <w:spacing w:val="-75"/>
        </w:rPr>
        <w:t> </w:t>
      </w:r>
      <w:r>
        <w:rPr>
          <w:spacing w:val="-75"/>
        </w:rPr>
      </w:r>
      <w:r>
        <w:rPr/>
        <w:t>表了独立意见，律师、财务顾问等中介机构出具相应报告。</w:t>
      </w:r>
    </w:p>
    <w:p>
      <w:pPr>
        <w:pStyle w:val="BodyText"/>
        <w:spacing w:line="408" w:lineRule="auto"/>
        <w:ind w:right="1132" w:firstLine="420"/>
        <w:jc w:val="both"/>
      </w:pPr>
      <w:r>
        <w:rPr>
          <w:rFonts w:ascii="宋体" w:hAnsi="宋体" w:cs="宋体" w:eastAsia="宋体" w:hint="default"/>
          <w:spacing w:val="-4"/>
        </w:rPr>
        <w:t>4</w:t>
      </w:r>
      <w:r>
        <w:rPr>
          <w:spacing w:val="-4"/>
        </w:rPr>
        <w:t>、</w:t>
      </w:r>
      <w:r>
        <w:rPr>
          <w:rFonts w:ascii="宋体" w:hAnsi="宋体" w:cs="宋体" w:eastAsia="宋体" w:hint="default"/>
          <w:spacing w:val="-4"/>
        </w:rPr>
        <w:t>2013</w:t>
      </w:r>
      <w:r>
        <w:rPr>
          <w:rFonts w:ascii="宋体" w:hAnsi="宋体" w:cs="宋体" w:eastAsia="宋体" w:hint="default"/>
          <w:spacing w:val="-58"/>
        </w:rPr>
        <w:t> </w:t>
      </w:r>
      <w:r>
        <w:rPr/>
        <w:t>年</w:t>
      </w:r>
      <w:r>
        <w:rPr>
          <w:spacing w:val="-58"/>
        </w:rPr>
        <w:t> </w:t>
      </w:r>
      <w:r>
        <w:rPr>
          <w:rFonts w:ascii="宋体" w:hAnsi="宋体" w:cs="宋体" w:eastAsia="宋体" w:hint="default"/>
        </w:rPr>
        <w:t>8</w:t>
      </w:r>
      <w:r>
        <w:rPr>
          <w:rFonts w:ascii="宋体" w:hAnsi="宋体" w:cs="宋体" w:eastAsia="宋体" w:hint="default"/>
          <w:spacing w:val="-58"/>
        </w:rPr>
        <w:t> </w:t>
      </w:r>
      <w:r>
        <w:rPr/>
        <w:t>月</w:t>
      </w:r>
      <w:r>
        <w:rPr>
          <w:spacing w:val="-58"/>
        </w:rPr>
        <w:t> </w:t>
      </w:r>
      <w:r>
        <w:rPr>
          <w:rFonts w:ascii="宋体" w:hAnsi="宋体" w:cs="宋体" w:eastAsia="宋体" w:hint="default"/>
        </w:rPr>
        <w:t>30</w:t>
      </w:r>
      <w:r>
        <w:rPr>
          <w:rFonts w:ascii="宋体" w:hAnsi="宋体" w:cs="宋体" w:eastAsia="宋体" w:hint="default"/>
          <w:spacing w:val="-57"/>
        </w:rPr>
        <w:t> </w:t>
      </w:r>
      <w:r>
        <w:rPr>
          <w:spacing w:val="-4"/>
        </w:rPr>
        <w:t>日，公司召开</w:t>
      </w:r>
      <w:r>
        <w:rPr>
          <w:spacing w:val="-58"/>
        </w:rPr>
        <w:t> </w:t>
      </w:r>
      <w:r>
        <w:rPr>
          <w:rFonts w:ascii="宋体" w:hAnsi="宋体" w:cs="宋体" w:eastAsia="宋体" w:hint="default"/>
        </w:rPr>
        <w:t>2013</w:t>
      </w:r>
      <w:r>
        <w:rPr>
          <w:rFonts w:ascii="宋体" w:hAnsi="宋体" w:cs="宋体" w:eastAsia="宋体" w:hint="default"/>
          <w:spacing w:val="-58"/>
        </w:rPr>
        <w:t> </w:t>
      </w:r>
      <w:r>
        <w:rPr/>
        <w:t>年第三次临时股东大会，审议通过了《关于</w:t>
      </w:r>
      <w:r>
        <w:rPr>
          <w:rFonts w:ascii="宋体" w:hAnsi="宋体" w:cs="宋体" w:eastAsia="宋体" w:hint="default"/>
        </w:rPr>
        <w:t>&lt;</w:t>
      </w:r>
      <w:r>
        <w:rPr/>
        <w:t>海能达通信股份有 </w:t>
      </w:r>
      <w:r>
        <w:rPr>
          <w:spacing w:val="-3"/>
        </w:rPr>
        <w:t>限公司股票期权激励计划（草案修订稿）</w:t>
      </w:r>
      <w:r>
        <w:rPr>
          <w:rFonts w:ascii="宋体" w:hAnsi="宋体" w:cs="宋体" w:eastAsia="宋体" w:hint="default"/>
          <w:spacing w:val="-3"/>
        </w:rPr>
        <w:t>&gt;</w:t>
      </w:r>
      <w:r>
        <w:rPr>
          <w:spacing w:val="-3"/>
        </w:rPr>
        <w:t>及其摘要的议案》，公司股票期权激励计划获得批准。</w:t>
      </w:r>
    </w:p>
    <w:p>
      <w:pPr>
        <w:pStyle w:val="BodyText"/>
        <w:spacing w:line="408" w:lineRule="auto"/>
        <w:ind w:left="154" w:right="1023" w:firstLine="420"/>
        <w:jc w:val="left"/>
      </w:pPr>
      <w:r>
        <w:rPr>
          <w:rFonts w:ascii="宋体" w:hAnsi="宋体" w:cs="宋体" w:eastAsia="宋体" w:hint="default"/>
        </w:rPr>
        <w:t>5</w:t>
      </w:r>
      <w:r>
        <w:rPr/>
        <w:t>、</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5</w:t>
      </w:r>
      <w:r>
        <w:rPr>
          <w:rFonts w:ascii="宋体" w:hAnsi="宋体" w:cs="宋体" w:eastAsia="宋体" w:hint="default"/>
          <w:spacing w:val="-53"/>
        </w:rPr>
        <w:t> </w:t>
      </w:r>
      <w:r>
        <w:rPr/>
        <w:t>日，公司召开第二届董事会第四次会议，审议通过了《关于向股票期权激励对象授 </w:t>
      </w:r>
      <w:r>
        <w:rPr>
          <w:spacing w:val="-3"/>
        </w:rPr>
        <w:t>予股票期权的议案》，并于当日召开了第二届监事会第四次会议，对公司授予的激励对象名单进行了核实。</w:t>
      </w:r>
      <w:r>
        <w:rPr>
          <w:spacing w:val="-93"/>
        </w:rPr>
        <w:t> </w:t>
      </w:r>
      <w:r>
        <w:rPr>
          <w:spacing w:val="-93"/>
        </w:rPr>
      </w:r>
      <w:r>
        <w:rPr/>
        <w:t>公司独立董事对此发表了独立意见，认为激励对象主体资格合法有效，确定的股票期权授予日符合相关规</w:t>
      </w:r>
      <w:r>
        <w:rPr/>
        <w:t> 定。</w:t>
      </w:r>
    </w:p>
    <w:p>
      <w:pPr>
        <w:pStyle w:val="BodyText"/>
        <w:spacing w:line="408" w:lineRule="auto"/>
        <w:ind w:left="154" w:right="1214" w:firstLine="420"/>
        <w:jc w:val="both"/>
      </w:pPr>
      <w:r>
        <w:rPr>
          <w:rFonts w:ascii="宋体" w:hAnsi="宋体" w:cs="宋体" w:eastAsia="宋体" w:hint="default"/>
        </w:rPr>
        <w:t>6</w:t>
      </w:r>
      <w:r>
        <w:rPr/>
        <w:t>、</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13</w:t>
      </w:r>
      <w:r>
        <w:rPr>
          <w:rFonts w:ascii="宋体" w:hAnsi="宋体" w:cs="宋体" w:eastAsia="宋体" w:hint="default"/>
          <w:spacing w:val="-53"/>
        </w:rPr>
        <w:t> </w:t>
      </w:r>
      <w:r>
        <w:rPr/>
        <w:t>日，公司完成首次授予</w:t>
      </w:r>
      <w:r>
        <w:rPr>
          <w:spacing w:val="-53"/>
        </w:rPr>
        <w:t> </w:t>
      </w:r>
      <w:r>
        <w:rPr>
          <w:rFonts w:ascii="宋体" w:hAnsi="宋体" w:cs="宋体" w:eastAsia="宋体" w:hint="default"/>
        </w:rPr>
        <w:t>573.7</w:t>
      </w:r>
      <w:r>
        <w:rPr>
          <w:rFonts w:ascii="宋体" w:hAnsi="宋体" w:cs="宋体" w:eastAsia="宋体" w:hint="default"/>
          <w:spacing w:val="-54"/>
        </w:rPr>
        <w:t> </w:t>
      </w:r>
      <w:r>
        <w:rPr/>
        <w:t>万份期权的登记工作，期权简称：海能</w:t>
      </w:r>
      <w:r>
        <w:rPr>
          <w:spacing w:val="-53"/>
        </w:rPr>
        <w:t> </w:t>
      </w:r>
      <w:r>
        <w:rPr>
          <w:rFonts w:ascii="宋体" w:hAnsi="宋体" w:cs="宋体" w:eastAsia="宋体" w:hint="default"/>
        </w:rPr>
        <w:t>JLC1</w:t>
      </w:r>
      <w:r>
        <w:rPr/>
        <w:t>，期权 代码：</w:t>
      </w:r>
      <w:r>
        <w:rPr>
          <w:rFonts w:ascii="宋体" w:hAnsi="宋体" w:cs="宋体" w:eastAsia="宋体" w:hint="default"/>
        </w:rPr>
        <w:t>037638</w:t>
      </w:r>
      <w:r>
        <w:rPr/>
        <w:t>。</w:t>
      </w:r>
    </w:p>
    <w:p>
      <w:pPr>
        <w:pStyle w:val="BodyText"/>
        <w:spacing w:line="408" w:lineRule="auto"/>
        <w:ind w:left="154" w:right="1133" w:firstLine="420"/>
        <w:jc w:val="both"/>
      </w:pPr>
      <w:r>
        <w:rPr>
          <w:rFonts w:ascii="宋体" w:hAnsi="宋体" w:cs="宋体" w:eastAsia="宋体" w:hint="default"/>
        </w:rPr>
        <w:t>7</w:t>
      </w:r>
      <w:r>
        <w:rPr/>
        <w:t>、</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4</w:t>
      </w:r>
      <w:r>
        <w:rPr>
          <w:rFonts w:ascii="宋体" w:hAnsi="宋体" w:cs="宋体" w:eastAsia="宋体" w:hint="default"/>
          <w:spacing w:val="-53"/>
        </w:rPr>
        <w:t> </w:t>
      </w:r>
      <w:r>
        <w:rPr/>
        <w:t>日，公司召开第二届董事会第十一次会议，审议通过了《关于股票期权激励计划首 </w:t>
      </w:r>
      <w:r>
        <w:rPr>
          <w:spacing w:val="-10"/>
        </w:rPr>
        <w:t>次授予第一个行权期可行权的议案》、《关于向激励对象授予预留部分股票期权的议案》、《关于对股权激励</w:t>
      </w:r>
      <w:r>
        <w:rPr>
          <w:spacing w:val="-72"/>
        </w:rPr>
        <w:t> </w:t>
      </w:r>
      <w:r>
        <w:rPr>
          <w:spacing w:val="-72"/>
        </w:rPr>
      </w:r>
      <w:r>
        <w:rPr>
          <w:spacing w:val="-3"/>
        </w:rPr>
        <w:t>计划期权数量、行权价格及授予对象进行调整的议案》，鉴于部分激励对象因个人原因离职以及公司实施</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46"/>
        <w:jc w:val="left"/>
      </w:pPr>
      <w:r>
        <w:rPr>
          <w:rFonts w:ascii="宋体" w:hAnsi="宋体" w:cs="宋体" w:eastAsia="宋体" w:hint="default"/>
        </w:rPr>
        <w:t>2012</w:t>
      </w:r>
      <w:r>
        <w:rPr>
          <w:rFonts w:ascii="宋体" w:hAnsi="宋体" w:cs="宋体" w:eastAsia="宋体" w:hint="default"/>
          <w:spacing w:val="-53"/>
        </w:rPr>
        <w:t> </w:t>
      </w:r>
      <w:r>
        <w:rPr/>
        <w:t>年度利润分配和</w:t>
      </w:r>
      <w:r>
        <w:rPr>
          <w:spacing w:val="-54"/>
        </w:rPr>
        <w:t> </w:t>
      </w:r>
      <w:r>
        <w:rPr>
          <w:rFonts w:ascii="宋体" w:hAnsi="宋体" w:cs="宋体" w:eastAsia="宋体" w:hint="default"/>
        </w:rPr>
        <w:t>2013</w:t>
      </w:r>
      <w:r>
        <w:rPr>
          <w:rFonts w:ascii="宋体" w:hAnsi="宋体" w:cs="宋体" w:eastAsia="宋体" w:hint="default"/>
          <w:spacing w:val="-55"/>
        </w:rPr>
        <w:t> </w:t>
      </w:r>
      <w:r>
        <w:rPr/>
        <w:t>年度利润分配，根据《海能达通信股份有限公司股票期权激励计划（草案修订</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稿</w:t>
      </w:r>
      <w:r>
        <w:rPr>
          <w:spacing w:val="-105"/>
        </w:rPr>
        <w:t>）</w:t>
      </w:r>
      <w:r>
        <w:rPr/>
        <w:t>》的规</w:t>
      </w:r>
      <w:r>
        <w:rPr>
          <w:spacing w:val="-2"/>
        </w:rPr>
        <w:t>定</w:t>
      </w:r>
      <w:r>
        <w:rPr/>
        <w:t>，同意将首次授予的股票期权激励对象人数调整为</w:t>
      </w:r>
      <w:r>
        <w:rPr>
          <w:spacing w:val="-52"/>
        </w:rPr>
        <w:t> </w:t>
      </w:r>
      <w:r>
        <w:rPr>
          <w:rFonts w:ascii="宋体" w:hAnsi="宋体" w:cs="宋体" w:eastAsia="宋体" w:hint="default"/>
        </w:rPr>
        <w:t>163</w:t>
      </w:r>
      <w:r>
        <w:rPr>
          <w:rFonts w:ascii="宋体" w:hAnsi="宋体" w:cs="宋体" w:eastAsia="宋体" w:hint="default"/>
          <w:spacing w:val="-52"/>
        </w:rPr>
        <w:t> </w:t>
      </w:r>
      <w:r>
        <w:rPr>
          <w:spacing w:val="-2"/>
        </w:rPr>
        <w:t>人</w:t>
      </w:r>
      <w:r>
        <w:rPr/>
        <w:t>，股票期权的总数调整为</w:t>
      </w:r>
      <w:r>
        <w:rPr>
          <w:spacing w:val="-52"/>
        </w:rPr>
        <w:t> </w:t>
      </w:r>
      <w:r>
        <w:rPr>
          <w:rFonts w:ascii="宋体" w:hAnsi="宋体" w:cs="宋体" w:eastAsia="宋体" w:hint="default"/>
        </w:rPr>
        <w:t>519.9</w:t>
      </w:r>
      <w:r>
        <w:rPr>
          <w:rFonts w:ascii="宋体" w:hAnsi="宋体" w:cs="宋体" w:eastAsia="宋体" w:hint="default"/>
          <w:spacing w:val="-52"/>
        </w:rPr>
        <w:t> </w:t>
      </w:r>
      <w:r>
        <w:rPr/>
        <w:t>万</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份，行权价格调整为</w:t>
      </w:r>
      <w:r>
        <w:rPr>
          <w:spacing w:val="-67"/>
        </w:rPr>
        <w:t> </w:t>
      </w:r>
      <w:r>
        <w:rPr>
          <w:rFonts w:ascii="宋体" w:hAnsi="宋体" w:cs="宋体" w:eastAsia="宋体" w:hint="default"/>
        </w:rPr>
        <w:t>18.01</w:t>
      </w:r>
      <w:r>
        <w:rPr>
          <w:rFonts w:ascii="宋体" w:hAnsi="宋体" w:cs="宋体" w:eastAsia="宋体" w:hint="default"/>
          <w:spacing w:val="-67"/>
        </w:rPr>
        <w:t> </w:t>
      </w:r>
      <w:r>
        <w:rPr/>
        <w:t>元；同时，根据公司激励计划及公司激励计划考核管理办法的考核结果，股票</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期权激励计划第一个行权期的</w:t>
      </w:r>
      <w:r>
        <w:rPr>
          <w:spacing w:val="-53"/>
        </w:rPr>
        <w:t> </w:t>
      </w:r>
      <w:r>
        <w:rPr>
          <w:rFonts w:ascii="宋体" w:hAnsi="宋体" w:cs="宋体" w:eastAsia="宋体" w:hint="default"/>
        </w:rPr>
        <w:t>163</w:t>
      </w:r>
      <w:r>
        <w:rPr>
          <w:rFonts w:ascii="宋体" w:hAnsi="宋体" w:cs="宋体" w:eastAsia="宋体" w:hint="default"/>
          <w:spacing w:val="-54"/>
        </w:rPr>
        <w:t> </w:t>
      </w:r>
      <w:r>
        <w:rPr/>
        <w:t>名激励对象</w:t>
      </w:r>
      <w:r>
        <w:rPr>
          <w:spacing w:val="-53"/>
        </w:rPr>
        <w:t> </w:t>
      </w:r>
      <w:r>
        <w:rPr>
          <w:rFonts w:ascii="宋体" w:hAnsi="宋体" w:cs="宋体" w:eastAsia="宋体" w:hint="default"/>
        </w:rPr>
        <w:t>2013</w:t>
      </w:r>
      <w:r>
        <w:rPr>
          <w:rFonts w:ascii="宋体" w:hAnsi="宋体" w:cs="宋体" w:eastAsia="宋体" w:hint="default"/>
          <w:spacing w:val="-53"/>
        </w:rPr>
        <w:t> </w:t>
      </w:r>
      <w:r>
        <w:rPr/>
        <w:t>年度考核全部合格，公司董事会认为公司股票期权激</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励计划第一个行权期的行权条件已满足，同意第一个行权期行权，首次授予的激励对象人数为</w:t>
      </w:r>
      <w:r>
        <w:rPr>
          <w:spacing w:val="-60"/>
        </w:rPr>
        <w:t> </w:t>
      </w:r>
      <w:r>
        <w:rPr>
          <w:rFonts w:ascii="宋体" w:hAnsi="宋体" w:cs="宋体" w:eastAsia="宋体" w:hint="default"/>
        </w:rPr>
        <w:t>163</w:t>
      </w:r>
      <w:r>
        <w:rPr>
          <w:rFonts w:ascii="宋体" w:hAnsi="宋体" w:cs="宋体" w:eastAsia="宋体" w:hint="default"/>
          <w:spacing w:val="-60"/>
        </w:rPr>
        <w:t> </w:t>
      </w:r>
      <w:r>
        <w:rPr>
          <w:spacing w:val="-3"/>
        </w:rPr>
        <w:t>人，授</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予激励对象的股票期权总数为</w:t>
      </w:r>
      <w:r>
        <w:rPr>
          <w:spacing w:val="-59"/>
        </w:rPr>
        <w:t> </w:t>
      </w:r>
      <w:r>
        <w:rPr>
          <w:rFonts w:ascii="宋体" w:hAnsi="宋体" w:cs="宋体" w:eastAsia="宋体" w:hint="default"/>
        </w:rPr>
        <w:t>519.9</w:t>
      </w:r>
      <w:r>
        <w:rPr>
          <w:rFonts w:ascii="宋体" w:hAnsi="宋体" w:cs="宋体" w:eastAsia="宋体" w:hint="default"/>
          <w:spacing w:val="-59"/>
        </w:rPr>
        <w:t> </w:t>
      </w:r>
      <w:r>
        <w:rPr/>
        <w:t>万股，行权价格为</w:t>
      </w:r>
      <w:r>
        <w:rPr>
          <w:spacing w:val="-59"/>
        </w:rPr>
        <w:t> </w:t>
      </w:r>
      <w:r>
        <w:rPr>
          <w:rFonts w:ascii="宋体" w:hAnsi="宋体" w:cs="宋体" w:eastAsia="宋体" w:hint="default"/>
        </w:rPr>
        <w:t>18.01</w:t>
      </w:r>
      <w:r>
        <w:rPr>
          <w:rFonts w:ascii="宋体" w:hAnsi="宋体" w:cs="宋体" w:eastAsia="宋体" w:hint="default"/>
          <w:spacing w:val="-59"/>
        </w:rPr>
        <w:t> </w:t>
      </w:r>
      <w:r>
        <w:rPr/>
        <w:t>元</w:t>
      </w:r>
      <w:r>
        <w:rPr>
          <w:rFonts w:ascii="宋体" w:hAnsi="宋体" w:cs="宋体" w:eastAsia="宋体" w:hint="default"/>
        </w:rPr>
        <w:t>/</w:t>
      </w:r>
      <w:r>
        <w:rPr/>
        <w:t>股，第一个行权期采用自主行权的方式；</w:t>
      </w:r>
    </w:p>
    <w:p>
      <w:pPr>
        <w:spacing w:line="240" w:lineRule="auto" w:before="10"/>
        <w:rPr>
          <w:rFonts w:ascii="宋体" w:hAnsi="宋体" w:cs="宋体" w:eastAsia="宋体" w:hint="default"/>
          <w:sz w:val="14"/>
          <w:szCs w:val="14"/>
        </w:rPr>
      </w:pPr>
    </w:p>
    <w:p>
      <w:pPr>
        <w:pStyle w:val="BodyText"/>
        <w:spacing w:line="408" w:lineRule="auto" w:before="0"/>
        <w:ind w:right="1125"/>
        <w:jc w:val="left"/>
      </w:pPr>
      <w:r>
        <w:rPr>
          <w:spacing w:val="-5"/>
        </w:rPr>
        <w:t>另外，同意向</w:t>
      </w:r>
      <w:r>
        <w:rPr>
          <w:spacing w:val="-54"/>
        </w:rPr>
        <w:t> </w:t>
      </w:r>
      <w:r>
        <w:rPr>
          <w:rFonts w:ascii="宋体" w:hAnsi="宋体" w:cs="宋体" w:eastAsia="宋体" w:hint="default"/>
        </w:rPr>
        <w:t>11</w:t>
      </w:r>
      <w:r>
        <w:rPr>
          <w:rFonts w:ascii="宋体" w:hAnsi="宋体" w:cs="宋体" w:eastAsia="宋体" w:hint="default"/>
          <w:spacing w:val="-54"/>
        </w:rPr>
        <w:t> </w:t>
      </w:r>
      <w:r>
        <w:rPr/>
        <w:t>名激励对象授予</w:t>
      </w:r>
      <w:r>
        <w:rPr>
          <w:spacing w:val="-55"/>
        </w:rPr>
        <w:t> </w:t>
      </w:r>
      <w:r>
        <w:rPr>
          <w:rFonts w:ascii="宋体" w:hAnsi="宋体" w:cs="宋体" w:eastAsia="宋体" w:hint="default"/>
        </w:rPr>
        <w:t>52</w:t>
      </w:r>
      <w:r>
        <w:rPr>
          <w:rFonts w:ascii="宋体" w:hAnsi="宋体" w:cs="宋体" w:eastAsia="宋体" w:hint="default"/>
          <w:spacing w:val="-55"/>
        </w:rPr>
        <w:t> </w:t>
      </w:r>
      <w:r>
        <w:rPr/>
        <w:t>万份预留部分股票期权，授予日为</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4</w:t>
      </w:r>
      <w:r>
        <w:rPr>
          <w:rFonts w:ascii="宋体" w:hAnsi="宋体" w:cs="宋体" w:eastAsia="宋体" w:hint="default"/>
          <w:spacing w:val="-55"/>
        </w:rPr>
        <w:t> </w:t>
      </w:r>
      <w:r>
        <w:rPr>
          <w:spacing w:val="-5"/>
        </w:rPr>
        <w:t>日，授予价为</w:t>
      </w:r>
      <w:r>
        <w:rPr>
          <w:spacing w:val="-55"/>
        </w:rPr>
        <w:t> </w:t>
      </w:r>
      <w:r>
        <w:rPr>
          <w:rFonts w:ascii="宋体" w:hAnsi="宋体" w:cs="宋体" w:eastAsia="宋体" w:hint="default"/>
        </w:rPr>
        <w:t>28.53 </w:t>
      </w:r>
      <w:r>
        <w:rPr/>
        <w:t>元。</w:t>
      </w:r>
    </w:p>
    <w:p>
      <w:pPr>
        <w:pStyle w:val="BodyText"/>
        <w:spacing w:line="240" w:lineRule="auto"/>
        <w:ind w:left="574" w:right="1046"/>
        <w:jc w:val="left"/>
      </w:pPr>
      <w:r>
        <w:rPr>
          <w:rFonts w:ascii="宋体" w:hAnsi="宋体" w:cs="宋体" w:eastAsia="宋体" w:hint="default"/>
          <w:spacing w:val="-4"/>
        </w:rPr>
        <w:t>8</w:t>
      </w:r>
      <w:r>
        <w:rPr>
          <w:spacing w:val="-4"/>
        </w:rPr>
        <w:t>、</w:t>
      </w:r>
      <w:r>
        <w:rPr>
          <w:rFonts w:ascii="宋体" w:hAnsi="宋体" w:cs="宋体" w:eastAsia="宋体" w:hint="default"/>
          <w:spacing w:val="-4"/>
        </w:rPr>
        <w:t>2014</w:t>
      </w:r>
      <w:r>
        <w:rPr>
          <w:rFonts w:ascii="宋体" w:hAnsi="宋体" w:cs="宋体" w:eastAsia="宋体" w:hint="default"/>
          <w:spacing w:val="-65"/>
        </w:rPr>
        <w:t> </w:t>
      </w:r>
      <w:r>
        <w:rPr/>
        <w:t>年</w:t>
      </w:r>
      <w:r>
        <w:rPr>
          <w:spacing w:val="-65"/>
        </w:rPr>
        <w:t> </w:t>
      </w:r>
      <w:r>
        <w:rPr>
          <w:rFonts w:ascii="宋体" w:hAnsi="宋体" w:cs="宋体" w:eastAsia="宋体" w:hint="default"/>
        </w:rPr>
        <w:t>9</w:t>
      </w:r>
      <w:r>
        <w:rPr>
          <w:rFonts w:ascii="宋体" w:hAnsi="宋体" w:cs="宋体" w:eastAsia="宋体" w:hint="default"/>
          <w:spacing w:val="-65"/>
        </w:rPr>
        <w:t> </w:t>
      </w:r>
      <w:r>
        <w:rPr/>
        <w:t>月</w:t>
      </w:r>
      <w:r>
        <w:rPr>
          <w:spacing w:val="-65"/>
        </w:rPr>
        <w:t> </w:t>
      </w:r>
      <w:r>
        <w:rPr>
          <w:rFonts w:ascii="宋体" w:hAnsi="宋体" w:cs="宋体" w:eastAsia="宋体" w:hint="default"/>
        </w:rPr>
        <w:t>15</w:t>
      </w:r>
      <w:r>
        <w:rPr>
          <w:rFonts w:ascii="宋体" w:hAnsi="宋体" w:cs="宋体" w:eastAsia="宋体" w:hint="default"/>
          <w:spacing w:val="-64"/>
        </w:rPr>
        <w:t> </w:t>
      </w:r>
      <w:r>
        <w:rPr/>
        <w:t>日，公司召开第二届董事会第十二次会议，审议通过了《关于对股权激励计划期权</w:t>
      </w:r>
    </w:p>
    <w:p>
      <w:pPr>
        <w:spacing w:line="240" w:lineRule="auto" w:before="10"/>
        <w:rPr>
          <w:rFonts w:ascii="宋体" w:hAnsi="宋体" w:cs="宋体" w:eastAsia="宋体" w:hint="default"/>
          <w:sz w:val="14"/>
          <w:szCs w:val="14"/>
        </w:rPr>
      </w:pPr>
    </w:p>
    <w:p>
      <w:pPr>
        <w:pStyle w:val="BodyText"/>
        <w:spacing w:line="408" w:lineRule="auto" w:before="0"/>
        <w:ind w:right="1114"/>
        <w:jc w:val="left"/>
      </w:pPr>
      <w:r>
        <w:rPr>
          <w:spacing w:val="-5"/>
        </w:rPr>
        <w:t>数量和行权价格进行调整的议案》，鉴于公司已实施完成</w:t>
      </w:r>
      <w:r>
        <w:rPr>
          <w:spacing w:val="-47"/>
        </w:rPr>
        <w:t> </w:t>
      </w:r>
      <w:r>
        <w:rPr>
          <w:rFonts w:ascii="宋体" w:hAnsi="宋体" w:cs="宋体" w:eastAsia="宋体" w:hint="default"/>
        </w:rPr>
        <w:t>2014</w:t>
      </w:r>
      <w:r>
        <w:rPr>
          <w:rFonts w:ascii="宋体" w:hAnsi="宋体" w:cs="宋体" w:eastAsia="宋体" w:hint="default"/>
          <w:spacing w:val="-48"/>
        </w:rPr>
        <w:t> </w:t>
      </w:r>
      <w:r>
        <w:rPr>
          <w:spacing w:val="-1"/>
        </w:rPr>
        <w:t>年半年度利润分配，依据公司《股票期权激</w:t>
      </w:r>
      <w:r>
        <w:rPr/>
        <w:t> </w:t>
      </w:r>
      <w:r>
        <w:rPr>
          <w:spacing w:val="-3"/>
        </w:rPr>
        <w:t>励计划（草案修订稿）》的规定，经公司股东大会授权，公司董事会对股权激励计划授予的股票期权行权</w:t>
      </w:r>
      <w:r>
        <w:rPr>
          <w:spacing w:val="-74"/>
        </w:rPr>
        <w:t> </w:t>
      </w:r>
      <w:r>
        <w:rPr>
          <w:spacing w:val="-74"/>
        </w:rPr>
      </w:r>
      <w:r>
        <w:rPr/>
        <w:t>价格和数量进行调整，调整后公司股票期权激励计划所涉及的首期股票期权数量调整为</w:t>
      </w:r>
      <w:r>
        <w:rPr>
          <w:spacing w:val="-57"/>
        </w:rPr>
        <w:t> </w:t>
      </w:r>
      <w:r>
        <w:rPr>
          <w:rFonts w:ascii="宋体" w:hAnsi="宋体" w:cs="宋体" w:eastAsia="宋体" w:hint="default"/>
        </w:rPr>
        <w:t>1299.75</w:t>
      </w:r>
      <w:r>
        <w:rPr>
          <w:rFonts w:ascii="宋体" w:hAnsi="宋体" w:cs="宋体" w:eastAsia="宋体" w:hint="default"/>
          <w:spacing w:val="-57"/>
        </w:rPr>
        <w:t> </w:t>
      </w:r>
      <w:r>
        <w:rPr>
          <w:spacing w:val="-3"/>
        </w:rPr>
        <w:t>万股，行</w:t>
      </w:r>
    </w:p>
    <w:p>
      <w:pPr>
        <w:pStyle w:val="BodyText"/>
        <w:spacing w:line="240" w:lineRule="auto"/>
        <w:ind w:left="154" w:right="1046"/>
        <w:jc w:val="left"/>
      </w:pPr>
      <w:r>
        <w:rPr/>
        <w:t>权价格调整为</w:t>
      </w:r>
      <w:r>
        <w:rPr>
          <w:spacing w:val="-53"/>
        </w:rPr>
        <w:t> </w:t>
      </w:r>
      <w:r>
        <w:rPr>
          <w:rFonts w:ascii="宋体" w:hAnsi="宋体" w:cs="宋体" w:eastAsia="宋体" w:hint="default"/>
        </w:rPr>
        <w:t>7.204</w:t>
      </w:r>
      <w:r>
        <w:rPr>
          <w:rFonts w:ascii="宋体" w:hAnsi="宋体" w:cs="宋体" w:eastAsia="宋体" w:hint="default"/>
          <w:spacing w:val="-53"/>
        </w:rPr>
        <w:t> </w:t>
      </w:r>
      <w:r>
        <w:rPr/>
        <w:t>元；预留部分股票期权数量调整为</w:t>
      </w:r>
      <w:r>
        <w:rPr>
          <w:spacing w:val="-53"/>
        </w:rPr>
        <w:t> </w:t>
      </w:r>
      <w:r>
        <w:rPr>
          <w:rFonts w:ascii="宋体" w:hAnsi="宋体" w:cs="宋体" w:eastAsia="宋体" w:hint="default"/>
        </w:rPr>
        <w:t>130</w:t>
      </w:r>
      <w:r>
        <w:rPr>
          <w:rFonts w:ascii="宋体" w:hAnsi="宋体" w:cs="宋体" w:eastAsia="宋体" w:hint="default"/>
          <w:spacing w:val="-53"/>
        </w:rPr>
        <w:t> </w:t>
      </w:r>
      <w:r>
        <w:rPr/>
        <w:t>万股，行权价格调整为</w:t>
      </w:r>
      <w:r>
        <w:rPr>
          <w:spacing w:val="-53"/>
        </w:rPr>
        <w:t> </w:t>
      </w:r>
      <w:r>
        <w:rPr>
          <w:rFonts w:ascii="宋体" w:hAnsi="宋体" w:cs="宋体" w:eastAsia="宋体" w:hint="default"/>
        </w:rPr>
        <w:t>11.41</w:t>
      </w:r>
      <w:r>
        <w:rPr>
          <w:rFonts w:ascii="宋体" w:hAnsi="宋体" w:cs="宋体" w:eastAsia="宋体" w:hint="default"/>
          <w:spacing w:val="-53"/>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rFonts w:ascii="宋体" w:hAnsi="宋体" w:cs="宋体" w:eastAsia="宋体" w:hint="default"/>
        </w:rPr>
        <w:t>9</w:t>
      </w:r>
      <w:r>
        <w:rPr/>
        <w:t>、</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17</w:t>
      </w:r>
      <w:r>
        <w:rPr>
          <w:rFonts w:ascii="宋体" w:hAnsi="宋体" w:cs="宋体" w:eastAsia="宋体" w:hint="default"/>
          <w:spacing w:val="-53"/>
        </w:rPr>
        <w:t> </w:t>
      </w:r>
      <w:r>
        <w:rPr/>
        <w:t>日，经中国证券登记结算有限责任公司深圳分公司审核确认，公司已完成</w:t>
      </w:r>
      <w:r>
        <w:rPr>
          <w:spacing w:val="-53"/>
        </w:rPr>
        <w:t> </w:t>
      </w:r>
      <w:r>
        <w:rPr>
          <w:rFonts w:ascii="宋体" w:hAnsi="宋体" w:cs="宋体" w:eastAsia="宋体" w:hint="default"/>
        </w:rPr>
        <w:t>12</w:t>
      </w:r>
      <w:r>
        <w:rPr>
          <w:rFonts w:ascii="宋体" w:hAnsi="宋体" w:cs="宋体" w:eastAsia="宋体" w:hint="default"/>
          <w:spacing w:val="-54"/>
        </w:rPr>
        <w:t> </w:t>
      </w:r>
      <w:r>
        <w:rPr/>
        <w:t>名离</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职人员获授股票期权</w:t>
      </w:r>
      <w:r>
        <w:rPr>
          <w:spacing w:val="-53"/>
        </w:rPr>
        <w:t> </w:t>
      </w:r>
      <w:r>
        <w:rPr>
          <w:rFonts w:ascii="宋体" w:hAnsi="宋体" w:cs="宋体" w:eastAsia="宋体" w:hint="default"/>
        </w:rPr>
        <w:t>53.8</w:t>
      </w:r>
      <w:r>
        <w:rPr>
          <w:rFonts w:ascii="宋体" w:hAnsi="宋体" w:cs="宋体" w:eastAsia="宋体" w:hint="default"/>
          <w:spacing w:val="-54"/>
        </w:rPr>
        <w:t> </w:t>
      </w:r>
      <w:r>
        <w:rPr/>
        <w:t>万份的注销事宜。</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10</w:t>
      </w:r>
      <w:r>
        <w:rPr/>
        <w:t>、</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17</w:t>
      </w:r>
      <w:r>
        <w:rPr>
          <w:rFonts w:ascii="宋体" w:hAnsi="宋体" w:cs="宋体" w:eastAsia="宋体" w:hint="default"/>
          <w:spacing w:val="-53"/>
        </w:rPr>
        <w:t> </w:t>
      </w:r>
      <w:r>
        <w:rPr/>
        <w:t>日，经深圳证券交易所、中国证券登记结算有限责任公司深圳分公司审核确认，</w:t>
      </w:r>
    </w:p>
    <w:p>
      <w:pPr>
        <w:spacing w:line="240" w:lineRule="auto" w:before="10"/>
        <w:rPr>
          <w:rFonts w:ascii="宋体" w:hAnsi="宋体" w:cs="宋体" w:eastAsia="宋体" w:hint="default"/>
          <w:sz w:val="14"/>
          <w:szCs w:val="14"/>
        </w:rPr>
      </w:pPr>
    </w:p>
    <w:p>
      <w:pPr>
        <w:pStyle w:val="BodyText"/>
        <w:spacing w:line="408" w:lineRule="auto" w:before="0"/>
        <w:ind w:left="154" w:right="1115"/>
        <w:jc w:val="left"/>
      </w:pPr>
      <w:r>
        <w:rPr/>
        <w:t>公司已完成对预留部分期权数量及行权价格调整的登记工作，共涉及期权数量</w:t>
      </w:r>
      <w:r>
        <w:rPr>
          <w:spacing w:val="-64"/>
        </w:rPr>
        <w:t> </w:t>
      </w:r>
      <w:r>
        <w:rPr>
          <w:rFonts w:ascii="宋体" w:hAnsi="宋体" w:cs="宋体" w:eastAsia="宋体" w:hint="default"/>
        </w:rPr>
        <w:t>130</w:t>
      </w:r>
      <w:r>
        <w:rPr>
          <w:rFonts w:ascii="宋体" w:hAnsi="宋体" w:cs="宋体" w:eastAsia="宋体" w:hint="default"/>
          <w:spacing w:val="-64"/>
        </w:rPr>
        <w:t> </w:t>
      </w:r>
      <w:r>
        <w:rPr/>
        <w:t>万份，期权简称：海能 </w:t>
      </w:r>
      <w:r>
        <w:rPr>
          <w:rFonts w:ascii="宋体" w:hAnsi="宋体" w:cs="宋体" w:eastAsia="宋体" w:hint="default"/>
        </w:rPr>
        <w:t>JLC2</w:t>
      </w:r>
      <w:r>
        <w:rPr/>
        <w:t>，期权代码：</w:t>
      </w:r>
      <w:r>
        <w:rPr>
          <w:rFonts w:ascii="宋体" w:hAnsi="宋体" w:cs="宋体" w:eastAsia="宋体" w:hint="default"/>
        </w:rPr>
        <w:t>037668</w:t>
      </w:r>
      <w:r>
        <w:rPr/>
        <w:t>。</w:t>
      </w:r>
    </w:p>
    <w:p>
      <w:pPr>
        <w:pStyle w:val="BodyText"/>
        <w:spacing w:line="240" w:lineRule="auto"/>
        <w:ind w:left="574" w:right="1046"/>
        <w:jc w:val="left"/>
      </w:pPr>
      <w:r>
        <w:rPr/>
        <w:t>截止</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日，公司股权激励第一期自主行权已行权的数量为</w:t>
      </w:r>
      <w:r>
        <w:rPr>
          <w:spacing w:val="-53"/>
        </w:rPr>
        <w:t> </w:t>
      </w:r>
      <w:r>
        <w:rPr>
          <w:rFonts w:ascii="宋体" w:hAnsi="宋体" w:cs="宋体" w:eastAsia="宋体" w:hint="default"/>
        </w:rPr>
        <w:t>1,515,650</w:t>
      </w:r>
      <w:r>
        <w:rPr>
          <w:rFonts w:ascii="宋体" w:hAnsi="宋体" w:cs="宋体" w:eastAsia="宋体" w:hint="default"/>
          <w:spacing w:val="-53"/>
        </w:rPr>
        <w:t> </w:t>
      </w:r>
      <w:r>
        <w:rPr/>
        <w:t>股。</w:t>
      </w:r>
    </w:p>
    <w:p>
      <w:pPr>
        <w:spacing w:line="240" w:lineRule="auto" w:before="0"/>
        <w:rPr>
          <w:rFonts w:ascii="宋体" w:hAnsi="宋体" w:cs="宋体" w:eastAsia="宋体" w:hint="default"/>
          <w:sz w:val="20"/>
          <w:szCs w:val="20"/>
        </w:rPr>
      </w:pPr>
    </w:p>
    <w:p>
      <w:pPr>
        <w:pStyle w:val="Heading2"/>
        <w:spacing w:line="240" w:lineRule="auto" w:before="131"/>
        <w:ind w:left="154" w:right="1046"/>
        <w:jc w:val="left"/>
        <w:rPr>
          <w:b w:val="0"/>
          <w:bCs w:val="0"/>
        </w:rPr>
      </w:pPr>
      <w:bookmarkStart w:name="七、重大关联交易" w:id="70"/>
      <w:bookmarkEnd w:id="70"/>
      <w:r>
        <w:rPr>
          <w:b w:val="0"/>
          <w:bCs w:val="0"/>
        </w:rPr>
      </w:r>
      <w:r>
        <w:rPr/>
        <w:t>七、重大关联交易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与日常经营相关的关联交易" w:id="71"/>
      <w:bookmarkEnd w:id="71"/>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7"/>
        <w:gridCol w:w="799"/>
        <w:gridCol w:w="798"/>
        <w:gridCol w:w="804"/>
        <w:gridCol w:w="798"/>
        <w:gridCol w:w="796"/>
        <w:gridCol w:w="798"/>
        <w:gridCol w:w="798"/>
        <w:gridCol w:w="798"/>
        <w:gridCol w:w="798"/>
        <w:gridCol w:w="796"/>
        <w:gridCol w:w="792"/>
      </w:tblGrid>
      <w:tr>
        <w:trPr>
          <w:trHeight w:val="102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03" w:right="33"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5" w:right="36"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3"/>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1"/>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1"/>
              <w:jc w:val="center"/>
              <w:rPr>
                <w:rFonts w:ascii="宋体" w:hAnsi="宋体" w:cs="宋体" w:eastAsia="宋体" w:hint="default"/>
                <w:sz w:val="18"/>
                <w:szCs w:val="18"/>
              </w:rPr>
            </w:pPr>
            <w:r>
              <w:rPr>
                <w:rFonts w:ascii="宋体" w:hAnsi="宋体" w:cs="宋体" w:eastAsia="宋体" w:hint="default"/>
                <w:sz w:val="18"/>
                <w:szCs w:val="18"/>
              </w:rPr>
              <w:t>占同类交 易金额的 比例</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4" w:right="33"/>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 w:right="31"/>
              <w:jc w:val="center"/>
              <w:rPr>
                <w:rFonts w:ascii="宋体" w:hAnsi="宋体" w:cs="宋体" w:eastAsia="宋体" w:hint="default"/>
                <w:sz w:val="18"/>
                <w:szCs w:val="18"/>
              </w:rPr>
            </w:pPr>
            <w:r>
              <w:rPr>
                <w:rFonts w:ascii="宋体" w:hAnsi="宋体" w:cs="宋体" w:eastAsia="宋体" w:hint="default"/>
                <w:sz w:val="18"/>
                <w:szCs w:val="18"/>
              </w:rPr>
              <w:t>可获得的 同类交易 市价</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9"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2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42"/>
              <w:jc w:val="both"/>
              <w:rPr>
                <w:rFonts w:ascii="宋体" w:hAnsi="宋体" w:cs="宋体" w:eastAsia="宋体" w:hint="default"/>
                <w:sz w:val="18"/>
                <w:szCs w:val="18"/>
              </w:rPr>
            </w:pPr>
            <w:r>
              <w:rPr>
                <w:rFonts w:ascii="宋体" w:hAnsi="宋体" w:cs="宋体" w:eastAsia="宋体" w:hint="default"/>
                <w:sz w:val="18"/>
                <w:szCs w:val="18"/>
              </w:rPr>
              <w:t>北京亚洲 威讯科技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9" w:lineRule="auto"/>
              <w:ind w:left="22" w:right="44"/>
              <w:jc w:val="both"/>
              <w:rPr>
                <w:rFonts w:ascii="宋体" w:hAnsi="宋体" w:cs="宋体" w:eastAsia="宋体" w:hint="default"/>
                <w:sz w:val="18"/>
                <w:szCs w:val="18"/>
              </w:rPr>
            </w:pPr>
            <w:r>
              <w:rPr>
                <w:rFonts w:ascii="宋体" w:hAnsi="宋体" w:cs="宋体" w:eastAsia="宋体" w:hint="default"/>
                <w:sz w:val="18"/>
                <w:szCs w:val="18"/>
              </w:rPr>
              <w:t>本公司实 际控制人 陈清州侄 子控制的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p>
            <w:pPr>
              <w:pStyle w:val="TableParagraph"/>
              <w:spacing w:line="302" w:lineRule="auto" w:before="75"/>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提供劳 务</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319" w:lineRule="auto"/>
              <w:ind w:left="22" w:right="45"/>
              <w:jc w:val="both"/>
              <w:rPr>
                <w:rFonts w:ascii="宋体" w:hAnsi="宋体" w:cs="宋体" w:eastAsia="宋体" w:hint="default"/>
                <w:sz w:val="18"/>
                <w:szCs w:val="18"/>
              </w:rPr>
            </w:pPr>
            <w:r>
              <w:rPr>
                <w:rFonts w:ascii="宋体" w:hAnsi="宋体" w:cs="宋体" w:eastAsia="宋体" w:hint="default"/>
                <w:sz w:val="18"/>
                <w:szCs w:val="18"/>
              </w:rPr>
              <w:t>与非关联 方经销商 同一售价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left="271" w:right="0"/>
              <w:jc w:val="left"/>
              <w:rPr>
                <w:rFonts w:ascii="Times New Roman" w:hAnsi="Times New Roman" w:cs="Times New Roman" w:eastAsia="Times New Roman" w:hint="default"/>
                <w:sz w:val="18"/>
                <w:szCs w:val="18"/>
              </w:rPr>
            </w:pPr>
            <w:r>
              <w:rPr>
                <w:rFonts w:ascii="Times New Roman"/>
                <w:sz w:val="18"/>
              </w:rPr>
              <w:t>302.47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37"/>
              <w:jc w:val="both"/>
              <w:rPr>
                <w:rFonts w:ascii="Times New Roman" w:hAnsi="Times New Roman" w:cs="Times New Roman" w:eastAsia="Times New Roman" w:hint="default"/>
                <w:sz w:val="18"/>
                <w:szCs w:val="18"/>
              </w:rPr>
            </w:pPr>
            <w:r>
              <w:rPr>
                <w:rFonts w:ascii="宋体" w:hAnsi="宋体" w:cs="宋体" w:eastAsia="宋体" w:hint="default"/>
                <w:sz w:val="18"/>
                <w:szCs w:val="18"/>
              </w:rPr>
              <w:t>日常关联 交易总结 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235" w:lineRule="exact"/>
              <w:ind w:left="22" w:right="0"/>
              <w:jc w:val="both"/>
              <w:rPr>
                <w:rFonts w:ascii="宋体" w:hAnsi="宋体" w:cs="宋体" w:eastAsia="宋体" w:hint="default"/>
                <w:sz w:val="18"/>
                <w:szCs w:val="18"/>
              </w:rPr>
            </w:pPr>
            <w:r>
              <w:rPr>
                <w:rFonts w:ascii="宋体" w:hAnsi="宋体" w:cs="宋体" w:eastAsia="宋体" w:hint="default"/>
                <w:sz w:val="18"/>
                <w:szCs w:val="18"/>
              </w:rPr>
              <w:t>年日常关</w:t>
            </w:r>
          </w:p>
        </w:tc>
      </w:tr>
    </w:tbl>
    <w:p>
      <w:pPr>
        <w:spacing w:after="0" w:line="235" w:lineRule="exact"/>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7"/>
        <w:gridCol w:w="799"/>
        <w:gridCol w:w="798"/>
        <w:gridCol w:w="804"/>
        <w:gridCol w:w="798"/>
        <w:gridCol w:w="796"/>
        <w:gridCol w:w="798"/>
        <w:gridCol w:w="798"/>
        <w:gridCol w:w="798"/>
        <w:gridCol w:w="798"/>
        <w:gridCol w:w="796"/>
        <w:gridCol w:w="792"/>
      </w:tblGrid>
      <w:tr>
        <w:trPr>
          <w:trHeight w:val="3171" w:hRule="exact"/>
        </w:trPr>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联交易预 计的公 告》详见 巨潮资讯 网</w:t>
            </w:r>
          </w:p>
          <w:p>
            <w:pPr>
              <w:pStyle w:val="TableParagraph"/>
              <w:spacing w:line="362" w:lineRule="auto" w:before="57"/>
              <w:ind w:left="22" w:right="24"/>
              <w:jc w:val="left"/>
              <w:rPr>
                <w:rFonts w:ascii="Times New Roman" w:hAnsi="Times New Roman" w:cs="Times New Roman" w:eastAsia="Times New Roman" w:hint="default"/>
                <w:sz w:val="18"/>
                <w:szCs w:val="18"/>
              </w:rPr>
            </w:pPr>
            <w:r>
              <w:rPr>
                <w:rFonts w:ascii="Times New Roman"/>
                <w:spacing w:val="-2"/>
                <w:sz w:val="18"/>
              </w:rPr>
              <w:t>www.cnin</w:t>
            </w:r>
            <w:r>
              <w:rPr>
                <w:rFonts w:ascii="Times New Roman"/>
                <w:sz w:val="18"/>
              </w:rPr>
              <w:t> fo.com.cn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2014-016</w:t>
            </w:r>
          </w:p>
        </w:tc>
      </w:tr>
      <w:tr>
        <w:trPr>
          <w:trHeight w:val="508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42"/>
              <w:jc w:val="both"/>
              <w:rPr>
                <w:rFonts w:ascii="宋体" w:hAnsi="宋体" w:cs="宋体" w:eastAsia="宋体" w:hint="default"/>
                <w:sz w:val="18"/>
                <w:szCs w:val="18"/>
              </w:rPr>
            </w:pPr>
            <w:r>
              <w:rPr>
                <w:rFonts w:ascii="宋体" w:hAnsi="宋体" w:cs="宋体" w:eastAsia="宋体" w:hint="default"/>
                <w:sz w:val="18"/>
                <w:szCs w:val="18"/>
              </w:rPr>
              <w:t>泉州灵讯 电子有限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44"/>
              <w:jc w:val="both"/>
              <w:rPr>
                <w:rFonts w:ascii="宋体" w:hAnsi="宋体" w:cs="宋体" w:eastAsia="宋体" w:hint="default"/>
                <w:sz w:val="18"/>
                <w:szCs w:val="18"/>
              </w:rPr>
            </w:pPr>
            <w:r>
              <w:rPr>
                <w:rFonts w:ascii="宋体" w:hAnsi="宋体" w:cs="宋体" w:eastAsia="宋体" w:hint="default"/>
                <w:sz w:val="18"/>
                <w:szCs w:val="18"/>
              </w:rPr>
              <w:t>本公司实 际控制人 陈清州侄 女控制的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p>
            <w:pPr>
              <w:pStyle w:val="TableParagraph"/>
              <w:spacing w:line="302" w:lineRule="auto" w:before="75"/>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提供劳 务</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与非关联 方经销商 同一售价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z w:val="18"/>
              </w:rPr>
              <w:t>88.65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37"/>
              <w:jc w:val="both"/>
              <w:rPr>
                <w:rFonts w:ascii="Times New Roman" w:hAnsi="Times New Roman" w:cs="Times New Roman" w:eastAsia="Times New Roman" w:hint="default"/>
                <w:sz w:val="18"/>
                <w:szCs w:val="18"/>
              </w:rPr>
            </w:pPr>
            <w:r>
              <w:rPr>
                <w:rFonts w:ascii="宋体" w:hAnsi="宋体" w:cs="宋体" w:eastAsia="宋体" w:hint="default"/>
                <w:sz w:val="18"/>
                <w:szCs w:val="18"/>
              </w:rPr>
              <w:t>日常关联 交易总结 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年日常关 联交易预 计的公 告》详见 巨潮资讯 网</w:t>
            </w:r>
          </w:p>
          <w:p>
            <w:pPr>
              <w:pStyle w:val="TableParagraph"/>
              <w:spacing w:line="362" w:lineRule="auto" w:before="58"/>
              <w:ind w:left="22" w:right="24"/>
              <w:jc w:val="left"/>
              <w:rPr>
                <w:rFonts w:ascii="Times New Roman" w:hAnsi="Times New Roman" w:cs="Times New Roman" w:eastAsia="Times New Roman" w:hint="default"/>
                <w:sz w:val="18"/>
                <w:szCs w:val="18"/>
              </w:rPr>
            </w:pPr>
            <w:r>
              <w:rPr>
                <w:rFonts w:ascii="Times New Roman"/>
                <w:spacing w:val="-2"/>
                <w:sz w:val="18"/>
              </w:rPr>
              <w:t>www.cnin</w:t>
            </w:r>
            <w:r>
              <w:rPr>
                <w:rFonts w:ascii="Times New Roman"/>
                <w:sz w:val="18"/>
              </w:rPr>
              <w:t> fo.com.cn</w:t>
            </w:r>
          </w:p>
          <w:p>
            <w:pPr>
              <w:pStyle w:val="TableParagraph"/>
              <w:spacing w:line="199"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2014-016</w:t>
            </w:r>
          </w:p>
        </w:tc>
      </w:tr>
      <w:tr>
        <w:trPr>
          <w:trHeight w:val="508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42"/>
              <w:jc w:val="both"/>
              <w:rPr>
                <w:rFonts w:ascii="宋体" w:hAnsi="宋体" w:cs="宋体" w:eastAsia="宋体" w:hint="default"/>
                <w:sz w:val="18"/>
                <w:szCs w:val="18"/>
              </w:rPr>
            </w:pPr>
            <w:r>
              <w:rPr>
                <w:rFonts w:ascii="宋体" w:hAnsi="宋体" w:cs="宋体" w:eastAsia="宋体" w:hint="default"/>
                <w:sz w:val="18"/>
                <w:szCs w:val="18"/>
              </w:rPr>
              <w:t>泉州市鲤 城区好易 通通讯器 材有限公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1"/>
              <w:ind w:left="22" w:right="44"/>
              <w:jc w:val="both"/>
              <w:rPr>
                <w:rFonts w:ascii="宋体" w:hAnsi="宋体" w:cs="宋体" w:eastAsia="宋体" w:hint="default"/>
                <w:sz w:val="18"/>
                <w:szCs w:val="18"/>
              </w:rPr>
            </w:pPr>
            <w:r>
              <w:rPr>
                <w:rFonts w:ascii="宋体" w:hAnsi="宋体" w:cs="宋体" w:eastAsia="宋体" w:hint="default"/>
                <w:sz w:val="18"/>
                <w:szCs w:val="18"/>
              </w:rPr>
              <w:t>本公司实 际控制人 陈清州外 甥控制的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p>
            <w:pPr>
              <w:pStyle w:val="TableParagraph"/>
              <w:spacing w:line="302" w:lineRule="auto" w:before="75"/>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提供劳 务</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45"/>
              <w:jc w:val="both"/>
              <w:rPr>
                <w:rFonts w:ascii="宋体" w:hAnsi="宋体" w:cs="宋体" w:eastAsia="宋体" w:hint="default"/>
                <w:sz w:val="18"/>
                <w:szCs w:val="18"/>
              </w:rPr>
            </w:pPr>
            <w:r>
              <w:rPr>
                <w:rFonts w:ascii="宋体" w:hAnsi="宋体" w:cs="宋体" w:eastAsia="宋体" w:hint="default"/>
                <w:sz w:val="18"/>
                <w:szCs w:val="18"/>
              </w:rPr>
              <w:t>与非关联 方经销商 同一售价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9"/>
              <w:jc w:val="right"/>
              <w:rPr>
                <w:rFonts w:ascii="Times New Roman" w:hAnsi="Times New Roman" w:cs="Times New Roman" w:eastAsia="Times New Roman" w:hint="default"/>
                <w:sz w:val="18"/>
                <w:szCs w:val="18"/>
              </w:rPr>
            </w:pPr>
            <w:r>
              <w:rPr>
                <w:rFonts w:ascii="Times New Roman"/>
                <w:sz w:val="18"/>
              </w:rPr>
              <w:t>108.38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16" w:lineRule="auto" w:before="63"/>
              <w:ind w:left="22" w:right="37"/>
              <w:jc w:val="both"/>
              <w:rPr>
                <w:rFonts w:ascii="Times New Roman" w:hAnsi="Times New Roman" w:cs="Times New Roman" w:eastAsia="Times New Roman" w:hint="default"/>
                <w:sz w:val="18"/>
                <w:szCs w:val="18"/>
              </w:rPr>
            </w:pPr>
            <w:r>
              <w:rPr>
                <w:rFonts w:ascii="宋体" w:hAnsi="宋体" w:cs="宋体" w:eastAsia="宋体" w:hint="default"/>
                <w:sz w:val="18"/>
                <w:szCs w:val="18"/>
              </w:rPr>
              <w:t>日常关联 交易总结 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年日常关 联交易预 计的公 告》详见 巨潮资讯 网</w:t>
            </w:r>
          </w:p>
          <w:p>
            <w:pPr>
              <w:pStyle w:val="TableParagraph"/>
              <w:spacing w:line="362" w:lineRule="auto" w:before="58"/>
              <w:ind w:left="22" w:right="24"/>
              <w:jc w:val="left"/>
              <w:rPr>
                <w:rFonts w:ascii="Times New Roman" w:hAnsi="Times New Roman" w:cs="Times New Roman" w:eastAsia="Times New Roman" w:hint="default"/>
                <w:sz w:val="18"/>
                <w:szCs w:val="18"/>
              </w:rPr>
            </w:pPr>
            <w:r>
              <w:rPr>
                <w:rFonts w:ascii="Times New Roman"/>
                <w:spacing w:val="-2"/>
                <w:sz w:val="18"/>
              </w:rPr>
              <w:t>www.cnin</w:t>
            </w:r>
            <w:r>
              <w:rPr>
                <w:rFonts w:ascii="Times New Roman"/>
                <w:sz w:val="18"/>
              </w:rPr>
              <w:t> fo.com.cn</w:t>
            </w:r>
          </w:p>
          <w:p>
            <w:pPr>
              <w:pStyle w:val="TableParagraph"/>
              <w:spacing w:line="200" w:lineRule="exact"/>
              <w:ind w:left="22" w:right="0"/>
              <w:jc w:val="left"/>
              <w:rPr>
                <w:rFonts w:ascii="宋体" w:hAnsi="宋体" w:cs="宋体" w:eastAsia="宋体" w:hint="default"/>
                <w:sz w:val="18"/>
                <w:szCs w:val="18"/>
              </w:rPr>
            </w:pPr>
            <w:r>
              <w:rPr>
                <w:rFonts w:ascii="宋体" w:hAnsi="宋体" w:cs="宋体" w:eastAsia="宋体" w:hint="default"/>
                <w:sz w:val="18"/>
                <w:szCs w:val="18"/>
              </w:rPr>
              <w:t>，公告编</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号：</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2014-016</w:t>
            </w:r>
          </w:p>
        </w:tc>
      </w:tr>
      <w:tr>
        <w:trPr>
          <w:trHeight w:val="40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广州市舟</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本公司实</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出售商品</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与非关联</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25.13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786"/>
        <w:gridCol w:w="799"/>
        <w:gridCol w:w="798"/>
        <w:gridCol w:w="793"/>
        <w:gridCol w:w="810"/>
        <w:gridCol w:w="796"/>
        <w:gridCol w:w="798"/>
        <w:gridCol w:w="798"/>
        <w:gridCol w:w="798"/>
        <w:gridCol w:w="798"/>
        <w:gridCol w:w="796"/>
        <w:gridCol w:w="792"/>
      </w:tblGrid>
      <w:tr>
        <w:trPr>
          <w:trHeight w:val="1298" w:hRule="exact"/>
        </w:trPr>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11" w:right="42"/>
              <w:jc w:val="both"/>
              <w:rPr>
                <w:rFonts w:ascii="宋体" w:hAnsi="宋体" w:cs="宋体" w:eastAsia="宋体" w:hint="default"/>
                <w:sz w:val="18"/>
                <w:szCs w:val="18"/>
              </w:rPr>
            </w:pPr>
            <w:r>
              <w:rPr>
                <w:rFonts w:ascii="宋体" w:hAnsi="宋体" w:cs="宋体" w:eastAsia="宋体" w:hint="default"/>
                <w:sz w:val="18"/>
                <w:szCs w:val="18"/>
              </w:rPr>
              <w:t>讯通讯设 备有限公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44"/>
              <w:jc w:val="both"/>
              <w:rPr>
                <w:rFonts w:ascii="宋体" w:hAnsi="宋体" w:cs="宋体" w:eastAsia="宋体" w:hint="default"/>
                <w:sz w:val="18"/>
                <w:szCs w:val="18"/>
              </w:rPr>
            </w:pPr>
            <w:r>
              <w:rPr>
                <w:rFonts w:ascii="宋体" w:hAnsi="宋体" w:cs="宋体" w:eastAsia="宋体" w:hint="default"/>
                <w:sz w:val="18"/>
                <w:szCs w:val="18"/>
              </w:rPr>
              <w:t>际控制人 陈清州兄 长控制的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10"/>
              <w:ind w:left="22"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提供劳 务</w:t>
            </w:r>
          </w:p>
        </w:tc>
        <w:tc>
          <w:tcPr>
            <w:tcW w:w="793" w:type="dxa"/>
            <w:tcBorders>
              <w:top w:val="single" w:sz="4" w:space="0" w:color="000000"/>
              <w:left w:val="single" w:sz="4" w:space="0" w:color="000000"/>
              <w:bottom w:val="single" w:sz="4" w:space="0" w:color="000000"/>
              <w:right w:val="single" w:sz="4" w:space="0" w:color="000000"/>
            </w:tcBorders>
          </w:tcPr>
          <w:p>
            <w:pP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34" w:right="45"/>
              <w:jc w:val="left"/>
              <w:rPr>
                <w:rFonts w:ascii="宋体" w:hAnsi="宋体" w:cs="宋体" w:eastAsia="宋体" w:hint="default"/>
                <w:sz w:val="18"/>
                <w:szCs w:val="18"/>
              </w:rPr>
            </w:pPr>
            <w:r>
              <w:rPr>
                <w:rFonts w:ascii="宋体" w:hAnsi="宋体" w:cs="宋体" w:eastAsia="宋体" w:hint="default"/>
                <w:sz w:val="18"/>
                <w:szCs w:val="18"/>
              </w:rPr>
              <w:t>方经销商 同一售价</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1" w:right="42"/>
              <w:jc w:val="both"/>
              <w:rPr>
                <w:rFonts w:ascii="宋体" w:hAnsi="宋体" w:cs="宋体" w:eastAsia="宋体" w:hint="default"/>
                <w:sz w:val="18"/>
                <w:szCs w:val="18"/>
              </w:rPr>
            </w:pPr>
            <w:r>
              <w:rPr>
                <w:rFonts w:ascii="宋体" w:hAnsi="宋体" w:cs="宋体" w:eastAsia="宋体" w:hint="default"/>
                <w:sz w:val="18"/>
                <w:szCs w:val="18"/>
              </w:rPr>
              <w:t>深圳市六 十一名庄 贸易有限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本公司实 际控制人 妻子之弟 弟控制的 企业</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其他商品</w:t>
            </w:r>
          </w:p>
        </w:tc>
        <w:tc>
          <w:tcPr>
            <w:tcW w:w="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市场价格</w:t>
            </w:r>
          </w:p>
        </w:tc>
        <w:tc>
          <w:tcPr>
            <w:tcW w:w="796"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33.83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558.46</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8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2"/>
              <w:jc w:val="both"/>
              <w:rPr>
                <w:rFonts w:ascii="宋体" w:hAnsi="宋体" w:cs="宋体" w:eastAsia="宋体" w:hint="default"/>
                <w:sz w:val="18"/>
                <w:szCs w:val="18"/>
              </w:rPr>
            </w:pPr>
            <w:r>
              <w:rPr>
                <w:rFonts w:ascii="宋体" w:hAnsi="宋体" w:cs="宋体" w:eastAsia="宋体" w:hint="default"/>
                <w:sz w:val="18"/>
                <w:szCs w:val="18"/>
              </w:rPr>
              <w:t>关联交易的必要性、持续性、选择与关 联方（而非市场其他交易方）进行交易 的原因</w:t>
            </w:r>
          </w:p>
        </w:tc>
        <w:tc>
          <w:tcPr>
            <w:tcW w:w="638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公司与关联方的交易属正常的商业销售和采购。</w:t>
            </w:r>
          </w:p>
        </w:tc>
      </w:tr>
      <w:tr>
        <w:trPr>
          <w:trHeight w:val="402"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关联交易对上市公司独立性的影响</w:t>
            </w:r>
          </w:p>
        </w:tc>
        <w:tc>
          <w:tcPr>
            <w:tcW w:w="638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2"/>
              <w:jc w:val="left"/>
              <w:rPr>
                <w:rFonts w:ascii="宋体" w:hAnsi="宋体" w:cs="宋体" w:eastAsia="宋体" w:hint="default"/>
                <w:sz w:val="18"/>
                <w:szCs w:val="18"/>
              </w:rPr>
            </w:pPr>
            <w:r>
              <w:rPr>
                <w:rFonts w:ascii="宋体" w:hAnsi="宋体" w:cs="宋体" w:eastAsia="宋体" w:hint="default"/>
                <w:sz w:val="18"/>
                <w:szCs w:val="18"/>
              </w:rPr>
              <w:t>公司对关联方的依赖程度，以及相关解 决措施（如有）</w:t>
            </w:r>
          </w:p>
        </w:tc>
        <w:tc>
          <w:tcPr>
            <w:tcW w:w="638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2"/>
              <w:jc w:val="both"/>
              <w:rPr>
                <w:rFonts w:ascii="宋体" w:hAnsi="宋体" w:cs="宋体" w:eastAsia="宋体" w:hint="default"/>
                <w:sz w:val="18"/>
                <w:szCs w:val="18"/>
              </w:rPr>
            </w:pPr>
            <w:r>
              <w:rPr>
                <w:rFonts w:ascii="宋体" w:hAnsi="宋体" w:cs="宋体" w:eastAsia="宋体" w:hint="default"/>
                <w:sz w:val="18"/>
                <w:szCs w:val="18"/>
              </w:rPr>
              <w:t>按类别对本期将发生的日常关联交易进 行总金额预计的，在报告期内的实际履 行情况（如有）</w:t>
            </w:r>
          </w:p>
        </w:tc>
        <w:tc>
          <w:tcPr>
            <w:tcW w:w="638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根据公司第二届董事会第七次会议的决议</w:t>
            </w:r>
            <w:r>
              <w:rPr>
                <w:rFonts w:ascii="宋体" w:hAnsi="宋体" w:cs="宋体" w:eastAsia="宋体" w:hint="default"/>
                <w:spacing w:val="-74"/>
                <w:sz w:val="18"/>
                <w:szCs w:val="18"/>
              </w:rPr>
              <w:t>，</w:t>
            </w:r>
            <w:r>
              <w:rPr>
                <w:rFonts w:ascii="宋体" w:hAnsi="宋体" w:cs="宋体" w:eastAsia="宋体" w:hint="default"/>
                <w:sz w:val="18"/>
                <w:szCs w:val="18"/>
              </w:rPr>
              <w:t>公司预计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年与关联方之间的关联</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交易金额不超过人民币</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截至</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pacing w:val="-2"/>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实际发生金额为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558.46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万元，未超过董事会批准的关联交易额度。</w:t>
            </w:r>
          </w:p>
        </w:tc>
      </w:tr>
      <w:tr>
        <w:trPr>
          <w:trHeight w:val="714" w:hRule="exact"/>
        </w:trPr>
        <w:tc>
          <w:tcPr>
            <w:tcW w:w="31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2"/>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交易价格与市场参考价格差异较大的原 因（如适用）</w:t>
            </w:r>
          </w:p>
        </w:tc>
        <w:tc>
          <w:tcPr>
            <w:tcW w:w="6385" w:type="dxa"/>
            <w:gridSpan w:val="8"/>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46"/>
        <w:jc w:val="left"/>
        <w:rPr>
          <w:b w:val="0"/>
          <w:bCs w:val="0"/>
        </w:rPr>
      </w:pPr>
      <w:bookmarkStart w:name="2、资产收购、出售发生的关联交易" w:id="72"/>
      <w:bookmarkEnd w:id="72"/>
      <w:r>
        <w:rPr>
          <w:b w:val="0"/>
          <w:bCs w:val="0"/>
        </w:rPr>
      </w:r>
      <w:r>
        <w:rPr>
          <w:rFonts w:ascii="Times New Roman" w:hAnsi="Times New Roman" w:cs="Times New Roman" w:eastAsia="Times New Roman" w:hint="default"/>
        </w:rPr>
        <w:t>2</w:t>
      </w:r>
      <w:r>
        <w:rPr/>
        <w:t>、资产收购、出售发生的关联交易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公司报告期未发生资产收购、出售的关联交易。</w:t>
      </w:r>
    </w:p>
    <w:p>
      <w:pPr>
        <w:spacing w:line="240" w:lineRule="auto" w:before="2"/>
        <w:rPr>
          <w:rFonts w:ascii="宋体" w:hAnsi="宋体" w:cs="宋体" w:eastAsia="宋体" w:hint="default"/>
          <w:sz w:val="21"/>
          <w:szCs w:val="21"/>
        </w:rPr>
      </w:pPr>
    </w:p>
    <w:p>
      <w:pPr>
        <w:pStyle w:val="Heading3"/>
        <w:spacing w:line="240" w:lineRule="auto"/>
        <w:ind w:left="153" w:right="1046"/>
        <w:jc w:val="left"/>
        <w:rPr>
          <w:b w:val="0"/>
          <w:bCs w:val="0"/>
        </w:rPr>
      </w:pPr>
      <w:bookmarkStart w:name="3、共同对外投资的关联交易" w:id="73"/>
      <w:bookmarkEnd w:id="73"/>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ind w:left="153" w:right="1046"/>
        <w:jc w:val="left"/>
        <w:rPr>
          <w:b w:val="0"/>
          <w:bCs w:val="0"/>
        </w:rPr>
      </w:pPr>
      <w:bookmarkStart w:name="4、关联债权债务往来" w:id="74"/>
      <w:bookmarkEnd w:id="74"/>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是否存在非经营性关联债权债务往来</w:t>
      </w:r>
    </w:p>
    <w:p>
      <w:pPr>
        <w:spacing w:before="44"/>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736"/>
        <w:gridCol w:w="1118"/>
        <w:gridCol w:w="1120"/>
        <w:gridCol w:w="1118"/>
        <w:gridCol w:w="1120"/>
        <w:gridCol w:w="1119"/>
        <w:gridCol w:w="1120"/>
        <w:gridCol w:w="1118"/>
      </w:tblGrid>
      <w:tr>
        <w:trPr>
          <w:trHeight w:val="1026" w:hRule="exact"/>
        </w:trPr>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65" w:right="102" w:hanging="360"/>
              <w:jc w:val="left"/>
              <w:rPr>
                <w:rFonts w:ascii="宋体" w:hAnsi="宋体" w:cs="宋体" w:eastAsia="宋体" w:hint="default"/>
                <w:sz w:val="18"/>
                <w:szCs w:val="18"/>
              </w:rPr>
            </w:pPr>
            <w:r>
              <w:rPr>
                <w:rFonts w:ascii="宋体" w:hAnsi="宋体" w:cs="宋体" w:eastAsia="宋体" w:hint="default"/>
                <w:sz w:val="18"/>
                <w:szCs w:val="18"/>
              </w:rPr>
              <w:t>债权债务类 型</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94" w:right="0"/>
              <w:jc w:val="left"/>
              <w:rPr>
                <w:rFonts w:ascii="宋体" w:hAnsi="宋体" w:cs="宋体" w:eastAsia="宋体" w:hint="default"/>
                <w:sz w:val="18"/>
                <w:szCs w:val="18"/>
              </w:rPr>
            </w:pPr>
            <w:r>
              <w:rPr>
                <w:rFonts w:ascii="宋体" w:hAnsi="宋体" w:cs="宋体" w:eastAsia="宋体" w:hint="default"/>
                <w:sz w:val="18"/>
                <w:szCs w:val="18"/>
              </w:rPr>
              <w:t>形成原因</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5" w:right="102"/>
              <w:jc w:val="center"/>
              <w:rPr>
                <w:rFonts w:ascii="宋体" w:hAnsi="宋体" w:cs="宋体" w:eastAsia="宋体" w:hint="default"/>
                <w:sz w:val="18"/>
                <w:szCs w:val="18"/>
              </w:rPr>
            </w:pPr>
            <w:r>
              <w:rPr>
                <w:rFonts w:ascii="宋体" w:hAnsi="宋体" w:cs="宋体" w:eastAsia="宋体" w:hint="default"/>
                <w:sz w:val="18"/>
                <w:szCs w:val="18"/>
              </w:rPr>
              <w:t>是否存在非 经营性资金 占用</w:t>
            </w:r>
          </w:p>
        </w:tc>
        <w:tc>
          <w:tcPr>
            <w:tcW w:w="1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1" w:hanging="352"/>
              <w:jc w:val="left"/>
              <w:rPr>
                <w:rFonts w:ascii="宋体" w:hAnsi="宋体" w:cs="宋体" w:eastAsia="宋体" w:hint="default"/>
                <w:sz w:val="18"/>
                <w:szCs w:val="18"/>
              </w:rPr>
            </w:pPr>
            <w:r>
              <w:rPr>
                <w:rFonts w:ascii="宋体" w:hAnsi="宋体" w:cs="宋体" w:eastAsia="宋体" w:hint="default"/>
                <w:spacing w:val="-3"/>
                <w:sz w:val="18"/>
                <w:szCs w:val="18"/>
              </w:rPr>
              <w:t>期初余额（万</w:t>
            </w:r>
            <w:r>
              <w:rPr>
                <w:rFonts w:ascii="宋体" w:hAnsi="宋体" w:cs="宋体" w:eastAsia="宋体" w:hint="default"/>
                <w:sz w:val="18"/>
                <w:szCs w:val="18"/>
              </w:rPr>
              <w:t> 元）</w:t>
            </w:r>
          </w:p>
        </w:tc>
        <w:tc>
          <w:tcPr>
            <w:tcW w:w="1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本期发生额</w:t>
            </w:r>
          </w:p>
          <w:p>
            <w:pPr>
              <w:pStyle w:val="TableParagraph"/>
              <w:spacing w:line="240" w:lineRule="auto" w:before="76"/>
              <w:ind w:left="195"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74" w:right="20" w:hanging="352"/>
              <w:jc w:val="left"/>
              <w:rPr>
                <w:rFonts w:ascii="宋体" w:hAnsi="宋体" w:cs="宋体" w:eastAsia="宋体" w:hint="default"/>
                <w:sz w:val="18"/>
                <w:szCs w:val="18"/>
              </w:rPr>
            </w:pPr>
            <w:r>
              <w:rPr>
                <w:rFonts w:ascii="宋体" w:hAnsi="宋体" w:cs="宋体" w:eastAsia="宋体" w:hint="default"/>
                <w:spacing w:val="-3"/>
                <w:sz w:val="18"/>
                <w:szCs w:val="18"/>
              </w:rPr>
              <w:t>期末余额（万</w:t>
            </w:r>
            <w:r>
              <w:rPr>
                <w:rFonts w:ascii="宋体" w:hAnsi="宋体" w:cs="宋体" w:eastAsia="宋体" w:hint="default"/>
                <w:sz w:val="18"/>
                <w:szCs w:val="18"/>
              </w:rPr>
              <w:t> 元）</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36"/>
        <w:gridCol w:w="1118"/>
        <w:gridCol w:w="1120"/>
        <w:gridCol w:w="1118"/>
        <w:gridCol w:w="1120"/>
        <w:gridCol w:w="1119"/>
        <w:gridCol w:w="1120"/>
        <w:gridCol w:w="1118"/>
      </w:tblGrid>
      <w:tr>
        <w:trPr>
          <w:trHeight w:val="1026"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深圳市潮瀚科技有限 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实际控制人 妻子之弟弟 控制的公司</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84"/>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512.58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81"/>
              <w:jc w:val="left"/>
              <w:rPr>
                <w:rFonts w:ascii="宋体" w:hAnsi="宋体" w:cs="宋体" w:eastAsia="宋体" w:hint="default"/>
                <w:sz w:val="18"/>
                <w:szCs w:val="18"/>
              </w:rPr>
            </w:pPr>
            <w:r>
              <w:rPr>
                <w:rFonts w:ascii="宋体" w:hAnsi="宋体" w:cs="宋体" w:eastAsia="宋体" w:hint="default"/>
                <w:sz w:val="18"/>
                <w:szCs w:val="18"/>
              </w:rPr>
              <w:t>深圳市好易通科技开 发有限公司</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实际控制人 妻子之弟弟 控制的公司</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84"/>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50.86</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翁朝阳</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5"/>
              <w:jc w:val="both"/>
              <w:rPr>
                <w:rFonts w:ascii="宋体" w:hAnsi="宋体" w:cs="宋体" w:eastAsia="宋体" w:hint="default"/>
                <w:sz w:val="18"/>
                <w:szCs w:val="18"/>
              </w:rPr>
            </w:pPr>
            <w:r>
              <w:rPr>
                <w:rFonts w:ascii="宋体" w:hAnsi="宋体" w:cs="宋体" w:eastAsia="宋体" w:hint="default"/>
                <w:sz w:val="18"/>
                <w:szCs w:val="18"/>
              </w:rPr>
              <w:t>实际控制人 妻子之弟弟 控制的公司</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4" w:right="184"/>
              <w:jc w:val="left"/>
              <w:rPr>
                <w:rFonts w:ascii="宋体" w:hAnsi="宋体" w:cs="宋体" w:eastAsia="宋体" w:hint="default"/>
                <w:sz w:val="18"/>
                <w:szCs w:val="18"/>
              </w:rPr>
            </w:pPr>
            <w:r>
              <w:rPr>
                <w:rFonts w:ascii="宋体" w:hAnsi="宋体" w:cs="宋体" w:eastAsia="宋体" w:hint="default"/>
                <w:sz w:val="18"/>
                <w:szCs w:val="18"/>
              </w:rPr>
              <w:t>应付关联方 债务</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241.98</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8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关联债权债务对公司经营成果及财 务状况的影响</w:t>
            </w:r>
          </w:p>
        </w:tc>
        <w:tc>
          <w:tcPr>
            <w:tcW w:w="6715" w:type="dxa"/>
            <w:gridSpan w:val="6"/>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7" w:right="21"/>
              <w:jc w:val="left"/>
              <w:rPr>
                <w:rFonts w:ascii="宋体" w:hAnsi="宋体" w:cs="宋体" w:eastAsia="宋体" w:hint="default"/>
                <w:sz w:val="18"/>
                <w:szCs w:val="18"/>
              </w:rPr>
            </w:pPr>
            <w:r>
              <w:rPr>
                <w:rFonts w:ascii="宋体" w:hAnsi="宋体" w:cs="宋体" w:eastAsia="宋体" w:hint="default"/>
                <w:sz w:val="18"/>
                <w:szCs w:val="18"/>
              </w:rPr>
              <w:t>关联债权债务是正常的资金资金往来和商品采购，对公司经营成果和财务状况不构成 重大影响。</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5、其他关联交易" w:id="75"/>
      <w:bookmarkEnd w:id="75"/>
      <w:r>
        <w:rPr>
          <w:b w:val="0"/>
          <w:bCs w:val="0"/>
        </w:rPr>
      </w:r>
      <w:r>
        <w:rPr>
          <w:rFonts w:ascii="Times New Roman" w:hAnsi="Times New Roman" w:cs="Times New Roman" w:eastAsia="Times New Roman" w:hint="default"/>
        </w:rPr>
        <w:t>5</w:t>
      </w:r>
      <w:r>
        <w:rPr/>
        <w:t>、其他关联交易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公司报告期无其他关联交易。</w:t>
      </w:r>
    </w:p>
    <w:p>
      <w:pPr>
        <w:spacing w:line="240" w:lineRule="auto" w:before="3"/>
        <w:rPr>
          <w:rFonts w:ascii="宋体" w:hAnsi="宋体" w:cs="宋体" w:eastAsia="宋体" w:hint="default"/>
          <w:sz w:val="19"/>
          <w:szCs w:val="19"/>
        </w:rPr>
      </w:pPr>
    </w:p>
    <w:p>
      <w:pPr>
        <w:pStyle w:val="Heading2"/>
        <w:spacing w:line="240" w:lineRule="auto"/>
        <w:ind w:right="1046"/>
        <w:jc w:val="left"/>
        <w:rPr>
          <w:b w:val="0"/>
          <w:bCs w:val="0"/>
        </w:rPr>
      </w:pPr>
      <w:bookmarkStart w:name="八、重大合同及其履行情况" w:id="76"/>
      <w:bookmarkEnd w:id="76"/>
      <w:r>
        <w:rPr>
          <w:b w:val="0"/>
          <w:bCs w:val="0"/>
        </w:rPr>
      </w:r>
      <w:r>
        <w:rPr/>
        <w:t>八、重大合同及其履行情况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46"/>
        <w:jc w:val="left"/>
        <w:rPr>
          <w:b w:val="0"/>
          <w:bCs w:val="0"/>
        </w:rPr>
      </w:pPr>
      <w:bookmarkStart w:name="1、托管、承包、租赁事项情况" w:id="77"/>
      <w:bookmarkEnd w:id="77"/>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46"/>
        <w:jc w:val="left"/>
        <w:rPr>
          <w:b w:val="0"/>
          <w:bCs w:val="0"/>
        </w:rPr>
      </w:pPr>
      <w:bookmarkStart w:name="（1）托管情况" w:id="78"/>
      <w:bookmarkEnd w:id="78"/>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2"/>
        <w:rPr>
          <w:rFonts w:ascii="宋体" w:hAnsi="宋体" w:cs="宋体" w:eastAsia="宋体" w:hint="default"/>
          <w:sz w:val="21"/>
          <w:szCs w:val="21"/>
        </w:rPr>
      </w:pPr>
    </w:p>
    <w:p>
      <w:pPr>
        <w:pStyle w:val="Heading3"/>
        <w:spacing w:line="240" w:lineRule="auto"/>
        <w:ind w:left="153" w:right="1046"/>
        <w:jc w:val="left"/>
        <w:rPr>
          <w:b w:val="0"/>
          <w:bCs w:val="0"/>
        </w:rPr>
      </w:pPr>
      <w:bookmarkStart w:name="（2）承包情况" w:id="79"/>
      <w:bookmarkEnd w:id="79"/>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2"/>
        <w:rPr>
          <w:rFonts w:ascii="宋体" w:hAnsi="宋体" w:cs="宋体" w:eastAsia="宋体" w:hint="default"/>
          <w:sz w:val="20"/>
          <w:szCs w:val="20"/>
        </w:rPr>
      </w:pPr>
    </w:p>
    <w:p>
      <w:pPr>
        <w:pStyle w:val="Heading3"/>
        <w:spacing w:line="240" w:lineRule="auto"/>
        <w:ind w:left="153" w:right="1046"/>
        <w:jc w:val="left"/>
        <w:rPr>
          <w:b w:val="0"/>
          <w:bCs w:val="0"/>
        </w:rPr>
      </w:pPr>
      <w:bookmarkStart w:name="（3）租赁情况" w:id="80"/>
      <w:bookmarkEnd w:id="80"/>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1"/>
        <w:rPr>
          <w:rFonts w:ascii="宋体" w:hAnsi="宋体" w:cs="宋体" w:eastAsia="宋体" w:hint="default"/>
          <w:sz w:val="21"/>
          <w:szCs w:val="21"/>
        </w:rPr>
      </w:pPr>
    </w:p>
    <w:p>
      <w:pPr>
        <w:pStyle w:val="Heading3"/>
        <w:spacing w:line="240" w:lineRule="auto"/>
        <w:ind w:right="1046"/>
        <w:jc w:val="left"/>
        <w:rPr>
          <w:b w:val="0"/>
          <w:bCs w:val="0"/>
        </w:rPr>
      </w:pPr>
      <w:bookmarkStart w:name="2、担保情况" w:id="81"/>
      <w:bookmarkEnd w:id="81"/>
      <w:r>
        <w:rPr>
          <w:b w:val="0"/>
          <w:bCs w:val="0"/>
        </w:rPr>
      </w:r>
      <w:r>
        <w:rPr>
          <w:rFonts w:ascii="Times New Roman" w:hAnsi="Times New Roman" w:cs="Times New Roman" w:eastAsia="Times New Roman" w:hint="default"/>
        </w:rPr>
        <w:t>2</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04"/>
        <w:gridCol w:w="942"/>
        <w:gridCol w:w="932"/>
        <w:gridCol w:w="1212"/>
        <w:gridCol w:w="1176"/>
        <w:gridCol w:w="1093"/>
        <w:gridCol w:w="1017"/>
        <w:gridCol w:w="806"/>
        <w:gridCol w:w="786"/>
      </w:tblGrid>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78"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402"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0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 w:right="0"/>
              <w:jc w:val="left"/>
              <w:rPr>
                <w:rFonts w:ascii="宋体" w:hAnsi="宋体" w:cs="宋体" w:eastAsia="宋体" w:hint="default"/>
                <w:sz w:val="18"/>
                <w:szCs w:val="18"/>
              </w:rPr>
            </w:pPr>
            <w:r>
              <w:rPr>
                <w:rFonts w:ascii="宋体" w:hAnsi="宋体" w:cs="宋体" w:eastAsia="宋体" w:hint="default"/>
                <w:sz w:val="18"/>
                <w:szCs w:val="18"/>
              </w:rPr>
              <w:t>是否履行</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7" w:right="0"/>
              <w:jc w:val="left"/>
              <w:rPr>
                <w:rFonts w:ascii="宋体" w:hAnsi="宋体" w:cs="宋体" w:eastAsia="宋体" w:hint="default"/>
                <w:sz w:val="18"/>
                <w:szCs w:val="18"/>
              </w:rPr>
            </w:pPr>
            <w:r>
              <w:rPr>
                <w:rFonts w:ascii="宋体" w:hAnsi="宋体" w:cs="宋体" w:eastAsia="宋体" w:hint="default"/>
                <w:sz w:val="18"/>
                <w:szCs w:val="18"/>
              </w:rPr>
              <w:t>是否为关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422.579987pt;margin-top:177.61998pt;width:73pt;height:70.2pt;mso-position-horizontal-relative:page;mso-position-vertical-relative:page;z-index:-10646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before="158"/>
                    <w:ind w:left="0" w:right="0" w:firstLine="0"/>
                    <w:jc w:val="left"/>
                    <w:rPr>
                      <w:rFonts w:ascii="宋体" w:hAnsi="宋体" w:cs="宋体" w:eastAsia="宋体" w:hint="default"/>
                      <w:sz w:val="18"/>
                      <w:szCs w:val="18"/>
                    </w:rPr>
                  </w:pPr>
                  <w:r>
                    <w:rPr>
                      <w:rFonts w:ascii="宋体" w:hAnsi="宋体" w:cs="宋体" w:eastAsia="宋体" w:hint="default"/>
                      <w:sz w:val="18"/>
                      <w:szCs w:val="18"/>
                    </w:rPr>
                    <w:t>月解除；</w:t>
                  </w:r>
                </w:p>
              </w:txbxContent>
            </v:textbox>
            <w10:wrap type="none"/>
          </v:shape>
        </w:pict>
      </w:r>
      <w:r>
        <w:rPr/>
        <w:pict>
          <v:group style="position:absolute;margin-left:455.76001pt;margin-top:559.539978pt;width:39.8pt;height:201.8pt;mso-position-horizontal-relative:page;mso-position-vertical-relative:page;z-index:-1064584" coordorigin="9115,11191" coordsize="796,4036">
            <v:shape style="position:absolute;left:9115;top:11191;width:796;height:4036" coordorigin="9115,11191" coordsize="796,4036" path="m9115,15227l9911,15227,9911,11191,9115,11191,9115,15227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4"/>
        <w:gridCol w:w="942"/>
        <w:gridCol w:w="932"/>
        <w:gridCol w:w="1212"/>
        <w:gridCol w:w="1176"/>
        <w:gridCol w:w="1093"/>
        <w:gridCol w:w="1017"/>
        <w:gridCol w:w="806"/>
        <w:gridCol w:w="786"/>
      </w:tblGrid>
      <w:tr>
        <w:trPr>
          <w:trHeight w:val="674"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05" w:right="104"/>
              <w:jc w:val="left"/>
              <w:rPr>
                <w:rFonts w:ascii="宋体" w:hAnsi="宋体" w:cs="宋体" w:eastAsia="宋体" w:hint="default"/>
                <w:sz w:val="18"/>
                <w:szCs w:val="18"/>
              </w:rPr>
            </w:pPr>
            <w:r>
              <w:rPr>
                <w:rFonts w:ascii="宋体" w:hAnsi="宋体" w:cs="宋体" w:eastAsia="宋体" w:hint="default"/>
                <w:sz w:val="18"/>
                <w:szCs w:val="18"/>
              </w:rPr>
              <w:t>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17" w:right="0"/>
              <w:jc w:val="left"/>
              <w:rPr>
                <w:rFonts w:ascii="宋体" w:hAnsi="宋体" w:cs="宋体" w:eastAsia="宋体" w:hint="default"/>
                <w:sz w:val="18"/>
                <w:szCs w:val="18"/>
              </w:rPr>
            </w:pPr>
            <w:r>
              <w:rPr>
                <w:rFonts w:ascii="宋体" w:hAnsi="宋体" w:cs="宋体" w:eastAsia="宋体" w:hint="default"/>
                <w:sz w:val="18"/>
                <w:szCs w:val="18"/>
              </w:rPr>
              <w:t>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联方担保</w:t>
            </w:r>
          </w:p>
        </w:tc>
      </w:tr>
      <w:tr>
        <w:trPr>
          <w:trHeight w:val="40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6" w:hRule="exact"/>
        </w:trPr>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55"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5"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0"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9" w:lineRule="auto" w:before="75"/>
              <w:ind w:left="421" w:right="149" w:hanging="271"/>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1"/>
              <w:jc w:val="right"/>
              <w:rPr>
                <w:rFonts w:ascii="宋体" w:hAnsi="宋体" w:cs="宋体" w:eastAsia="宋体" w:hint="default"/>
                <w:sz w:val="18"/>
                <w:szCs w:val="18"/>
              </w:rPr>
            </w:pPr>
            <w:r>
              <w:rPr>
                <w:rFonts w:ascii="宋体" w:hAnsi="宋体" w:cs="宋体" w:eastAsia="宋体" w:hint="default"/>
                <w:sz w:val="18"/>
                <w:szCs w:val="18"/>
              </w:rPr>
              <w:t>实际担保金额</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8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3"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8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17" w:right="37"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7" w:right="26"/>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210"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深圳市赛格通信有 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16,056.03</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1,815.09</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240" w:lineRule="auto" w:before="75"/>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1,056.03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元担保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6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w:t>
            </w:r>
          </w:p>
          <w:p>
            <w:pPr>
              <w:pStyle w:val="TableParagraph"/>
              <w:spacing w:line="300" w:lineRule="auto" w:before="63"/>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279.51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担保</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p>
            <w:pPr>
              <w:pStyle w:val="TableParagraph"/>
              <w:spacing w:line="300" w:lineRule="auto" w:before="13"/>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479.55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担保</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1404"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
                <w:sz w:val="20"/>
                <w:szCs w:val="20"/>
              </w:rPr>
              <w:pict>
                <v:group style="width:39.8pt;height:70.2pt;mso-position-horizontal-relative:char;mso-position-vertical-relative:line" coordorigin="0,0" coordsize="796,1404">
                  <v:group style="position:absolute;left:0;top:0;width:796;height:1404" coordorigin="0,0" coordsize="796,1404">
                    <v:shape style="position:absolute;left:0;top:0;width:796;height:1404" coordorigin="0,0" coordsize="796,1404" path="m0,1404l796,1404,796,0,0,0,0,1404xe" filled="true" fillcolor="#ffffff" stroked="false">
                      <v:path arrowok="t"/>
                      <v:fill type="solid"/>
                    </v:shape>
                  </v:group>
                </v:group>
              </w:pict>
            </w:r>
            <w:r>
              <w:rPr>
                <w:rFonts w:ascii="Times New Roman" w:hAnsi="Times New Roman" w:cs="Times New Roman" w:eastAsia="Times New Roman" w:hint="default"/>
                <w:position w:val="-27"/>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8"/>
                <w:szCs w:val="18"/>
              </w:rPr>
            </w:pP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8475"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9" w:lineRule="auto"/>
              <w:ind w:left="22" w:right="129"/>
              <w:jc w:val="left"/>
              <w:rPr>
                <w:rFonts w:ascii="宋体" w:hAnsi="宋体" w:cs="宋体" w:eastAsia="宋体" w:hint="default"/>
                <w:sz w:val="18"/>
                <w:szCs w:val="18"/>
              </w:rPr>
            </w:pPr>
            <w:r>
              <w:rPr>
                <w:rFonts w:ascii="宋体" w:hAnsi="宋体" w:cs="宋体" w:eastAsia="宋体" w:hint="default"/>
                <w:sz w:val="18"/>
                <w:szCs w:val="18"/>
              </w:rPr>
              <w:t>深圳市赛格通信有 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4,979.07</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4,979.07</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7.41 </w:t>
            </w:r>
            <w:r>
              <w:rPr>
                <w:rFonts w:ascii="宋体" w:hAnsi="宋体" w:cs="宋体" w:eastAsia="宋体" w:hint="default"/>
                <w:sz w:val="18"/>
                <w:szCs w:val="18"/>
              </w:rPr>
              <w:t>万担保到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解除</w:t>
            </w:r>
            <w:r>
              <w:rPr>
                <w:rFonts w:ascii="Times New Roman" w:hAnsi="Times New Roman" w:cs="Times New Roman" w:eastAsia="Times New Roman" w:hint="default"/>
                <w:sz w:val="18"/>
                <w:szCs w:val="18"/>
              </w:rPr>
              <w:t>;19.14</w:t>
            </w:r>
          </w:p>
          <w:p>
            <w:pPr>
              <w:pStyle w:val="TableParagraph"/>
              <w:spacing w:line="309" w:lineRule="auto" w:before="9"/>
              <w:ind w:left="23" w:right="38"/>
              <w:jc w:val="left"/>
              <w:rPr>
                <w:rFonts w:ascii="Times New Roman" w:hAnsi="Times New Roman" w:cs="Times New Roman" w:eastAsia="Times New Roman" w:hint="default"/>
                <w:sz w:val="18"/>
                <w:szCs w:val="18"/>
              </w:rPr>
            </w:pPr>
            <w:r>
              <w:rPr>
                <w:rFonts w:ascii="宋体" w:hAnsi="宋体" w:cs="宋体" w:eastAsia="宋体" w:hint="default"/>
                <w:sz w:val="18"/>
                <w:szCs w:val="18"/>
              </w:rPr>
              <w:t>万担保到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解除</w:t>
            </w:r>
            <w:r>
              <w:rPr>
                <w:rFonts w:ascii="Times New Roman" w:hAnsi="Times New Roman" w:cs="Times New Roman" w:eastAsia="Times New Roman" w:hint="default"/>
                <w:sz w:val="18"/>
                <w:szCs w:val="18"/>
              </w:rPr>
              <w:t>;546.8</w:t>
            </w:r>
          </w:p>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万担保到</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316" w:lineRule="auto" w:before="63"/>
              <w:ind w:left="23" w:right="31"/>
              <w:jc w:val="left"/>
              <w:rPr>
                <w:rFonts w:ascii="宋体" w:hAnsi="宋体" w:cs="宋体" w:eastAsia="宋体" w:hint="default"/>
                <w:sz w:val="18"/>
                <w:szCs w:val="18"/>
              </w:rPr>
            </w:pPr>
            <w:r>
              <w:rPr>
                <w:rFonts w:ascii="宋体" w:hAnsi="宋体" w:cs="宋体" w:eastAsia="宋体" w:hint="default"/>
                <w:sz w:val="18"/>
                <w:szCs w:val="18"/>
              </w:rPr>
              <w:t>月解 除</w:t>
            </w:r>
            <w:r>
              <w:rPr>
                <w:rFonts w:ascii="Times New Roman" w:hAnsi="Times New Roman" w:cs="Times New Roman" w:eastAsia="Times New Roman" w:hint="default"/>
                <w:sz w:val="18"/>
                <w:szCs w:val="18"/>
              </w:rPr>
              <w:t>;531.43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担保到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p>
          <w:p>
            <w:pPr>
              <w:pStyle w:val="TableParagraph"/>
              <w:spacing w:line="300" w:lineRule="auto" w:before="63"/>
              <w:ind w:left="23" w:right="126"/>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 除；</w:t>
            </w:r>
            <w:r>
              <w:rPr>
                <w:rFonts w:ascii="Times New Roman" w:hAnsi="Times New Roman" w:cs="Times New Roman" w:eastAsia="Times New Roman" w:hint="default"/>
                <w:sz w:val="18"/>
                <w:szCs w:val="18"/>
              </w:rPr>
              <w:t>192.01</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万担保到</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月解除；</w:t>
            </w:r>
          </w:p>
          <w:p>
            <w:pPr>
              <w:pStyle w:val="TableParagraph"/>
              <w:spacing w:line="300" w:lineRule="auto" w:before="76"/>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196.40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 保到</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月解除；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万担保 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月份解除；</w:t>
            </w:r>
          </w:p>
          <w:p>
            <w:pPr>
              <w:pStyle w:val="TableParagraph"/>
              <w:spacing w:line="300" w:lineRule="auto" w:before="32"/>
              <w:ind w:left="23"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180.81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 保到</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月份解除</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55.76001pt;margin-top:72.47998pt;width:39.8pt;height:236.1pt;mso-position-horizontal-relative:page;mso-position-vertical-relative:page;z-index:-1064536" coordorigin="9115,1450" coordsize="796,4722">
            <v:shape style="position:absolute;left:9115;top:1450;width:796;height:4722" coordorigin="9115,1450" coordsize="796,4722" path="m9115,6171l9911,6171,9911,1450,9115,1450,9115,617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4"/>
        <w:gridCol w:w="942"/>
        <w:gridCol w:w="932"/>
        <w:gridCol w:w="1212"/>
        <w:gridCol w:w="1176"/>
        <w:gridCol w:w="1093"/>
        <w:gridCol w:w="1017"/>
        <w:gridCol w:w="806"/>
        <w:gridCol w:w="786"/>
      </w:tblGrid>
      <w:tr>
        <w:trPr>
          <w:trHeight w:val="4731" w:hRule="exact"/>
        </w:trPr>
        <w:tc>
          <w:tcPr>
            <w:tcW w:w="160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保到</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月份解除</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万担保</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307" w:lineRule="auto" w:before="63"/>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宋体" w:hAnsi="宋体" w:cs="宋体" w:eastAsia="宋体" w:hint="default"/>
                <w:spacing w:val="-9"/>
                <w:sz w:val="18"/>
                <w:szCs w:val="18"/>
              </w:rPr>
              <w:t>解除；</w:t>
            </w:r>
            <w:r>
              <w:rPr>
                <w:rFonts w:ascii="Times New Roman" w:hAnsi="Times New Roman" w:cs="Times New Roman" w:eastAsia="Times New Roman" w:hint="default"/>
                <w:spacing w:val="-9"/>
                <w:sz w:val="18"/>
                <w:szCs w:val="18"/>
              </w:rPr>
              <w:t>180.80</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万元担保到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7"/>
              <w:ind w:left="23" w:right="21"/>
              <w:jc w:val="left"/>
              <w:rPr>
                <w:rFonts w:ascii="宋体" w:hAnsi="宋体" w:cs="宋体" w:eastAsia="宋体" w:hint="default"/>
                <w:sz w:val="18"/>
                <w:szCs w:val="18"/>
              </w:rPr>
            </w:pPr>
            <w:r>
              <w:rPr>
                <w:rFonts w:ascii="宋体" w:hAnsi="宋体" w:cs="宋体" w:eastAsia="宋体" w:hint="default"/>
                <w:spacing w:val="-9"/>
                <w:sz w:val="18"/>
                <w:szCs w:val="18"/>
              </w:rPr>
              <w:t>解除；</w:t>
            </w:r>
            <w:r>
              <w:rPr>
                <w:rFonts w:ascii="Times New Roman" w:hAnsi="Times New Roman" w:cs="Times New Roman" w:eastAsia="Times New Roman" w:hint="default"/>
                <w:spacing w:val="-9"/>
                <w:sz w:val="18"/>
                <w:szCs w:val="18"/>
              </w:rPr>
              <w:t>279.51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万元担保到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5"/>
              <w:ind w:left="23" w:right="21"/>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解除；</w:t>
            </w:r>
            <w:r>
              <w:rPr>
                <w:rFonts w:ascii="Times New Roman" w:hAnsi="Times New Roman" w:cs="Times New Roman" w:eastAsia="Times New Roman" w:hint="default"/>
                <w:spacing w:val="-9"/>
                <w:sz w:val="18"/>
                <w:szCs w:val="18"/>
              </w:rPr>
              <w:t>479.55</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万元担保到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月解除</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7891"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129"/>
              <w:jc w:val="left"/>
              <w:rPr>
                <w:rFonts w:ascii="宋体" w:hAnsi="宋体" w:cs="宋体" w:eastAsia="宋体" w:hint="default"/>
                <w:sz w:val="18"/>
                <w:szCs w:val="18"/>
              </w:rPr>
            </w:pPr>
            <w:r>
              <w:rPr>
                <w:rFonts w:ascii="宋体" w:hAnsi="宋体" w:cs="宋体" w:eastAsia="宋体" w:hint="default"/>
                <w:sz w:val="18"/>
                <w:szCs w:val="18"/>
              </w:rPr>
              <w:t>深圳市赛格通信有 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1,571.72</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0"/>
              <w:jc w:val="right"/>
              <w:rPr>
                <w:rFonts w:ascii="Times New Roman" w:hAnsi="Times New Roman" w:cs="Times New Roman" w:eastAsia="Times New Roman" w:hint="default"/>
                <w:sz w:val="18"/>
                <w:szCs w:val="18"/>
              </w:rPr>
            </w:pPr>
            <w:r>
              <w:rPr>
                <w:rFonts w:ascii="Times New Roman"/>
                <w:sz w:val="18"/>
              </w:rPr>
              <w:t>1,571.72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1"/>
              <w:jc w:val="left"/>
              <w:rPr>
                <w:rFonts w:ascii="Times New Roman" w:hAnsi="Times New Roman" w:cs="Times New Roman" w:eastAsia="Times New Roman" w:hint="default"/>
                <w:sz w:val="18"/>
                <w:szCs w:val="18"/>
              </w:rPr>
            </w:pPr>
            <w:r>
              <w:rPr>
                <w:rFonts w:ascii="宋体" w:hAnsi="宋体" w:cs="宋体" w:eastAsia="宋体" w:hint="default"/>
                <w:spacing w:val="-9"/>
                <w:sz w:val="18"/>
                <w:szCs w:val="18"/>
              </w:rPr>
              <w:t>其中，</w:t>
            </w:r>
            <w:r>
              <w:rPr>
                <w:rFonts w:ascii="Times New Roman" w:hAnsi="Times New Roman" w:cs="Times New Roman" w:eastAsia="Times New Roman" w:hint="default"/>
                <w:spacing w:val="-9"/>
                <w:sz w:val="18"/>
                <w:szCs w:val="18"/>
              </w:rPr>
              <w:t>206.61</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300" w:lineRule="auto" w:before="13"/>
              <w:ind w:left="23" w:right="1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 期</w:t>
            </w:r>
            <w:r>
              <w:rPr>
                <w:rFonts w:ascii="Times New Roman" w:hAnsi="Times New Roman" w:cs="Times New Roman" w:eastAsia="Times New Roman" w:hint="default"/>
                <w:sz w:val="18"/>
                <w:szCs w:val="18"/>
              </w:rPr>
              <w:t>;342.2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担保</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p>
          <w:p>
            <w:pPr>
              <w:pStyle w:val="TableParagraph"/>
              <w:spacing w:line="300" w:lineRule="auto" w:before="63"/>
              <w:ind w:left="23" w:right="126"/>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月到期解 除；</w:t>
            </w:r>
            <w:r>
              <w:rPr>
                <w:rFonts w:ascii="Times New Roman" w:hAnsi="Times New Roman" w:cs="Times New Roman" w:eastAsia="Times New Roman" w:hint="default"/>
                <w:sz w:val="18"/>
                <w:szCs w:val="18"/>
              </w:rPr>
              <w:t>614.44</w:t>
            </w:r>
          </w:p>
          <w:p>
            <w:pPr>
              <w:pStyle w:val="TableParagraph"/>
              <w:spacing w:line="240" w:lineRule="auto" w:before="1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万担保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r>
              <w:rPr>
                <w:rFonts w:ascii="Times New Roman" w:hAnsi="Times New Roman" w:cs="Times New Roman" w:eastAsia="Times New Roman" w:hint="default"/>
                <w:sz w:val="18"/>
                <w:szCs w:val="18"/>
              </w:rPr>
              <w:t>;</w:t>
            </w:r>
          </w:p>
          <w:p>
            <w:pPr>
              <w:pStyle w:val="TableParagraph"/>
              <w:spacing w:line="300" w:lineRule="auto" w:before="63"/>
              <w:ind w:left="23" w:right="23"/>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年新 </w:t>
            </w:r>
            <w:r>
              <w:rPr>
                <w:rFonts w:ascii="宋体" w:hAnsi="宋体" w:cs="宋体" w:eastAsia="宋体" w:hint="default"/>
                <w:spacing w:val="-5"/>
                <w:sz w:val="18"/>
                <w:szCs w:val="18"/>
              </w:rPr>
              <w:t>增）</w:t>
            </w:r>
            <w:r>
              <w:rPr>
                <w:rFonts w:ascii="Times New Roman" w:hAnsi="Times New Roman" w:cs="Times New Roman" w:eastAsia="Times New Roman" w:hint="default"/>
                <w:spacing w:val="-5"/>
                <w:sz w:val="18"/>
                <w:szCs w:val="18"/>
              </w:rPr>
              <w:t>62.19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担保</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p>
          <w:p>
            <w:pPr>
              <w:pStyle w:val="TableParagraph"/>
              <w:spacing w:line="240" w:lineRule="auto" w:before="1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p>
            <w:pPr>
              <w:pStyle w:val="TableParagraph"/>
              <w:spacing w:line="300" w:lineRule="auto" w:before="63"/>
              <w:ind w:left="23"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20.73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 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月到期；</w:t>
            </w:r>
          </w:p>
          <w:p>
            <w:pPr>
              <w:pStyle w:val="TableParagraph"/>
              <w:spacing w:line="300" w:lineRule="auto" w:before="31"/>
              <w:ind w:left="23"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14.95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 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p>
            <w:pPr>
              <w:pStyle w:val="TableParagraph"/>
              <w:spacing w:line="300" w:lineRule="auto" w:before="13"/>
              <w:ind w:left="23" w:right="38"/>
              <w:jc w:val="both"/>
              <w:rPr>
                <w:rFonts w:ascii="宋体" w:hAnsi="宋体" w:cs="宋体" w:eastAsia="宋体" w:hint="default"/>
                <w:sz w:val="18"/>
                <w:szCs w:val="18"/>
              </w:rPr>
            </w:pPr>
            <w:r>
              <w:rPr>
                <w:rFonts w:ascii="Times New Roman" w:hAnsi="Times New Roman" w:cs="Times New Roman" w:eastAsia="Times New Roman" w:hint="default"/>
                <w:sz w:val="18"/>
                <w:szCs w:val="18"/>
              </w:rPr>
              <w:t>186.36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 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月到期；</w:t>
            </w:r>
          </w:p>
          <w:p>
            <w:pPr>
              <w:pStyle w:val="TableParagraph"/>
              <w:spacing w:line="300" w:lineRule="auto" w:before="31"/>
              <w:ind w:left="23"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124.24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 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29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29"/>
              <w:jc w:val="left"/>
              <w:rPr>
                <w:rFonts w:ascii="宋体" w:hAnsi="宋体" w:cs="宋体" w:eastAsia="宋体" w:hint="default"/>
                <w:sz w:val="18"/>
                <w:szCs w:val="18"/>
              </w:rPr>
            </w:pPr>
            <w:r>
              <w:rPr>
                <w:rFonts w:ascii="宋体" w:hAnsi="宋体" w:cs="宋体" w:eastAsia="宋体" w:hint="default"/>
                <w:sz w:val="18"/>
                <w:szCs w:val="18"/>
              </w:rPr>
              <w:t>深圳市赛格通信有 限公司</w:t>
            </w:r>
          </w:p>
        </w:tc>
        <w:tc>
          <w:tcPr>
            <w:tcW w:w="94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82.42</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82.42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6"/>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32.99 </w:t>
            </w:r>
            <w:r>
              <w:rPr>
                <w:rFonts w:ascii="宋体" w:hAnsi="宋体" w:cs="宋体" w:eastAsia="宋体" w:hint="default"/>
                <w:sz w:val="18"/>
                <w:szCs w:val="18"/>
              </w:rPr>
              <w:t>万担保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0" w:lineRule="auto" w:before="1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月解除</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33.78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851" w:lineRule="exact"/>
              <w:ind w:right="-3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6"/>
                <w:sz w:val="20"/>
                <w:szCs w:val="20"/>
              </w:rPr>
              <w:pict>
                <v:group style="width:39.8pt;height:42.6pt;mso-position-horizontal-relative:char;mso-position-vertical-relative:line" coordorigin="0,0" coordsize="796,852">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0;top:404;width:796;height:448" coordorigin="0,404" coordsize="796,448">
                    <v:shape style="position:absolute;left:0;top:404;width:796;height:448" coordorigin="0,404" coordsize="796,448" path="m0,851l796,851,796,404,0,404,0,851xe" filled="true" fillcolor="#ffffff" stroked="false">
                      <v:path arrowok="t"/>
                      <v:fill type="solid"/>
                    </v:shape>
                  </v:group>
                  <v:group style="position:absolute;left:23;top:11;width:750;height:393" coordorigin="23,11" coordsize="750,393">
                    <v:shape style="position:absolute;left:23;top:11;width:750;height:393" coordorigin="23,11" coordsize="750,393" path="m23,404l773,404,773,11,23,11,23,404xe" filled="true" fillcolor="#ffffff" stroked="false">
                      <v:path arrowok="t"/>
                      <v:fill type="solid"/>
                    </v:shape>
                  </v:group>
                </v:group>
              </w:pict>
            </w:r>
            <w:r>
              <w:rPr>
                <w:rFonts w:ascii="Times New Roman" w:hAnsi="Times New Roman" w:cs="Times New Roman" w:eastAsia="Times New Roman" w:hint="default"/>
                <w:position w:val="-16"/>
                <w:sz w:val="20"/>
                <w:szCs w:val="20"/>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4"/>
        <w:gridCol w:w="942"/>
        <w:gridCol w:w="932"/>
        <w:gridCol w:w="1212"/>
        <w:gridCol w:w="1176"/>
        <w:gridCol w:w="1093"/>
        <w:gridCol w:w="1017"/>
        <w:gridCol w:w="806"/>
        <w:gridCol w:w="786"/>
      </w:tblGrid>
      <w:tr>
        <w:trPr>
          <w:trHeight w:val="1611" w:hRule="exact"/>
        </w:trPr>
        <w:tc>
          <w:tcPr>
            <w:tcW w:w="1604" w:type="dxa"/>
            <w:tcBorders>
              <w:top w:val="single" w:sz="4" w:space="0" w:color="000000"/>
              <w:left w:val="single" w:sz="4" w:space="0" w:color="000000"/>
              <w:bottom w:val="single" w:sz="4" w:space="0" w:color="000000"/>
              <w:right w:val="single" w:sz="4" w:space="0" w:color="000000"/>
            </w:tcBorders>
          </w:tcPr>
          <w:p>
            <w:pPr/>
          </w:p>
        </w:tc>
        <w:tc>
          <w:tcPr>
            <w:tcW w:w="94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月解除；</w:t>
            </w:r>
          </w:p>
          <w:p>
            <w:pPr>
              <w:pStyle w:val="TableParagraph"/>
              <w:spacing w:line="302" w:lineRule="auto" w:before="76"/>
              <w:ind w:left="23"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15.65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万担 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月解除</w:t>
            </w:r>
          </w:p>
        </w:tc>
        <w:tc>
          <w:tcPr>
            <w:tcW w:w="80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哈尔滨海能达科技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7,404.4</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担保解除</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06"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316" w:lineRule="auto"/>
              <w:ind w:left="22" w:right="129"/>
              <w:jc w:val="left"/>
              <w:rPr>
                <w:rFonts w:ascii="宋体" w:hAnsi="宋体" w:cs="宋体" w:eastAsia="宋体" w:hint="default"/>
                <w:sz w:val="18"/>
                <w:szCs w:val="18"/>
              </w:rPr>
            </w:pPr>
            <w:r>
              <w:rPr>
                <w:rFonts w:ascii="宋体" w:hAnsi="宋体" w:cs="宋体" w:eastAsia="宋体" w:hint="default"/>
                <w:sz w:val="18"/>
                <w:szCs w:val="18"/>
              </w:rPr>
              <w:t>鹤壁天海电子信息 系统有限公司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6,092.5</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其中，</w:t>
            </w:r>
          </w:p>
          <w:p>
            <w:pPr>
              <w:pStyle w:val="TableParagraph"/>
              <w:spacing w:line="300" w:lineRule="auto" w:before="75"/>
              <w:ind w:left="23" w:right="44"/>
              <w:jc w:val="left"/>
              <w:rPr>
                <w:rFonts w:ascii="宋体" w:hAnsi="宋体" w:cs="宋体" w:eastAsia="宋体" w:hint="default"/>
                <w:sz w:val="18"/>
                <w:szCs w:val="18"/>
              </w:rPr>
            </w:pPr>
            <w:r>
              <w:rPr>
                <w:rFonts w:ascii="Times New Roman" w:hAnsi="Times New Roman" w:cs="Times New Roman" w:eastAsia="Times New Roman" w:hint="default"/>
                <w:sz w:val="18"/>
                <w:szCs w:val="18"/>
              </w:rPr>
              <w:t>3050.60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p>
            <w:pPr>
              <w:pStyle w:val="TableParagraph"/>
              <w:spacing w:line="304" w:lineRule="auto" w:before="1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673.03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月到 期</w:t>
            </w:r>
            <w:r>
              <w:rPr>
                <w:rFonts w:ascii="Times New Roman" w:hAnsi="Times New Roman" w:cs="Times New Roman" w:eastAsia="Times New Roman" w:hint="default"/>
                <w:sz w:val="18"/>
                <w:szCs w:val="18"/>
              </w:rPr>
              <w:t>;1,205.31 </w:t>
            </w:r>
            <w:r>
              <w:rPr>
                <w:rFonts w:ascii="宋体" w:hAnsi="宋体" w:cs="宋体" w:eastAsia="宋体" w:hint="default"/>
                <w:sz w:val="18"/>
                <w:szCs w:val="18"/>
              </w:rPr>
              <w:t>万元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p>
            <w:pPr>
              <w:pStyle w:val="TableParagraph"/>
              <w:spacing w:line="300" w:lineRule="auto" w:before="9"/>
              <w:ind w:left="23" w:right="21"/>
              <w:jc w:val="both"/>
              <w:rPr>
                <w:rFonts w:ascii="宋体" w:hAnsi="宋体" w:cs="宋体" w:eastAsia="宋体" w:hint="default"/>
                <w:sz w:val="18"/>
                <w:szCs w:val="18"/>
              </w:rPr>
            </w:pPr>
            <w:r>
              <w:rPr>
                <w:rFonts w:ascii="Times New Roman" w:hAnsi="Times New Roman" w:cs="Times New Roman" w:eastAsia="Times New Roman" w:hint="default"/>
                <w:sz w:val="18"/>
                <w:szCs w:val="18"/>
              </w:rPr>
              <w:t>496.58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宋体" w:hAnsi="宋体" w:cs="宋体" w:eastAsia="宋体" w:hint="default"/>
                <w:spacing w:val="-9"/>
                <w:sz w:val="18"/>
                <w:szCs w:val="18"/>
              </w:rPr>
              <w:t>到期；</w:t>
            </w:r>
            <w:r>
              <w:rPr>
                <w:rFonts w:ascii="Times New Roman" w:hAnsi="Times New Roman" w:cs="Times New Roman" w:eastAsia="Times New Roman" w:hint="default"/>
                <w:spacing w:val="-9"/>
                <w:sz w:val="18"/>
                <w:szCs w:val="18"/>
              </w:rPr>
              <w:t>314.66</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万元</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月到期；</w:t>
            </w:r>
          </w:p>
          <w:p>
            <w:pPr>
              <w:pStyle w:val="TableParagraph"/>
              <w:spacing w:line="300" w:lineRule="auto" w:before="13"/>
              <w:ind w:left="23" w:right="38"/>
              <w:jc w:val="both"/>
              <w:rPr>
                <w:rFonts w:ascii="宋体" w:hAnsi="宋体" w:cs="宋体" w:eastAsia="宋体" w:hint="default"/>
                <w:sz w:val="18"/>
                <w:szCs w:val="18"/>
              </w:rPr>
            </w:pPr>
            <w:r>
              <w:rPr>
                <w:rFonts w:ascii="Times New Roman" w:hAnsi="Times New Roman" w:cs="Times New Roman" w:eastAsia="Times New Roman" w:hint="default"/>
                <w:sz w:val="18"/>
                <w:szCs w:val="18"/>
              </w:rPr>
              <w:t>352.32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到期</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深圳市海能达通信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担保解除</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深圳市安智捷科技 有限公司</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
        </w:tc>
        <w:tc>
          <w:tcPr>
            <w:tcW w:w="1093" w:type="dxa"/>
            <w:tcBorders>
              <w:top w:val="single" w:sz="4" w:space="0" w:color="000000"/>
              <w:left w:val="single" w:sz="4" w:space="0" w:color="000000"/>
              <w:bottom w:val="single" w:sz="4" w:space="0" w:color="000000"/>
              <w:right w:val="single" w:sz="4" w:space="0" w:color="000000"/>
            </w:tcBorders>
          </w:tcPr>
          <w:p>
            <w:pPr/>
          </w:p>
        </w:tc>
        <w:tc>
          <w:tcPr>
            <w:tcW w:w="1017"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2" w:right="265"/>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Mobilfunk</w:t>
            </w:r>
            <w:r>
              <w:rPr>
                <w:rFonts w:ascii="Times New Roman"/>
                <w:sz w:val="18"/>
              </w:rPr>
              <w:t> GmbH</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8,257</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2"/>
                <w:sz w:val="18"/>
              </w:rPr>
              <w:t>211.22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211.22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万于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p>
          <w:p>
            <w:pPr>
              <w:pStyle w:val="TableParagraph"/>
              <w:spacing w:line="302" w:lineRule="auto" w:before="63"/>
              <w:ind w:left="23" w:right="38"/>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 期</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59"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62" w:lineRule="auto" w:before="128"/>
              <w:ind w:left="22" w:right="265"/>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Mobilfunk</w:t>
            </w:r>
            <w:r>
              <w:rPr>
                <w:rFonts w:ascii="Times New Roman"/>
                <w:sz w:val="18"/>
              </w:rPr>
              <w:t> GmbH</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8,078</w:t>
            </w:r>
          </w:p>
        </w:tc>
        <w:tc>
          <w:tcPr>
            <w:tcW w:w="1212" w:type="dxa"/>
            <w:tcBorders>
              <w:top w:val="single" w:sz="4" w:space="0" w:color="000000"/>
              <w:left w:val="single" w:sz="4" w:space="0" w:color="000000"/>
              <w:bottom w:val="single" w:sz="4" w:space="0" w:color="000000"/>
              <w:right w:val="single" w:sz="4" w:space="0" w:color="000000"/>
            </w:tcBorders>
          </w:tcPr>
          <w:p>
            <w:pP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7,562.32</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一般保证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690.41</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万元担保于</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w:t>
            </w:r>
          </w:p>
          <w:p>
            <w:pPr>
              <w:pStyle w:val="TableParagraph"/>
              <w:spacing w:line="304" w:lineRule="auto" w:before="63"/>
              <w:ind w:left="23"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3861.18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元担保于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 </w:t>
            </w:r>
            <w:r>
              <w:rPr>
                <w:rFonts w:ascii="宋体" w:hAnsi="宋体" w:cs="宋体" w:eastAsia="宋体" w:hint="default"/>
                <w:spacing w:val="-5"/>
                <w:sz w:val="18"/>
                <w:szCs w:val="18"/>
              </w:rPr>
              <w:t>期，</w:t>
            </w:r>
            <w:r>
              <w:rPr>
                <w:rFonts w:ascii="Times New Roman" w:hAnsi="Times New Roman" w:cs="Times New Roman" w:eastAsia="Times New Roman" w:hint="default"/>
                <w:spacing w:val="-5"/>
                <w:sz w:val="18"/>
                <w:szCs w:val="18"/>
              </w:rPr>
              <w:t>27.52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604"/>
        <w:gridCol w:w="936"/>
        <w:gridCol w:w="938"/>
        <w:gridCol w:w="1218"/>
        <w:gridCol w:w="1170"/>
        <w:gridCol w:w="1088"/>
        <w:gridCol w:w="1023"/>
        <w:gridCol w:w="806"/>
        <w:gridCol w:w="786"/>
      </w:tblGrid>
      <w:tr>
        <w:trPr>
          <w:trHeight w:val="6915" w:hRule="exact"/>
        </w:trPr>
        <w:tc>
          <w:tcPr>
            <w:tcW w:w="1604"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宋体" w:hAnsi="宋体" w:cs="宋体" w:eastAsia="宋体" w:hint="default"/>
                <w:sz w:val="18"/>
                <w:szCs w:val="18"/>
              </w:rPr>
            </w:pPr>
            <w:r>
              <w:rPr>
                <w:rFonts w:ascii="宋体" w:hAnsi="宋体" w:cs="宋体" w:eastAsia="宋体" w:hint="default"/>
                <w:sz w:val="18"/>
                <w:szCs w:val="18"/>
              </w:rPr>
              <w:t>元担保于</w:t>
            </w:r>
          </w:p>
          <w:p>
            <w:pPr>
              <w:pStyle w:val="TableParagraph"/>
              <w:spacing w:line="240" w:lineRule="auto" w:before="76"/>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w:t>
            </w:r>
          </w:p>
          <w:p>
            <w:pPr>
              <w:pStyle w:val="TableParagraph"/>
              <w:spacing w:line="302" w:lineRule="auto" w:before="63"/>
              <w:ind w:left="28"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148.59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担保于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 到期，</w:t>
            </w:r>
            <w:r>
              <w:rPr>
                <w:rFonts w:ascii="Times New Roman" w:hAnsi="Times New Roman" w:cs="Times New Roman" w:eastAsia="Times New Roman" w:hint="default"/>
                <w:sz w:val="18"/>
                <w:szCs w:val="18"/>
              </w:rPr>
              <w:t>19.5 </w:t>
            </w:r>
            <w:r>
              <w:rPr>
                <w:rFonts w:ascii="宋体" w:hAnsi="宋体" w:cs="宋体" w:eastAsia="宋体" w:hint="default"/>
                <w:sz w:val="18"/>
                <w:szCs w:val="18"/>
              </w:rPr>
              <w:t>万元担保于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w:t>
            </w:r>
          </w:p>
          <w:p>
            <w:pPr>
              <w:pStyle w:val="TableParagraph"/>
              <w:spacing w:line="300" w:lineRule="auto" w:before="11"/>
              <w:ind w:left="28"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17.61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担保于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 到期，</w:t>
            </w:r>
          </w:p>
          <w:p>
            <w:pPr>
              <w:pStyle w:val="TableParagraph"/>
              <w:spacing w:line="307" w:lineRule="auto" w:before="31"/>
              <w:ind w:left="28"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1416.56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元担保于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日到期，</w:t>
            </w:r>
          </w:p>
          <w:p>
            <w:pPr>
              <w:pStyle w:val="TableParagraph"/>
              <w:spacing w:line="312" w:lineRule="auto" w:before="7"/>
              <w:ind w:left="28" w:right="83"/>
              <w:jc w:val="left"/>
              <w:rPr>
                <w:rFonts w:ascii="宋体" w:hAnsi="宋体" w:cs="宋体" w:eastAsia="宋体" w:hint="default"/>
                <w:sz w:val="18"/>
                <w:szCs w:val="18"/>
              </w:rPr>
            </w:pPr>
            <w:r>
              <w:rPr>
                <w:rFonts w:ascii="Times New Roman" w:hAnsi="Times New Roman" w:cs="Times New Roman" w:eastAsia="Times New Roman" w:hint="default"/>
                <w:sz w:val="18"/>
                <w:szCs w:val="18"/>
              </w:rPr>
              <w:t>1380.95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元担保为项 目验收通过 后到期。</w:t>
            </w:r>
          </w:p>
        </w:tc>
        <w:tc>
          <w:tcPr>
            <w:tcW w:w="80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65"/>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Mobilfunk</w:t>
            </w:r>
            <w:r>
              <w:rPr>
                <w:rFonts w:ascii="Times New Roman"/>
                <w:sz w:val="18"/>
              </w:rPr>
              <w:t> GmbH</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8,280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24"/>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13"/>
                <w:sz w:val="18"/>
              </w:rPr>
              <w:t> </w:t>
            </w:r>
            <w:r>
              <w:rPr>
                <w:rFonts w:ascii="Times New Roman"/>
                <w:sz w:val="18"/>
              </w:rPr>
              <w:t>America</w:t>
            </w:r>
            <w:r>
              <w:rPr>
                <w:rFonts w:ascii="Times New Roman"/>
                <w:w w:val="99"/>
                <w:sz w:val="18"/>
              </w:rPr>
              <w:t> </w:t>
            </w:r>
            <w:r>
              <w:rPr>
                <w:rFonts w:ascii="Times New Roman"/>
                <w:sz w:val="18"/>
              </w:rPr>
              <w:t>Incorporated</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6,180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60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9"/>
              <w:jc w:val="left"/>
              <w:rPr>
                <w:rFonts w:ascii="Times New Roman" w:hAnsi="Times New Roman" w:cs="Times New Roman" w:eastAsia="Times New Roman" w:hint="default"/>
                <w:sz w:val="18"/>
                <w:szCs w:val="18"/>
              </w:rPr>
            </w:pPr>
            <w:r>
              <w:rPr>
                <w:rFonts w:ascii="宋体" w:hAnsi="宋体" w:cs="宋体" w:eastAsia="宋体" w:hint="default"/>
                <w:sz w:val="18"/>
                <w:szCs w:val="18"/>
              </w:rPr>
              <w:t>海能达通信（香港） 有限公司、</w:t>
            </w:r>
            <w:r>
              <w:rPr>
                <w:rFonts w:ascii="Times New Roman" w:hAnsi="Times New Roman" w:cs="Times New Roman" w:eastAsia="Times New Roman" w:hint="default"/>
                <w:sz w:val="18"/>
                <w:szCs w:val="18"/>
              </w:rPr>
              <w:t>Hytera Mobilfunk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GmbH</w:t>
            </w:r>
            <w:r>
              <w:rPr>
                <w:rFonts w:ascii="宋体" w:hAnsi="宋体" w:cs="宋体" w:eastAsia="宋体" w:hint="default"/>
                <w:sz w:val="18"/>
                <w:szCs w:val="18"/>
              </w:rPr>
              <w:t>、 </w:t>
            </w:r>
            <w:r>
              <w:rPr>
                <w:rFonts w:ascii="Times New Roman" w:hAnsi="Times New Roman" w:cs="Times New Roman" w:eastAsia="Times New Roman" w:hint="default"/>
                <w:sz w:val="18"/>
                <w:szCs w:val="18"/>
              </w:rPr>
              <w:t>Hytera</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America</w:t>
            </w:r>
          </w:p>
          <w:p>
            <w:pPr>
              <w:pStyle w:val="TableParagraph"/>
              <w:spacing w:line="240" w:lineRule="auto" w:before="40"/>
              <w:ind w:left="22" w:right="0"/>
              <w:jc w:val="left"/>
              <w:rPr>
                <w:rFonts w:ascii="Times New Roman" w:hAnsi="Times New Roman" w:cs="Times New Roman" w:eastAsia="Times New Roman" w:hint="default"/>
                <w:sz w:val="18"/>
                <w:szCs w:val="18"/>
              </w:rPr>
            </w:pPr>
            <w:r>
              <w:rPr>
                <w:rFonts w:ascii="Times New Roman"/>
                <w:sz w:val="18"/>
              </w:rPr>
              <w:t>Incorporated</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7"/>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46.65pt;height:23.4pt;mso-position-horizontal-relative:char;mso-position-vertical-relative:line" coordorigin="0,0" coordsize="933,468">
                  <v:group style="position:absolute;left:0;top:0;width:933;height:468" coordorigin="0,0" coordsize="933,468">
                    <v:shape style="position:absolute;left:0;top:0;width:933;height:468" coordorigin="0,0" coordsize="933,468" path="m0,468l932,468,932,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218"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
        </w:tc>
        <w:tc>
          <w:tcPr>
            <w:tcW w:w="1088" w:type="dxa"/>
            <w:tcBorders>
              <w:top w:val="single" w:sz="4" w:space="0" w:color="000000"/>
              <w:left w:val="single" w:sz="4" w:space="0" w:color="000000"/>
              <w:bottom w:val="single" w:sz="4" w:space="0" w:color="000000"/>
              <w:right w:val="single" w:sz="4" w:space="0" w:color="000000"/>
            </w:tcBorders>
          </w:tcPr>
          <w:p>
            <w:pPr/>
          </w:p>
        </w:tc>
        <w:tc>
          <w:tcPr>
            <w:tcW w:w="1023" w:type="dxa"/>
            <w:tcBorders>
              <w:top w:val="single" w:sz="4" w:space="0" w:color="000000"/>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报告期内审批对子公司担保额 度合计（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76,000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 w:right="67"/>
              <w:jc w:val="left"/>
              <w:rPr>
                <w:rFonts w:ascii="宋体" w:hAnsi="宋体" w:cs="宋体" w:eastAsia="宋体" w:hint="default"/>
                <w:sz w:val="18"/>
                <w:szCs w:val="18"/>
              </w:rPr>
            </w:pPr>
            <w:r>
              <w:rPr>
                <w:rFonts w:ascii="宋体" w:hAnsi="宋体" w:cs="宋体" w:eastAsia="宋体" w:hint="default"/>
                <w:sz w:val="18"/>
                <w:szCs w:val="18"/>
              </w:rPr>
              <w:t>报告期内对子公司担保实际 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4,575.94</w:t>
            </w:r>
          </w:p>
        </w:tc>
      </w:tr>
      <w:tr>
        <w:trPr>
          <w:trHeight w:val="719"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报告期末已审批的对子公司担 保额度合计（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136,255</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 w:right="67"/>
              <w:jc w:val="left"/>
              <w:rPr>
                <w:rFonts w:ascii="宋体" w:hAnsi="宋体" w:cs="宋体" w:eastAsia="宋体" w:hint="default"/>
                <w:sz w:val="18"/>
                <w:szCs w:val="18"/>
              </w:rPr>
            </w:pPr>
            <w:r>
              <w:rPr>
                <w:rFonts w:ascii="宋体" w:hAnsi="宋体" w:cs="宋体" w:eastAsia="宋体" w:hint="default"/>
                <w:sz w:val="18"/>
                <w:szCs w:val="18"/>
              </w:rPr>
              <w:t>报告期末对子公司实际担保 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7,773.54</w:t>
            </w:r>
          </w:p>
        </w:tc>
      </w:tr>
      <w:tr>
        <w:trPr>
          <w:trHeight w:val="392" w:hRule="exact"/>
        </w:trPr>
        <w:tc>
          <w:tcPr>
            <w:tcW w:w="9569"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76,000</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18" w:right="67"/>
              <w:jc w:val="left"/>
              <w:rPr>
                <w:rFonts w:ascii="宋体" w:hAnsi="宋体" w:cs="宋体" w:eastAsia="宋体" w:hint="default"/>
                <w:sz w:val="18"/>
                <w:szCs w:val="18"/>
              </w:rPr>
            </w:pPr>
            <w:r>
              <w:rPr>
                <w:rFonts w:ascii="宋体" w:hAnsi="宋体" w:cs="宋体" w:eastAsia="宋体" w:hint="default"/>
                <w:sz w:val="18"/>
                <w:szCs w:val="18"/>
              </w:rPr>
              <w:t>报告期内担保实际发生额合 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4,575.94</w:t>
            </w:r>
          </w:p>
        </w:tc>
      </w:tr>
      <w:tr>
        <w:trPr>
          <w:trHeight w:val="714" w:hRule="exact"/>
        </w:trPr>
        <w:tc>
          <w:tcPr>
            <w:tcW w:w="25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报告期末已审批的担保额度合 计（</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2157" w:type="dxa"/>
            <w:gridSpan w:val="2"/>
            <w:tcBorders>
              <w:top w:val="single" w:sz="4" w:space="0" w:color="000000"/>
              <w:left w:val="single" w:sz="13" w:space="0" w:color="D2D2D2"/>
              <w:bottom w:val="single" w:sz="4" w:space="0" w:color="000000"/>
              <w:right w:val="single" w:sz="10" w:space="0" w:color="D2D2D2"/>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136,255</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 w:right="0"/>
              <w:jc w:val="left"/>
              <w:rPr>
                <w:rFonts w:ascii="宋体" w:hAnsi="宋体" w:cs="宋体" w:eastAsia="宋体" w:hint="default"/>
                <w:sz w:val="18"/>
                <w:szCs w:val="18"/>
              </w:rPr>
            </w:pPr>
            <w:r>
              <w:rPr>
                <w:rFonts w:ascii="宋体" w:hAnsi="宋体" w:cs="宋体" w:eastAsia="宋体" w:hint="default"/>
                <w:sz w:val="18"/>
                <w:szCs w:val="18"/>
              </w:rPr>
              <w:t>报告期末实际担保余额合计</w:t>
            </w:r>
          </w:p>
          <w:p>
            <w:pPr>
              <w:pStyle w:val="TableParagraph"/>
              <w:spacing w:line="240" w:lineRule="auto" w:before="76"/>
              <w:ind w:left="1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2615" w:type="dxa"/>
            <w:gridSpan w:val="3"/>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7,773.54</w:t>
            </w:r>
          </w:p>
        </w:tc>
      </w:tr>
      <w:tr>
        <w:trPr>
          <w:trHeight w:val="402" w:hRule="exact"/>
        </w:trPr>
        <w:tc>
          <w:tcPr>
            <w:tcW w:w="469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4872" w:type="dxa"/>
            <w:gridSpan w:val="5"/>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4668"/>
        <w:gridCol w:w="4890"/>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129"/>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7,773.54</w:t>
            </w:r>
          </w:p>
        </w:tc>
      </w:tr>
      <w:tr>
        <w:trPr>
          <w:trHeight w:val="40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7,773.54</w:t>
            </w:r>
          </w:p>
        </w:tc>
      </w:tr>
      <w:tr>
        <w:trPr>
          <w:trHeight w:val="40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未到期担保可能承担连带清偿责任说明（如有）</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8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46"/>
        <w:jc w:val="left"/>
        <w:rPr>
          <w:b w:val="0"/>
          <w:bCs w:val="0"/>
        </w:rPr>
      </w:pPr>
      <w:bookmarkStart w:name="（1）违规对外担保情况" w:id="82"/>
      <w:bookmarkEnd w:id="82"/>
      <w:r>
        <w:rPr>
          <w:b w:val="0"/>
          <w:bCs w:val="0"/>
        </w:rPr>
      </w:r>
      <w:r>
        <w:rPr/>
        <w:t>（</w:t>
      </w:r>
      <w:r>
        <w:rPr>
          <w:rFonts w:ascii="Times New Roman" w:hAnsi="Times New Roman" w:cs="Times New Roman" w:eastAsia="Times New Roman" w:hint="default"/>
        </w:rPr>
        <w:t>1</w:t>
      </w:r>
      <w:r>
        <w:rPr/>
        <w:t>）违规对外担保情况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12"/>
        <w:rPr>
          <w:rFonts w:ascii="宋体" w:hAnsi="宋体" w:cs="宋体" w:eastAsia="宋体" w:hint="default"/>
          <w:sz w:val="20"/>
          <w:szCs w:val="20"/>
        </w:rPr>
      </w:pPr>
    </w:p>
    <w:p>
      <w:pPr>
        <w:pStyle w:val="Heading3"/>
        <w:spacing w:line="240" w:lineRule="auto"/>
        <w:ind w:left="153" w:right="1046"/>
        <w:jc w:val="left"/>
        <w:rPr>
          <w:b w:val="0"/>
          <w:bCs w:val="0"/>
        </w:rPr>
      </w:pPr>
      <w:bookmarkStart w:name="3、其他重大合同" w:id="83"/>
      <w:bookmarkEnd w:id="83"/>
      <w:r>
        <w:rPr>
          <w:b w:val="0"/>
          <w:bCs w:val="0"/>
        </w:rPr>
      </w:r>
      <w:r>
        <w:rPr>
          <w:rFonts w:ascii="Times New Roman" w:hAnsi="Times New Roman" w:cs="Times New Roman" w:eastAsia="Times New Roman" w:hint="default"/>
        </w:rPr>
        <w:t>3</w:t>
      </w:r>
      <w:r>
        <w:rPr/>
        <w:t>、其他重大合同</w:t>
      </w:r>
      <w:r>
        <w:rPr>
          <w:b w:val="0"/>
          <w:bCs w:val="0"/>
        </w:rPr>
      </w:r>
    </w:p>
    <w:p>
      <w:pPr>
        <w:spacing w:line="240" w:lineRule="auto" w:before="9"/>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797"/>
        <w:gridCol w:w="797"/>
        <w:gridCol w:w="798"/>
        <w:gridCol w:w="797"/>
      </w:tblGrid>
      <w:tr>
        <w:trPr>
          <w:trHeight w:val="1650"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4" w:right="34"/>
              <w:jc w:val="center"/>
              <w:rPr>
                <w:rFonts w:ascii="宋体" w:hAnsi="宋体" w:cs="宋体" w:eastAsia="宋体" w:hint="default"/>
                <w:sz w:val="18"/>
                <w:szCs w:val="18"/>
              </w:rPr>
            </w:pPr>
            <w:r>
              <w:rPr>
                <w:rFonts w:ascii="宋体" w:hAnsi="宋体" w:cs="宋体" w:eastAsia="宋体" w:hint="default"/>
                <w:sz w:val="18"/>
                <w:szCs w:val="18"/>
              </w:rPr>
              <w:t>合同订立 公司方名 称</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33" w:right="35"/>
              <w:jc w:val="left"/>
              <w:rPr>
                <w:rFonts w:ascii="宋体" w:hAnsi="宋体" w:cs="宋体" w:eastAsia="宋体" w:hint="default"/>
                <w:sz w:val="18"/>
                <w:szCs w:val="18"/>
              </w:rPr>
            </w:pPr>
            <w:r>
              <w:rPr>
                <w:rFonts w:ascii="宋体" w:hAnsi="宋体" w:cs="宋体" w:eastAsia="宋体" w:hint="default"/>
                <w:sz w:val="18"/>
                <w:szCs w:val="18"/>
              </w:rPr>
              <w:t>合同订立 对方名称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合同签订 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合同涉及 资产的账 面价值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合同涉及 资产的评 估价值</w:t>
            </w:r>
          </w:p>
          <w:p>
            <w:pPr>
              <w:pStyle w:val="TableParagraph"/>
              <w:spacing w:line="240" w:lineRule="auto" w:before="19"/>
              <w:ind w:left="7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240" w:lineRule="auto" w:before="77"/>
              <w:ind w:left="33" w:right="0"/>
              <w:jc w:val="both"/>
              <w:rPr>
                <w:rFonts w:ascii="宋体" w:hAnsi="宋体" w:cs="宋体" w:eastAsia="宋体" w:hint="default"/>
                <w:sz w:val="18"/>
                <w:szCs w:val="18"/>
              </w:rPr>
            </w:pPr>
            <w:r>
              <w:rPr>
                <w:rFonts w:ascii="宋体" w:hAnsi="宋体" w:cs="宋体" w:eastAsia="宋体" w:hint="default"/>
                <w:sz w:val="18"/>
                <w:szCs w:val="18"/>
              </w:rPr>
              <w:t>（如有）</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 w:right="32"/>
              <w:jc w:val="center"/>
              <w:rPr>
                <w:rFonts w:ascii="宋体" w:hAnsi="宋体" w:cs="宋体" w:eastAsia="宋体" w:hint="default"/>
                <w:sz w:val="18"/>
                <w:szCs w:val="18"/>
              </w:rPr>
            </w:pPr>
            <w:r>
              <w:rPr>
                <w:rFonts w:ascii="宋体" w:hAnsi="宋体" w:cs="宋体" w:eastAsia="宋体" w:hint="default"/>
                <w:sz w:val="18"/>
                <w:szCs w:val="18"/>
              </w:rPr>
              <w:t>评估机构 名称（如 有）</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2" w:right="31" w:firstLine="9"/>
              <w:jc w:val="left"/>
              <w:rPr>
                <w:rFonts w:ascii="宋体" w:hAnsi="宋体" w:cs="宋体" w:eastAsia="宋体" w:hint="default"/>
                <w:sz w:val="18"/>
                <w:szCs w:val="18"/>
              </w:rPr>
            </w:pPr>
            <w:r>
              <w:rPr>
                <w:rFonts w:ascii="宋体" w:hAnsi="宋体" w:cs="宋体" w:eastAsia="宋体" w:hint="default"/>
                <w:sz w:val="18"/>
                <w:szCs w:val="18"/>
              </w:rPr>
              <w:t>评估基准 </w:t>
            </w:r>
            <w:r>
              <w:rPr>
                <w:rFonts w:ascii="宋体" w:hAnsi="宋体" w:cs="宋体" w:eastAsia="宋体" w:hint="default"/>
                <w:spacing w:val="-18"/>
                <w:sz w:val="18"/>
                <w:szCs w:val="18"/>
              </w:rPr>
              <w:t>日（如有</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197" w:lineRule="exact"/>
              <w:ind w:left="33" w:right="0"/>
              <w:jc w:val="left"/>
              <w:rPr>
                <w:rFonts w:ascii="宋体" w:hAnsi="宋体" w:cs="宋体" w:eastAsia="宋体" w:hint="default"/>
                <w:sz w:val="18"/>
                <w:szCs w:val="18"/>
              </w:rPr>
            </w:pPr>
            <w:r>
              <w:rPr>
                <w:rFonts w:ascii="宋体" w:hAnsi="宋体" w:cs="宋体" w:eastAsia="宋体" w:hint="default"/>
                <w:sz w:val="18"/>
                <w:szCs w:val="18"/>
              </w:rPr>
              <w:t>定价原则</w:t>
            </w:r>
          </w:p>
          <w:p>
            <w:pPr>
              <w:pStyle w:val="TableParagraph"/>
              <w:spacing w:line="197" w:lineRule="exact"/>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交易价格</w:t>
            </w:r>
          </w:p>
          <w:p>
            <w:pPr>
              <w:pStyle w:val="TableParagraph"/>
              <w:spacing w:line="240" w:lineRule="auto" w:before="78"/>
              <w:ind w:left="3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3" w:right="31"/>
              <w:jc w:val="both"/>
              <w:rPr>
                <w:rFonts w:ascii="宋体" w:hAnsi="宋体" w:cs="宋体" w:eastAsia="宋体" w:hint="default"/>
                <w:sz w:val="18"/>
                <w:szCs w:val="18"/>
              </w:rPr>
            </w:pPr>
            <w:r>
              <w:rPr>
                <w:rFonts w:ascii="宋体" w:hAnsi="宋体" w:cs="宋体" w:eastAsia="宋体" w:hint="default"/>
                <w:sz w:val="18"/>
                <w:szCs w:val="18"/>
              </w:rPr>
              <w:t>截至报告 期末的执 行情况</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6"/>
              <w:jc w:val="left"/>
              <w:rPr>
                <w:rFonts w:ascii="Times New Roman" w:hAnsi="Times New Roman" w:cs="Times New Roman" w:eastAsia="Times New Roman" w:hint="default"/>
                <w:sz w:val="18"/>
                <w:szCs w:val="18"/>
              </w:rPr>
            </w:pPr>
            <w:r>
              <w:rPr>
                <w:rFonts w:ascii="Times New Roman"/>
                <w:sz w:val="18"/>
              </w:rPr>
              <w:t>Hytera Mobilfun k</w:t>
            </w:r>
            <w:r>
              <w:rPr>
                <w:rFonts w:ascii="Times New Roman"/>
                <w:spacing w:val="-3"/>
                <w:sz w:val="18"/>
              </w:rPr>
              <w:t> </w:t>
            </w:r>
            <w:r>
              <w:rPr>
                <w:rFonts w:ascii="Times New Roman"/>
                <w:sz w:val="18"/>
              </w:rPr>
              <w:t>GmbH</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秘鲁国家 警察财政 经济部</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公开招标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6,919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42"/>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6"/>
              <w:jc w:val="left"/>
              <w:rPr>
                <w:rFonts w:ascii="Times New Roman" w:hAnsi="Times New Roman" w:cs="Times New Roman" w:eastAsia="Times New Roman" w:hint="default"/>
                <w:sz w:val="18"/>
                <w:szCs w:val="18"/>
              </w:rPr>
            </w:pPr>
            <w:r>
              <w:rPr>
                <w:rFonts w:ascii="Times New Roman"/>
                <w:sz w:val="18"/>
              </w:rPr>
              <w:t>Hytera Mobilfun k</w:t>
            </w:r>
            <w:r>
              <w:rPr>
                <w:rFonts w:ascii="Times New Roman"/>
                <w:spacing w:val="-3"/>
                <w:sz w:val="18"/>
              </w:rPr>
              <w:t> </w:t>
            </w:r>
            <w:r>
              <w:rPr>
                <w:rFonts w:ascii="Times New Roman"/>
                <w:sz w:val="18"/>
              </w:rPr>
              <w:t>GmbH</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4"/>
              <w:jc w:val="left"/>
              <w:rPr>
                <w:rFonts w:ascii="宋体" w:hAnsi="宋体" w:cs="宋体" w:eastAsia="宋体" w:hint="default"/>
                <w:sz w:val="18"/>
                <w:szCs w:val="18"/>
              </w:rPr>
            </w:pPr>
            <w:r>
              <w:rPr>
                <w:rFonts w:ascii="宋体" w:hAnsi="宋体" w:cs="宋体" w:eastAsia="宋体" w:hint="default"/>
                <w:sz w:val="18"/>
                <w:szCs w:val="18"/>
              </w:rPr>
              <w:t>圣地亚哥 地铁公司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公开招标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42"/>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海能达通 信股份有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南京熊猫 通信科技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公开招标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2,515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42"/>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海能达通 信股份有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4"/>
              <w:jc w:val="both"/>
              <w:rPr>
                <w:rFonts w:ascii="宋体" w:hAnsi="宋体" w:cs="宋体" w:eastAsia="宋体" w:hint="default"/>
                <w:sz w:val="18"/>
                <w:szCs w:val="18"/>
              </w:rPr>
            </w:pPr>
            <w:r>
              <w:rPr>
                <w:rFonts w:ascii="宋体" w:hAnsi="宋体" w:cs="宋体" w:eastAsia="宋体" w:hint="default"/>
                <w:sz w:val="18"/>
                <w:szCs w:val="18"/>
              </w:rPr>
              <w:t>重庆蓝盾 电子技术 服务公司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公开招标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3,992.25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42"/>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42"/>
              <w:jc w:val="left"/>
              <w:rPr>
                <w:rFonts w:ascii="宋体" w:hAnsi="宋体" w:cs="宋体" w:eastAsia="宋体" w:hint="default"/>
                <w:sz w:val="18"/>
                <w:szCs w:val="18"/>
              </w:rPr>
            </w:pPr>
            <w:r>
              <w:rPr>
                <w:rFonts w:ascii="宋体" w:hAnsi="宋体" w:cs="宋体" w:eastAsia="宋体" w:hint="default"/>
                <w:sz w:val="18"/>
                <w:szCs w:val="18"/>
              </w:rPr>
              <w:t>已履行完 毕</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深圳市海 能达技术 服务有限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44"/>
              <w:jc w:val="left"/>
              <w:rPr>
                <w:rFonts w:ascii="宋体" w:hAnsi="宋体" w:cs="宋体" w:eastAsia="宋体" w:hint="default"/>
                <w:sz w:val="18"/>
                <w:szCs w:val="18"/>
              </w:rPr>
            </w:pPr>
            <w:r>
              <w:rPr>
                <w:rFonts w:ascii="宋体" w:hAnsi="宋体" w:cs="宋体" w:eastAsia="宋体" w:hint="default"/>
                <w:sz w:val="18"/>
                <w:szCs w:val="18"/>
              </w:rPr>
              <w:t>深圳地铁 集团</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公开招标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7,599.55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42"/>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714"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1"/>
              <w:ind w:left="22" w:right="86"/>
              <w:jc w:val="left"/>
              <w:rPr>
                <w:rFonts w:ascii="Times New Roman" w:hAnsi="Times New Roman" w:cs="Times New Roman" w:eastAsia="Times New Roman" w:hint="default"/>
                <w:sz w:val="18"/>
                <w:szCs w:val="18"/>
              </w:rPr>
            </w:pPr>
            <w:r>
              <w:rPr>
                <w:rFonts w:ascii="Times New Roman"/>
                <w:sz w:val="18"/>
              </w:rPr>
              <w:t>Hytera Mobilfun</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西班牙</w:t>
            </w: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sz w:val="18"/>
              </w:rPr>
              <w:t>Algoritm</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公开招标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4,289.42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2"/>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1"/>
        <w:gridCol w:w="799"/>
        <w:gridCol w:w="798"/>
        <w:gridCol w:w="798"/>
        <w:gridCol w:w="798"/>
        <w:gridCol w:w="798"/>
        <w:gridCol w:w="796"/>
        <w:gridCol w:w="797"/>
        <w:gridCol w:w="797"/>
        <w:gridCol w:w="797"/>
        <w:gridCol w:w="798"/>
        <w:gridCol w:w="797"/>
      </w:tblGrid>
      <w:tr>
        <w:trPr>
          <w:trHeight w:val="2547"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k</w:t>
            </w:r>
            <w:r>
              <w:rPr>
                <w:rFonts w:ascii="Times New Roman"/>
                <w:spacing w:val="-3"/>
                <w:sz w:val="18"/>
              </w:rPr>
              <w:t> </w:t>
            </w:r>
            <w:r>
              <w:rPr>
                <w:rFonts w:ascii="Times New Roman"/>
                <w:sz w:val="18"/>
              </w:rPr>
              <w:t>GmbH</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50"/>
              <w:ind w:left="22" w:right="124"/>
              <w:jc w:val="left"/>
              <w:rPr>
                <w:rFonts w:ascii="Times New Roman" w:hAnsi="Times New Roman" w:cs="Times New Roman" w:eastAsia="Times New Roman" w:hint="default"/>
                <w:sz w:val="18"/>
                <w:szCs w:val="18"/>
              </w:rPr>
            </w:pPr>
            <w:r>
              <w:rPr>
                <w:rFonts w:ascii="Times New Roman"/>
                <w:sz w:val="18"/>
              </w:rPr>
              <w:t>os</w:t>
            </w:r>
            <w:r>
              <w:rPr>
                <w:rFonts w:ascii="Times New Roman"/>
                <w:w w:val="99"/>
                <w:sz w:val="18"/>
              </w:rPr>
              <w:t> </w:t>
            </w:r>
            <w:r>
              <w:rPr>
                <w:rFonts w:ascii="Times New Roman"/>
                <w:sz w:val="18"/>
              </w:rPr>
              <w:t>Procesos</w:t>
            </w:r>
            <w:r>
              <w:rPr>
                <w:rFonts w:ascii="Times New Roman"/>
                <w:w w:val="99"/>
                <w:sz w:val="18"/>
              </w:rPr>
              <w:t> </w:t>
            </w:r>
            <w:r>
              <w:rPr>
                <w:rFonts w:ascii="Times New Roman"/>
                <w:sz w:val="18"/>
              </w:rPr>
              <w:t>y</w:t>
            </w:r>
            <w:r>
              <w:rPr>
                <w:rFonts w:ascii="Times New Roman"/>
                <w:sz w:val="18"/>
              </w:rPr>
              <w:t> Dise?os,</w:t>
            </w:r>
          </w:p>
          <w:p>
            <w:pPr>
              <w:pStyle w:val="TableParagraph"/>
              <w:spacing w:line="213"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（委</w:t>
            </w:r>
          </w:p>
          <w:p>
            <w:pPr>
              <w:pStyle w:val="TableParagraph"/>
              <w:spacing w:line="319" w:lineRule="auto" w:before="63"/>
              <w:ind w:left="22" w:right="44"/>
              <w:jc w:val="both"/>
              <w:rPr>
                <w:rFonts w:ascii="宋体" w:hAnsi="宋体" w:cs="宋体" w:eastAsia="宋体" w:hint="default"/>
                <w:sz w:val="18"/>
                <w:szCs w:val="18"/>
              </w:rPr>
            </w:pPr>
            <w:r>
              <w:rPr>
                <w:rFonts w:ascii="宋体" w:hAnsi="宋体" w:cs="宋体" w:eastAsia="宋体" w:hint="default"/>
                <w:sz w:val="18"/>
                <w:szCs w:val="18"/>
              </w:rPr>
              <w:t>内瑞拉国 家警察项 目）</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海能达通 信股份有 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44"/>
              <w:jc w:val="left"/>
              <w:rPr>
                <w:rFonts w:ascii="宋体" w:hAnsi="宋体" w:cs="宋体" w:eastAsia="宋体" w:hint="default"/>
                <w:sz w:val="18"/>
                <w:szCs w:val="18"/>
              </w:rPr>
            </w:pPr>
            <w:r>
              <w:rPr>
                <w:rFonts w:ascii="宋体" w:hAnsi="宋体" w:cs="宋体" w:eastAsia="宋体" w:hint="default"/>
                <w:sz w:val="18"/>
                <w:szCs w:val="18"/>
              </w:rPr>
              <w:t>长沙市公 安局</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公开招标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2,951.77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42"/>
              <w:jc w:val="left"/>
              <w:rPr>
                <w:rFonts w:ascii="宋体" w:hAnsi="宋体" w:cs="宋体" w:eastAsia="宋体" w:hint="default"/>
                <w:sz w:val="18"/>
                <w:szCs w:val="18"/>
              </w:rPr>
            </w:pPr>
            <w:r>
              <w:rPr>
                <w:rFonts w:ascii="宋体" w:hAnsi="宋体" w:cs="宋体" w:eastAsia="宋体" w:hint="default"/>
                <w:sz w:val="18"/>
                <w:szCs w:val="18"/>
              </w:rPr>
              <w:t>无关联关 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4、其他重大交易" w:id="84"/>
      <w:bookmarkEnd w:id="84"/>
      <w:r>
        <w:rPr>
          <w:b w:val="0"/>
          <w:bCs w:val="0"/>
        </w:rPr>
      </w:r>
      <w:r>
        <w:rPr>
          <w:rFonts w:ascii="Times New Roman" w:hAnsi="Times New Roman" w:cs="Times New Roman" w:eastAsia="Times New Roman" w:hint="default"/>
        </w:rPr>
        <w:t>4</w:t>
      </w:r>
      <w:r>
        <w:rPr/>
        <w:t>、其他重大交易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公司报告期不存在其他重大交易。</w:t>
      </w:r>
    </w:p>
    <w:p>
      <w:pPr>
        <w:spacing w:line="240" w:lineRule="auto" w:before="6"/>
        <w:rPr>
          <w:rFonts w:ascii="宋体" w:hAnsi="宋体" w:cs="宋体" w:eastAsia="宋体" w:hint="default"/>
          <w:sz w:val="19"/>
          <w:szCs w:val="19"/>
        </w:rPr>
      </w:pPr>
    </w:p>
    <w:p>
      <w:pPr>
        <w:pStyle w:val="Heading2"/>
        <w:spacing w:line="240" w:lineRule="auto"/>
        <w:ind w:right="1046"/>
        <w:jc w:val="left"/>
        <w:rPr>
          <w:b w:val="0"/>
          <w:bCs w:val="0"/>
        </w:rPr>
      </w:pPr>
      <w:bookmarkStart w:name="九、承诺事项履行情况" w:id="85"/>
      <w:bookmarkEnd w:id="85"/>
      <w:r>
        <w:rPr>
          <w:b w:val="0"/>
          <w:bCs w:val="0"/>
        </w:rPr>
      </w:r>
      <w:r>
        <w:rPr/>
        <w:t>九、承诺事项履行情况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公司或持股5%以上股东在报告期内发生或以前期间发生但持续到报告期内的承诺事项" w:id="86"/>
      <w:bookmarkEnd w:id="86"/>
      <w:r>
        <w:rPr>
          <w:b w:val="0"/>
          <w:bCs w:val="0"/>
        </w:rPr>
      </w:r>
      <w:r>
        <w:rPr>
          <w:rFonts w:ascii="Times New Roman" w:hAnsi="Times New Roman" w:cs="Times New Roman" w:eastAsia="Times New Roman" w:hint="default"/>
        </w:rPr>
        <w:t>1</w:t>
      </w:r>
      <w:r>
        <w:rPr/>
        <w:t>、公司或持股</w:t>
      </w:r>
      <w:r>
        <w:rPr>
          <w:spacing w:val="-60"/>
        </w:rPr>
        <w:t> </w:t>
      </w:r>
      <w:r>
        <w:rPr>
          <w:rFonts w:ascii="Times New Roman" w:hAnsi="Times New Roman" w:cs="Times New Roman" w:eastAsia="Times New Roman" w:hint="default"/>
        </w:rPr>
        <w:t>5%</w:t>
      </w:r>
      <w:r>
        <w:rPr/>
        <w:t>以上股东在报告期内发生或以前期间发生但持续到报告期内的承诺事项</w:t>
      </w:r>
      <w:r>
        <w:rPr>
          <w:b w:val="0"/>
          <w:bCs w:val="0"/>
        </w:rPr>
      </w:r>
    </w:p>
    <w:p>
      <w:pPr>
        <w:spacing w:line="240" w:lineRule="auto" w:before="9"/>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3"/>
        <w:gridCol w:w="1287"/>
        <w:gridCol w:w="1276"/>
        <w:gridCol w:w="1276"/>
        <w:gridCol w:w="1277"/>
        <w:gridCol w:w="1260"/>
      </w:tblGrid>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3"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8"/>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2170" w:hRule="exact"/>
        </w:trPr>
        <w:tc>
          <w:tcPr>
            <w:tcW w:w="319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27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公司控股股东、 实际控制人陈 清州先生承诺： 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让或者委托他 人管理其本次 发行前已持有 </w:t>
            </w:r>
            <w:r>
              <w:rPr>
                <w:rFonts w:ascii="宋体" w:hAnsi="宋体" w:cs="宋体" w:eastAsia="宋体" w:hint="default"/>
                <w:spacing w:val="-6"/>
                <w:sz w:val="18"/>
                <w:szCs w:val="18"/>
              </w:rPr>
              <w:t>的公司股份，也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不由公司收购 </w:t>
            </w:r>
            <w:r>
              <w:rPr>
                <w:rFonts w:ascii="宋体" w:hAnsi="宋体" w:cs="宋体" w:eastAsia="宋体" w:hint="default"/>
                <w:spacing w:val="-6"/>
                <w:sz w:val="18"/>
                <w:szCs w:val="18"/>
              </w:rPr>
              <w:t>该部分股份。承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诺期限届满后， 上述股份可以 上市流通和转</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vMerge w:val="restart"/>
            <w:tcBorders>
              <w:top w:val="single" w:sz="4" w:space="0" w:color="000000"/>
              <w:left w:val="single" w:sz="4" w:space="0" w:color="000000"/>
              <w:right w:val="single" w:sz="9" w:space="0" w:color="FFFFFF"/>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自公司股票上 市起长期有效。</w:t>
            </w:r>
          </w:p>
        </w:tc>
        <w:tc>
          <w:tcPr>
            <w:tcW w:w="1260" w:type="dxa"/>
            <w:vMerge w:val="restart"/>
            <w:tcBorders>
              <w:top w:val="single" w:sz="4" w:space="0" w:color="000000"/>
              <w:left w:val="single" w:sz="9" w:space="0" w:color="FFFFFF"/>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16" w:right="21"/>
              <w:jc w:val="left"/>
              <w:rPr>
                <w:rFonts w:ascii="宋体" w:hAnsi="宋体" w:cs="宋体" w:eastAsia="宋体" w:hint="default"/>
                <w:sz w:val="18"/>
                <w:szCs w:val="18"/>
              </w:rPr>
            </w:pPr>
            <w:r>
              <w:rPr>
                <w:rFonts w:ascii="宋体" w:hAnsi="宋体" w:cs="宋体" w:eastAsia="宋体" w:hint="default"/>
                <w:spacing w:val="-9"/>
                <w:sz w:val="18"/>
                <w:szCs w:val="18"/>
              </w:rPr>
              <w:t>严格履行中，不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存在违反承诺 的情形。</w:t>
            </w:r>
          </w:p>
        </w:tc>
      </w:tr>
      <w:tr>
        <w:trPr>
          <w:trHeight w:val="391" w:hRule="exact"/>
        </w:trPr>
        <w:tc>
          <w:tcPr>
            <w:tcW w:w="31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287" w:type="dxa"/>
            <w:vMerge/>
            <w:tcBorders>
              <w:left w:val="single" w:sz="9" w:space="0" w:color="D2D2D2"/>
              <w:right w:val="single" w:sz="4" w:space="0" w:color="000000"/>
            </w:tcBorders>
          </w:tcPr>
          <w:p>
            <w:pPr/>
          </w:p>
        </w:tc>
        <w:tc>
          <w:tcPr>
            <w:tcW w:w="1276"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1277" w:type="dxa"/>
            <w:vMerge/>
            <w:tcBorders>
              <w:left w:val="single" w:sz="4" w:space="0" w:color="000000"/>
              <w:right w:val="single" w:sz="9" w:space="0" w:color="FFFFFF"/>
            </w:tcBorders>
          </w:tcPr>
          <w:p>
            <w:pPr/>
          </w:p>
        </w:tc>
        <w:tc>
          <w:tcPr>
            <w:tcW w:w="1260" w:type="dxa"/>
            <w:vMerge/>
            <w:tcBorders>
              <w:left w:val="single" w:sz="9" w:space="0" w:color="FFFFFF"/>
              <w:right w:val="single" w:sz="4" w:space="0" w:color="000000"/>
            </w:tcBorders>
          </w:tcPr>
          <w:p>
            <w:pPr/>
          </w:p>
        </w:tc>
      </w:tr>
      <w:tr>
        <w:trPr>
          <w:trHeight w:val="2170" w:hRule="exact"/>
        </w:trPr>
        <w:tc>
          <w:tcPr>
            <w:tcW w:w="319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7" w:type="dxa"/>
            <w:vMerge/>
            <w:tcBorders>
              <w:left w:val="single" w:sz="9" w:space="0" w:color="D2D2D2"/>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9" w:space="0" w:color="FFFFFF"/>
            </w:tcBorders>
          </w:tcPr>
          <w:p>
            <w:pPr/>
          </w:p>
        </w:tc>
        <w:tc>
          <w:tcPr>
            <w:tcW w:w="1260" w:type="dxa"/>
            <w:vMerge/>
            <w:tcBorders>
              <w:left w:val="single" w:sz="9" w:space="0" w:color="FFFFFF"/>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4419"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32"/>
              <w:jc w:val="left"/>
              <w:rPr>
                <w:rFonts w:ascii="宋体" w:hAnsi="宋体" w:cs="宋体" w:eastAsia="宋体" w:hint="default"/>
                <w:sz w:val="18"/>
                <w:szCs w:val="18"/>
              </w:rPr>
            </w:pPr>
            <w:r>
              <w:rPr>
                <w:rFonts w:ascii="宋体" w:hAnsi="宋体" w:cs="宋体" w:eastAsia="宋体" w:hint="default"/>
                <w:spacing w:val="-6"/>
                <w:sz w:val="18"/>
                <w:szCs w:val="18"/>
              </w:rPr>
              <w:t>让。陈清州先生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作为公司董事、 </w:t>
            </w:r>
            <w:r>
              <w:rPr>
                <w:rFonts w:ascii="宋体" w:hAnsi="宋体" w:cs="宋体" w:eastAsia="宋体" w:hint="default"/>
                <w:spacing w:val="-6"/>
                <w:sz w:val="18"/>
                <w:szCs w:val="18"/>
              </w:rPr>
              <w:t>高管，同时还承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诺：在上述三十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六个月的期限 </w:t>
            </w:r>
            <w:r>
              <w:rPr>
                <w:rFonts w:ascii="宋体" w:hAnsi="宋体" w:cs="宋体" w:eastAsia="宋体" w:hint="default"/>
                <w:spacing w:val="-6"/>
                <w:sz w:val="18"/>
                <w:szCs w:val="18"/>
              </w:rPr>
              <w:t>之后，在公司任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职期间，每年转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让的公司股份 不得超过其所 持有的公司股 份总数的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 离职后半年内， 不转让所持有 的公司股份。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440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7"/>
                <w:sz w:val="20"/>
                <w:szCs w:val="20"/>
              </w:rPr>
              <w:pict>
                <v:group style="width:63.35pt;height:220.5pt;mso-position-horizontal-relative:char;mso-position-vertical-relative:line" coordorigin="0,0" coordsize="1267,4410">
                  <v:group style="position:absolute;left:0;top:0;width:1267;height:4410" coordorigin="0,0" coordsize="1267,4410">
                    <v:shape style="position:absolute;left:0;top:0;width:1267;height:4410" coordorigin="0,0" coordsize="1267,4410" path="m0,4409l1266,4409,1266,0,0,0,0,4409xe" filled="true" fillcolor="#ffffff" stroked="false">
                      <v:path arrowok="t"/>
                      <v:fill type="solid"/>
                    </v:shape>
                  </v:group>
                </v:group>
              </w:pict>
            </w:r>
            <w:r>
              <w:rPr>
                <w:rFonts w:ascii="Times New Roman" w:hAnsi="Times New Roman" w:cs="Times New Roman" w:eastAsia="Times New Roman" w:hint="default"/>
                <w:position w:val="-87"/>
                <w:sz w:val="20"/>
                <w:szCs w:val="20"/>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翁丽敏</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陈清州先生之 妻翁丽敏承诺： 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让或者委托他 人管理本次发 行前其已持有 的股份公司股 </w:t>
            </w:r>
            <w:r>
              <w:rPr>
                <w:rFonts w:ascii="宋体" w:hAnsi="宋体" w:cs="宋体" w:eastAsia="宋体" w:hint="default"/>
                <w:spacing w:val="-6"/>
                <w:sz w:val="18"/>
                <w:szCs w:val="18"/>
              </w:rPr>
              <w:t>份，也不由股份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公司收购该部 </w:t>
            </w:r>
            <w:r>
              <w:rPr>
                <w:rFonts w:ascii="宋体" w:hAnsi="宋体" w:cs="宋体" w:eastAsia="宋体" w:hint="default"/>
                <w:spacing w:val="-6"/>
                <w:sz w:val="18"/>
                <w:szCs w:val="18"/>
              </w:rPr>
              <w:t>分股份。承诺期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限届满后，上述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股份可以上市 流通和转让。</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2014-05-27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9"/>
                <w:sz w:val="18"/>
                <w:szCs w:val="18"/>
              </w:rPr>
              <w:t>履行完毕，不存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在违反承诺的 情形。</w:t>
            </w:r>
          </w:p>
        </w:tc>
      </w:tr>
      <w:tr>
        <w:trPr>
          <w:trHeight w:val="4419"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陈静丽</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陈清州先生之 亲戚陈静丽承 </w:t>
            </w:r>
            <w:r>
              <w:rPr>
                <w:rFonts w:ascii="宋体" w:hAnsi="宋体" w:cs="宋体" w:eastAsia="宋体" w:hint="default"/>
                <w:spacing w:val="-6"/>
                <w:sz w:val="18"/>
                <w:szCs w:val="18"/>
              </w:rPr>
              <w:t>诺：自公司股票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上市之日起三 </w:t>
            </w:r>
            <w:r>
              <w:rPr>
                <w:rFonts w:ascii="宋体" w:hAnsi="宋体" w:cs="宋体" w:eastAsia="宋体" w:hint="default"/>
                <w:spacing w:val="-6"/>
                <w:sz w:val="18"/>
                <w:szCs w:val="18"/>
              </w:rPr>
              <w:t>十六个月内，不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转让或者委托 他人管理本次 发行前其已持 有的股份公司 </w:t>
            </w:r>
            <w:r>
              <w:rPr>
                <w:rFonts w:ascii="宋体" w:hAnsi="宋体" w:cs="宋体" w:eastAsia="宋体" w:hint="default"/>
                <w:spacing w:val="-6"/>
                <w:sz w:val="18"/>
                <w:szCs w:val="18"/>
              </w:rPr>
              <w:t>股份，也不由股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份公司收购该 </w:t>
            </w:r>
            <w:r>
              <w:rPr>
                <w:rFonts w:ascii="宋体" w:hAnsi="宋体" w:cs="宋体" w:eastAsia="宋体" w:hint="default"/>
                <w:spacing w:val="-6"/>
                <w:sz w:val="18"/>
                <w:szCs w:val="18"/>
              </w:rPr>
              <w:t>部分股份。承诺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期限届满后，上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述股份可以上</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2014-05-27</w:t>
            </w:r>
          </w:p>
        </w:tc>
        <w:tc>
          <w:tcPr>
            <w:tcW w:w="1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5"/>
                <w:szCs w:val="2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pacing w:val="-9"/>
                <w:sz w:val="18"/>
                <w:szCs w:val="18"/>
              </w:rPr>
              <w:t>履行完毕，不存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在违反承诺的 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362"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17"/>
              <w:jc w:val="left"/>
              <w:rPr>
                <w:rFonts w:ascii="宋体" w:hAnsi="宋体" w:cs="宋体" w:eastAsia="宋体" w:hint="default"/>
                <w:sz w:val="18"/>
                <w:szCs w:val="18"/>
              </w:rPr>
            </w:pPr>
            <w:r>
              <w:rPr>
                <w:rFonts w:ascii="宋体" w:hAnsi="宋体" w:cs="宋体" w:eastAsia="宋体" w:hint="default"/>
                <w:sz w:val="18"/>
                <w:szCs w:val="18"/>
              </w:rPr>
              <w:t>市流通和转让。</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11011" w:hRule="exact"/>
        </w:trPr>
        <w:tc>
          <w:tcPr>
            <w:tcW w:w="3204" w:type="dxa"/>
            <w:vMerge/>
            <w:tcBorders>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公司控股股东、 实际控制人陈 清州先生承诺： 本人目前乃至 </w:t>
            </w:r>
            <w:r>
              <w:rPr>
                <w:rFonts w:ascii="宋体" w:hAnsi="宋体" w:cs="宋体" w:eastAsia="宋体" w:hint="default"/>
                <w:spacing w:val="-6"/>
                <w:sz w:val="18"/>
                <w:szCs w:val="18"/>
              </w:rPr>
              <w:t>将来不从事、亦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促使本人控制、 与他人共同控 </w:t>
            </w:r>
            <w:r>
              <w:rPr>
                <w:rFonts w:ascii="宋体" w:hAnsi="宋体" w:cs="宋体" w:eastAsia="宋体" w:hint="default"/>
                <w:spacing w:val="-6"/>
                <w:sz w:val="18"/>
                <w:szCs w:val="18"/>
              </w:rPr>
              <w:t>制、具有重大影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响的企业不从 事任何在商业 上对发行人及</w:t>
            </w:r>
            <w:r>
              <w:rPr>
                <w:rFonts w:ascii="Times New Roman" w:hAnsi="Times New Roman" w:cs="Times New Roman" w:eastAsia="Times New Roman" w:hint="default"/>
                <w:sz w:val="18"/>
                <w:szCs w:val="18"/>
              </w:rPr>
              <w:t>/ </w:t>
            </w:r>
            <w:r>
              <w:rPr>
                <w:rFonts w:ascii="宋体" w:hAnsi="宋体" w:cs="宋体" w:eastAsia="宋体" w:hint="default"/>
                <w:sz w:val="18"/>
                <w:szCs w:val="18"/>
              </w:rPr>
              <w:t>或发行人的子 公司、分公司、 合营或联营公 司构成或可能 构成竞争或潜 在竞争的业务 </w:t>
            </w:r>
            <w:r>
              <w:rPr>
                <w:rFonts w:ascii="宋体" w:hAnsi="宋体" w:cs="宋体" w:eastAsia="宋体" w:hint="default"/>
                <w:spacing w:val="-6"/>
                <w:sz w:val="18"/>
                <w:szCs w:val="18"/>
              </w:rPr>
              <w:t>或活动。如因国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家法律修改或 政策变动不可 避免地使本人 及</w:t>
            </w:r>
            <w:r>
              <w:rPr>
                <w:rFonts w:ascii="Times New Roman" w:hAnsi="Times New Roman" w:cs="Times New Roman" w:eastAsia="Times New Roman" w:hint="default"/>
                <w:sz w:val="18"/>
                <w:szCs w:val="18"/>
              </w:rPr>
              <w:t>/</w:t>
            </w:r>
            <w:r>
              <w:rPr>
                <w:rFonts w:ascii="宋体" w:hAnsi="宋体" w:cs="宋体" w:eastAsia="宋体" w:hint="default"/>
                <w:sz w:val="18"/>
                <w:szCs w:val="18"/>
              </w:rPr>
              <w:t>或本人控 </w:t>
            </w:r>
            <w:r>
              <w:rPr>
                <w:rFonts w:ascii="宋体" w:hAnsi="宋体" w:cs="宋体" w:eastAsia="宋体" w:hint="default"/>
                <w:spacing w:val="-6"/>
                <w:sz w:val="18"/>
                <w:szCs w:val="18"/>
              </w:rPr>
              <w:t>制、与他人共同</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控制、具有重大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影响的企业与 公司构成或可 能构成同业竞 </w:t>
            </w:r>
            <w:r>
              <w:rPr>
                <w:rFonts w:ascii="宋体" w:hAnsi="宋体" w:cs="宋体" w:eastAsia="宋体" w:hint="default"/>
                <w:spacing w:val="-6"/>
                <w:sz w:val="18"/>
                <w:szCs w:val="18"/>
              </w:rPr>
              <w:t>争时，就该等构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成同业竞争之 业务的受托管 理（或承包经 营、租赁经营） </w:t>
            </w:r>
            <w:r>
              <w:rPr>
                <w:rFonts w:ascii="宋体" w:hAnsi="宋体" w:cs="宋体" w:eastAsia="宋体" w:hint="default"/>
                <w:spacing w:val="-6"/>
                <w:sz w:val="18"/>
                <w:szCs w:val="18"/>
              </w:rPr>
              <w:t>或收购，公司在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同等条件下享 有优先权。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自公司股票上 市起长期有效。</w:t>
            </w:r>
          </w:p>
        </w:tc>
        <w:tc>
          <w:tcPr>
            <w:tcW w:w="12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6" w:lineRule="auto"/>
              <w:ind w:left="16" w:right="24"/>
              <w:jc w:val="left"/>
              <w:rPr>
                <w:rFonts w:ascii="宋体" w:hAnsi="宋体" w:cs="宋体" w:eastAsia="宋体" w:hint="default"/>
                <w:sz w:val="18"/>
                <w:szCs w:val="18"/>
              </w:rPr>
            </w:pPr>
            <w:r>
              <w:rPr>
                <w:rFonts w:ascii="宋体" w:hAnsi="宋体" w:cs="宋体" w:eastAsia="宋体" w:hint="default"/>
                <w:spacing w:val="-9"/>
                <w:sz w:val="18"/>
                <w:szCs w:val="18"/>
              </w:rPr>
              <w:t>严格履行中，不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存在违反承诺 的情形。</w:t>
            </w:r>
          </w:p>
        </w:tc>
      </w:tr>
      <w:tr>
        <w:trPr>
          <w:trHeight w:val="2547"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公司控股股东、 实际控制人陈 清州先生承诺： 在公司今后经 </w:t>
            </w:r>
            <w:r>
              <w:rPr>
                <w:rFonts w:ascii="宋体" w:hAnsi="宋体" w:cs="宋体" w:eastAsia="宋体" w:hint="default"/>
                <w:spacing w:val="-6"/>
                <w:sz w:val="18"/>
                <w:szCs w:val="18"/>
              </w:rPr>
              <w:t>营活动中，本人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将尽最大的努 力减少与公司 之间的关联交</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28"/>
              <w:jc w:val="left"/>
              <w:rPr>
                <w:rFonts w:ascii="宋体" w:hAnsi="宋体" w:cs="宋体" w:eastAsia="宋体" w:hint="default"/>
                <w:sz w:val="18"/>
                <w:szCs w:val="18"/>
              </w:rPr>
            </w:pPr>
            <w:r>
              <w:rPr>
                <w:rFonts w:ascii="宋体" w:hAnsi="宋体" w:cs="宋体" w:eastAsia="宋体" w:hint="default"/>
                <w:sz w:val="18"/>
                <w:szCs w:val="18"/>
              </w:rPr>
              <w:t>自公司股票上 市起长期有效。</w:t>
            </w:r>
          </w:p>
        </w:tc>
        <w:tc>
          <w:tcPr>
            <w:tcW w:w="126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319" w:lineRule="auto"/>
              <w:ind w:left="11" w:right="24"/>
              <w:jc w:val="left"/>
              <w:rPr>
                <w:rFonts w:ascii="宋体" w:hAnsi="宋体" w:cs="宋体" w:eastAsia="宋体" w:hint="default"/>
                <w:sz w:val="18"/>
                <w:szCs w:val="18"/>
              </w:rPr>
            </w:pPr>
            <w:r>
              <w:rPr>
                <w:rFonts w:ascii="宋体" w:hAnsi="宋体" w:cs="宋体" w:eastAsia="宋体" w:hint="default"/>
                <w:spacing w:val="-9"/>
                <w:sz w:val="18"/>
                <w:szCs w:val="18"/>
              </w:rPr>
              <w:t>严格履行中，不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存在违反承诺 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2"/>
      </w:tblGrid>
      <w:tr>
        <w:trPr>
          <w:trHeight w:val="7539" w:hRule="exact"/>
        </w:trPr>
        <w:tc>
          <w:tcPr>
            <w:tcW w:w="3204" w:type="dxa"/>
            <w:vMerge w:val="restart"/>
            <w:tcBorders>
              <w:top w:val="single" w:sz="4" w:space="0" w:color="000000"/>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7"/>
              <w:jc w:val="left"/>
              <w:rPr>
                <w:rFonts w:ascii="宋体" w:hAnsi="宋体" w:cs="宋体" w:eastAsia="宋体" w:hint="default"/>
                <w:sz w:val="18"/>
                <w:szCs w:val="18"/>
              </w:rPr>
            </w:pPr>
            <w:r>
              <w:rPr>
                <w:rFonts w:ascii="宋体" w:hAnsi="宋体" w:cs="宋体" w:eastAsia="宋体" w:hint="default"/>
                <w:spacing w:val="-6"/>
                <w:sz w:val="18"/>
                <w:szCs w:val="18"/>
              </w:rPr>
              <w:t>易。若本人与公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司发生无法避 免的关联交易， 包括但不限于 </w:t>
            </w:r>
            <w:r>
              <w:rPr>
                <w:rFonts w:ascii="宋体" w:hAnsi="宋体" w:cs="宋体" w:eastAsia="宋体" w:hint="default"/>
                <w:spacing w:val="-6"/>
                <w:sz w:val="18"/>
                <w:szCs w:val="18"/>
              </w:rPr>
              <w:t>商品交易，相互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提供服务或作 </w:t>
            </w:r>
            <w:r>
              <w:rPr>
                <w:rFonts w:ascii="宋体" w:hAnsi="宋体" w:cs="宋体" w:eastAsia="宋体" w:hint="default"/>
                <w:spacing w:val="-6"/>
                <w:sz w:val="18"/>
                <w:szCs w:val="18"/>
              </w:rPr>
              <w:t>为代理，则此种</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关联交易的条 件必须按正常 的商业条件进 </w:t>
            </w:r>
            <w:r>
              <w:rPr>
                <w:rFonts w:ascii="宋体" w:hAnsi="宋体" w:cs="宋体" w:eastAsia="宋体" w:hint="default"/>
                <w:spacing w:val="-6"/>
                <w:sz w:val="18"/>
                <w:szCs w:val="18"/>
              </w:rPr>
              <w:t>行，本人不要求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或接受公司给 予任何优于在 一项市场公平 交易中的第三 者给予的条件。 若需要与该项 交易具有关联 关系的贵公司 的股东及</w:t>
            </w:r>
            <w:r>
              <w:rPr>
                <w:rFonts w:ascii="Times New Roman" w:hAnsi="Times New Roman" w:cs="Times New Roman" w:eastAsia="Times New Roman" w:hint="default"/>
                <w:sz w:val="18"/>
                <w:szCs w:val="18"/>
              </w:rPr>
              <w:t>/</w:t>
            </w:r>
            <w:r>
              <w:rPr>
                <w:rFonts w:ascii="宋体" w:hAnsi="宋体" w:cs="宋体" w:eastAsia="宋体" w:hint="default"/>
                <w:sz w:val="18"/>
                <w:szCs w:val="18"/>
              </w:rPr>
              <w:t>或董 </w:t>
            </w:r>
            <w:r>
              <w:rPr>
                <w:rFonts w:ascii="宋体" w:hAnsi="宋体" w:cs="宋体" w:eastAsia="宋体" w:hint="default"/>
                <w:spacing w:val="-6"/>
                <w:sz w:val="18"/>
                <w:szCs w:val="18"/>
              </w:rPr>
              <w:t>事回避表决，本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人将促成该等 关联股东及</w:t>
            </w:r>
            <w:r>
              <w:rPr>
                <w:rFonts w:ascii="Times New Roman" w:hAnsi="Times New Roman" w:cs="Times New Roman" w:eastAsia="Times New Roman" w:hint="default"/>
                <w:sz w:val="18"/>
                <w:szCs w:val="18"/>
              </w:rPr>
              <w:t>/</w:t>
            </w:r>
            <w:r>
              <w:rPr>
                <w:rFonts w:ascii="宋体" w:hAnsi="宋体" w:cs="宋体" w:eastAsia="宋体" w:hint="default"/>
                <w:sz w:val="18"/>
                <w:szCs w:val="18"/>
              </w:rPr>
              <w:t>或 董事回避表决。</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2"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320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pacing w:val="-6"/>
                <w:sz w:val="18"/>
                <w:szCs w:val="18"/>
              </w:rPr>
              <w:t>曾华、武美、谭</w:t>
            </w:r>
            <w:r>
              <w:rPr>
                <w:rFonts w:ascii="宋体" w:hAnsi="宋体" w:cs="宋体" w:eastAsia="宋体" w:hint="default"/>
                <w:sz w:val="18"/>
                <w:szCs w:val="18"/>
              </w:rPr>
              <w:t> </w:t>
            </w:r>
            <w:r>
              <w:rPr>
                <w:rFonts w:ascii="宋体" w:hAnsi="宋体" w:cs="宋体" w:eastAsia="宋体" w:hint="default"/>
                <w:spacing w:val="-6"/>
                <w:sz w:val="18"/>
                <w:szCs w:val="18"/>
              </w:rPr>
              <w:t>学治、张钜、邓</w:t>
            </w:r>
            <w:r>
              <w:rPr>
                <w:rFonts w:ascii="宋体" w:hAnsi="宋体" w:cs="宋体" w:eastAsia="宋体" w:hint="default"/>
                <w:sz w:val="18"/>
                <w:szCs w:val="18"/>
              </w:rPr>
              <w:t> 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
              <w:jc w:val="left"/>
              <w:rPr>
                <w:rFonts w:ascii="宋体" w:hAnsi="宋体" w:cs="宋体" w:eastAsia="宋体" w:hint="default"/>
                <w:sz w:val="18"/>
                <w:szCs w:val="18"/>
              </w:rPr>
            </w:pPr>
            <w:r>
              <w:rPr>
                <w:rFonts w:ascii="宋体" w:hAnsi="宋体" w:cs="宋体" w:eastAsia="宋体" w:hint="default"/>
                <w:sz w:val="18"/>
                <w:szCs w:val="18"/>
              </w:rPr>
              <w:t>自公司股票上 市之日起十二 </w:t>
            </w:r>
            <w:r>
              <w:rPr>
                <w:rFonts w:ascii="宋体" w:hAnsi="宋体" w:cs="宋体" w:eastAsia="宋体" w:hint="default"/>
                <w:spacing w:val="-6"/>
                <w:sz w:val="18"/>
                <w:szCs w:val="18"/>
              </w:rPr>
              <w:t>个月内，不转让</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或者委托他人 管理其在发行 前所持有的公 </w:t>
            </w:r>
            <w:r>
              <w:rPr>
                <w:rFonts w:ascii="宋体" w:hAnsi="宋体" w:cs="宋体" w:eastAsia="宋体" w:hint="default"/>
                <w:spacing w:val="-6"/>
                <w:sz w:val="18"/>
                <w:szCs w:val="18"/>
              </w:rPr>
              <w:t>司股份，也不由</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公司回购该部 </w:t>
            </w:r>
            <w:r>
              <w:rPr>
                <w:rFonts w:ascii="宋体" w:hAnsi="宋体" w:cs="宋体" w:eastAsia="宋体" w:hint="default"/>
                <w:spacing w:val="-6"/>
                <w:sz w:val="18"/>
                <w:szCs w:val="18"/>
              </w:rPr>
              <w:t>分股份；承诺期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限届满后，上述</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股份可以上市 </w:t>
            </w:r>
            <w:r>
              <w:rPr>
                <w:rFonts w:ascii="宋体" w:hAnsi="宋体" w:cs="宋体" w:eastAsia="宋体" w:hint="default"/>
                <w:spacing w:val="-6"/>
                <w:sz w:val="18"/>
                <w:szCs w:val="18"/>
              </w:rPr>
              <w:t>流通或转让；在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担任公司董事、 </w:t>
            </w:r>
            <w:r>
              <w:rPr>
                <w:rFonts w:ascii="宋体" w:hAnsi="宋体" w:cs="宋体" w:eastAsia="宋体" w:hint="default"/>
                <w:spacing w:val="-6"/>
                <w:sz w:val="18"/>
                <w:szCs w:val="18"/>
              </w:rPr>
              <w:t>监事、高级管理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人员期间每年 转让的股份不 超过其所持有 的该公司股份 总数的</w:t>
            </w:r>
            <w:r>
              <w:rPr>
                <w:rFonts w:ascii="宋体" w:hAnsi="宋体" w:cs="宋体" w:eastAsia="宋体" w:hint="default"/>
                <w:spacing w:val="-46"/>
                <w:sz w:val="18"/>
                <w:szCs w:val="18"/>
              </w:rPr>
              <w:t> </w:t>
            </w:r>
            <w:r>
              <w:rPr>
                <w:rFonts w:ascii="Times New Roman" w:hAnsi="Times New Roman" w:cs="Times New Roman" w:eastAsia="Times New Roman" w:hint="default"/>
                <w:spacing w:val="-23"/>
                <w:sz w:val="18"/>
                <w:szCs w:val="18"/>
              </w:rPr>
              <w:t>25%</w:t>
            </w:r>
            <w:r>
              <w:rPr>
                <w:rFonts w:ascii="宋体" w:hAnsi="宋体" w:cs="宋体" w:eastAsia="宋体" w:hint="default"/>
                <w:spacing w:val="-23"/>
                <w:sz w:val="18"/>
                <w:szCs w:val="18"/>
              </w:rPr>
              <w:t>；离</w:t>
            </w:r>
            <w:r>
              <w:rPr>
                <w:rFonts w:ascii="宋体" w:hAnsi="宋体" w:cs="宋体" w:eastAsia="宋体" w:hint="default"/>
                <w:spacing w:val="-88"/>
                <w:sz w:val="18"/>
                <w:szCs w:val="18"/>
              </w:rPr>
              <w:t> </w:t>
            </w:r>
            <w:r>
              <w:rPr>
                <w:rFonts w:ascii="宋体" w:hAnsi="宋体" w:cs="宋体" w:eastAsia="宋体" w:hint="default"/>
                <w:sz w:val="18"/>
                <w:szCs w:val="18"/>
              </w:rPr>
              <w:t>职后半年内不</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9"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8"/>
              <w:ind w:left="22" w:right="-23"/>
              <w:jc w:val="left"/>
              <w:rPr>
                <w:rFonts w:ascii="宋体" w:hAnsi="宋体" w:cs="宋体" w:eastAsia="宋体" w:hint="default"/>
                <w:sz w:val="18"/>
                <w:szCs w:val="18"/>
              </w:rPr>
            </w:pPr>
            <w:r>
              <w:rPr>
                <w:rFonts w:ascii="宋体" w:hAnsi="宋体" w:cs="宋体" w:eastAsia="宋体" w:hint="default"/>
                <w:sz w:val="18"/>
                <w:szCs w:val="18"/>
              </w:rPr>
              <w:t>自公司股票上 市起长期有效。</w:t>
            </w:r>
          </w:p>
        </w:tc>
        <w:tc>
          <w:tcPr>
            <w:tcW w:w="1262"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319" w:lineRule="auto"/>
              <w:ind w:left="16" w:right="24"/>
              <w:jc w:val="left"/>
              <w:rPr>
                <w:rFonts w:ascii="宋体" w:hAnsi="宋体" w:cs="宋体" w:eastAsia="宋体" w:hint="default"/>
                <w:sz w:val="18"/>
                <w:szCs w:val="18"/>
              </w:rPr>
            </w:pPr>
            <w:r>
              <w:rPr>
                <w:rFonts w:ascii="宋体" w:hAnsi="宋体" w:cs="宋体" w:eastAsia="宋体" w:hint="default"/>
                <w:spacing w:val="-9"/>
                <w:sz w:val="18"/>
                <w:szCs w:val="18"/>
              </w:rPr>
              <w:t>严格履行中，不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存在违反承诺 的情形。</w:t>
            </w:r>
          </w:p>
        </w:tc>
      </w:tr>
    </w:tbl>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204"/>
        <w:gridCol w:w="1276"/>
        <w:gridCol w:w="1276"/>
        <w:gridCol w:w="1276"/>
        <w:gridCol w:w="1277"/>
        <w:gridCol w:w="1260"/>
      </w:tblGrid>
      <w:tr>
        <w:trPr>
          <w:trHeight w:val="67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61"/>
              <w:jc w:val="left"/>
              <w:rPr>
                <w:rFonts w:ascii="宋体" w:hAnsi="宋体" w:cs="宋体" w:eastAsia="宋体" w:hint="default"/>
                <w:sz w:val="18"/>
                <w:szCs w:val="18"/>
              </w:rPr>
            </w:pPr>
            <w:r>
              <w:rPr>
                <w:rFonts w:ascii="宋体" w:hAnsi="宋体" w:cs="宋体" w:eastAsia="宋体" w:hint="default"/>
                <w:sz w:val="18"/>
                <w:szCs w:val="18"/>
              </w:rPr>
              <w:t>转让所持有的 公司股份。</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3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3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5"/>
        <w:ind w:right="1046"/>
        <w:jc w:val="left"/>
        <w:rPr>
          <w:b w:val="0"/>
          <w:bCs w:val="0"/>
        </w:rPr>
      </w:pPr>
      <w:bookmarkStart w:name="2、公司资产或项目存在盈利预测，且报告期仍处在盈利预测期间，公司就资产或项目达到" w:id="87"/>
      <w:bookmarkEnd w:id="87"/>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46"/>
        <w:jc w:val="left"/>
        <w:rPr>
          <w:b w:val="0"/>
          <w:bCs w:val="0"/>
        </w:rPr>
      </w:pPr>
      <w:bookmarkStart w:name="十、聘任、解聘会计师事务所情况" w:id="88"/>
      <w:bookmarkEnd w:id="88"/>
      <w:r>
        <w:rPr>
          <w:b w:val="0"/>
          <w:bCs w:val="0"/>
        </w:rPr>
      </w:r>
      <w:r>
        <w:rPr/>
        <w:t>十、聘任、解聘会计师事务所情况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4"/>
        <w:gridCol w:w="5694"/>
      </w:tblGrid>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桑涛、徐凌</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56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2"/>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46"/>
        <w:jc w:val="left"/>
        <w:rPr>
          <w:b w:val="0"/>
          <w:bCs w:val="0"/>
        </w:rPr>
      </w:pPr>
      <w:bookmarkStart w:name="十一、监事会、独立董事（如适用）对会计师事务所本报告期“非标准审计报告”的说明" w:id="89"/>
      <w:bookmarkEnd w:id="89"/>
      <w:r>
        <w:rPr>
          <w:b w:val="0"/>
          <w:bCs w:val="0"/>
        </w:rPr>
      </w:r>
      <w:r>
        <w:rPr/>
        <w:t>十一、监事会、独立董事（如适用）对会计师事务所本报告期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46"/>
        <w:jc w:val="left"/>
        <w:rPr>
          <w:b w:val="0"/>
          <w:bCs w:val="0"/>
        </w:rPr>
      </w:pPr>
      <w:bookmarkStart w:name="十二、处罚及整改情况" w:id="90"/>
      <w:bookmarkEnd w:id="90"/>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1046"/>
        <w:jc w:val="left"/>
        <w:rPr>
          <w:b w:val="0"/>
          <w:bCs w:val="0"/>
        </w:rPr>
      </w:pPr>
      <w:bookmarkStart w:name="十三、年度报告披露后面临暂停上市和终止上市情况" w:id="91"/>
      <w:bookmarkEnd w:id="91"/>
      <w:r>
        <w:rPr>
          <w:b w:val="0"/>
          <w:bCs w:val="0"/>
        </w:rPr>
      </w:r>
      <w:r>
        <w:rPr/>
        <w:t>十三、年度报告披露后面临暂停上市和终止上市情况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46"/>
        <w:jc w:val="left"/>
        <w:rPr>
          <w:b w:val="0"/>
          <w:bCs w:val="0"/>
        </w:rPr>
      </w:pPr>
      <w:bookmarkStart w:name="十四、其他重大事项的说明" w:id="92"/>
      <w:bookmarkEnd w:id="92"/>
      <w:r>
        <w:rPr>
          <w:b w:val="0"/>
          <w:bCs w:val="0"/>
        </w:rPr>
      </w:r>
      <w:r>
        <w:rPr/>
        <w:t>十四、其他重大事项的说明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6"/>
        <w:rPr>
          <w:rFonts w:ascii="宋体" w:hAnsi="宋体" w:cs="宋体" w:eastAsia="宋体" w:hint="default"/>
          <w:sz w:val="19"/>
          <w:szCs w:val="19"/>
        </w:rPr>
      </w:pPr>
    </w:p>
    <w:p>
      <w:pPr>
        <w:pStyle w:val="Heading2"/>
        <w:spacing w:line="240" w:lineRule="auto"/>
        <w:ind w:right="1046"/>
        <w:jc w:val="left"/>
        <w:rPr>
          <w:b w:val="0"/>
          <w:bCs w:val="0"/>
        </w:rPr>
      </w:pPr>
      <w:bookmarkStart w:name="十五、公司子公司重要事项" w:id="93"/>
      <w:bookmarkEnd w:id="93"/>
      <w:r>
        <w:rPr>
          <w:b w:val="0"/>
          <w:bCs w:val="0"/>
        </w:rPr>
      </w:r>
      <w:r>
        <w:rPr/>
        <w:t>十五、公司子公司重要事项</w:t>
      </w:r>
      <w:r>
        <w:rPr>
          <w:b w:val="0"/>
          <w:bCs w:val="0"/>
        </w:rPr>
      </w:r>
    </w:p>
    <w:p>
      <w:pPr>
        <w:spacing w:line="240" w:lineRule="auto" w:before="7"/>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46"/>
        <w:jc w:val="left"/>
        <w:rPr>
          <w:b w:val="0"/>
          <w:bCs w:val="0"/>
        </w:rPr>
      </w:pPr>
      <w:bookmarkStart w:name="十六、公司发行公司债券的情况" w:id="94"/>
      <w:bookmarkEnd w:id="94"/>
      <w:r>
        <w:rPr>
          <w:b w:val="0"/>
          <w:bCs w:val="0"/>
        </w:rPr>
      </w:r>
      <w:r>
        <w:rPr/>
        <w:t>十六、公司发行公司债券的情况</w:t>
      </w:r>
      <w:r>
        <w:rPr>
          <w:b w:val="0"/>
          <w:bCs w:val="0"/>
        </w:rPr>
      </w:r>
    </w:p>
    <w:p>
      <w:pPr>
        <w:spacing w:line="240" w:lineRule="auto" w:before="9"/>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1046"/>
        <w:jc w:val="left"/>
        <w:rPr>
          <w:b w:val="0"/>
          <w:bCs w:val="0"/>
        </w:rPr>
      </w:pPr>
      <w:bookmarkStart w:name="_TOC_250006" w:id="95"/>
      <w:bookmarkStart w:name="第六节 股份变动及股东情况" w:id="96"/>
      <w:r>
        <w:rPr>
          <w:b w:val="0"/>
          <w:bCs w:val="0"/>
        </w:rPr>
      </w:r>
      <w:r>
        <w:rPr/>
        <w:t>第六节</w:t>
      </w:r>
      <w:r>
        <w:rPr>
          <w:spacing w:val="-10"/>
        </w:rPr>
        <w:t> </w:t>
      </w:r>
      <w:r>
        <w:rPr/>
        <w:t>股份变动及股东情况</w:t>
      </w:r>
      <w:bookmarkEnd w:id="95"/>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6"/>
        <w:jc w:val="left"/>
        <w:rPr>
          <w:b w:val="0"/>
          <w:bCs w:val="0"/>
        </w:rPr>
      </w:pPr>
      <w:bookmarkStart w:name="一、股份变动情况" w:id="97"/>
      <w:bookmarkEnd w:id="97"/>
      <w:r>
        <w:rPr>
          <w:b w:val="0"/>
          <w:bCs w:val="0"/>
        </w:rPr>
      </w:r>
      <w:r>
        <w:rPr/>
        <w:t>一、股份变动情况</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22"/>
        <w:gridCol w:w="842"/>
        <w:gridCol w:w="842"/>
        <w:gridCol w:w="842"/>
        <w:gridCol w:w="844"/>
        <w:gridCol w:w="842"/>
        <w:gridCol w:w="844"/>
        <w:gridCol w:w="842"/>
        <w:gridCol w:w="815"/>
        <w:gridCol w:w="820"/>
      </w:tblGrid>
      <w:tr>
        <w:trPr>
          <w:trHeight w:val="402"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11"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326" w:right="54"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4"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5" w:type="dxa"/>
            <w:tcBorders>
              <w:top w:val="single" w:sz="4" w:space="0" w:color="000000"/>
              <w:left w:val="single" w:sz="4" w:space="0" w:color="000000"/>
              <w:bottom w:val="nil" w:sz="6" w:space="0" w:color="auto"/>
              <w:right w:val="single" w:sz="4" w:space="0" w:color="000000"/>
            </w:tcBorders>
            <w:shd w:val="clear" w:color="auto" w:fill="D2D2D2"/>
          </w:tcPr>
          <w:p>
            <w:pPr/>
          </w:p>
        </w:tc>
        <w:tc>
          <w:tcPr>
            <w:tcW w:w="820"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2022" w:type="dxa"/>
            <w:vMerge/>
            <w:tcBorders>
              <w:left w:val="single" w:sz="4" w:space="0" w:color="000000"/>
              <w:bottom w:val="nil" w:sz="6" w:space="0" w:color="auto"/>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4"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022" w:type="dxa"/>
            <w:vMerge w:val="restart"/>
            <w:tcBorders>
              <w:top w:val="nil" w:sz="6" w:space="0" w:color="auto"/>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4"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15" w:type="dxa"/>
            <w:vMerge/>
            <w:tcBorders>
              <w:left w:val="single" w:sz="4" w:space="0" w:color="000000"/>
              <w:bottom w:val="nil" w:sz="6" w:space="0" w:color="auto"/>
              <w:right w:val="single" w:sz="4" w:space="0" w:color="000000"/>
            </w:tcBorders>
            <w:shd w:val="clear" w:color="auto" w:fill="D2D2D2"/>
          </w:tcPr>
          <w:p>
            <w:pPr/>
          </w:p>
        </w:tc>
        <w:tc>
          <w:tcPr>
            <w:tcW w:w="820"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4"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5" w:type="dxa"/>
            <w:tcBorders>
              <w:top w:val="nil" w:sz="6" w:space="0" w:color="auto"/>
              <w:left w:val="single" w:sz="4" w:space="0" w:color="000000"/>
              <w:bottom w:val="single" w:sz="4" w:space="0" w:color="000000"/>
              <w:right w:val="single" w:sz="4" w:space="0" w:color="000000"/>
            </w:tcBorders>
            <w:shd w:val="clear" w:color="auto" w:fill="D2D2D2"/>
          </w:tcPr>
          <w:p>
            <w:pPr/>
          </w:p>
        </w:tc>
        <w:tc>
          <w:tcPr>
            <w:tcW w:w="820"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176,560,7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63.51%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140,625</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194,651,3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-49,372,13</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145,419,8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321,980,5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46.23%</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176,560,7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63.51%</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140,625</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194,651,3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-49,372,13</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145,419,8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321,980,5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46.23%</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176,560,7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4" w:right="0"/>
              <w:jc w:val="left"/>
              <w:rPr>
                <w:rFonts w:ascii="Times New Roman" w:hAnsi="Times New Roman" w:cs="Times New Roman" w:eastAsia="Times New Roman" w:hint="default"/>
                <w:sz w:val="18"/>
                <w:szCs w:val="18"/>
              </w:rPr>
            </w:pPr>
            <w:r>
              <w:rPr>
                <w:rFonts w:ascii="Times New Roman"/>
                <w:sz w:val="18"/>
              </w:rPr>
              <w:t>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4" w:right="0"/>
              <w:jc w:val="left"/>
              <w:rPr>
                <w:rFonts w:ascii="Times New Roman" w:hAnsi="Times New Roman" w:cs="Times New Roman" w:eastAsia="Times New Roman" w:hint="default"/>
                <w:sz w:val="18"/>
                <w:szCs w:val="18"/>
              </w:rPr>
            </w:pPr>
            <w:r>
              <w:rPr>
                <w:rFonts w:ascii="Times New Roman"/>
                <w:sz w:val="18"/>
              </w:rPr>
              <w:t>140,625</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194,651,3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43</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-49,372,13</w:t>
            </w:r>
            <w:r>
              <w:rPr>
                <w:rFonts w:ascii="Times New Roman"/>
                <w:sz w:val="18"/>
              </w:rPr>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145,419,8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321,980,5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46.23%</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101,439,3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36.48%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1,375,025</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222,348,6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49,372,13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273,095,8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374,535,1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53.77%</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101,439,3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36.48%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1,375,025</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222,348,6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49,372,13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273,095,8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374,535,1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53.77%</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r>
        <w:trPr>
          <w:trHeight w:val="161" w:hRule="exact"/>
        </w:trPr>
        <w:tc>
          <w:tcPr>
            <w:tcW w:w="20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9"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278,000,0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64" w:right="0"/>
              <w:jc w:val="left"/>
              <w:rPr>
                <w:rFonts w:ascii="Times New Roman" w:hAnsi="Times New Roman" w:cs="Times New Roman" w:eastAsia="Times New Roman" w:hint="default"/>
                <w:sz w:val="18"/>
                <w:szCs w:val="18"/>
              </w:rPr>
            </w:pPr>
            <w:r>
              <w:rPr>
                <w:rFonts w:ascii="Times New Roman"/>
                <w:sz w:val="18"/>
              </w:rPr>
              <w:t>100.00%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9" w:right="0"/>
              <w:jc w:val="left"/>
              <w:rPr>
                <w:rFonts w:ascii="Times New Roman" w:hAnsi="Times New Roman" w:cs="Times New Roman" w:eastAsia="Times New Roman" w:hint="default"/>
                <w:sz w:val="18"/>
                <w:szCs w:val="18"/>
              </w:rPr>
            </w:pPr>
            <w:r>
              <w:rPr>
                <w:rFonts w:ascii="Times New Roman"/>
                <w:sz w:val="18"/>
              </w:rPr>
              <w:t>1,515,650</w:t>
            </w:r>
          </w:p>
        </w:tc>
        <w:tc>
          <w:tcPr>
            <w:tcW w:w="844" w:type="dxa"/>
            <w:vMerge w:val="restart"/>
            <w:tcBorders>
              <w:top w:val="single" w:sz="4" w:space="0" w:color="000000"/>
              <w:left w:val="single" w:sz="4" w:space="0" w:color="000000"/>
              <w:right w:val="single" w:sz="4" w:space="0" w:color="000000"/>
            </w:tcBorders>
          </w:tcPr>
          <w:p>
            <w:pP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84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418,515,6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81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696,515,6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c>
          <w:tcPr>
            <w:tcW w:w="8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100.00%</w:t>
            </w:r>
          </w:p>
        </w:tc>
      </w:tr>
      <w:tr>
        <w:trPr>
          <w:trHeight w:val="392" w:hRule="exact"/>
        </w:trPr>
        <w:tc>
          <w:tcPr>
            <w:tcW w:w="20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2" w:type="dxa"/>
            <w:vMerge/>
            <w:tcBorders>
              <w:left w:val="single" w:sz="9" w:space="0" w:color="D2D2D2"/>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4"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15" w:type="dxa"/>
            <w:vMerge/>
            <w:tcBorders>
              <w:left w:val="single" w:sz="4" w:space="0" w:color="000000"/>
              <w:right w:val="single" w:sz="4" w:space="0" w:color="000000"/>
            </w:tcBorders>
          </w:tcPr>
          <w:p>
            <w:pPr/>
          </w:p>
        </w:tc>
        <w:tc>
          <w:tcPr>
            <w:tcW w:w="820" w:type="dxa"/>
            <w:vMerge/>
            <w:tcBorders>
              <w:left w:val="single" w:sz="4" w:space="0" w:color="000000"/>
              <w:right w:val="single" w:sz="4" w:space="0" w:color="000000"/>
            </w:tcBorders>
          </w:tcPr>
          <w:p>
            <w:pPr/>
          </w:p>
        </w:tc>
      </w:tr>
      <w:tr>
        <w:trPr>
          <w:trHeight w:val="161" w:hRule="exact"/>
        </w:trPr>
        <w:tc>
          <w:tcPr>
            <w:tcW w:w="20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9" w:space="0" w:color="D2D2D2"/>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4"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15" w:type="dxa"/>
            <w:vMerge/>
            <w:tcBorders>
              <w:left w:val="single" w:sz="4" w:space="0" w:color="000000"/>
              <w:bottom w:val="single" w:sz="4" w:space="0" w:color="000000"/>
              <w:right w:val="single" w:sz="4" w:space="0" w:color="000000"/>
            </w:tcBorders>
          </w:tcPr>
          <w:p>
            <w:pPr/>
          </w:p>
        </w:tc>
        <w:tc>
          <w:tcPr>
            <w:tcW w:w="820" w:type="dxa"/>
            <w:vMerge/>
            <w:tcBorders>
              <w:left w:val="single" w:sz="4" w:space="0" w:color="000000"/>
              <w:bottom w:val="single" w:sz="4" w:space="0" w:color="000000"/>
              <w:right w:val="single" w:sz="4" w:space="0" w:color="000000"/>
            </w:tcBorders>
          </w:tcPr>
          <w:p>
            <w:pP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20" w:firstLine="420"/>
        <w:jc w:val="left"/>
      </w:pPr>
      <w:r>
        <w:rPr/>
        <w:t>报告期内，公司股份总数由</w:t>
      </w:r>
      <w:r>
        <w:rPr>
          <w:spacing w:val="-59"/>
        </w:rPr>
        <w:t> </w:t>
      </w:r>
      <w:r>
        <w:rPr>
          <w:rFonts w:ascii="宋体" w:hAnsi="宋体" w:cs="宋体" w:eastAsia="宋体" w:hint="default"/>
        </w:rPr>
        <w:t>278,000,000</w:t>
      </w:r>
      <w:r>
        <w:rPr>
          <w:rFonts w:ascii="宋体" w:hAnsi="宋体" w:cs="宋体" w:eastAsia="宋体" w:hint="default"/>
          <w:spacing w:val="-59"/>
        </w:rPr>
        <w:t> </w:t>
      </w:r>
      <w:r>
        <w:rPr/>
        <w:t>股增加到</w:t>
      </w:r>
      <w:r>
        <w:rPr>
          <w:spacing w:val="-60"/>
        </w:rPr>
        <w:t> </w:t>
      </w:r>
      <w:r>
        <w:rPr>
          <w:rFonts w:ascii="宋体" w:hAnsi="宋体" w:cs="宋体" w:eastAsia="宋体" w:hint="default"/>
        </w:rPr>
        <w:t>696,515,650</w:t>
      </w:r>
      <w:r>
        <w:rPr>
          <w:rFonts w:ascii="宋体" w:hAnsi="宋体" w:cs="宋体" w:eastAsia="宋体" w:hint="default"/>
          <w:spacing w:val="-59"/>
        </w:rPr>
        <w:t> </w:t>
      </w:r>
      <w:r>
        <w:rPr/>
        <w:t>股，同时股份结构也发生了变化，具 体情况如下：</w:t>
      </w:r>
    </w:p>
    <w:p>
      <w:pPr>
        <w:pStyle w:val="BodyText"/>
        <w:spacing w:line="240" w:lineRule="auto"/>
        <w:ind w:left="573" w:right="1046"/>
        <w:jc w:val="left"/>
      </w:pP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8</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3"/>
        </w:rPr>
        <w:t> </w:t>
      </w:r>
      <w:r>
        <w:rPr/>
        <w:t>日，公司召开第二届董事会第十次会议，审议通过了《关于公司</w:t>
      </w:r>
      <w:r>
        <w:rPr>
          <w:spacing w:val="-53"/>
        </w:rPr>
        <w:t> </w:t>
      </w:r>
      <w:r>
        <w:rPr>
          <w:rFonts w:ascii="宋体" w:hAnsi="宋体" w:cs="宋体" w:eastAsia="宋体" w:hint="default"/>
        </w:rPr>
        <w:t>2014</w:t>
      </w:r>
      <w:r>
        <w:rPr>
          <w:rFonts w:ascii="宋体" w:hAnsi="宋体" w:cs="宋体" w:eastAsia="宋体" w:hint="default"/>
          <w:spacing w:val="-54"/>
        </w:rPr>
        <w:t> </w:t>
      </w:r>
      <w:r>
        <w:rPr/>
        <w:t>年半年度利</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润分配的议案</w:t>
      </w:r>
      <w:r>
        <w:rPr>
          <w:spacing w:val="-105"/>
        </w:rPr>
        <w:t>》</w:t>
      </w:r>
      <w:r>
        <w:rPr>
          <w:spacing w:val="-11"/>
        </w:rPr>
        <w:t>，</w:t>
      </w:r>
      <w:r>
        <w:rPr/>
        <w:t>同意</w:t>
      </w:r>
      <w:r>
        <w:rPr>
          <w:rFonts w:ascii="MS Gothic" w:hAnsi="MS Gothic" w:cs="MS Gothic" w:eastAsia="MS Gothic" w:hint="default"/>
          <w:spacing w:val="-1"/>
        </w:rPr>
        <w:t>ｹ</w:t>
      </w:r>
      <w:r>
        <w:rPr>
          <w:rFonts w:ascii="MS Gothic" w:hAnsi="MS Gothic" w:cs="MS Gothic" w:eastAsia="MS Gothic" w:hint="default"/>
        </w:rPr>
        <w:t>ﾋ</w:t>
      </w:r>
      <w:r>
        <w:rPr>
          <w:rFonts w:ascii="MS Gothic" w:hAnsi="MS Gothic" w:cs="MS Gothic" w:eastAsia="MS Gothic" w:hint="default"/>
          <w:spacing w:val="-53"/>
        </w:rPr>
        <w:t> </w:t>
      </w:r>
      <w:r>
        <w:rPr>
          <w:rFonts w:ascii="宋体" w:hAnsi="宋体" w:cs="宋体" w:eastAsia="宋体" w:hint="default"/>
        </w:rPr>
        <w:t>2014</w:t>
      </w:r>
      <w:r>
        <w:rPr>
          <w:rFonts w:ascii="宋体" w:hAnsi="宋体" w:cs="宋体" w:eastAsia="宋体" w:hint="default"/>
          <w:spacing w:val="-53"/>
        </w:rPr>
        <w:t> </w:t>
      </w:r>
      <w:r>
        <w:rPr>
          <w:rFonts w:ascii="MS Gothic" w:hAnsi="MS Gothic" w:cs="MS Gothic" w:eastAsia="MS Gothic" w:hint="default"/>
        </w:rPr>
        <w:t>ﾄｰﾄｶﾀﾈｷﾅｷｰﾍｹﾗｱｹｻｽ</w:t>
      </w:r>
      <w:r>
        <w:rPr>
          <w:rFonts w:ascii="MS Gothic" w:hAnsi="MS Gothic" w:cs="MS Gothic" w:eastAsia="MS Gothic" w:hint="default"/>
          <w:spacing w:val="-2"/>
        </w:rPr>
        <w:t>ﾗ</w:t>
      </w:r>
      <w:r>
        <w:rPr>
          <w:rFonts w:ascii="MS Gothic" w:hAnsi="MS Gothic" w:cs="MS Gothic" w:eastAsia="MS Gothic" w:hint="default"/>
        </w:rPr>
        <w:t>ﾔｹｱｷﾊﾊﾊ｣ｾﾌ</w:t>
      </w:r>
      <w:r>
        <w:rPr>
          <w:rFonts w:ascii="MS Gothic" w:hAnsi="MS Gothic" w:cs="MS Gothic" w:eastAsia="MS Gothic" w:hint="default"/>
          <w:spacing w:val="-1"/>
        </w:rPr>
        <w:t>ﾎ</w:t>
      </w:r>
      <w:r>
        <w:rPr>
          <w:rFonts w:ascii="MS Gothic" w:hAnsi="MS Gothic" w:cs="MS Gothic" w:eastAsia="MS Gothic" w:hint="default"/>
        </w:rPr>
        <w:t>｣</w:t>
      </w:r>
      <w:r>
        <w:rPr/>
        <w:t>以公司总</w:t>
      </w:r>
      <w:r>
        <w:rPr>
          <w:spacing w:val="-2"/>
        </w:rPr>
        <w:t>股</w:t>
      </w:r>
      <w:r>
        <w:rPr/>
        <w:t>本</w:t>
      </w:r>
      <w:r>
        <w:rPr>
          <w:spacing w:val="-52"/>
        </w:rPr>
        <w:t> </w:t>
      </w:r>
      <w:r>
        <w:rPr>
          <w:rFonts w:ascii="宋体" w:hAnsi="宋体" w:cs="宋体" w:eastAsia="宋体" w:hint="default"/>
        </w:rPr>
        <w:t>278,000,000</w:t>
      </w:r>
      <w:r>
        <w:rPr>
          <w:rFonts w:ascii="宋体" w:hAnsi="宋体" w:cs="宋体" w:eastAsia="宋体" w:hint="default"/>
          <w:spacing w:val="-52"/>
        </w:rPr>
        <w:t> </w:t>
      </w:r>
      <w:r>
        <w:rPr/>
        <w:t>股为基</w:t>
      </w:r>
      <w:r>
        <w:rPr>
          <w:spacing w:val="-2"/>
        </w:rPr>
        <w:t>数</w:t>
      </w:r>
      <w:r>
        <w:rPr>
          <w:spacing w:val="-10"/>
        </w:rPr>
        <w:t>，</w:t>
      </w:r>
      <w:r>
        <w:rPr/>
        <w:t>进</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行资本公积金转增股本，全体股东每</w:t>
      </w:r>
      <w:r>
        <w:rPr>
          <w:spacing w:val="-57"/>
        </w:rPr>
        <w:t> </w:t>
      </w:r>
      <w:r>
        <w:rPr>
          <w:rFonts w:ascii="宋体" w:hAnsi="宋体" w:cs="宋体" w:eastAsia="宋体" w:hint="default"/>
        </w:rPr>
        <w:t>10</w:t>
      </w:r>
      <w:r>
        <w:rPr>
          <w:rFonts w:ascii="宋体" w:hAnsi="宋体" w:cs="宋体" w:eastAsia="宋体" w:hint="default"/>
          <w:spacing w:val="-57"/>
        </w:rPr>
        <w:t> </w:t>
      </w:r>
      <w:r>
        <w:rPr/>
        <w:t>股转增</w:t>
      </w:r>
      <w:r>
        <w:rPr>
          <w:spacing w:val="-58"/>
        </w:rPr>
        <w:t> </w:t>
      </w:r>
      <w:r>
        <w:rPr>
          <w:rFonts w:ascii="宋体" w:hAnsi="宋体" w:cs="宋体" w:eastAsia="宋体" w:hint="default"/>
        </w:rPr>
        <w:t>15</w:t>
      </w:r>
      <w:r>
        <w:rPr>
          <w:rFonts w:ascii="宋体" w:hAnsi="宋体" w:cs="宋体" w:eastAsia="宋体" w:hint="default"/>
          <w:spacing w:val="-57"/>
        </w:rPr>
        <w:t> </w:t>
      </w:r>
      <w:r>
        <w:rPr/>
        <w:t>股，共计转增</w:t>
      </w:r>
      <w:r>
        <w:rPr>
          <w:spacing w:val="-58"/>
        </w:rPr>
        <w:t> </w:t>
      </w:r>
      <w:r>
        <w:rPr>
          <w:rFonts w:ascii="宋体" w:hAnsi="宋体" w:cs="宋体" w:eastAsia="宋体" w:hint="default"/>
        </w:rPr>
        <w:t>417,000,000</w:t>
      </w:r>
      <w:r>
        <w:rPr>
          <w:rFonts w:ascii="宋体" w:hAnsi="宋体" w:cs="宋体" w:eastAsia="宋体" w:hint="default"/>
          <w:spacing w:val="-57"/>
        </w:rPr>
        <w:t> </w:t>
      </w:r>
      <w:r>
        <w:rPr/>
        <w:t>股，转增后公司总股本将增</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rPr>
          <w:rFonts w:ascii="宋体" w:hAnsi="宋体" w:cs="宋体" w:eastAsia="宋体" w:hint="default"/>
        </w:rPr>
      </w:pPr>
      <w:r>
        <w:rPr/>
        <w:t>加至</w:t>
      </w:r>
      <w:r>
        <w:rPr>
          <w:spacing w:val="-52"/>
        </w:rPr>
        <w:t> </w:t>
      </w:r>
      <w:r>
        <w:rPr>
          <w:rFonts w:ascii="宋体" w:hAnsi="宋体" w:cs="宋体" w:eastAsia="宋体" w:hint="default"/>
        </w:rPr>
        <w:t>695,000,000</w:t>
      </w:r>
      <w:r>
        <w:rPr>
          <w:rFonts w:ascii="宋体" w:hAnsi="宋体" w:cs="宋体" w:eastAsia="宋体" w:hint="default"/>
          <w:spacing w:val="-51"/>
        </w:rPr>
        <w:t> </w:t>
      </w:r>
      <w:r>
        <w:rPr>
          <w:spacing w:val="-7"/>
        </w:rPr>
        <w:t>股，该方案于</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2"/>
        </w:rPr>
        <w:t> </w:t>
      </w:r>
      <w:r>
        <w:rPr>
          <w:rFonts w:ascii="宋体" w:hAnsi="宋体" w:cs="宋体" w:eastAsia="宋体" w:hint="default"/>
        </w:rPr>
        <w:t>9</w:t>
      </w:r>
      <w:r>
        <w:rPr>
          <w:rFonts w:ascii="宋体" w:hAnsi="宋体" w:cs="宋体" w:eastAsia="宋体" w:hint="default"/>
          <w:spacing w:val="-51"/>
        </w:rPr>
        <w:t> </w:t>
      </w:r>
      <w:r>
        <w:rPr/>
        <w:t>月</w:t>
      </w:r>
      <w:r>
        <w:rPr>
          <w:spacing w:val="-53"/>
        </w:rPr>
        <w:t> </w:t>
      </w:r>
      <w:r>
        <w:rPr>
          <w:rFonts w:ascii="宋体" w:hAnsi="宋体" w:cs="宋体" w:eastAsia="宋体" w:hint="default"/>
        </w:rPr>
        <w:t>3</w:t>
      </w:r>
      <w:r>
        <w:rPr>
          <w:rFonts w:ascii="宋体" w:hAnsi="宋体" w:cs="宋体" w:eastAsia="宋体" w:hint="default"/>
          <w:spacing w:val="-51"/>
        </w:rPr>
        <w:t> </w:t>
      </w:r>
      <w:r>
        <w:rPr/>
        <w:t>日经公司</w:t>
      </w:r>
      <w:r>
        <w:rPr>
          <w:spacing w:val="-52"/>
        </w:rPr>
        <w:t> </w:t>
      </w:r>
      <w:r>
        <w:rPr>
          <w:rFonts w:ascii="宋体" w:hAnsi="宋体" w:cs="宋体" w:eastAsia="宋体" w:hint="default"/>
        </w:rPr>
        <w:t>2014</w:t>
      </w:r>
      <w:r>
        <w:rPr>
          <w:rFonts w:ascii="宋体" w:hAnsi="宋体" w:cs="宋体" w:eastAsia="宋体" w:hint="default"/>
          <w:spacing w:val="-53"/>
        </w:rPr>
        <w:t> </w:t>
      </w:r>
      <w:r>
        <w:rPr>
          <w:spacing w:val="-3"/>
        </w:rPr>
        <w:t>年第一次临时股东大会审议通过，并于</w:t>
      </w:r>
      <w:r>
        <w:rPr>
          <w:spacing w:val="-51"/>
        </w:rPr>
        <w:t> </w:t>
      </w:r>
      <w:r>
        <w:rPr>
          <w:rFonts w:ascii="宋体" w:hAnsi="宋体" w:cs="宋体" w:eastAsia="宋体" w:hint="default"/>
        </w:rPr>
        <w:t>2014</w:t>
      </w:r>
    </w:p>
    <w:p>
      <w:pPr>
        <w:spacing w:line="240" w:lineRule="auto" w:before="10"/>
        <w:rPr>
          <w:rFonts w:ascii="宋体" w:hAnsi="宋体" w:cs="宋体" w:eastAsia="宋体" w:hint="default"/>
          <w:sz w:val="14"/>
          <w:szCs w:val="14"/>
        </w:rPr>
      </w:pPr>
    </w:p>
    <w:p>
      <w:pPr>
        <w:pStyle w:val="BodyText"/>
        <w:spacing w:line="408" w:lineRule="auto" w:before="0"/>
        <w:ind w:left="574" w:right="1122" w:hanging="420"/>
        <w:jc w:val="left"/>
      </w:pP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4"/>
        </w:rPr>
        <w:t> </w:t>
      </w:r>
      <w:r>
        <w:rPr>
          <w:rFonts w:ascii="宋体" w:hAnsi="宋体" w:cs="宋体" w:eastAsia="宋体" w:hint="default"/>
        </w:rPr>
        <w:t>15</w:t>
      </w:r>
      <w:r>
        <w:rPr>
          <w:rFonts w:ascii="宋体" w:hAnsi="宋体" w:cs="宋体" w:eastAsia="宋体" w:hint="default"/>
          <w:spacing w:val="-53"/>
        </w:rPr>
        <w:t> </w:t>
      </w:r>
      <w:r>
        <w:rPr/>
        <w:t>日实施完毕。本次实施资本公积金转增股本增加公司总股本</w:t>
      </w:r>
      <w:r>
        <w:rPr>
          <w:spacing w:val="-53"/>
        </w:rPr>
        <w:t> </w:t>
      </w:r>
      <w:r>
        <w:rPr>
          <w:rFonts w:ascii="宋体" w:hAnsi="宋体" w:cs="宋体" w:eastAsia="宋体" w:hint="default"/>
        </w:rPr>
        <w:t>417,000,000</w:t>
      </w:r>
      <w:r>
        <w:rPr>
          <w:rFonts w:ascii="宋体" w:hAnsi="宋体" w:cs="宋体" w:eastAsia="宋体" w:hint="default"/>
          <w:spacing w:val="-54"/>
        </w:rPr>
        <w:t> </w:t>
      </w:r>
      <w:r>
        <w:rPr/>
        <w:t>股。 </w:t>
      </w:r>
      <w:r>
        <w:rPr>
          <w:rFonts w:ascii="宋体" w:hAnsi="宋体" w:cs="宋体" w:eastAsia="宋体" w:hint="default"/>
          <w:spacing w:val="-3"/>
        </w:rPr>
        <w:t>2</w:t>
      </w:r>
      <w:r>
        <w:rPr>
          <w:spacing w:val="-3"/>
        </w:rPr>
        <w:t>、根据《海能达通信股份有限公司股票期权激励计划（草案修订稿）》的规定及公司授予股票期权的</w:t>
      </w:r>
    </w:p>
    <w:p>
      <w:pPr>
        <w:pStyle w:val="BodyText"/>
        <w:spacing w:line="240" w:lineRule="auto"/>
        <w:ind w:left="154" w:right="1046"/>
        <w:jc w:val="left"/>
      </w:pPr>
      <w:r>
        <w:rPr/>
        <w:t>时间，公司首期股票期权激励计划第一个行权期时间为</w:t>
      </w:r>
      <w:r>
        <w:rPr>
          <w:spacing w:val="-55"/>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9</w:t>
      </w:r>
      <w:r>
        <w:rPr>
          <w:rFonts w:ascii="宋体" w:hAnsi="宋体" w:cs="宋体" w:eastAsia="宋体" w:hint="default"/>
          <w:spacing w:val="-55"/>
        </w:rPr>
        <w:t> </w:t>
      </w:r>
      <w:r>
        <w:rPr/>
        <w:t>月</w:t>
      </w:r>
      <w:r>
        <w:rPr>
          <w:spacing w:val="-57"/>
        </w:rPr>
        <w:t> </w:t>
      </w:r>
      <w:r>
        <w:rPr>
          <w:rFonts w:ascii="宋体" w:hAnsi="宋体" w:cs="宋体" w:eastAsia="宋体" w:hint="default"/>
        </w:rPr>
        <w:t>5</w:t>
      </w:r>
      <w:r>
        <w:rPr>
          <w:rFonts w:ascii="宋体" w:hAnsi="宋体" w:cs="宋体" w:eastAsia="宋体" w:hint="default"/>
          <w:spacing w:val="-55"/>
        </w:rPr>
        <w:t> </w:t>
      </w:r>
      <w:r>
        <w:rPr/>
        <w:t>日至</w:t>
      </w:r>
      <w:r>
        <w:rPr>
          <w:spacing w:val="-56"/>
        </w:rPr>
        <w:t> </w:t>
      </w:r>
      <w:r>
        <w:rPr>
          <w:rFonts w:ascii="宋体" w:hAnsi="宋体" w:cs="宋体" w:eastAsia="宋体" w:hint="default"/>
        </w:rPr>
        <w:t>2015</w:t>
      </w:r>
      <w:r>
        <w:rPr>
          <w:rFonts w:ascii="宋体" w:hAnsi="宋体" w:cs="宋体" w:eastAsia="宋体" w:hint="default"/>
          <w:spacing w:val="-55"/>
        </w:rPr>
        <w:t> </w:t>
      </w:r>
      <w:r>
        <w:rPr/>
        <w:t>年</w:t>
      </w:r>
      <w:r>
        <w:rPr>
          <w:spacing w:val="-57"/>
        </w:rPr>
        <w:t> </w:t>
      </w:r>
      <w:r>
        <w:rPr>
          <w:rFonts w:ascii="宋体" w:hAnsi="宋体" w:cs="宋体" w:eastAsia="宋体" w:hint="default"/>
        </w:rPr>
        <w:t>9</w:t>
      </w:r>
      <w:r>
        <w:rPr>
          <w:rFonts w:ascii="宋体" w:hAnsi="宋体" w:cs="宋体" w:eastAsia="宋体" w:hint="default"/>
          <w:spacing w:val="-56"/>
        </w:rPr>
        <w:t> </w:t>
      </w:r>
      <w:r>
        <w:rPr/>
        <w:t>月</w:t>
      </w:r>
      <w:r>
        <w:rPr>
          <w:spacing w:val="-56"/>
        </w:rPr>
        <w:t> </w:t>
      </w:r>
      <w:r>
        <w:rPr>
          <w:rFonts w:ascii="宋体" w:hAnsi="宋体" w:cs="宋体" w:eastAsia="宋体" w:hint="default"/>
        </w:rPr>
        <w:t>4</w:t>
      </w:r>
      <w:r>
        <w:rPr>
          <w:rFonts w:ascii="宋体" w:hAnsi="宋体" w:cs="宋体" w:eastAsia="宋体" w:hint="default"/>
          <w:spacing w:val="-55"/>
        </w:rPr>
        <w:t> </w:t>
      </w:r>
      <w:r>
        <w:rPr/>
        <w:t>日，可行权数量</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为</w:t>
      </w:r>
      <w:r>
        <w:rPr>
          <w:spacing w:val="-54"/>
        </w:rPr>
        <w:t> </w:t>
      </w:r>
      <w:r>
        <w:rPr>
          <w:rFonts w:ascii="宋体" w:hAnsi="宋体" w:cs="宋体" w:eastAsia="宋体" w:hint="default"/>
        </w:rPr>
        <w:t>3,899,250</w:t>
      </w:r>
      <w:r>
        <w:rPr>
          <w:rFonts w:ascii="宋体" w:hAnsi="宋体" w:cs="宋体" w:eastAsia="宋体" w:hint="default"/>
          <w:spacing w:val="-53"/>
        </w:rPr>
        <w:t> </w:t>
      </w:r>
      <w:r>
        <w:rPr/>
        <w:t>股，第一个行权期采用自主行权的方式行权。截止</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日，激励对象通过自主</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rPr>
          <w:rFonts w:ascii="宋体" w:hAnsi="宋体" w:cs="宋体" w:eastAsia="宋体" w:hint="default"/>
        </w:rPr>
      </w:pPr>
      <w:r>
        <w:rPr/>
        <w:t>行权系统共行权</w:t>
      </w:r>
      <w:r>
        <w:rPr>
          <w:spacing w:val="-53"/>
        </w:rPr>
        <w:t> </w:t>
      </w:r>
      <w:r>
        <w:rPr>
          <w:rFonts w:ascii="宋体" w:hAnsi="宋体" w:cs="宋体" w:eastAsia="宋体" w:hint="default"/>
        </w:rPr>
        <w:t>1,515,650</w:t>
      </w:r>
      <w:r>
        <w:rPr>
          <w:rFonts w:ascii="宋体" w:hAnsi="宋体" w:cs="宋体" w:eastAsia="宋体" w:hint="default"/>
          <w:spacing w:val="-53"/>
        </w:rPr>
        <w:t> </w:t>
      </w:r>
      <w:r>
        <w:rPr/>
        <w:t>份股票期权，增加公司总股本</w:t>
      </w:r>
      <w:r>
        <w:rPr>
          <w:spacing w:val="-53"/>
        </w:rPr>
        <w:t> </w:t>
      </w:r>
      <w:r>
        <w:rPr>
          <w:rFonts w:ascii="宋体" w:hAnsi="宋体" w:cs="宋体" w:eastAsia="宋体" w:hint="default"/>
        </w:rPr>
        <w:t>1,515,650</w:t>
      </w:r>
      <w:r>
        <w:rPr>
          <w:rFonts w:ascii="宋体" w:hAnsi="宋体" w:cs="宋体" w:eastAsia="宋体" w:hint="default"/>
          <w:spacing w:val="-53"/>
        </w:rPr>
        <w:t> </w:t>
      </w:r>
      <w:r>
        <w:rPr/>
        <w:t>股，其中增加高管锁定股份</w:t>
      </w:r>
      <w:r>
        <w:rPr>
          <w:spacing w:val="-53"/>
        </w:rPr>
        <w:t> </w:t>
      </w:r>
      <w:r>
        <w:rPr>
          <w:rFonts w:ascii="宋体" w:hAnsi="宋体" w:cs="宋体" w:eastAsia="宋体" w:hint="default"/>
        </w:rPr>
        <w:t>140,625</w:t>
      </w:r>
    </w:p>
    <w:p>
      <w:pPr>
        <w:spacing w:after="0" w:line="240"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46"/>
        <w:jc w:val="left"/>
      </w:pPr>
      <w:r>
        <w:rPr/>
        <w:t>股，增加无限售流通股</w:t>
      </w:r>
      <w:r>
        <w:rPr>
          <w:spacing w:val="-54"/>
        </w:rPr>
        <w:t> </w:t>
      </w:r>
      <w:r>
        <w:rPr>
          <w:rFonts w:ascii="宋体" w:hAnsi="宋体" w:cs="宋体" w:eastAsia="宋体" w:hint="default"/>
        </w:rPr>
        <w:t>1,375,025</w:t>
      </w:r>
      <w:r>
        <w:rPr>
          <w:rFonts w:ascii="宋体" w:hAnsi="宋体" w:cs="宋体" w:eastAsia="宋体" w:hint="default"/>
          <w:spacing w:val="-54"/>
        </w:rPr>
        <w:t> </w:t>
      </w:r>
      <w:r>
        <w:rPr/>
        <w:t>股。</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rFonts w:ascii="宋体" w:hAnsi="宋体" w:cs="宋体" w:eastAsia="宋体" w:hint="default"/>
          <w:spacing w:val="-4"/>
        </w:rPr>
        <w:t>3</w:t>
      </w:r>
      <w:r>
        <w:rPr>
          <w:spacing w:val="-4"/>
        </w:rPr>
        <w:t>、</w:t>
      </w:r>
      <w:r>
        <w:rPr>
          <w:rFonts w:ascii="宋体" w:hAnsi="宋体" w:cs="宋体" w:eastAsia="宋体" w:hint="default"/>
          <w:spacing w:val="-4"/>
        </w:rPr>
        <w:t>2014</w:t>
      </w:r>
      <w:r>
        <w:rPr>
          <w:rFonts w:ascii="宋体" w:hAnsi="宋体" w:cs="宋体" w:eastAsia="宋体" w:hint="default"/>
          <w:spacing w:val="-64"/>
        </w:rPr>
        <w:t> </w:t>
      </w:r>
      <w:r>
        <w:rPr/>
        <w:t>年</w:t>
      </w:r>
      <w:r>
        <w:rPr>
          <w:spacing w:val="-64"/>
        </w:rPr>
        <w:t> </w:t>
      </w:r>
      <w:r>
        <w:rPr>
          <w:rFonts w:ascii="宋体" w:hAnsi="宋体" w:cs="宋体" w:eastAsia="宋体" w:hint="default"/>
        </w:rPr>
        <w:t>5</w:t>
      </w:r>
      <w:r>
        <w:rPr>
          <w:rFonts w:ascii="宋体" w:hAnsi="宋体" w:cs="宋体" w:eastAsia="宋体" w:hint="default"/>
          <w:spacing w:val="-64"/>
        </w:rPr>
        <w:t> </w:t>
      </w:r>
      <w:r>
        <w:rPr/>
        <w:t>月</w:t>
      </w:r>
      <w:r>
        <w:rPr>
          <w:spacing w:val="-64"/>
        </w:rPr>
        <w:t> </w:t>
      </w:r>
      <w:r>
        <w:rPr>
          <w:rFonts w:ascii="宋体" w:hAnsi="宋体" w:cs="宋体" w:eastAsia="宋体" w:hint="default"/>
        </w:rPr>
        <w:t>26</w:t>
      </w:r>
      <w:r>
        <w:rPr>
          <w:rFonts w:ascii="宋体" w:hAnsi="宋体" w:cs="宋体" w:eastAsia="宋体" w:hint="default"/>
          <w:spacing w:val="-63"/>
        </w:rPr>
        <w:t> </w:t>
      </w:r>
      <w:r>
        <w:rPr/>
        <w:t>日，公司控股股东、实际控制人陈清州先生及陈清州先生之妻翁丽敏女士、陈清州 </w:t>
      </w:r>
      <w:r>
        <w:rPr>
          <w:spacing w:val="-1"/>
        </w:rPr>
        <w:t>先生之亲戚陈静丽女士的限售股解除限售，陈清州先生作为公司的董事长兼总经理，解除限售后其持有股</w:t>
      </w:r>
      <w:r>
        <w:rPr>
          <w:spacing w:val="-81"/>
        </w:rPr>
        <w:t> </w:t>
      </w:r>
      <w:r>
        <w:rPr>
          <w:spacing w:val="-81"/>
        </w:rPr>
      </w:r>
      <w:r>
        <w:rPr/>
        <w:t>份</w:t>
      </w:r>
      <w:r>
        <w:rPr>
          <w:spacing w:val="-54"/>
        </w:rPr>
        <w:t> </w:t>
      </w:r>
      <w:r>
        <w:rPr>
          <w:rFonts w:ascii="宋体" w:hAnsi="宋体" w:cs="宋体" w:eastAsia="宋体" w:hint="default"/>
        </w:rPr>
        <w:t>75%</w:t>
      </w:r>
      <w:r>
        <w:rPr/>
        <w:t>变成高管限售股，其余变为无限售流通股。以上减少首发前个人类限售股</w:t>
      </w:r>
      <w:r>
        <w:rPr>
          <w:spacing w:val="-53"/>
        </w:rPr>
        <w:t> </w:t>
      </w:r>
      <w:r>
        <w:rPr>
          <w:rFonts w:ascii="宋体" w:hAnsi="宋体" w:cs="宋体" w:eastAsia="宋体" w:hint="default"/>
        </w:rPr>
        <w:t>422,940,500</w:t>
      </w:r>
      <w:r>
        <w:rPr>
          <w:rFonts w:ascii="宋体" w:hAnsi="宋体" w:cs="宋体" w:eastAsia="宋体" w:hint="default"/>
          <w:spacing w:val="-53"/>
        </w:rPr>
        <w:t> </w:t>
      </w:r>
      <w:r>
        <w:rPr/>
        <w:t>股，增加高 管限售股</w:t>
      </w:r>
      <w:r>
        <w:rPr>
          <w:spacing w:val="-54"/>
        </w:rPr>
        <w:t> </w:t>
      </w:r>
      <w:r>
        <w:rPr>
          <w:rFonts w:ascii="宋体" w:hAnsi="宋体" w:cs="宋体" w:eastAsia="宋体" w:hint="default"/>
        </w:rPr>
        <w:t>310,209,563</w:t>
      </w:r>
      <w:r>
        <w:rPr>
          <w:rFonts w:ascii="宋体" w:hAnsi="宋体" w:cs="宋体" w:eastAsia="宋体" w:hint="default"/>
          <w:spacing w:val="-54"/>
        </w:rPr>
        <w:t> </w:t>
      </w:r>
      <w:r>
        <w:rPr/>
        <w:t>股，增加无限售流通股</w:t>
      </w:r>
      <w:r>
        <w:rPr>
          <w:spacing w:val="-54"/>
        </w:rPr>
        <w:t> </w:t>
      </w:r>
      <w:r>
        <w:rPr>
          <w:rFonts w:ascii="宋体" w:hAnsi="宋体" w:cs="宋体" w:eastAsia="宋体" w:hint="default"/>
        </w:rPr>
        <w:t>112,730,937</w:t>
      </w:r>
      <w:r>
        <w:rPr>
          <w:rFonts w:ascii="宋体" w:hAnsi="宋体" w:cs="宋体" w:eastAsia="宋体" w:hint="default"/>
          <w:spacing w:val="-54"/>
        </w:rPr>
        <w:t> </w:t>
      </w:r>
      <w:r>
        <w:rPr/>
        <w:t>股。</w:t>
      </w:r>
    </w:p>
    <w:p>
      <w:pPr>
        <w:pStyle w:val="BodyText"/>
        <w:spacing w:line="408" w:lineRule="auto"/>
        <w:ind w:right="1198" w:firstLine="420"/>
        <w:jc w:val="left"/>
      </w:pPr>
      <w:r>
        <w:rPr>
          <w:rFonts w:ascii="宋体" w:hAnsi="宋体" w:cs="宋体" w:eastAsia="宋体" w:hint="default"/>
        </w:rPr>
        <w:t>4</w:t>
      </w:r>
      <w:r>
        <w:rPr/>
        <w:t>、公司董事、监事、高管由于在任期间每年按所持股份总数的百分之二十五解除限售，高管限售股 减少</w:t>
      </w:r>
      <w:r>
        <w:rPr>
          <w:spacing w:val="-54"/>
        </w:rPr>
        <w:t> </w:t>
      </w:r>
      <w:r>
        <w:rPr>
          <w:rFonts w:ascii="宋体" w:hAnsi="宋体" w:cs="宋体" w:eastAsia="宋体" w:hint="default"/>
        </w:rPr>
        <w:t>2,493,283</w:t>
      </w:r>
      <w:r>
        <w:rPr>
          <w:rFonts w:ascii="宋体" w:hAnsi="宋体" w:cs="宋体" w:eastAsia="宋体" w:hint="default"/>
          <w:spacing w:val="-53"/>
        </w:rPr>
        <w:t> </w:t>
      </w:r>
      <w:r>
        <w:rPr/>
        <w:t>股，无限售流通股增加</w:t>
      </w:r>
      <w:r>
        <w:rPr>
          <w:spacing w:val="-54"/>
        </w:rPr>
        <w:t> </w:t>
      </w:r>
      <w:r>
        <w:rPr>
          <w:rFonts w:ascii="宋体" w:hAnsi="宋体" w:cs="宋体" w:eastAsia="宋体" w:hint="default"/>
        </w:rPr>
        <w:t>2,493,283</w:t>
      </w:r>
      <w:r>
        <w:rPr>
          <w:rFonts w:ascii="宋体" w:hAnsi="宋体" w:cs="宋体" w:eastAsia="宋体" w:hint="default"/>
          <w:spacing w:val="-53"/>
        </w:rPr>
        <w:t> </w:t>
      </w:r>
      <w:r>
        <w:rPr/>
        <w:t>股；</w:t>
      </w:r>
    </w:p>
    <w:p>
      <w:pPr>
        <w:pStyle w:val="BodyText"/>
        <w:spacing w:line="240" w:lineRule="auto"/>
        <w:ind w:left="573" w:right="1046"/>
        <w:jc w:val="left"/>
      </w:pPr>
      <w:r>
        <w:rPr>
          <w:rFonts w:ascii="宋体" w:hAnsi="宋体" w:cs="宋体" w:eastAsia="宋体" w:hint="default"/>
        </w:rPr>
        <w:t>5</w:t>
      </w:r>
      <w:r>
        <w:rPr/>
        <w:t>、公司原监事李航先生和监事付东辉女士于</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4"/>
        </w:rPr>
        <w:t> </w:t>
      </w:r>
      <w:r>
        <w:rPr/>
        <w:t>日离职，在申报离职十八个月后，其所</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持有公司股份</w:t>
      </w:r>
      <w:r>
        <w:rPr>
          <w:spacing w:val="-53"/>
        </w:rPr>
        <w:t> </w:t>
      </w:r>
      <w:r>
        <w:rPr>
          <w:rFonts w:ascii="宋体" w:hAnsi="宋体" w:cs="宋体" w:eastAsia="宋体" w:hint="default"/>
        </w:rPr>
        <w:t>100%</w:t>
      </w:r>
      <w:r>
        <w:rPr/>
        <w:t>解除限售；公司原董事唐继跃先生于</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4"/>
        </w:rPr>
        <w:t> </w:t>
      </w:r>
      <w:r>
        <w:rPr/>
        <w:t>日离职，在申报离职十八个月后，</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其所持有公司股份</w:t>
      </w:r>
      <w:r>
        <w:rPr>
          <w:spacing w:val="-52"/>
        </w:rPr>
        <w:t> </w:t>
      </w:r>
      <w:r>
        <w:rPr>
          <w:rFonts w:ascii="宋体" w:hAnsi="宋体" w:cs="宋体" w:eastAsia="宋体" w:hint="default"/>
        </w:rPr>
        <w:t>100</w:t>
      </w:r>
      <w:r>
        <w:rPr>
          <w:rFonts w:ascii="宋体" w:hAnsi="宋体" w:cs="宋体" w:eastAsia="宋体" w:hint="default"/>
          <w:spacing w:val="-1"/>
        </w:rPr>
        <w:t>%</w:t>
      </w:r>
      <w:r>
        <w:rPr/>
        <w:t>解除限售</w:t>
      </w:r>
      <w:r>
        <w:rPr>
          <w:spacing w:val="-91"/>
        </w:rPr>
        <w:t>。</w:t>
      </w:r>
      <w:r>
        <w:rPr/>
        <w:t>以上减少高管锁定股份</w:t>
      </w:r>
      <w:r>
        <w:rPr>
          <w:spacing w:val="-52"/>
        </w:rPr>
        <w:t> </w:t>
      </w:r>
      <w:r>
        <w:rPr>
          <w:rFonts w:ascii="宋体" w:hAnsi="宋体" w:cs="宋体" w:eastAsia="宋体" w:hint="default"/>
        </w:rPr>
        <w:t>4,337,625</w:t>
      </w:r>
      <w:r>
        <w:rPr>
          <w:rFonts w:ascii="宋体" w:hAnsi="宋体" w:cs="宋体" w:eastAsia="宋体" w:hint="default"/>
          <w:spacing w:val="-52"/>
        </w:rPr>
        <w:t> </w:t>
      </w:r>
      <w:r>
        <w:rPr/>
        <w:t>股</w:t>
      </w:r>
      <w:r>
        <w:rPr>
          <w:spacing w:val="-91"/>
        </w:rPr>
        <w:t>，</w:t>
      </w:r>
      <w:r>
        <w:rPr>
          <w:spacing w:val="-2"/>
        </w:rPr>
        <w:t>增</w:t>
      </w:r>
      <w:r>
        <w:rPr/>
        <w:t>加无限售流通股</w:t>
      </w:r>
      <w:r>
        <w:rPr>
          <w:spacing w:val="-52"/>
        </w:rPr>
        <w:t> </w:t>
      </w:r>
      <w:r>
        <w:rPr>
          <w:rFonts w:ascii="宋体" w:hAnsi="宋体" w:cs="宋体" w:eastAsia="宋体" w:hint="default"/>
        </w:rPr>
        <w:t>4,337,625</w:t>
      </w:r>
      <w:r>
        <w:rPr>
          <w:rFonts w:ascii="宋体" w:hAnsi="宋体" w:cs="宋体" w:eastAsia="宋体" w:hint="default"/>
          <w:spacing w:val="-52"/>
        </w:rPr>
        <w:t> </w:t>
      </w:r>
      <w:r>
        <w:rPr>
          <w:spacing w:val="-2"/>
        </w:rPr>
        <w:t>股。</w:t>
      </w:r>
      <w:r>
        <w:rPr/>
      </w:r>
    </w:p>
    <w:p>
      <w:pPr>
        <w:spacing w:line="240" w:lineRule="auto" w:before="11"/>
        <w:rPr>
          <w:rFonts w:ascii="宋体" w:hAnsi="宋体" w:cs="宋体" w:eastAsia="宋体" w:hint="default"/>
          <w:sz w:val="13"/>
          <w:szCs w:val="13"/>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5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before="4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4"/>
        <w:ind w:right="1120" w:firstLine="420"/>
        <w:jc w:val="left"/>
      </w:pPr>
      <w:r>
        <w:rPr/>
        <w:t>报告期内，公司股份总数由</w:t>
      </w:r>
      <w:r>
        <w:rPr>
          <w:spacing w:val="-59"/>
        </w:rPr>
        <w:t> </w:t>
      </w:r>
      <w:r>
        <w:rPr>
          <w:rFonts w:ascii="宋体" w:hAnsi="宋体" w:cs="宋体" w:eastAsia="宋体" w:hint="default"/>
        </w:rPr>
        <w:t>278,000,000</w:t>
      </w:r>
      <w:r>
        <w:rPr>
          <w:rFonts w:ascii="宋体" w:hAnsi="宋体" w:cs="宋体" w:eastAsia="宋体" w:hint="default"/>
          <w:spacing w:val="-59"/>
        </w:rPr>
        <w:t> </w:t>
      </w:r>
      <w:r>
        <w:rPr/>
        <w:t>股增加到</w:t>
      </w:r>
      <w:r>
        <w:rPr>
          <w:spacing w:val="-60"/>
        </w:rPr>
        <w:t> </w:t>
      </w:r>
      <w:r>
        <w:rPr>
          <w:rFonts w:ascii="宋体" w:hAnsi="宋体" w:cs="宋体" w:eastAsia="宋体" w:hint="default"/>
        </w:rPr>
        <w:t>696,515,650</w:t>
      </w:r>
      <w:r>
        <w:rPr>
          <w:rFonts w:ascii="宋体" w:hAnsi="宋体" w:cs="宋体" w:eastAsia="宋体" w:hint="default"/>
          <w:spacing w:val="-59"/>
        </w:rPr>
        <w:t> </w:t>
      </w:r>
      <w:r>
        <w:rPr/>
        <w:t>股，对公司基本每股收益、稀释每股 收益、归属于公司普通股股东的每股净资产的影响如下：</w:t>
      </w:r>
    </w:p>
    <w:p>
      <w:pPr>
        <w:pStyle w:val="BodyText"/>
        <w:spacing w:line="240" w:lineRule="auto"/>
        <w:ind w:left="574" w:right="1046"/>
        <w:jc w:val="left"/>
      </w:pPr>
      <w:r>
        <w:rPr>
          <w:rFonts w:ascii="宋体" w:hAnsi="宋体" w:cs="宋体" w:eastAsia="宋体" w:hint="default"/>
        </w:rPr>
        <w:t>1</w:t>
      </w:r>
      <w:r>
        <w:rPr/>
        <w:t>、基本每股收益：按照年初总股数</w:t>
      </w:r>
      <w:r>
        <w:rPr>
          <w:spacing w:val="-54"/>
        </w:rPr>
        <w:t> </w:t>
      </w:r>
      <w:r>
        <w:rPr>
          <w:rFonts w:ascii="宋体" w:hAnsi="宋体" w:cs="宋体" w:eastAsia="宋体" w:hint="default"/>
        </w:rPr>
        <w:t>278,000,000</w:t>
      </w:r>
      <w:r>
        <w:rPr>
          <w:rFonts w:ascii="宋体" w:hAnsi="宋体" w:cs="宋体" w:eastAsia="宋体" w:hint="default"/>
          <w:spacing w:val="-54"/>
        </w:rPr>
        <w:t> </w:t>
      </w:r>
      <w:r>
        <w:rPr/>
        <w:t>股计算，公司基本每股收益为</w:t>
      </w:r>
      <w:r>
        <w:rPr>
          <w:spacing w:val="-53"/>
        </w:rPr>
        <w:t> </w:t>
      </w:r>
      <w:r>
        <w:rPr>
          <w:rFonts w:ascii="宋体" w:hAnsi="宋体" w:cs="宋体" w:eastAsia="宋体" w:hint="default"/>
        </w:rPr>
        <w:t>0.16</w:t>
      </w:r>
      <w:r>
        <w:rPr>
          <w:rFonts w:ascii="宋体" w:hAnsi="宋体" w:cs="宋体" w:eastAsia="宋体" w:hint="default"/>
          <w:spacing w:val="-55"/>
        </w:rPr>
        <w:t> </w:t>
      </w:r>
      <w:r>
        <w:rPr/>
        <w:t>元</w:t>
      </w:r>
      <w:r>
        <w:rPr>
          <w:rFonts w:ascii="宋体" w:hAnsi="宋体" w:cs="宋体" w:eastAsia="宋体" w:hint="default"/>
        </w:rPr>
        <w:t>/</w:t>
      </w:r>
      <w:r>
        <w:rPr/>
        <w:t>股，按照报</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告期末总股数</w:t>
      </w:r>
      <w:r>
        <w:rPr>
          <w:spacing w:val="-53"/>
        </w:rPr>
        <w:t> </w:t>
      </w:r>
      <w:r>
        <w:rPr>
          <w:rFonts w:ascii="宋体" w:hAnsi="宋体" w:cs="宋体" w:eastAsia="宋体" w:hint="default"/>
        </w:rPr>
        <w:t>696,515,650</w:t>
      </w:r>
      <w:r>
        <w:rPr>
          <w:rFonts w:ascii="宋体" w:hAnsi="宋体" w:cs="宋体" w:eastAsia="宋体" w:hint="default"/>
          <w:spacing w:val="-53"/>
        </w:rPr>
        <w:t> </w:t>
      </w:r>
      <w:r>
        <w:rPr/>
        <w:t>股计算，公司基本每股收益为</w:t>
      </w:r>
      <w:r>
        <w:rPr>
          <w:spacing w:val="-53"/>
        </w:rPr>
        <w:t> </w:t>
      </w:r>
      <w:r>
        <w:rPr>
          <w:rFonts w:ascii="宋体" w:hAnsi="宋体" w:cs="宋体" w:eastAsia="宋体" w:hint="default"/>
        </w:rPr>
        <w:t>0.06</w:t>
      </w:r>
      <w:r>
        <w:rPr>
          <w:rFonts w:ascii="宋体" w:hAnsi="宋体" w:cs="宋体" w:eastAsia="宋体" w:hint="default"/>
          <w:spacing w:val="-54"/>
        </w:rPr>
        <w:t> </w:t>
      </w:r>
      <w:r>
        <w:rPr/>
        <w:t>元</w:t>
      </w:r>
      <w:r>
        <w:rPr>
          <w:rFonts w:ascii="宋体" w:hAnsi="宋体" w:cs="宋体" w:eastAsia="宋体" w:hint="default"/>
        </w:rPr>
        <w:t>/</w:t>
      </w:r>
      <w:r>
        <w:rPr/>
        <w:t>股。</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rFonts w:ascii="宋体" w:hAnsi="宋体" w:cs="宋体" w:eastAsia="宋体" w:hint="default"/>
        </w:rPr>
        <w:t>2</w:t>
      </w:r>
      <w:r>
        <w:rPr/>
        <w:t>、稀释每股收益：按照年初总股数</w:t>
      </w:r>
      <w:r>
        <w:rPr>
          <w:spacing w:val="-54"/>
        </w:rPr>
        <w:t> </w:t>
      </w:r>
      <w:r>
        <w:rPr>
          <w:rFonts w:ascii="宋体" w:hAnsi="宋体" w:cs="宋体" w:eastAsia="宋体" w:hint="default"/>
        </w:rPr>
        <w:t>278,000,000</w:t>
      </w:r>
      <w:r>
        <w:rPr>
          <w:rFonts w:ascii="宋体" w:hAnsi="宋体" w:cs="宋体" w:eastAsia="宋体" w:hint="default"/>
          <w:spacing w:val="-54"/>
        </w:rPr>
        <w:t> </w:t>
      </w:r>
      <w:r>
        <w:rPr/>
        <w:t>股计算，公司稀释每股收益为</w:t>
      </w:r>
      <w:r>
        <w:rPr>
          <w:spacing w:val="-53"/>
        </w:rPr>
        <w:t> </w:t>
      </w:r>
      <w:r>
        <w:rPr>
          <w:rFonts w:ascii="宋体" w:hAnsi="宋体" w:cs="宋体" w:eastAsia="宋体" w:hint="default"/>
        </w:rPr>
        <w:t>0.16</w:t>
      </w:r>
      <w:r>
        <w:rPr>
          <w:rFonts w:ascii="宋体" w:hAnsi="宋体" w:cs="宋体" w:eastAsia="宋体" w:hint="default"/>
          <w:spacing w:val="-55"/>
        </w:rPr>
        <w:t> </w:t>
      </w:r>
      <w:r>
        <w:rPr/>
        <w:t>元</w:t>
      </w:r>
      <w:r>
        <w:rPr>
          <w:rFonts w:ascii="宋体" w:hAnsi="宋体" w:cs="宋体" w:eastAsia="宋体" w:hint="default"/>
        </w:rPr>
        <w:t>/</w:t>
      </w:r>
      <w:r>
        <w:rPr/>
        <w:t>股，按照报</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告期末总股数</w:t>
      </w:r>
      <w:r>
        <w:rPr>
          <w:spacing w:val="-53"/>
        </w:rPr>
        <w:t> </w:t>
      </w:r>
      <w:r>
        <w:rPr>
          <w:rFonts w:ascii="宋体" w:hAnsi="宋体" w:cs="宋体" w:eastAsia="宋体" w:hint="default"/>
        </w:rPr>
        <w:t>696,515,650</w:t>
      </w:r>
      <w:r>
        <w:rPr>
          <w:rFonts w:ascii="宋体" w:hAnsi="宋体" w:cs="宋体" w:eastAsia="宋体" w:hint="default"/>
          <w:spacing w:val="-53"/>
        </w:rPr>
        <w:t> </w:t>
      </w:r>
      <w:r>
        <w:rPr/>
        <w:t>股计算，公司稀释每股收益为</w:t>
      </w:r>
      <w:r>
        <w:rPr>
          <w:spacing w:val="-53"/>
        </w:rPr>
        <w:t> </w:t>
      </w:r>
      <w:r>
        <w:rPr>
          <w:rFonts w:ascii="宋体" w:hAnsi="宋体" w:cs="宋体" w:eastAsia="宋体" w:hint="default"/>
        </w:rPr>
        <w:t>0.06</w:t>
      </w:r>
      <w:r>
        <w:rPr>
          <w:rFonts w:ascii="宋体" w:hAnsi="宋体" w:cs="宋体" w:eastAsia="宋体" w:hint="default"/>
          <w:spacing w:val="-54"/>
        </w:rPr>
        <w:t> </w:t>
      </w:r>
      <w:r>
        <w:rPr/>
        <w:t>元</w:t>
      </w:r>
      <w:r>
        <w:rPr>
          <w:rFonts w:ascii="宋体" w:hAnsi="宋体" w:cs="宋体" w:eastAsia="宋体" w:hint="default"/>
        </w:rPr>
        <w:t>/</w:t>
      </w:r>
      <w:r>
        <w:rPr/>
        <w:t>股。</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rFonts w:ascii="宋体" w:hAnsi="宋体" w:cs="宋体" w:eastAsia="宋体" w:hint="default"/>
        </w:rPr>
        <w:t>3</w:t>
      </w:r>
      <w:r>
        <w:rPr/>
        <w:t>、归属于公司普通股股东的每股净资产：按照年初总股数</w:t>
      </w:r>
      <w:r>
        <w:rPr>
          <w:spacing w:val="-53"/>
        </w:rPr>
        <w:t> </w:t>
      </w:r>
      <w:r>
        <w:rPr>
          <w:rFonts w:ascii="宋体" w:hAnsi="宋体" w:cs="宋体" w:eastAsia="宋体" w:hint="default"/>
        </w:rPr>
        <w:t>278,000,000</w:t>
      </w:r>
      <w:r>
        <w:rPr>
          <w:rFonts w:ascii="宋体" w:hAnsi="宋体" w:cs="宋体" w:eastAsia="宋体" w:hint="default"/>
          <w:spacing w:val="-54"/>
        </w:rPr>
        <w:t> </w:t>
      </w:r>
      <w:r>
        <w:rPr/>
        <w:t>股计算，公司归属于公司普</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通股股东的每股净资产为</w:t>
      </w:r>
      <w:r>
        <w:rPr>
          <w:spacing w:val="-53"/>
        </w:rPr>
        <w:t> </w:t>
      </w:r>
      <w:r>
        <w:rPr>
          <w:rFonts w:ascii="宋体" w:hAnsi="宋体" w:cs="宋体" w:eastAsia="宋体" w:hint="default"/>
        </w:rPr>
        <w:t>7.21</w:t>
      </w:r>
      <w:r>
        <w:rPr>
          <w:rFonts w:ascii="宋体" w:hAnsi="宋体" w:cs="宋体" w:eastAsia="宋体" w:hint="default"/>
          <w:spacing w:val="-54"/>
        </w:rPr>
        <w:t> </w:t>
      </w:r>
      <w:r>
        <w:rPr/>
        <w:t>元，按照报告期末总股数</w:t>
      </w:r>
      <w:r>
        <w:rPr>
          <w:spacing w:val="-53"/>
        </w:rPr>
        <w:t> </w:t>
      </w:r>
      <w:r>
        <w:rPr>
          <w:rFonts w:ascii="宋体" w:hAnsi="宋体" w:cs="宋体" w:eastAsia="宋体" w:hint="default"/>
        </w:rPr>
        <w:t>696,515,650</w:t>
      </w:r>
      <w:r>
        <w:rPr>
          <w:rFonts w:ascii="宋体" w:hAnsi="宋体" w:cs="宋体" w:eastAsia="宋体" w:hint="default"/>
          <w:spacing w:val="-53"/>
        </w:rPr>
        <w:t> </w:t>
      </w:r>
      <w:r>
        <w:rPr/>
        <w:t>股计算，公司归属于公司普通股股</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东的每股净资产为</w:t>
      </w:r>
      <w:r>
        <w:rPr>
          <w:spacing w:val="-52"/>
        </w:rPr>
        <w:t> </w:t>
      </w:r>
      <w:r>
        <w:rPr>
          <w:rFonts w:ascii="宋体" w:hAnsi="宋体" w:cs="宋体" w:eastAsia="宋体" w:hint="default"/>
        </w:rPr>
        <w:t>2.88</w:t>
      </w:r>
      <w:r>
        <w:rPr>
          <w:rFonts w:ascii="宋体" w:hAnsi="宋体" w:cs="宋体" w:eastAsia="宋体" w:hint="default"/>
          <w:spacing w:val="-54"/>
        </w:rPr>
        <w:t> </w:t>
      </w:r>
      <w:r>
        <w:rPr/>
        <w:t>元。</w:t>
      </w:r>
    </w:p>
    <w:p>
      <w:pPr>
        <w:spacing w:line="240" w:lineRule="auto" w:before="11"/>
        <w:rPr>
          <w:rFonts w:ascii="宋体" w:hAnsi="宋体" w:cs="宋体" w:eastAsia="宋体" w:hint="default"/>
          <w:sz w:val="13"/>
          <w:szCs w:val="13"/>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公司认为必要或证券监管机构要求披露的其他内容</w:t>
      </w:r>
    </w:p>
    <w:p>
      <w:pPr>
        <w:spacing w:before="117"/>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1046"/>
        <w:jc w:val="left"/>
        <w:rPr>
          <w:b w:val="0"/>
          <w:bCs w:val="0"/>
        </w:rPr>
      </w:pPr>
      <w:bookmarkStart w:name="二、证券发行与上市情况" w:id="98"/>
      <w:bookmarkEnd w:id="98"/>
      <w:r>
        <w:rPr>
          <w:b w:val="0"/>
          <w:bCs w:val="0"/>
        </w:rPr>
      </w: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046"/>
        <w:jc w:val="left"/>
        <w:rPr>
          <w:b w:val="0"/>
          <w:bCs w:val="0"/>
        </w:rPr>
      </w:pPr>
      <w:bookmarkStart w:name="1、报告期末近三年历次证券发行情况" w:id="99"/>
      <w:bookmarkEnd w:id="99"/>
      <w:r>
        <w:rPr>
          <w:b w:val="0"/>
          <w:bCs w:val="0"/>
        </w:rPr>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8"/>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2、公司股份总数及股东结构的变动、公司资产和负债结构的变动情况说明" w:id="100"/>
      <w:bookmarkEnd w:id="10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3" w:right="1046"/>
        <w:jc w:val="left"/>
      </w:pPr>
      <w:r>
        <w:rPr/>
        <w:t>（</w:t>
      </w: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日，公司召开第二届董事会第十次会议，审议通过了《关于公司</w:t>
      </w:r>
      <w:r>
        <w:rPr>
          <w:spacing w:val="-53"/>
        </w:rPr>
        <w:t> </w:t>
      </w:r>
      <w:r>
        <w:rPr>
          <w:rFonts w:ascii="宋体" w:hAnsi="宋体" w:cs="宋体" w:eastAsia="宋体" w:hint="default"/>
        </w:rPr>
        <w:t>2014</w:t>
      </w:r>
      <w:r>
        <w:rPr>
          <w:rFonts w:ascii="宋体" w:hAnsi="宋体" w:cs="宋体" w:eastAsia="宋体" w:hint="default"/>
          <w:spacing w:val="-54"/>
        </w:rPr>
        <w:t> </w:t>
      </w:r>
      <w:r>
        <w:rPr/>
        <w:t>年半年度</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利润分配的议案</w:t>
      </w:r>
      <w:r>
        <w:rPr>
          <w:spacing w:val="-105"/>
        </w:rPr>
        <w:t>》</w:t>
      </w:r>
      <w:r>
        <w:rPr>
          <w:spacing w:val="-8"/>
        </w:rPr>
        <w:t>，</w:t>
      </w:r>
      <w:r>
        <w:rPr/>
        <w:t>同</w:t>
      </w:r>
      <w:r>
        <w:rPr>
          <w:spacing w:val="-2"/>
        </w:rPr>
        <w:t>意</w:t>
      </w:r>
      <w:r>
        <w:rPr/>
        <w:t>公司</w:t>
      </w:r>
      <w:r>
        <w:rPr>
          <w:spacing w:val="-52"/>
        </w:rPr>
        <w:t> </w:t>
      </w:r>
      <w:r>
        <w:rPr>
          <w:rFonts w:ascii="宋体" w:hAnsi="宋体" w:cs="宋体" w:eastAsia="宋体" w:hint="default"/>
        </w:rPr>
        <w:t>2014</w:t>
      </w:r>
      <w:r>
        <w:rPr>
          <w:rFonts w:ascii="宋体" w:hAnsi="宋体" w:cs="宋体" w:eastAsia="宋体" w:hint="default"/>
          <w:spacing w:val="-53"/>
        </w:rPr>
        <w:t> </w:t>
      </w:r>
      <w:r>
        <w:rPr>
          <w:spacing w:val="-2"/>
        </w:rPr>
        <w:t>年</w:t>
      </w:r>
      <w:r>
        <w:rPr/>
        <w:t>半年度利润分配方案通过资本公积金转增股本方式实施</w:t>
      </w:r>
      <w:r>
        <w:rPr>
          <w:spacing w:val="-8"/>
        </w:rPr>
        <w:t>，</w:t>
      </w:r>
      <w:r>
        <w:rPr/>
        <w:t>具体为</w:t>
      </w:r>
      <w:r>
        <w:rPr>
          <w:spacing w:val="-8"/>
        </w:rPr>
        <w:t>：</w:t>
      </w:r>
      <w:r>
        <w:rPr/>
        <w:t>以</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公司总股本</w:t>
      </w:r>
      <w:r>
        <w:rPr>
          <w:spacing w:val="-53"/>
        </w:rPr>
        <w:t> </w:t>
      </w:r>
      <w:r>
        <w:rPr>
          <w:rFonts w:ascii="宋体" w:hAnsi="宋体" w:cs="宋体" w:eastAsia="宋体" w:hint="default"/>
        </w:rPr>
        <w:t>278,000,000</w:t>
      </w:r>
      <w:r>
        <w:rPr>
          <w:rFonts w:ascii="宋体" w:hAnsi="宋体" w:cs="宋体" w:eastAsia="宋体" w:hint="default"/>
          <w:spacing w:val="-54"/>
        </w:rPr>
        <w:t> </w:t>
      </w:r>
      <w:r>
        <w:rPr/>
        <w:t>股为基数，进行资本公积金转增股本，全体股东每</w:t>
      </w:r>
      <w:r>
        <w:rPr>
          <w:spacing w:val="-53"/>
        </w:rPr>
        <w:t> </w:t>
      </w:r>
      <w:r>
        <w:rPr>
          <w:rFonts w:ascii="宋体" w:hAnsi="宋体" w:cs="宋体" w:eastAsia="宋体" w:hint="default"/>
        </w:rPr>
        <w:t>10</w:t>
      </w:r>
      <w:r>
        <w:rPr>
          <w:rFonts w:ascii="宋体" w:hAnsi="宋体" w:cs="宋体" w:eastAsia="宋体" w:hint="default"/>
          <w:spacing w:val="-53"/>
        </w:rPr>
        <w:t> </w:t>
      </w:r>
      <w:r>
        <w:rPr/>
        <w:t>股转增</w:t>
      </w:r>
      <w:r>
        <w:rPr>
          <w:spacing w:val="-54"/>
        </w:rPr>
        <w:t> </w:t>
      </w:r>
      <w:r>
        <w:rPr>
          <w:rFonts w:ascii="宋体" w:hAnsi="宋体" w:cs="宋体" w:eastAsia="宋体" w:hint="default"/>
        </w:rPr>
        <w:t>15</w:t>
      </w:r>
      <w:r>
        <w:rPr>
          <w:rFonts w:ascii="宋体" w:hAnsi="宋体" w:cs="宋体" w:eastAsia="宋体" w:hint="default"/>
          <w:spacing w:val="-53"/>
        </w:rPr>
        <w:t> </w:t>
      </w:r>
      <w:r>
        <w:rPr/>
        <w:t>股，共计转增</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rFonts w:ascii="宋体" w:hAnsi="宋体" w:cs="宋体" w:eastAsia="宋体" w:hint="default"/>
        </w:rPr>
        <w:t>417,000,000</w:t>
      </w:r>
      <w:r>
        <w:rPr>
          <w:rFonts w:ascii="宋体" w:hAnsi="宋体" w:cs="宋体" w:eastAsia="宋体" w:hint="default"/>
          <w:spacing w:val="-54"/>
        </w:rPr>
        <w:t> </w:t>
      </w:r>
      <w:r>
        <w:rPr/>
        <w:t>股，转增后公司总股本将增加至</w:t>
      </w:r>
      <w:r>
        <w:rPr>
          <w:spacing w:val="-53"/>
        </w:rPr>
        <w:t> </w:t>
      </w:r>
      <w:r>
        <w:rPr>
          <w:rFonts w:ascii="宋体" w:hAnsi="宋体" w:cs="宋体" w:eastAsia="宋体" w:hint="default"/>
        </w:rPr>
        <w:t>695,000,000</w:t>
      </w:r>
      <w:r>
        <w:rPr>
          <w:rFonts w:ascii="宋体" w:hAnsi="宋体" w:cs="宋体" w:eastAsia="宋体" w:hint="default"/>
          <w:spacing w:val="-53"/>
        </w:rPr>
        <w:t> </w:t>
      </w:r>
      <w:r>
        <w:rPr/>
        <w:t>股，该方案于</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3</w:t>
      </w:r>
      <w:r>
        <w:rPr>
          <w:rFonts w:ascii="宋体" w:hAnsi="宋体" w:cs="宋体" w:eastAsia="宋体" w:hint="default"/>
          <w:spacing w:val="-54"/>
        </w:rPr>
        <w:t> </w:t>
      </w:r>
      <w:r>
        <w:rPr/>
        <w:t>日经公司</w:t>
      </w:r>
      <w:r>
        <w:rPr>
          <w:spacing w:val="-54"/>
        </w:rPr>
        <w:t> </w:t>
      </w:r>
      <w:r>
        <w:rPr>
          <w:rFonts w:ascii="宋体" w:hAnsi="宋体" w:cs="宋体" w:eastAsia="宋体" w:hint="default"/>
        </w:rPr>
        <w:t>2014</w:t>
      </w:r>
      <w:r>
        <w:rPr>
          <w:rFonts w:ascii="宋体" w:hAnsi="宋体" w:cs="宋体" w:eastAsia="宋体" w:hint="default"/>
          <w:spacing w:val="-54"/>
        </w:rPr>
        <w:t> </w:t>
      </w:r>
      <w:r>
        <w:rPr/>
        <w:t>年</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第一次临时股东大会审议通过，并于</w:t>
      </w:r>
      <w:r>
        <w:rPr>
          <w:spacing w:val="-57"/>
        </w:rPr>
        <w:t> </w:t>
      </w:r>
      <w:r>
        <w:rPr>
          <w:rFonts w:ascii="宋体" w:hAnsi="宋体" w:cs="宋体" w:eastAsia="宋体" w:hint="default"/>
        </w:rPr>
        <w:t>2014</w:t>
      </w:r>
      <w:r>
        <w:rPr>
          <w:rFonts w:ascii="宋体" w:hAnsi="宋体" w:cs="宋体" w:eastAsia="宋体" w:hint="default"/>
          <w:spacing w:val="-57"/>
        </w:rPr>
        <w:t> </w:t>
      </w:r>
      <w:r>
        <w:rPr/>
        <w:t>年</w:t>
      </w:r>
      <w:r>
        <w:rPr>
          <w:spacing w:val="-59"/>
        </w:rPr>
        <w:t> </w:t>
      </w:r>
      <w:r>
        <w:rPr>
          <w:rFonts w:ascii="宋体" w:hAnsi="宋体" w:cs="宋体" w:eastAsia="宋体" w:hint="default"/>
        </w:rPr>
        <w:t>9</w:t>
      </w:r>
      <w:r>
        <w:rPr>
          <w:rFonts w:ascii="宋体" w:hAnsi="宋体" w:cs="宋体" w:eastAsia="宋体" w:hint="default"/>
          <w:spacing w:val="-58"/>
        </w:rPr>
        <w:t> </w:t>
      </w:r>
      <w:r>
        <w:rPr/>
        <w:t>月</w:t>
      </w:r>
      <w:r>
        <w:rPr>
          <w:spacing w:val="-58"/>
        </w:rPr>
        <w:t> </w:t>
      </w:r>
      <w:r>
        <w:rPr>
          <w:rFonts w:ascii="宋体" w:hAnsi="宋体" w:cs="宋体" w:eastAsia="宋体" w:hint="default"/>
        </w:rPr>
        <w:t>15</w:t>
      </w:r>
      <w:r>
        <w:rPr>
          <w:rFonts w:ascii="宋体" w:hAnsi="宋体" w:cs="宋体" w:eastAsia="宋体" w:hint="default"/>
          <w:spacing w:val="-57"/>
        </w:rPr>
        <w:t> </w:t>
      </w:r>
      <w:r>
        <w:rPr/>
        <w:t>日实施完毕。本次实施资本公积金转增股本增加公司</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总股本</w:t>
      </w:r>
      <w:r>
        <w:rPr>
          <w:spacing w:val="-52"/>
        </w:rPr>
        <w:t> </w:t>
      </w:r>
      <w:r>
        <w:rPr>
          <w:rFonts w:ascii="宋体" w:hAnsi="宋体" w:cs="宋体" w:eastAsia="宋体" w:hint="default"/>
        </w:rPr>
        <w:t>417,000,000</w:t>
      </w:r>
      <w:r>
        <w:rPr>
          <w:rFonts w:ascii="宋体" w:hAnsi="宋体" w:cs="宋体" w:eastAsia="宋体" w:hint="default"/>
          <w:spacing w:val="-52"/>
        </w:rPr>
        <w:t> </w:t>
      </w:r>
      <w:r>
        <w:rPr/>
        <w:t>股。</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spacing w:val="-3"/>
        </w:rPr>
        <w:t>（</w:t>
      </w:r>
      <w:r>
        <w:rPr>
          <w:rFonts w:ascii="宋体" w:hAnsi="宋体" w:cs="宋体" w:eastAsia="宋体" w:hint="default"/>
          <w:spacing w:val="-3"/>
        </w:rPr>
        <w:t>2</w:t>
      </w:r>
      <w:r>
        <w:rPr>
          <w:spacing w:val="-3"/>
        </w:rPr>
        <w:t>）根据《海能达通信股份有限公司股票期权激励计划（草案修订稿）》的规定及公司授予股票期权</w:t>
      </w:r>
      <w:r>
        <w:rPr/>
        <w:t> 的时间，公司首期股票期权激励计划第一个行权期时间为</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4"/>
        </w:rPr>
        <w:t> </w:t>
      </w:r>
      <w:r>
        <w:rPr/>
        <w:t>日至</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spacing w:val="-3"/>
        </w:rPr>
        <w:t>日，可行权数</w:t>
      </w:r>
    </w:p>
    <w:p>
      <w:pPr>
        <w:pStyle w:val="BodyText"/>
        <w:spacing w:line="240" w:lineRule="auto"/>
        <w:ind w:right="1046"/>
        <w:jc w:val="left"/>
      </w:pPr>
      <w:r>
        <w:rPr/>
        <w:t>量为</w:t>
      </w:r>
      <w:r>
        <w:rPr>
          <w:spacing w:val="-54"/>
        </w:rPr>
        <w:t> </w:t>
      </w:r>
      <w:r>
        <w:rPr>
          <w:rFonts w:ascii="宋体" w:hAnsi="宋体" w:cs="宋体" w:eastAsia="宋体" w:hint="default"/>
        </w:rPr>
        <w:t>3,899,250</w:t>
      </w:r>
      <w:r>
        <w:rPr>
          <w:rFonts w:ascii="宋体" w:hAnsi="宋体" w:cs="宋体" w:eastAsia="宋体" w:hint="default"/>
          <w:spacing w:val="-53"/>
        </w:rPr>
        <w:t> </w:t>
      </w:r>
      <w:r>
        <w:rPr/>
        <w:t>股，第一个行权期采用自主行权的方式行权。截止</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日，激励对象通过自</w:t>
      </w:r>
    </w:p>
    <w:p>
      <w:pPr>
        <w:spacing w:line="240" w:lineRule="auto" w:before="10"/>
        <w:rPr>
          <w:rFonts w:ascii="宋体" w:hAnsi="宋体" w:cs="宋体" w:eastAsia="宋体" w:hint="default"/>
          <w:sz w:val="14"/>
          <w:szCs w:val="14"/>
        </w:rPr>
      </w:pPr>
    </w:p>
    <w:p>
      <w:pPr>
        <w:pStyle w:val="BodyText"/>
        <w:spacing w:line="240" w:lineRule="auto" w:before="0"/>
        <w:ind w:right="1046"/>
        <w:jc w:val="left"/>
        <w:rPr>
          <w:rFonts w:ascii="宋体" w:hAnsi="宋体" w:cs="宋体" w:eastAsia="宋体" w:hint="default"/>
        </w:rPr>
      </w:pPr>
      <w:r>
        <w:rPr/>
        <w:t>主行权系统共行权</w:t>
      </w:r>
      <w:r>
        <w:rPr>
          <w:spacing w:val="-52"/>
        </w:rPr>
        <w:t> </w:t>
      </w:r>
      <w:r>
        <w:rPr>
          <w:rFonts w:ascii="宋体" w:hAnsi="宋体" w:cs="宋体" w:eastAsia="宋体" w:hint="default"/>
        </w:rPr>
        <w:t>1,515,650</w:t>
      </w:r>
      <w:r>
        <w:rPr>
          <w:rFonts w:ascii="宋体" w:hAnsi="宋体" w:cs="宋体" w:eastAsia="宋体" w:hint="default"/>
          <w:spacing w:val="-52"/>
        </w:rPr>
        <w:t> </w:t>
      </w:r>
      <w:r>
        <w:rPr/>
        <w:t>份股</w:t>
      </w:r>
      <w:r>
        <w:rPr>
          <w:spacing w:val="-2"/>
        </w:rPr>
        <w:t>票</w:t>
      </w:r>
      <w:r>
        <w:rPr/>
        <w:t>期权</w:t>
      </w:r>
      <w:r>
        <w:rPr>
          <w:spacing w:val="-91"/>
        </w:rPr>
        <w:t>，</w:t>
      </w:r>
      <w:r>
        <w:rPr/>
        <w:t>增加公司总股本</w:t>
      </w:r>
      <w:r>
        <w:rPr>
          <w:spacing w:val="-52"/>
        </w:rPr>
        <w:t> </w:t>
      </w:r>
      <w:r>
        <w:rPr>
          <w:rFonts w:ascii="宋体" w:hAnsi="宋体" w:cs="宋体" w:eastAsia="宋体" w:hint="default"/>
        </w:rPr>
        <w:t>1,515,650</w:t>
      </w:r>
      <w:r>
        <w:rPr>
          <w:rFonts w:ascii="宋体" w:hAnsi="宋体" w:cs="宋体" w:eastAsia="宋体" w:hint="default"/>
          <w:spacing w:val="-52"/>
        </w:rPr>
        <w:t> </w:t>
      </w:r>
      <w:r>
        <w:rPr/>
        <w:t>股</w:t>
      </w:r>
      <w:r>
        <w:rPr>
          <w:spacing w:val="-91"/>
        </w:rPr>
        <w:t>，</w:t>
      </w:r>
      <w:r>
        <w:rPr>
          <w:spacing w:val="-2"/>
        </w:rPr>
        <w:t>其</w:t>
      </w:r>
      <w:r>
        <w:rPr/>
        <w:t>中增加高管锁定股份</w:t>
      </w:r>
      <w:r>
        <w:rPr>
          <w:spacing w:val="-52"/>
        </w:rPr>
        <w:t> </w:t>
      </w:r>
      <w:r>
        <w:rPr>
          <w:rFonts w:ascii="宋体" w:hAnsi="宋体" w:cs="宋体" w:eastAsia="宋体" w:hint="default"/>
        </w:rPr>
        <w:t>140,625</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股，增加无限售流通股</w:t>
      </w:r>
      <w:r>
        <w:rPr>
          <w:spacing w:val="-54"/>
        </w:rPr>
        <w:t> </w:t>
      </w:r>
      <w:r>
        <w:rPr>
          <w:rFonts w:ascii="宋体" w:hAnsi="宋体" w:cs="宋体" w:eastAsia="宋体" w:hint="default"/>
        </w:rPr>
        <w:t>1,375,025</w:t>
      </w:r>
      <w:r>
        <w:rPr>
          <w:rFonts w:ascii="宋体" w:hAnsi="宋体" w:cs="宋体" w:eastAsia="宋体" w:hint="default"/>
          <w:spacing w:val="-54"/>
        </w:rPr>
        <w:t> </w:t>
      </w:r>
      <w:r>
        <w:rPr/>
        <w:t>股。</w:t>
      </w:r>
    </w:p>
    <w:p>
      <w:pPr>
        <w:spacing w:line="240" w:lineRule="auto" w:before="10"/>
        <w:rPr>
          <w:rFonts w:ascii="宋体" w:hAnsi="宋体" w:cs="宋体" w:eastAsia="宋体" w:hint="default"/>
          <w:sz w:val="14"/>
          <w:szCs w:val="14"/>
        </w:rPr>
      </w:pPr>
    </w:p>
    <w:p>
      <w:pPr>
        <w:pStyle w:val="BodyText"/>
        <w:spacing w:line="408" w:lineRule="auto" w:before="0"/>
        <w:ind w:right="1131" w:firstLine="420"/>
        <w:jc w:val="both"/>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2014</w:t>
      </w:r>
      <w:r>
        <w:rPr>
          <w:rFonts w:ascii="宋体" w:hAnsi="宋体" w:cs="宋体" w:eastAsia="宋体" w:hint="default"/>
          <w:spacing w:val="-65"/>
        </w:rPr>
        <w:t> </w:t>
      </w:r>
      <w:r>
        <w:rPr/>
        <w:t>年</w:t>
      </w:r>
      <w:r>
        <w:rPr>
          <w:spacing w:val="-65"/>
        </w:rPr>
        <w:t> </w:t>
      </w:r>
      <w:r>
        <w:rPr>
          <w:rFonts w:ascii="宋体" w:hAnsi="宋体" w:cs="宋体" w:eastAsia="宋体" w:hint="default"/>
        </w:rPr>
        <w:t>5</w:t>
      </w:r>
      <w:r>
        <w:rPr>
          <w:rFonts w:ascii="宋体" w:hAnsi="宋体" w:cs="宋体" w:eastAsia="宋体" w:hint="default"/>
          <w:spacing w:val="-64"/>
        </w:rPr>
        <w:t> </w:t>
      </w:r>
      <w:r>
        <w:rPr/>
        <w:t>月</w:t>
      </w:r>
      <w:r>
        <w:rPr>
          <w:spacing w:val="-66"/>
        </w:rPr>
        <w:t> </w:t>
      </w:r>
      <w:r>
        <w:rPr>
          <w:rFonts w:ascii="宋体" w:hAnsi="宋体" w:cs="宋体" w:eastAsia="宋体" w:hint="default"/>
        </w:rPr>
        <w:t>26</w:t>
      </w:r>
      <w:r>
        <w:rPr>
          <w:rFonts w:ascii="宋体" w:hAnsi="宋体" w:cs="宋体" w:eastAsia="宋体" w:hint="default"/>
          <w:spacing w:val="-64"/>
        </w:rPr>
        <w:t> </w:t>
      </w:r>
      <w:r>
        <w:rPr/>
        <w:t>日，公司控股股东、实际控制人陈清州先生及陈清州先生之妻翁丽敏女士、陈清 </w:t>
      </w:r>
      <w:r>
        <w:rPr>
          <w:spacing w:val="-1"/>
        </w:rPr>
        <w:t>州先生之亲戚陈静丽女士的限售股解除限售，陈清州先生作为公司的董事长兼总经理，解除限售后其持有</w:t>
      </w:r>
      <w:r>
        <w:rPr>
          <w:spacing w:val="-81"/>
        </w:rPr>
        <w:t> </w:t>
      </w:r>
      <w:r>
        <w:rPr>
          <w:spacing w:val="-81"/>
        </w:rPr>
      </w:r>
      <w:r>
        <w:rPr/>
        <w:t>股份</w:t>
      </w:r>
      <w:r>
        <w:rPr>
          <w:spacing w:val="-54"/>
        </w:rPr>
        <w:t> </w:t>
      </w:r>
      <w:r>
        <w:rPr>
          <w:rFonts w:ascii="宋体" w:hAnsi="宋体" w:cs="宋体" w:eastAsia="宋体" w:hint="default"/>
        </w:rPr>
        <w:t>75%</w:t>
      </w:r>
      <w:r>
        <w:rPr/>
        <w:t>变成高管限售股，其余变为无限售流通股。以上减少首发前个人类限售股</w:t>
      </w:r>
      <w:r>
        <w:rPr>
          <w:spacing w:val="-53"/>
        </w:rPr>
        <w:t> </w:t>
      </w:r>
      <w:r>
        <w:rPr>
          <w:rFonts w:ascii="宋体" w:hAnsi="宋体" w:cs="宋体" w:eastAsia="宋体" w:hint="default"/>
        </w:rPr>
        <w:t>422,940,500</w:t>
      </w:r>
      <w:r>
        <w:rPr>
          <w:rFonts w:ascii="宋体" w:hAnsi="宋体" w:cs="宋体" w:eastAsia="宋体" w:hint="default"/>
          <w:spacing w:val="-54"/>
        </w:rPr>
        <w:t> </w:t>
      </w:r>
      <w:r>
        <w:rPr/>
        <w:t>股，增加 高管限售股</w:t>
      </w:r>
      <w:r>
        <w:rPr>
          <w:spacing w:val="-52"/>
        </w:rPr>
        <w:t> </w:t>
      </w:r>
      <w:r>
        <w:rPr>
          <w:rFonts w:ascii="宋体" w:hAnsi="宋体" w:cs="宋体" w:eastAsia="宋体" w:hint="default"/>
        </w:rPr>
        <w:t>310,209,563</w:t>
      </w:r>
      <w:r>
        <w:rPr>
          <w:rFonts w:ascii="宋体" w:hAnsi="宋体" w:cs="宋体" w:eastAsia="宋体" w:hint="default"/>
          <w:spacing w:val="-53"/>
        </w:rPr>
        <w:t> </w:t>
      </w:r>
      <w:r>
        <w:rPr/>
        <w:t>股，增加无限售流通股</w:t>
      </w:r>
      <w:r>
        <w:rPr>
          <w:spacing w:val="-52"/>
        </w:rPr>
        <w:t> </w:t>
      </w:r>
      <w:r>
        <w:rPr>
          <w:rFonts w:ascii="宋体" w:hAnsi="宋体" w:cs="宋体" w:eastAsia="宋体" w:hint="default"/>
        </w:rPr>
        <w:t>112,730,937</w:t>
      </w:r>
      <w:r>
        <w:rPr>
          <w:rFonts w:ascii="宋体" w:hAnsi="宋体" w:cs="宋体" w:eastAsia="宋体" w:hint="default"/>
          <w:spacing w:val="-53"/>
        </w:rPr>
        <w:t> </w:t>
      </w:r>
      <w:r>
        <w:rPr/>
        <w:t>股。</w:t>
      </w:r>
    </w:p>
    <w:p>
      <w:pPr>
        <w:pStyle w:val="BodyText"/>
        <w:spacing w:line="408" w:lineRule="auto"/>
        <w:ind w:right="1215" w:firstLine="420"/>
        <w:jc w:val="both"/>
      </w:pPr>
      <w:r>
        <w:rPr/>
        <w:t>（</w:t>
      </w:r>
      <w:r>
        <w:rPr>
          <w:rFonts w:ascii="宋体" w:hAnsi="宋体" w:cs="宋体" w:eastAsia="宋体" w:hint="default"/>
        </w:rPr>
        <w:t>4</w:t>
      </w:r>
      <w:r>
        <w:rPr/>
        <w:t>）公司董事、监事、高管由于在任期间每年按所持股份总数的百分之二十五解除限售，高管限售 股减少</w:t>
      </w:r>
      <w:r>
        <w:rPr>
          <w:spacing w:val="-53"/>
        </w:rPr>
        <w:t> </w:t>
      </w:r>
      <w:r>
        <w:rPr>
          <w:rFonts w:ascii="宋体" w:hAnsi="宋体" w:cs="宋体" w:eastAsia="宋体" w:hint="default"/>
        </w:rPr>
        <w:t>2,493,283</w:t>
      </w:r>
      <w:r>
        <w:rPr>
          <w:rFonts w:ascii="宋体" w:hAnsi="宋体" w:cs="宋体" w:eastAsia="宋体" w:hint="default"/>
          <w:spacing w:val="-53"/>
        </w:rPr>
        <w:t> </w:t>
      </w:r>
      <w:r>
        <w:rPr/>
        <w:t>股，无限售流通股增加</w:t>
      </w:r>
      <w:r>
        <w:rPr>
          <w:spacing w:val="-53"/>
        </w:rPr>
        <w:t> </w:t>
      </w:r>
      <w:r>
        <w:rPr>
          <w:rFonts w:ascii="宋体" w:hAnsi="宋体" w:cs="宋体" w:eastAsia="宋体" w:hint="default"/>
        </w:rPr>
        <w:t>2,493,283</w:t>
      </w:r>
      <w:r>
        <w:rPr>
          <w:rFonts w:ascii="宋体" w:hAnsi="宋体" w:cs="宋体" w:eastAsia="宋体" w:hint="default"/>
          <w:spacing w:val="-53"/>
        </w:rPr>
        <w:t> </w:t>
      </w:r>
      <w:r>
        <w:rPr/>
        <w:t>股；</w:t>
      </w:r>
    </w:p>
    <w:p>
      <w:pPr>
        <w:pStyle w:val="BodyText"/>
        <w:spacing w:line="240" w:lineRule="auto"/>
        <w:ind w:left="573" w:right="1046"/>
        <w:jc w:val="left"/>
      </w:pPr>
      <w:r>
        <w:rPr/>
        <w:t>（</w:t>
      </w:r>
      <w:r>
        <w:rPr>
          <w:rFonts w:ascii="宋体" w:hAnsi="宋体" w:cs="宋体" w:eastAsia="宋体" w:hint="default"/>
        </w:rPr>
        <w:t>5</w:t>
      </w:r>
      <w:r>
        <w:rPr/>
        <w:t>）公司原监事李航先生和监事付东辉女士于</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11</w:t>
      </w:r>
      <w:r>
        <w:rPr>
          <w:rFonts w:ascii="宋体" w:hAnsi="宋体" w:cs="宋体" w:eastAsia="宋体" w:hint="default"/>
          <w:spacing w:val="-53"/>
        </w:rPr>
        <w:t> </w:t>
      </w:r>
      <w:r>
        <w:rPr/>
        <w:t>日离职，在申报离职十八个月后，其</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所持有公司股份</w:t>
      </w:r>
      <w:r>
        <w:rPr>
          <w:spacing w:val="-52"/>
        </w:rPr>
        <w:t> </w:t>
      </w:r>
      <w:r>
        <w:rPr>
          <w:rFonts w:ascii="宋体" w:hAnsi="宋体" w:cs="宋体" w:eastAsia="宋体" w:hint="default"/>
        </w:rPr>
        <w:t>100</w:t>
      </w:r>
      <w:r>
        <w:rPr>
          <w:rFonts w:ascii="宋体" w:hAnsi="宋体" w:cs="宋体" w:eastAsia="宋体" w:hint="default"/>
          <w:spacing w:val="1"/>
        </w:rPr>
        <w:t>%</w:t>
      </w:r>
      <w:r>
        <w:rPr>
          <w:spacing w:val="-2"/>
        </w:rPr>
        <w:t>解</w:t>
      </w:r>
      <w:r>
        <w:rPr/>
        <w:t>除限售</w:t>
      </w:r>
      <w:r>
        <w:rPr>
          <w:spacing w:val="-91"/>
        </w:rPr>
        <w:t>；</w:t>
      </w:r>
      <w:r>
        <w:rPr/>
        <w:t>公司原董事唐继跃先生于</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15</w:t>
      </w:r>
      <w:r>
        <w:rPr>
          <w:rFonts w:ascii="宋体" w:hAnsi="宋体" w:cs="宋体" w:eastAsia="宋体" w:hint="default"/>
          <w:spacing w:val="-53"/>
        </w:rPr>
        <w:t> </w:t>
      </w:r>
      <w:r>
        <w:rPr/>
        <w:t>日离职</w:t>
      </w:r>
      <w:r>
        <w:rPr>
          <w:spacing w:val="-91"/>
        </w:rPr>
        <w:t>，</w:t>
      </w:r>
      <w:r>
        <w:rPr/>
        <w:t>在申报离职十八个月后，</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t>其所持有公司股份</w:t>
      </w:r>
      <w:r>
        <w:rPr>
          <w:spacing w:val="-52"/>
        </w:rPr>
        <w:t> </w:t>
      </w:r>
      <w:r>
        <w:rPr>
          <w:rFonts w:ascii="宋体" w:hAnsi="宋体" w:cs="宋体" w:eastAsia="宋体" w:hint="default"/>
        </w:rPr>
        <w:t>100%</w:t>
      </w:r>
      <w:r>
        <w:rPr/>
        <w:t>解除限售</w:t>
      </w:r>
      <w:r>
        <w:rPr>
          <w:spacing w:val="-91"/>
        </w:rPr>
        <w:t>。</w:t>
      </w:r>
      <w:r>
        <w:rPr/>
        <w:t>以上减少高管锁定股份</w:t>
      </w:r>
      <w:r>
        <w:rPr>
          <w:spacing w:val="-53"/>
        </w:rPr>
        <w:t> </w:t>
      </w:r>
      <w:r>
        <w:rPr>
          <w:rFonts w:ascii="宋体" w:hAnsi="宋体" w:cs="宋体" w:eastAsia="宋体" w:hint="default"/>
        </w:rPr>
        <w:t>4,337,625</w:t>
      </w:r>
      <w:r>
        <w:rPr>
          <w:rFonts w:ascii="宋体" w:hAnsi="宋体" w:cs="宋体" w:eastAsia="宋体" w:hint="default"/>
          <w:spacing w:val="-52"/>
        </w:rPr>
        <w:t> </w:t>
      </w:r>
      <w:r>
        <w:rPr/>
        <w:t>股</w:t>
      </w:r>
      <w:r>
        <w:rPr>
          <w:spacing w:val="-91"/>
        </w:rPr>
        <w:t>，</w:t>
      </w:r>
      <w:r>
        <w:rPr>
          <w:spacing w:val="-2"/>
        </w:rPr>
        <w:t>增</w:t>
      </w:r>
      <w:r>
        <w:rPr/>
        <w:t>加无限售流通股</w:t>
      </w:r>
      <w:r>
        <w:rPr>
          <w:spacing w:val="-52"/>
        </w:rPr>
        <w:t> </w:t>
      </w:r>
      <w:r>
        <w:rPr>
          <w:rFonts w:ascii="宋体" w:hAnsi="宋体" w:cs="宋体" w:eastAsia="宋体" w:hint="default"/>
        </w:rPr>
        <w:t>4,337,625</w:t>
      </w:r>
      <w:r>
        <w:rPr>
          <w:rFonts w:ascii="宋体" w:hAnsi="宋体" w:cs="宋体" w:eastAsia="宋体" w:hint="default"/>
          <w:spacing w:val="-52"/>
        </w:rPr>
        <w:t> </w:t>
      </w:r>
      <w:r>
        <w:rPr>
          <w:spacing w:val="-2"/>
        </w:rPr>
        <w:t>股。</w:t>
      </w:r>
      <w:r>
        <w:rPr/>
      </w:r>
    </w:p>
    <w:p>
      <w:pPr>
        <w:spacing w:line="240" w:lineRule="auto" w:before="0"/>
        <w:rPr>
          <w:rFonts w:ascii="宋体" w:hAnsi="宋体" w:cs="宋体" w:eastAsia="宋体" w:hint="default"/>
          <w:sz w:val="20"/>
          <w:szCs w:val="20"/>
        </w:rPr>
      </w:pPr>
    </w:p>
    <w:p>
      <w:pPr>
        <w:pStyle w:val="Heading3"/>
        <w:spacing w:line="240" w:lineRule="auto" w:before="154"/>
        <w:ind w:left="153" w:right="1046"/>
        <w:jc w:val="left"/>
        <w:rPr>
          <w:b w:val="0"/>
          <w:bCs w:val="0"/>
        </w:rPr>
      </w:pPr>
      <w:bookmarkStart w:name="3、现存的内部职工股情况" w:id="101"/>
      <w:bookmarkEnd w:id="10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46"/>
        <w:jc w:val="left"/>
        <w:rPr>
          <w:b w:val="0"/>
          <w:bCs w:val="0"/>
        </w:rPr>
      </w:pPr>
      <w:bookmarkStart w:name="三、股东和实际控制人情况" w:id="102"/>
      <w:bookmarkEnd w:id="10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公司股东数量及持股情况" w:id="103"/>
      <w:bookmarkEnd w:id="10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4"/>
        <w:gridCol w:w="1607"/>
        <w:gridCol w:w="1593"/>
        <w:gridCol w:w="1594"/>
        <w:gridCol w:w="1595"/>
        <w:gridCol w:w="1596"/>
      </w:tblGrid>
      <w:tr>
        <w:trPr>
          <w:trHeight w:val="402" w:hRule="exact"/>
        </w:trPr>
        <w:tc>
          <w:tcPr>
            <w:tcW w:w="1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报告期末普通股股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43,898</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年度报告披露日前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49,517</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报告期末表决权恢</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93.399994pt;margin-top:502.869995pt;width:340.45pt;height:20.8pt;mso-position-horizontal-relative:page;mso-position-vertical-relative:page;z-index:-1064464" coordorigin="3868,10057" coordsize="6809,416">
            <v:group style="position:absolute;left:3879;top:10069;width:2;height:393" coordorigin="3879,10069" coordsize="2,393">
              <v:shape style="position:absolute;left:3879;top:10069;width:2;height:393" coordorigin="3879,10069" coordsize="0,393" path="m3879,10069l3879,10461e" filled="false" stroked="true" strokeweight="1.140pt" strokecolor="#ffffff">
                <v:path arrowok="t"/>
              </v:shape>
            </v:group>
            <v:group style="position:absolute;left:3891;top:10069;width:6786;height:393" coordorigin="3891,10069" coordsize="6786,393">
              <v:shape style="position:absolute;left:3891;top:10069;width:6786;height:393" coordorigin="3891,10069" coordsize="6786,393" path="m3891,10461l10676,10461,10676,10069,3891,10069,3891,10461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2"/>
        <w:gridCol w:w="233"/>
        <w:gridCol w:w="1134"/>
        <w:gridCol w:w="473"/>
        <w:gridCol w:w="389"/>
        <w:gridCol w:w="798"/>
        <w:gridCol w:w="383"/>
        <w:gridCol w:w="414"/>
        <w:gridCol w:w="797"/>
        <w:gridCol w:w="406"/>
        <w:gridCol w:w="445"/>
        <w:gridCol w:w="1128"/>
        <w:gridCol w:w="241"/>
        <w:gridCol w:w="1367"/>
      </w:tblGrid>
      <w:tr>
        <w:trPr>
          <w:trHeight w:val="358" w:hRule="exact"/>
        </w:trPr>
        <w:tc>
          <w:tcPr>
            <w:tcW w:w="1595" w:type="dxa"/>
            <w:gridSpan w:val="2"/>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东总数</w:t>
            </w:r>
          </w:p>
        </w:tc>
        <w:tc>
          <w:tcPr>
            <w:tcW w:w="1607" w:type="dxa"/>
            <w:gridSpan w:val="2"/>
            <w:vMerge w:val="restart"/>
            <w:tcBorders>
              <w:top w:val="single" w:sz="4" w:space="0" w:color="000000"/>
              <w:left w:val="single" w:sz="9" w:space="0" w:color="D2D2D2"/>
              <w:right w:val="single" w:sz="9" w:space="0" w:color="D2D2D2"/>
            </w:tcBorders>
          </w:tcPr>
          <w:p>
            <w:pPr/>
          </w:p>
        </w:tc>
        <w:tc>
          <w:tcPr>
            <w:tcW w:w="157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10"/>
              <w:ind w:left="11" w:right="107"/>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个交易日末普 通股股东总数</w:t>
            </w:r>
          </w:p>
        </w:tc>
        <w:tc>
          <w:tcPr>
            <w:tcW w:w="1617" w:type="dxa"/>
            <w:gridSpan w:val="3"/>
            <w:vMerge w:val="restart"/>
            <w:tcBorders>
              <w:top w:val="single" w:sz="4" w:space="0" w:color="000000"/>
              <w:left w:val="single" w:sz="9" w:space="0" w:color="D2D2D2"/>
              <w:right w:val="single" w:sz="13" w:space="0" w:color="D2D2D2"/>
            </w:tcBorders>
          </w:tcPr>
          <w:p>
            <w:pPr/>
          </w:p>
        </w:tc>
        <w:tc>
          <w:tcPr>
            <w:tcW w:w="157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11" w:right="19"/>
              <w:jc w:val="left"/>
              <w:rPr>
                <w:rFonts w:ascii="宋体" w:hAnsi="宋体" w:cs="宋体" w:eastAsia="宋体" w:hint="default"/>
                <w:sz w:val="18"/>
                <w:szCs w:val="18"/>
              </w:rPr>
            </w:pPr>
            <w:r>
              <w:rPr>
                <w:rFonts w:ascii="宋体" w:hAnsi="宋体" w:cs="宋体" w:eastAsia="宋体" w:hint="default"/>
                <w:sz w:val="18"/>
                <w:szCs w:val="18"/>
              </w:rPr>
              <w:t>复的优先股股东总 </w:t>
            </w:r>
            <w:r>
              <w:rPr>
                <w:rFonts w:ascii="宋体" w:hAnsi="宋体" w:cs="宋体" w:eastAsia="宋体" w:hint="default"/>
                <w:spacing w:val="-10"/>
                <w:sz w:val="18"/>
                <w:szCs w:val="18"/>
              </w:rPr>
              <w:t>数（如有）（参见注</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607" w:type="dxa"/>
            <w:gridSpan w:val="2"/>
            <w:vMerge w:val="restart"/>
            <w:tcBorders>
              <w:top w:val="single" w:sz="4" w:space="0" w:color="000000"/>
              <w:left w:val="single" w:sz="13" w:space="0" w:color="D2D2D2"/>
              <w:right w:val="single" w:sz="4" w:space="0" w:color="000000"/>
            </w:tcBorders>
          </w:tcPr>
          <w:p>
            <w:pPr/>
          </w:p>
        </w:tc>
      </w:tr>
      <w:tr>
        <w:trPr>
          <w:trHeight w:val="312" w:hRule="exact"/>
        </w:trPr>
        <w:tc>
          <w:tcPr>
            <w:tcW w:w="1595" w:type="dxa"/>
            <w:gridSpan w:val="2"/>
            <w:vMerge w:val="restart"/>
            <w:tcBorders>
              <w:top w:val="nil" w:sz="6" w:space="0" w:color="auto"/>
              <w:left w:val="single" w:sz="4" w:space="0" w:color="000000"/>
              <w:right w:val="single" w:sz="4" w:space="0" w:color="000000"/>
            </w:tcBorders>
            <w:shd w:val="clear" w:color="auto" w:fill="D2D2D2"/>
          </w:tcPr>
          <w:p>
            <w:pPr/>
          </w:p>
        </w:tc>
        <w:tc>
          <w:tcPr>
            <w:tcW w:w="1607" w:type="dxa"/>
            <w:gridSpan w:val="2"/>
            <w:vMerge/>
            <w:tcBorders>
              <w:left w:val="single" w:sz="9" w:space="0" w:color="D2D2D2"/>
              <w:right w:val="single" w:sz="9" w:space="0" w:color="D2D2D2"/>
            </w:tcBorders>
          </w:tcPr>
          <w:p>
            <w:pPr/>
          </w:p>
        </w:tc>
        <w:tc>
          <w:tcPr>
            <w:tcW w:w="1571" w:type="dxa"/>
            <w:gridSpan w:val="3"/>
            <w:vMerge/>
            <w:tcBorders>
              <w:left w:val="single" w:sz="4" w:space="0" w:color="000000"/>
              <w:bottom w:val="nil" w:sz="6" w:space="0" w:color="auto"/>
              <w:right w:val="single" w:sz="4" w:space="0" w:color="000000"/>
            </w:tcBorders>
            <w:shd w:val="clear" w:color="auto" w:fill="D2D2D2"/>
          </w:tcPr>
          <w:p>
            <w:pPr/>
          </w:p>
        </w:tc>
        <w:tc>
          <w:tcPr>
            <w:tcW w:w="1617" w:type="dxa"/>
            <w:gridSpan w:val="3"/>
            <w:vMerge/>
            <w:tcBorders>
              <w:left w:val="single" w:sz="9" w:space="0" w:color="D2D2D2"/>
              <w:right w:val="single" w:sz="13" w:space="0" w:color="D2D2D2"/>
            </w:tcBorders>
          </w:tcPr>
          <w:p>
            <w:pPr/>
          </w:p>
        </w:tc>
        <w:tc>
          <w:tcPr>
            <w:tcW w:w="1572" w:type="dxa"/>
            <w:gridSpan w:val="2"/>
            <w:vMerge/>
            <w:tcBorders>
              <w:left w:val="single" w:sz="4" w:space="0" w:color="000000"/>
              <w:right w:val="single" w:sz="4" w:space="0" w:color="000000"/>
            </w:tcBorders>
            <w:shd w:val="clear" w:color="auto" w:fill="D2D2D2"/>
          </w:tcPr>
          <w:p>
            <w:pPr/>
          </w:p>
        </w:tc>
        <w:tc>
          <w:tcPr>
            <w:tcW w:w="1607" w:type="dxa"/>
            <w:gridSpan w:val="2"/>
            <w:vMerge/>
            <w:tcBorders>
              <w:left w:val="single" w:sz="13" w:space="0" w:color="D2D2D2"/>
              <w:right w:val="single" w:sz="4" w:space="0" w:color="000000"/>
            </w:tcBorders>
          </w:tcPr>
          <w:p>
            <w:pPr/>
          </w:p>
        </w:tc>
      </w:tr>
      <w:tr>
        <w:trPr>
          <w:trHeight w:val="322" w:hRule="exact"/>
        </w:trPr>
        <w:tc>
          <w:tcPr>
            <w:tcW w:w="1595"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9" w:space="0" w:color="D2D2D2"/>
              <w:bottom w:val="single" w:sz="4" w:space="0" w:color="000000"/>
              <w:right w:val="single" w:sz="9" w:space="0" w:color="D2D2D2"/>
            </w:tcBorders>
          </w:tcPr>
          <w:p>
            <w:pPr/>
          </w:p>
        </w:tc>
        <w:tc>
          <w:tcPr>
            <w:tcW w:w="1571"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1617" w:type="dxa"/>
            <w:gridSpan w:val="3"/>
            <w:vMerge/>
            <w:tcBorders>
              <w:left w:val="single" w:sz="9" w:space="0" w:color="D2D2D2"/>
              <w:bottom w:val="single" w:sz="4" w:space="0" w:color="000000"/>
              <w:right w:val="single" w:sz="13" w:space="0" w:color="D2D2D2"/>
            </w:tcBorders>
          </w:tcPr>
          <w:p>
            <w:pPr/>
          </w:p>
        </w:tc>
        <w:tc>
          <w:tcPr>
            <w:tcW w:w="1572" w:type="dxa"/>
            <w:gridSpan w:val="2"/>
            <w:vMerge/>
            <w:tcBorders>
              <w:left w:val="single" w:sz="4" w:space="0" w:color="000000"/>
              <w:bottom w:val="single" w:sz="4" w:space="0" w:color="000000"/>
              <w:right w:val="single" w:sz="4" w:space="0" w:color="000000"/>
            </w:tcBorders>
            <w:shd w:val="clear" w:color="auto" w:fill="D2D2D2"/>
          </w:tcPr>
          <w:p>
            <w:pPr/>
          </w:p>
        </w:tc>
        <w:tc>
          <w:tcPr>
            <w:tcW w:w="1607" w:type="dxa"/>
            <w:gridSpan w:val="2"/>
            <w:vMerge/>
            <w:tcBorders>
              <w:left w:val="single" w:sz="13" w:space="0" w:color="D2D2D2"/>
              <w:bottom w:val="single" w:sz="4" w:space="0" w:color="000000"/>
              <w:right w:val="single" w:sz="4" w:space="0" w:color="000000"/>
            </w:tcBorders>
          </w:tcPr>
          <w:p>
            <w:pPr/>
          </w:p>
        </w:tc>
      </w:tr>
      <w:tr>
        <w:trPr>
          <w:trHeight w:val="393"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362" w:type="dxa"/>
            <w:vMerge w:val="restart"/>
            <w:tcBorders>
              <w:top w:val="single" w:sz="4" w:space="0" w:color="000000"/>
              <w:left w:val="single" w:sz="4" w:space="0" w:color="000000"/>
              <w:right w:val="single" w:sz="4" w:space="0" w:color="000000"/>
            </w:tcBorders>
            <w:shd w:val="clear" w:color="auto" w:fill="D2D2D2"/>
          </w:tcPr>
          <w:p>
            <w:pP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
        </w:tc>
        <w:tc>
          <w:tcPr>
            <w:tcW w:w="863" w:type="dxa"/>
            <w:gridSpan w:val="2"/>
            <w:vMerge w:val="restart"/>
            <w:tcBorders>
              <w:top w:val="single" w:sz="4" w:space="0" w:color="000000"/>
              <w:left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3" w:right="31"/>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33" w:right="3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6"/>
              <w:ind w:left="59" w:right="59"/>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3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34" w:right="3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right w:val="single" w:sz="4" w:space="0" w:color="000000"/>
            </w:tcBorders>
            <w:shd w:val="clear" w:color="auto" w:fill="D2D2D2"/>
          </w:tcPr>
          <w:p>
            <w:pPr/>
          </w:p>
        </w:tc>
      </w:tr>
      <w:tr>
        <w:trPr>
          <w:trHeight w:val="140" w:hRule="exact"/>
        </w:trPr>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5"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6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252" w:hRule="exact"/>
        </w:trPr>
        <w:tc>
          <w:tcPr>
            <w:tcW w:w="1362" w:type="dxa"/>
            <w:vMerge/>
            <w:tcBorders>
              <w:left w:val="single" w:sz="4" w:space="0" w:color="000000"/>
              <w:bottom w:val="nil" w:sz="6" w:space="0" w:color="auto"/>
              <w:right w:val="single" w:sz="4" w:space="0" w:color="000000"/>
            </w:tcBorders>
            <w:shd w:val="clear" w:color="auto" w:fill="D2D2D2"/>
          </w:tcPr>
          <w:p>
            <w:pPr/>
          </w:p>
        </w:tc>
        <w:tc>
          <w:tcPr>
            <w:tcW w:w="1367" w:type="dxa"/>
            <w:gridSpan w:val="2"/>
            <w:vMerge/>
            <w:tcBorders>
              <w:left w:val="single" w:sz="4" w:space="0" w:color="000000"/>
              <w:bottom w:val="nil" w:sz="6" w:space="0" w:color="auto"/>
              <w:right w:val="single" w:sz="4" w:space="0" w:color="000000"/>
            </w:tcBorders>
            <w:shd w:val="clear" w:color="auto" w:fill="D2D2D2"/>
          </w:tcPr>
          <w:p>
            <w:pPr/>
          </w:p>
        </w:tc>
        <w:tc>
          <w:tcPr>
            <w:tcW w:w="863" w:type="dxa"/>
            <w:gridSpan w:val="2"/>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left="31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62" w:type="dxa"/>
            <w:vMerge w:val="restart"/>
            <w:tcBorders>
              <w:top w:val="nil" w:sz="6" w:space="0" w:color="auto"/>
              <w:left w:val="single" w:sz="4" w:space="0" w:color="000000"/>
              <w:right w:val="single" w:sz="4" w:space="0" w:color="000000"/>
            </w:tcBorders>
            <w:shd w:val="clear" w:color="auto" w:fill="D2D2D2"/>
          </w:tcPr>
          <w:p>
            <w:pPr/>
          </w:p>
        </w:tc>
        <w:tc>
          <w:tcPr>
            <w:tcW w:w="1367" w:type="dxa"/>
            <w:gridSpan w:val="2"/>
            <w:vMerge w:val="restart"/>
            <w:tcBorders>
              <w:top w:val="nil" w:sz="6" w:space="0" w:color="auto"/>
              <w:left w:val="single" w:sz="4" w:space="0" w:color="000000"/>
              <w:right w:val="single" w:sz="4" w:space="0" w:color="000000"/>
            </w:tcBorders>
            <w:shd w:val="clear" w:color="auto" w:fill="D2D2D2"/>
          </w:tcPr>
          <w:p>
            <w:pPr/>
          </w:p>
        </w:tc>
        <w:tc>
          <w:tcPr>
            <w:tcW w:w="863" w:type="dxa"/>
            <w:gridSpan w:val="2"/>
            <w:vMerge w:val="restart"/>
            <w:tcBorders>
              <w:top w:val="nil" w:sz="6" w:space="0" w:color="auto"/>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gridSpan w:val="2"/>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51" w:type="dxa"/>
            <w:gridSpan w:val="2"/>
            <w:vMerge/>
            <w:tcBorders>
              <w:left w:val="single" w:sz="4" w:space="0" w:color="000000"/>
              <w:right w:val="single" w:sz="4" w:space="0" w:color="000000"/>
            </w:tcBorders>
            <w:shd w:val="clear" w:color="auto" w:fill="D2D2D2"/>
          </w:tcPr>
          <w:p>
            <w:pPr/>
          </w:p>
        </w:tc>
        <w:tc>
          <w:tcPr>
            <w:tcW w:w="1368" w:type="dxa"/>
            <w:gridSpan w:val="2"/>
            <w:vMerge/>
            <w:tcBorders>
              <w:left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61" w:hRule="exact"/>
        </w:trPr>
        <w:tc>
          <w:tcPr>
            <w:tcW w:w="1362"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863" w:type="dxa"/>
            <w:gridSpan w:val="2"/>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6" w:right="0"/>
              <w:jc w:val="left"/>
              <w:rPr>
                <w:rFonts w:ascii="Times New Roman" w:hAnsi="Times New Roman" w:cs="Times New Roman" w:eastAsia="Times New Roman" w:hint="default"/>
                <w:sz w:val="18"/>
                <w:szCs w:val="18"/>
              </w:rPr>
            </w:pPr>
            <w:r>
              <w:rPr>
                <w:rFonts w:ascii="Times New Roman"/>
                <w:sz w:val="18"/>
              </w:rPr>
              <w:t>58.66%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408,562,7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-5,050,00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310,209,5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62</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98,353,18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368" w:type="dxa"/>
            <w:gridSpan w:val="2"/>
            <w:tcBorders>
              <w:top w:val="single" w:sz="45" w:space="0" w:color="D2D2D2"/>
              <w:left w:val="single" w:sz="4" w:space="0" w:color="000000"/>
              <w:bottom w:val="single" w:sz="4" w:space="0" w:color="000000"/>
              <w:right w:val="single" w:sz="4" w:space="0" w:color="000000"/>
            </w:tcBorders>
          </w:tcPr>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5" w:space="0" w:color="D2D2D2"/>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25,230,000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翁丽敏</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1.15%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8,000,000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0.96%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6,655,751</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4,991,813</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1,663,938</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both"/>
              <w:rPr>
                <w:rFonts w:ascii="宋体" w:hAnsi="宋体" w:cs="宋体" w:eastAsia="宋体" w:hint="default"/>
                <w:sz w:val="18"/>
                <w:szCs w:val="18"/>
              </w:rPr>
            </w:pPr>
            <w:r>
              <w:rPr>
                <w:rFonts w:ascii="宋体" w:hAnsi="宋体" w:cs="宋体" w:eastAsia="宋体" w:hint="default"/>
                <w:sz w:val="18"/>
                <w:szCs w:val="18"/>
              </w:rPr>
              <w:t>中国人寿保险股 份有限公司－分 红－个人分红</w:t>
            </w:r>
          </w:p>
          <w:p>
            <w:pPr>
              <w:pStyle w:val="TableParagraph"/>
              <w:spacing w:line="240" w:lineRule="auto" w:before="20"/>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66" w:right="0"/>
              <w:jc w:val="left"/>
              <w:rPr>
                <w:rFonts w:ascii="Times New Roman" w:hAnsi="Times New Roman" w:cs="Times New Roman" w:eastAsia="Times New Roman" w:hint="default"/>
                <w:sz w:val="18"/>
                <w:szCs w:val="18"/>
              </w:rPr>
            </w:pPr>
            <w:r>
              <w:rPr>
                <w:rFonts w:ascii="Times New Roman"/>
                <w:sz w:val="18"/>
              </w:rPr>
              <w:t>0.72%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5,000,000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98" w:right="0"/>
              <w:jc w:val="left"/>
              <w:rPr>
                <w:rFonts w:ascii="Times New Roman" w:hAnsi="Times New Roman" w:cs="Times New Roman" w:eastAsia="Times New Roman" w:hint="default"/>
                <w:sz w:val="18"/>
                <w:szCs w:val="18"/>
              </w:rPr>
            </w:pPr>
            <w:r>
              <w:rPr>
                <w:rFonts w:ascii="Times New Roman"/>
                <w:sz w:val="18"/>
              </w:rPr>
              <w:t>5,000,000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0.50%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3,473,823</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-1,156,92</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3,473,063</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48" w:right="0"/>
              <w:jc w:val="left"/>
              <w:rPr>
                <w:rFonts w:ascii="Times New Roman" w:hAnsi="Times New Roman" w:cs="Times New Roman" w:eastAsia="Times New Roman" w:hint="default"/>
                <w:sz w:val="18"/>
                <w:szCs w:val="18"/>
              </w:rPr>
            </w:pPr>
            <w:r>
              <w:rPr>
                <w:rFonts w:ascii="Times New Roman"/>
                <w:sz w:val="18"/>
              </w:rPr>
              <w:t>760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1,375,000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唐继跃</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3,348,000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3,348,000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9"/>
              <w:jc w:val="left"/>
              <w:rPr>
                <w:rFonts w:ascii="宋体" w:hAnsi="宋体" w:cs="宋体" w:eastAsia="宋体" w:hint="default"/>
                <w:sz w:val="18"/>
                <w:szCs w:val="18"/>
              </w:rPr>
            </w:pPr>
            <w:r>
              <w:rPr>
                <w:rFonts w:ascii="宋体" w:hAnsi="宋体" w:cs="宋体" w:eastAsia="宋体" w:hint="default"/>
                <w:sz w:val="18"/>
                <w:szCs w:val="18"/>
              </w:rPr>
              <w:t>北京轫开投资有 限公司</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6" w:right="0"/>
              <w:jc w:val="left"/>
              <w:rPr>
                <w:rFonts w:ascii="Times New Roman" w:hAnsi="Times New Roman" w:cs="Times New Roman" w:eastAsia="Times New Roman" w:hint="default"/>
                <w:sz w:val="18"/>
                <w:szCs w:val="18"/>
              </w:rPr>
            </w:pPr>
            <w:r>
              <w:rPr>
                <w:rFonts w:ascii="Times New Roman"/>
                <w:sz w:val="18"/>
              </w:rPr>
              <w:t>0.29%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2,003,069</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2,003,069</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郭阳</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0.27%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1,850,750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1,850,750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0.24%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1,687,500</w:t>
            </w:r>
          </w:p>
        </w:tc>
        <w:tc>
          <w:tcPr>
            <w:tcW w:w="7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-562,500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1,687,500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272,000</w:t>
            </w:r>
          </w:p>
        </w:tc>
      </w:tr>
      <w:tr>
        <w:trPr>
          <w:trHeight w:val="402" w:hRule="exact"/>
        </w:trPr>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孙鹏飞</w:t>
            </w: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6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6" w:right="0"/>
              <w:jc w:val="left"/>
              <w:rPr>
                <w:rFonts w:ascii="Times New Roman" w:hAnsi="Times New Roman" w:cs="Times New Roman" w:eastAsia="Times New Roman" w:hint="default"/>
                <w:sz w:val="18"/>
                <w:szCs w:val="18"/>
              </w:rPr>
            </w:pPr>
            <w:r>
              <w:rPr>
                <w:rFonts w:ascii="Times New Roman"/>
                <w:sz w:val="18"/>
              </w:rPr>
              <w:t>0.17%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c>
          <w:tcPr>
            <w:tcW w:w="797"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1,200,000</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2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7"/>
                <w:sz w:val="18"/>
                <w:szCs w:val="18"/>
              </w:rPr>
              <w:t>名股东的情况（如有）</w:t>
            </w:r>
            <w:r>
              <w:rPr>
                <w:rFonts w:ascii="宋体" w:hAnsi="宋体" w:cs="宋体" w:eastAsia="宋体" w:hint="default"/>
                <w:sz w:val="18"/>
                <w:szCs w:val="18"/>
              </w:rPr>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863" w:type="dxa"/>
            <w:gridSpan w:val="2"/>
            <w:tcBorders>
              <w:top w:val="single" w:sz="4" w:space="0" w:color="000000"/>
              <w:left w:val="single" w:sz="9" w:space="0" w:color="D2D2D2"/>
              <w:bottom w:val="single" w:sz="4" w:space="0" w:color="000000"/>
              <w:right w:val="nil" w:sz="6" w:space="0" w:color="auto"/>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76" w:right="0"/>
              <w:jc w:val="left"/>
              <w:rPr>
                <w:rFonts w:ascii="宋体" w:hAnsi="宋体" w:cs="宋体" w:eastAsia="宋体" w:hint="default"/>
                <w:sz w:val="18"/>
                <w:szCs w:val="18"/>
              </w:rPr>
            </w:pPr>
            <w:r>
              <w:rPr>
                <w:rFonts w:ascii="宋体" w:hAnsi="宋体" w:cs="宋体" w:eastAsia="宋体" w:hint="default"/>
                <w:sz w:val="18"/>
                <w:szCs w:val="18"/>
              </w:rPr>
              <w:t>用。</w:t>
            </w:r>
          </w:p>
        </w:tc>
        <w:tc>
          <w:tcPr>
            <w:tcW w:w="798" w:type="dxa"/>
            <w:tcBorders>
              <w:top w:val="single" w:sz="4" w:space="0" w:color="000000"/>
              <w:left w:val="nil" w:sz="6" w:space="0" w:color="auto"/>
              <w:bottom w:val="single" w:sz="4" w:space="0" w:color="000000"/>
              <w:right w:val="nil" w:sz="6" w:space="0" w:color="auto"/>
            </w:tcBorders>
          </w:tcPr>
          <w:p>
            <w:pPr/>
          </w:p>
        </w:tc>
        <w:tc>
          <w:tcPr>
            <w:tcW w:w="383" w:type="dxa"/>
            <w:tcBorders>
              <w:top w:val="single" w:sz="4" w:space="0" w:color="000000"/>
              <w:left w:val="nil" w:sz="6" w:space="0" w:color="auto"/>
              <w:bottom w:val="single" w:sz="4" w:space="0" w:color="000000"/>
              <w:right w:val="nil" w:sz="6" w:space="0" w:color="auto"/>
            </w:tcBorders>
          </w:tcPr>
          <w:p>
            <w:pPr/>
          </w:p>
        </w:tc>
        <w:tc>
          <w:tcPr>
            <w:tcW w:w="414" w:type="dxa"/>
            <w:tcBorders>
              <w:top w:val="single" w:sz="4" w:space="0" w:color="000000"/>
              <w:left w:val="nil" w:sz="6" w:space="0" w:color="auto"/>
              <w:bottom w:val="single" w:sz="4" w:space="0" w:color="000000"/>
              <w:right w:val="nil" w:sz="6" w:space="0" w:color="auto"/>
            </w:tcBorders>
          </w:tcPr>
          <w:p>
            <w:pPr/>
          </w:p>
        </w:tc>
        <w:tc>
          <w:tcPr>
            <w:tcW w:w="797" w:type="dxa"/>
            <w:tcBorders>
              <w:top w:val="single" w:sz="4" w:space="0" w:color="000000"/>
              <w:left w:val="nil" w:sz="6" w:space="0" w:color="auto"/>
              <w:bottom w:val="single" w:sz="4" w:space="0" w:color="000000"/>
              <w:right w:val="nil" w:sz="6" w:space="0" w:color="auto"/>
            </w:tcBorders>
          </w:tcPr>
          <w:p>
            <w:pPr/>
          </w:p>
        </w:tc>
        <w:tc>
          <w:tcPr>
            <w:tcW w:w="406" w:type="dxa"/>
            <w:tcBorders>
              <w:top w:val="single" w:sz="4" w:space="0" w:color="000000"/>
              <w:left w:val="nil" w:sz="6" w:space="0" w:color="auto"/>
              <w:bottom w:val="single" w:sz="4" w:space="0" w:color="000000"/>
              <w:right w:val="nil" w:sz="6" w:space="0" w:color="auto"/>
            </w:tcBorders>
          </w:tcPr>
          <w:p>
            <w:pPr/>
          </w:p>
        </w:tc>
        <w:tc>
          <w:tcPr>
            <w:tcW w:w="445" w:type="dxa"/>
            <w:tcBorders>
              <w:top w:val="single" w:sz="4" w:space="0" w:color="000000"/>
              <w:left w:val="nil" w:sz="6" w:space="0" w:color="auto"/>
              <w:bottom w:val="single" w:sz="4" w:space="0" w:color="000000"/>
              <w:right w:val="nil" w:sz="6" w:space="0" w:color="auto"/>
            </w:tcBorders>
          </w:tcPr>
          <w:p>
            <w:pPr/>
          </w:p>
        </w:tc>
        <w:tc>
          <w:tcPr>
            <w:tcW w:w="1128" w:type="dxa"/>
            <w:tcBorders>
              <w:top w:val="single" w:sz="4" w:space="0" w:color="000000"/>
              <w:left w:val="nil" w:sz="6" w:space="0" w:color="auto"/>
              <w:bottom w:val="single" w:sz="4" w:space="0" w:color="000000"/>
              <w:right w:val="nil" w:sz="6" w:space="0" w:color="auto"/>
            </w:tcBorders>
          </w:tcPr>
          <w:p>
            <w:pPr/>
          </w:p>
        </w:tc>
        <w:tc>
          <w:tcPr>
            <w:tcW w:w="241" w:type="dxa"/>
            <w:tcBorders>
              <w:top w:val="single" w:sz="4" w:space="0" w:color="000000"/>
              <w:left w:val="nil" w:sz="6" w:space="0" w:color="auto"/>
              <w:bottom w:val="single" w:sz="4" w:space="0" w:color="000000"/>
              <w:right w:val="nil" w:sz="6" w:space="0" w:color="auto"/>
            </w:tcBorders>
          </w:tcPr>
          <w:p>
            <w:pPr/>
          </w:p>
        </w:tc>
        <w:tc>
          <w:tcPr>
            <w:tcW w:w="1367" w:type="dxa"/>
            <w:tcBorders>
              <w:top w:val="single" w:sz="4" w:space="0" w:color="000000"/>
              <w:left w:val="nil" w:sz="6" w:space="0" w:color="auto"/>
              <w:bottom w:val="single" w:sz="4" w:space="0" w:color="000000"/>
              <w:right w:val="single" w:sz="4" w:space="0" w:color="000000"/>
            </w:tcBorders>
          </w:tcPr>
          <w:p>
            <w:pPr/>
          </w:p>
        </w:tc>
      </w:tr>
      <w:tr>
        <w:trPr>
          <w:trHeight w:val="161" w:hRule="exact"/>
        </w:trPr>
        <w:tc>
          <w:tcPr>
            <w:tcW w:w="272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6841" w:type="dxa"/>
            <w:gridSpan w:val="11"/>
            <w:vMerge w:val="restart"/>
            <w:tcBorders>
              <w:top w:val="single" w:sz="4" w:space="0" w:color="000000"/>
              <w:left w:val="single" w:sz="9" w:space="0" w:color="D2D2D2"/>
              <w:right w:val="single" w:sz="4" w:space="0" w:color="000000"/>
            </w:tcBorders>
          </w:tcPr>
          <w:p>
            <w:pPr>
              <w:pStyle w:val="TableParagraph"/>
              <w:spacing w:line="309" w:lineRule="auto" w:before="51"/>
              <w:ind w:left="16" w:right="24"/>
              <w:jc w:val="left"/>
              <w:rPr>
                <w:rFonts w:ascii="宋体" w:hAnsi="宋体" w:cs="宋体" w:eastAsia="宋体" w:hint="default"/>
                <w:sz w:val="18"/>
                <w:szCs w:val="18"/>
              </w:rPr>
            </w:pPr>
            <w:r>
              <w:rPr>
                <w:rFonts w:ascii="宋体" w:hAnsi="宋体" w:cs="宋体" w:eastAsia="宋体" w:hint="default"/>
                <w:sz w:val="18"/>
                <w:szCs w:val="18"/>
              </w:rPr>
              <w:t>陈清州、翁丽敏之间是夫妻关系存在关联关系</w:t>
            </w:r>
            <w:r>
              <w:rPr>
                <w:rFonts w:ascii="Times New Roman" w:hAnsi="Times New Roman" w:cs="Times New Roman" w:eastAsia="Times New Roman" w:hint="default"/>
                <w:sz w:val="18"/>
                <w:szCs w:val="18"/>
              </w:rPr>
              <w:t>,</w:t>
            </w:r>
            <w:r>
              <w:rPr>
                <w:rFonts w:ascii="宋体" w:hAnsi="宋体" w:cs="宋体" w:eastAsia="宋体" w:hint="default"/>
                <w:sz w:val="18"/>
                <w:szCs w:val="18"/>
              </w:rPr>
              <w:t>是一致行动人。未知其他股东之间是否 </w:t>
            </w:r>
            <w:r>
              <w:rPr>
                <w:rFonts w:ascii="宋体" w:hAnsi="宋体" w:cs="宋体" w:eastAsia="宋体" w:hint="default"/>
                <w:spacing w:val="-2"/>
                <w:sz w:val="18"/>
                <w:szCs w:val="18"/>
              </w:rPr>
              <w:t>存在关联关系，也未知是否属于《上市公司股东持股变动信息披露管理办法》中规定的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一致行动人。</w:t>
            </w:r>
          </w:p>
        </w:tc>
      </w:tr>
      <w:tr>
        <w:trPr>
          <w:trHeight w:val="704" w:hRule="exact"/>
        </w:trPr>
        <w:tc>
          <w:tcPr>
            <w:tcW w:w="2729" w:type="dxa"/>
            <w:gridSpan w:val="3"/>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11"/>
            <w:vMerge/>
            <w:tcBorders>
              <w:left w:val="single" w:sz="9" w:space="0" w:color="D2D2D2"/>
              <w:right w:val="single" w:sz="4" w:space="0" w:color="000000"/>
            </w:tcBorders>
          </w:tcPr>
          <w:p>
            <w:pPr/>
          </w:p>
        </w:tc>
      </w:tr>
      <w:tr>
        <w:trPr>
          <w:trHeight w:val="161" w:hRule="exact"/>
        </w:trPr>
        <w:tc>
          <w:tcPr>
            <w:tcW w:w="272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6841" w:type="dxa"/>
            <w:gridSpan w:val="11"/>
            <w:vMerge/>
            <w:tcBorders>
              <w:left w:val="single" w:sz="9" w:space="0" w:color="D2D2D2"/>
              <w:bottom w:val="single" w:sz="4" w:space="0" w:color="000000"/>
              <w:right w:val="single" w:sz="4" w:space="0" w:color="000000"/>
            </w:tcBorders>
          </w:tcPr>
          <w:p>
            <w:pPr/>
          </w:p>
        </w:tc>
      </w:tr>
      <w:tr>
        <w:trPr>
          <w:trHeight w:val="402" w:hRule="exact"/>
        </w:trPr>
        <w:tc>
          <w:tcPr>
            <w:tcW w:w="957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729"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4106"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2" w:hRule="exact"/>
        </w:trPr>
        <w:tc>
          <w:tcPr>
            <w:tcW w:w="272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6" w:type="dxa"/>
            <w:gridSpan w:val="8"/>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3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729" w:type="dxa"/>
            <w:gridSpan w:val="3"/>
            <w:vMerge/>
            <w:tcBorders>
              <w:left w:val="single" w:sz="4" w:space="0" w:color="000000"/>
              <w:bottom w:val="nil" w:sz="6" w:space="0" w:color="auto"/>
              <w:right w:val="single" w:sz="4" w:space="0" w:color="000000"/>
            </w:tcBorders>
            <w:shd w:val="clear" w:color="auto" w:fill="D2D2D2"/>
          </w:tcPr>
          <w:p>
            <w:pPr/>
          </w:p>
        </w:tc>
        <w:tc>
          <w:tcPr>
            <w:tcW w:w="4106" w:type="dxa"/>
            <w:gridSpan w:val="8"/>
            <w:vMerge/>
            <w:tcBorders>
              <w:left w:val="single" w:sz="4" w:space="0" w:color="000000"/>
              <w:bottom w:val="nil" w:sz="6" w:space="0" w:color="auto"/>
              <w:right w:val="single" w:sz="4" w:space="0" w:color="000000"/>
            </w:tcBorders>
            <w:shd w:val="clear" w:color="auto" w:fill="D2D2D2"/>
          </w:tcPr>
          <w:p>
            <w:pP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729"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4106"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41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98,353,188</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98,353,188</w:t>
            </w:r>
          </w:p>
        </w:tc>
      </w:tr>
      <w:tr>
        <w:trPr>
          <w:trHeight w:val="402"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翁丽敏</w:t>
            </w:r>
          </w:p>
        </w:tc>
        <w:tc>
          <w:tcPr>
            <w:tcW w:w="41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8,000,000</w:t>
            </w:r>
          </w:p>
        </w:tc>
      </w:tr>
      <w:tr>
        <w:trPr>
          <w:trHeight w:val="714"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中国人寿保险股份有限公司－分 红－个人分红</w:t>
            </w:r>
            <w:r>
              <w:rPr>
                <w:rFonts w:ascii="Times New Roman" w:hAnsi="Times New Roman" w:cs="Times New Roman" w:eastAsia="Times New Roman" w:hint="default"/>
                <w:sz w:val="18"/>
                <w:szCs w:val="18"/>
              </w:rPr>
              <w:t>-005L-FH002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深</w:t>
            </w:r>
          </w:p>
        </w:tc>
        <w:tc>
          <w:tcPr>
            <w:tcW w:w="41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r>
      <w:tr>
        <w:trPr>
          <w:trHeight w:val="402"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唐继跃</w:t>
            </w:r>
          </w:p>
        </w:tc>
        <w:tc>
          <w:tcPr>
            <w:tcW w:w="41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3,348,000</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3,348,000</w:t>
            </w:r>
          </w:p>
        </w:tc>
      </w:tr>
      <w:tr>
        <w:trPr>
          <w:trHeight w:val="402" w:hRule="exact"/>
        </w:trPr>
        <w:tc>
          <w:tcPr>
            <w:tcW w:w="272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北京轫开投资有限公司</w:t>
            </w:r>
          </w:p>
        </w:tc>
        <w:tc>
          <w:tcPr>
            <w:tcW w:w="4106"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2,003,069</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2,003,069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729"/>
        <w:gridCol w:w="4106"/>
        <w:gridCol w:w="1368"/>
        <w:gridCol w:w="1367"/>
      </w:tblGrid>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郭阳</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1,850,750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1,850,750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1,663,938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1,663,938</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孙鹏飞</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1,200,000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史兴武</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1,121,200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1,121,200</w:t>
            </w:r>
          </w:p>
        </w:tc>
      </w:tr>
      <w:tr>
        <w:trPr>
          <w:trHeight w:val="402" w:hRule="exact"/>
        </w:trPr>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周掌良</w:t>
            </w:r>
          </w:p>
        </w:tc>
        <w:tc>
          <w:tcPr>
            <w:tcW w:w="4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1,036,826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1,036,826</w:t>
            </w:r>
          </w:p>
        </w:tc>
      </w:tr>
      <w:tr>
        <w:trPr>
          <w:trHeight w:val="1338"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名无限售流通股股东和</w:t>
            </w:r>
          </w:p>
          <w:p>
            <w:pPr>
              <w:pStyle w:val="TableParagraph"/>
              <w:spacing w:line="302" w:lineRule="auto" w:before="63"/>
              <w:ind w:left="22" w:right="8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9" w:lineRule="auto"/>
              <w:ind w:left="16" w:right="24"/>
              <w:jc w:val="left"/>
              <w:rPr>
                <w:rFonts w:ascii="宋体" w:hAnsi="宋体" w:cs="宋体" w:eastAsia="宋体" w:hint="default"/>
                <w:sz w:val="18"/>
                <w:szCs w:val="18"/>
              </w:rPr>
            </w:pPr>
            <w:r>
              <w:rPr>
                <w:rFonts w:ascii="宋体" w:hAnsi="宋体" w:cs="宋体" w:eastAsia="宋体" w:hint="default"/>
                <w:sz w:val="18"/>
                <w:szCs w:val="18"/>
              </w:rPr>
              <w:t>陈清州、翁丽敏之间是夫妻关系存在关联关系</w:t>
            </w:r>
            <w:r>
              <w:rPr>
                <w:rFonts w:ascii="Times New Roman" w:hAnsi="Times New Roman" w:cs="Times New Roman" w:eastAsia="Times New Roman" w:hint="default"/>
                <w:sz w:val="18"/>
                <w:szCs w:val="18"/>
              </w:rPr>
              <w:t>,</w:t>
            </w:r>
            <w:r>
              <w:rPr>
                <w:rFonts w:ascii="宋体" w:hAnsi="宋体" w:cs="宋体" w:eastAsia="宋体" w:hint="default"/>
                <w:sz w:val="18"/>
                <w:szCs w:val="18"/>
              </w:rPr>
              <w:t>是一致行动人。未知其他股东之间是否 </w:t>
            </w:r>
            <w:r>
              <w:rPr>
                <w:rFonts w:ascii="宋体" w:hAnsi="宋体" w:cs="宋体" w:eastAsia="宋体" w:hint="default"/>
                <w:spacing w:val="-2"/>
                <w:sz w:val="18"/>
                <w:szCs w:val="18"/>
              </w:rPr>
              <w:t>存在关联关系，也未知是否属于《上市公司股东持股变动信息披露管理办法》中规定的</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一致行动人。</w:t>
            </w:r>
          </w:p>
        </w:tc>
      </w:tr>
      <w:tr>
        <w:trPr>
          <w:trHeight w:val="1026" w:hRule="exact"/>
        </w:trPr>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 </w:t>
            </w:r>
            <w:r>
              <w:rPr>
                <w:rFonts w:ascii="宋体" w:hAnsi="宋体" w:cs="宋体" w:eastAsia="宋体" w:hint="default"/>
                <w:spacing w:val="-6"/>
                <w:sz w:val="18"/>
                <w:szCs w:val="18"/>
              </w:rPr>
              <w:t>业务股东情况说明（如有）（参见</w:t>
            </w:r>
            <w:r>
              <w:rPr>
                <w:rFonts w:ascii="宋体" w:hAnsi="宋体" w:cs="宋体" w:eastAsia="宋体" w:hint="default"/>
                <w:sz w:val="18"/>
                <w:szCs w:val="18"/>
              </w:rPr>
              <w:t> 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841"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3" w:right="1046"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ind w:left="153" w:right="1046"/>
        <w:jc w:val="left"/>
        <w:rPr>
          <w:b w:val="0"/>
          <w:bCs w:val="0"/>
        </w:rPr>
      </w:pPr>
      <w:bookmarkStart w:name="2、公司控股股东情况" w:id="104"/>
      <w:bookmarkEnd w:id="10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陈清州先生，</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月出生，中国国籍，无永久境外居留权。</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年开始 在深圳市好易通科技有限公司（本公司前身）工作，任董事长兼总经理，现任 本公司董事长兼总经理。</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left="153" w:right="1046"/>
        <w:jc w:val="left"/>
        <w:rPr>
          <w:b w:val="0"/>
          <w:bCs w:val="0"/>
        </w:rPr>
      </w:pPr>
      <w:bookmarkStart w:name="3、公司实际控制人情况" w:id="105"/>
      <w:bookmarkEnd w:id="10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17"/>
        <w:gridCol w:w="2030"/>
        <w:gridCol w:w="4121"/>
      </w:tblGrid>
      <w:tr>
        <w:trPr>
          <w:trHeight w:val="401"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21"/>
              <w:jc w:val="both"/>
              <w:rPr>
                <w:rFonts w:ascii="宋体" w:hAnsi="宋体" w:cs="宋体" w:eastAsia="宋体" w:hint="default"/>
                <w:sz w:val="18"/>
                <w:szCs w:val="18"/>
              </w:rPr>
            </w:pPr>
            <w:r>
              <w:rPr>
                <w:rFonts w:ascii="宋体" w:hAnsi="宋体" w:cs="宋体" w:eastAsia="宋体" w:hint="default"/>
                <w:sz w:val="18"/>
                <w:szCs w:val="18"/>
              </w:rPr>
              <w:t>陈清州先生，</w:t>
            </w:r>
            <w:r>
              <w:rPr>
                <w:rFonts w:ascii="Times New Roman" w:hAnsi="Times New Roman" w:cs="Times New Roman" w:eastAsia="Times New Roman" w:hint="default"/>
                <w:sz w:val="18"/>
                <w:szCs w:val="18"/>
              </w:rPr>
              <w:t>1965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月出生，中国国籍，无永久境外居留权。</w:t>
            </w:r>
            <w:r>
              <w:rPr>
                <w:rFonts w:ascii="Times New Roman" w:hAnsi="Times New Roman" w:cs="Times New Roman" w:eastAsia="Times New Roman" w:hint="default"/>
                <w:sz w:val="18"/>
                <w:szCs w:val="18"/>
              </w:rPr>
              <w:t>1993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年开始 </w:t>
            </w:r>
            <w:r>
              <w:rPr>
                <w:rFonts w:ascii="宋体" w:hAnsi="宋体" w:cs="宋体" w:eastAsia="宋体" w:hint="default"/>
                <w:spacing w:val="-1"/>
                <w:sz w:val="18"/>
                <w:szCs w:val="18"/>
              </w:rPr>
              <w:t>在深圳市好易通科技有限公司（本公司前身）工作，任董事长兼总经理，现任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本公司董事长兼总经理。</w:t>
            </w:r>
          </w:p>
        </w:tc>
      </w:tr>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48" w:lineRule="auto" w:before="44"/>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3"/>
        <w:rPr>
          <w:rFonts w:ascii="宋体" w:hAnsi="宋体" w:cs="宋体" w:eastAsia="宋体" w:hint="default"/>
          <w:sz w:val="25"/>
          <w:szCs w:val="25"/>
        </w:rPr>
      </w:pPr>
    </w:p>
    <w:p>
      <w:pPr>
        <w:spacing w:line="3135" w:lineRule="exact"/>
        <w:ind w:left="2123"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3618345" cy="19907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3618345" cy="1990725"/>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11"/>
        <w:rPr>
          <w:rFonts w:ascii="宋体" w:hAnsi="宋体" w:cs="宋体" w:eastAsia="宋体" w:hint="default"/>
          <w:sz w:val="21"/>
          <w:szCs w:val="21"/>
        </w:rPr>
      </w:pPr>
    </w:p>
    <w:p>
      <w:pPr>
        <w:spacing w:before="26"/>
        <w:ind w:left="154" w:right="1046"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
        <w:rPr>
          <w:rFonts w:ascii="宋体" w:hAnsi="宋体" w:cs="宋体" w:eastAsia="宋体" w:hint="default"/>
          <w:sz w:val="19"/>
          <w:szCs w:val="19"/>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1046"/>
        <w:jc w:val="left"/>
        <w:rPr>
          <w:b w:val="0"/>
          <w:bCs w:val="0"/>
        </w:rPr>
      </w:pPr>
      <w:bookmarkStart w:name="4、其他持股在10%以上的法人股东" w:id="106"/>
      <w:bookmarkEnd w:id="10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1046"/>
        <w:jc w:val="left"/>
        <w:rPr>
          <w:b w:val="0"/>
          <w:bCs w:val="0"/>
        </w:rPr>
      </w:pPr>
      <w:bookmarkStart w:name="四、公司股东及其一致行动人在报告期提出或实施股份增持计划的情况" w:id="107"/>
      <w:bookmarkEnd w:id="107"/>
      <w:r>
        <w:rPr>
          <w:b w:val="0"/>
          <w:bCs w:val="0"/>
        </w:rPr>
      </w:r>
      <w:r>
        <w:rPr/>
        <w:t>四、公司股东及其一致行动人在报告期提出或实施股份增持计划的情况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37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在公司所知的范围内，没有公司股东及其一致行动人在报告期提出或实施股份增持计划。</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1046"/>
        <w:jc w:val="left"/>
        <w:rPr>
          <w:b w:val="0"/>
          <w:bCs w:val="0"/>
        </w:rPr>
      </w:pPr>
      <w:bookmarkStart w:name="_TOC_250005" w:id="108"/>
      <w:bookmarkStart w:name="第七节 优先股相关情况" w:id="109"/>
      <w:r>
        <w:rPr>
          <w:b w:val="0"/>
          <w:bCs w:val="0"/>
        </w:rPr>
      </w:r>
      <w:r>
        <w:rPr/>
        <w:t>第七节</w:t>
      </w:r>
      <w:r>
        <w:rPr>
          <w:spacing w:val="-8"/>
        </w:rPr>
        <w:t> </w:t>
      </w:r>
      <w:r>
        <w:rPr/>
        <w:t>优先股相关情况</w:t>
      </w:r>
      <w:bookmarkEnd w:id="108"/>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1046"/>
        <w:jc w:val="left"/>
        <w:rPr>
          <w:b w:val="0"/>
          <w:bCs w:val="0"/>
        </w:rPr>
      </w:pPr>
      <w:bookmarkStart w:name="_TOC_250004" w:id="110"/>
      <w:bookmarkStart w:name="第八节 董事、监事、高级管理人员和员工情况" w:id="111"/>
      <w:r>
        <w:rPr>
          <w:b w:val="0"/>
          <w:bCs w:val="0"/>
        </w:rPr>
      </w:r>
      <w:r>
        <w:rPr/>
        <w:t>第八节</w:t>
      </w:r>
      <w:r>
        <w:rPr>
          <w:spacing w:val="-15"/>
        </w:rPr>
        <w:t> </w:t>
      </w:r>
      <w:r>
        <w:rPr/>
        <w:t>董事、监事、高级管理人员和员工情况</w:t>
      </w:r>
      <w:bookmarkEnd w:id="110"/>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1046"/>
        <w:jc w:val="left"/>
        <w:rPr>
          <w:b w:val="0"/>
          <w:bCs w:val="0"/>
        </w:rPr>
      </w:pPr>
      <w:bookmarkStart w:name="一、董事、监事和高级管理人员持股变动" w:id="112"/>
      <w:bookmarkEnd w:id="11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1025"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6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9"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8" w:right="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9" w:right="68"/>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9" w:right="68"/>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董事长兼 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413,612,75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408,562,75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6,655,751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6,655,751</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5"/>
              <w:jc w:val="left"/>
              <w:rPr>
                <w:rFonts w:ascii="宋体" w:hAnsi="宋体" w:cs="宋体" w:eastAsia="宋体" w:hint="default"/>
                <w:sz w:val="18"/>
                <w:szCs w:val="18"/>
              </w:rPr>
            </w:pPr>
            <w:r>
              <w:rPr>
                <w:rFonts w:ascii="宋体" w:hAnsi="宋体" w:cs="宋体" w:eastAsia="宋体" w:hint="default"/>
                <w:sz w:val="18"/>
                <w:szCs w:val="18"/>
              </w:rPr>
              <w:t>董事兼副 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4,630,750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1,156,927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3,473,823</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谭学治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1,501,875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325,470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1,176,405</w:t>
            </w:r>
          </w:p>
        </w:tc>
      </w:tr>
      <w:tr>
        <w:trPr>
          <w:trHeight w:val="1026"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both"/>
              <w:rPr>
                <w:rFonts w:ascii="宋体" w:hAnsi="宋体" w:cs="宋体" w:eastAsia="宋体" w:hint="default"/>
                <w:sz w:val="18"/>
                <w:szCs w:val="18"/>
              </w:rPr>
            </w:pPr>
            <w:r>
              <w:rPr>
                <w:rFonts w:ascii="宋体" w:hAnsi="宋体" w:cs="宋体" w:eastAsia="宋体" w:hint="default"/>
                <w:spacing w:val="-18"/>
                <w:sz w:val="18"/>
                <w:szCs w:val="18"/>
              </w:rPr>
              <w:t>董事、财务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8"/>
                <w:sz w:val="18"/>
                <w:szCs w:val="18"/>
              </w:rPr>
              <w:t>总监、董事</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会秘书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1,687,500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375,000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562,500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李少谦</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58</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韩保江</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邓峰</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70,313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17,578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52,735</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张玉成</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23,438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5,861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17,577</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郭羲祥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杜志刚</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汪冀</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864"/>
        <w:gridCol w:w="870"/>
        <w:gridCol w:w="870"/>
        <w:gridCol w:w="870"/>
        <w:gridCol w:w="870"/>
        <w:gridCol w:w="869"/>
        <w:gridCol w:w="870"/>
        <w:gridCol w:w="870"/>
        <w:gridCol w:w="870"/>
        <w:gridCol w:w="870"/>
        <w:gridCol w:w="870"/>
      </w:tblGrid>
      <w:tr>
        <w:trPr>
          <w:trHeight w:val="362" w:hRule="exact"/>
        </w:trPr>
        <w:tc>
          <w:tcPr>
            <w:tcW w:w="864"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蔡海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429,119,87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7,118,336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422,189,04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46"/>
        <w:jc w:val="left"/>
        <w:rPr>
          <w:b w:val="0"/>
          <w:bCs w:val="0"/>
        </w:rPr>
      </w:pPr>
      <w:bookmarkStart w:name="二、任职情况" w:id="113"/>
      <w:bookmarkEnd w:id="113"/>
      <w:r>
        <w:rPr>
          <w:b w:val="0"/>
          <w:bCs w:val="0"/>
        </w:rPr>
      </w:r>
      <w:r>
        <w:rPr/>
        <w:t>二、任职情况</w:t>
      </w:r>
      <w:r>
        <w:rPr>
          <w:b w:val="0"/>
          <w:bCs w:val="0"/>
        </w:rPr>
      </w:r>
    </w:p>
    <w:p>
      <w:pPr>
        <w:spacing w:line="240" w:lineRule="auto" w:before="7"/>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pStyle w:val="BodyText"/>
        <w:spacing w:line="240" w:lineRule="auto" w:before="153"/>
        <w:ind w:left="574" w:right="1046"/>
        <w:jc w:val="left"/>
      </w:pPr>
      <w:r>
        <w:rPr>
          <w:rFonts w:ascii="宋体" w:hAnsi="宋体" w:cs="宋体" w:eastAsia="宋体" w:hint="default"/>
        </w:rPr>
        <w:t>1</w:t>
      </w:r>
      <w:r>
        <w:rPr/>
        <w:t>、董事</w:t>
      </w:r>
    </w:p>
    <w:p>
      <w:pPr>
        <w:spacing w:line="240" w:lineRule="auto" w:before="10"/>
        <w:rPr>
          <w:rFonts w:ascii="宋体" w:hAnsi="宋体" w:cs="宋体" w:eastAsia="宋体" w:hint="default"/>
          <w:sz w:val="14"/>
          <w:szCs w:val="14"/>
        </w:rPr>
      </w:pPr>
    </w:p>
    <w:p>
      <w:pPr>
        <w:pStyle w:val="BodyText"/>
        <w:spacing w:line="408" w:lineRule="auto" w:before="0"/>
        <w:ind w:left="154" w:right="1009" w:firstLine="420"/>
        <w:jc w:val="left"/>
      </w:pPr>
      <w:r>
        <w:rPr/>
        <w:t>陈清州先生，</w:t>
      </w:r>
      <w:r>
        <w:rPr>
          <w:rFonts w:ascii="宋体" w:hAnsi="宋体" w:cs="宋体" w:eastAsia="宋体" w:hint="default"/>
        </w:rPr>
        <w:t>1965</w:t>
      </w:r>
      <w:r>
        <w:rPr>
          <w:rFonts w:ascii="宋体" w:hAnsi="宋体" w:cs="宋体" w:eastAsia="宋体" w:hint="default"/>
          <w:spacing w:val="-57"/>
        </w:rPr>
        <w:t> </w:t>
      </w:r>
      <w:r>
        <w:rPr/>
        <w:t>年</w:t>
      </w:r>
      <w:r>
        <w:rPr>
          <w:spacing w:val="-58"/>
        </w:rPr>
        <w:t> </w:t>
      </w:r>
      <w:r>
        <w:rPr>
          <w:rFonts w:ascii="宋体" w:hAnsi="宋体" w:cs="宋体" w:eastAsia="宋体" w:hint="default"/>
        </w:rPr>
        <w:t>11</w:t>
      </w:r>
      <w:r>
        <w:rPr>
          <w:rFonts w:ascii="宋体" w:hAnsi="宋体" w:cs="宋体" w:eastAsia="宋体" w:hint="default"/>
          <w:spacing w:val="-57"/>
        </w:rPr>
        <w:t> </w:t>
      </w:r>
      <w:r>
        <w:rPr/>
        <w:t>月出生，中国国籍，无永久境外居留权。</w:t>
      </w:r>
      <w:r>
        <w:rPr>
          <w:rFonts w:ascii="宋体" w:hAnsi="宋体" w:cs="宋体" w:eastAsia="宋体" w:hint="default"/>
        </w:rPr>
        <w:t>1993</w:t>
      </w:r>
      <w:r>
        <w:rPr>
          <w:rFonts w:ascii="宋体" w:hAnsi="宋体" w:cs="宋体" w:eastAsia="宋体" w:hint="default"/>
          <w:spacing w:val="-58"/>
        </w:rPr>
        <w:t> </w:t>
      </w:r>
      <w:r>
        <w:rPr/>
        <w:t>年开始在深圳市好易通科技有 限公司工作，任董事长兼总经理。现任海能达通信股份有限公司董事长、总经理，兼任深圳市安智捷科技 有限公司、哈尔滨海能达科技有限公司、天津市海能达信息技术有限公司执行董事、</w:t>
      </w:r>
      <w:r>
        <w:rPr>
          <w:rFonts w:ascii="宋体" w:hAnsi="宋体" w:cs="宋体" w:eastAsia="宋体" w:hint="default"/>
        </w:rPr>
        <w:t>HYT North</w:t>
      </w:r>
      <w:r>
        <w:rPr>
          <w:rFonts w:ascii="宋体" w:hAnsi="宋体" w:cs="宋体" w:eastAsia="宋体" w:hint="default"/>
          <w:spacing w:val="-22"/>
        </w:rPr>
        <w:t> </w:t>
      </w:r>
      <w:r>
        <w:rPr>
          <w:rFonts w:ascii="宋体" w:hAnsi="宋体" w:cs="宋体" w:eastAsia="宋体" w:hint="default"/>
        </w:rPr>
        <w:t>AMERICA</w:t>
      </w:r>
      <w:r>
        <w:rPr/>
        <w:t>， </w:t>
      </w:r>
      <w:r>
        <w:rPr>
          <w:rFonts w:ascii="宋体" w:hAnsi="宋体" w:cs="宋体" w:eastAsia="宋体" w:hint="default"/>
        </w:rPr>
        <w:t>INC.</w:t>
      </w:r>
      <w:r>
        <w:rPr/>
        <w:t>董事，以上兼职单位均为公司之全资子公司。</w:t>
      </w:r>
    </w:p>
    <w:p>
      <w:pPr>
        <w:pStyle w:val="BodyText"/>
        <w:spacing w:line="408" w:lineRule="auto"/>
        <w:ind w:left="154" w:right="1046" w:firstLine="420"/>
        <w:jc w:val="left"/>
      </w:pPr>
      <w:r>
        <w:rPr/>
        <w:t>曾华先生，</w:t>
      </w:r>
      <w:r>
        <w:rPr>
          <w:rFonts w:ascii="宋体" w:hAnsi="宋体" w:cs="宋体" w:eastAsia="宋体" w:hint="default"/>
        </w:rPr>
        <w:t>1968</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月出生，中国国籍，无永久境外居留权。</w:t>
      </w:r>
      <w:r>
        <w:rPr>
          <w:rFonts w:ascii="宋体" w:hAnsi="宋体" w:cs="宋体" w:eastAsia="宋体" w:hint="default"/>
        </w:rPr>
        <w:t>1999</w:t>
      </w:r>
      <w:r>
        <w:rPr>
          <w:rFonts w:ascii="宋体" w:hAnsi="宋体" w:cs="宋体" w:eastAsia="宋体" w:hint="default"/>
          <w:spacing w:val="-52"/>
        </w:rPr>
        <w:t> </w:t>
      </w:r>
      <w:r>
        <w:rPr/>
        <w:t>年开始在深圳市好易通科技有限 </w:t>
      </w:r>
      <w:r>
        <w:rPr>
          <w:spacing w:val="-1"/>
        </w:rPr>
        <w:t>公司工作，历任厂长、副总经理。现任海能达通信股份有限公司董事、副总经理，兼任深圳市海能达通信</w:t>
      </w:r>
      <w:r>
        <w:rPr>
          <w:spacing w:val="-83"/>
        </w:rPr>
        <w:t> </w:t>
      </w:r>
      <w:r>
        <w:rPr>
          <w:spacing w:val="-83"/>
        </w:rPr>
      </w:r>
      <w:r>
        <w:rPr>
          <w:spacing w:val="-1"/>
        </w:rPr>
        <w:t>有限公司执行董事、海能达通信（香港）有限公司董事、海能达通信股份有限公司宝龙分公司负责人，以</w:t>
      </w:r>
      <w:r>
        <w:rPr>
          <w:spacing w:val="-83"/>
        </w:rPr>
        <w:t> </w:t>
      </w:r>
      <w:r>
        <w:rPr>
          <w:spacing w:val="-83"/>
        </w:rPr>
      </w:r>
      <w:r>
        <w:rPr/>
        <w:t>上兼职单位均为公司之全资子公司或分公司。</w:t>
      </w:r>
    </w:p>
    <w:p>
      <w:pPr>
        <w:pStyle w:val="BodyText"/>
        <w:spacing w:line="408" w:lineRule="auto"/>
        <w:ind w:left="154" w:right="1046" w:firstLine="420"/>
        <w:jc w:val="left"/>
      </w:pPr>
      <w:r>
        <w:rPr/>
        <w:t>武美先生，</w:t>
      </w:r>
      <w:r>
        <w:rPr>
          <w:rFonts w:ascii="宋体" w:hAnsi="宋体" w:cs="宋体" w:eastAsia="宋体" w:hint="default"/>
        </w:rPr>
        <w:t>1972</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月出生，中国国籍，无永久境外居留权。</w:t>
      </w:r>
      <w:r>
        <w:rPr>
          <w:rFonts w:ascii="宋体" w:hAnsi="宋体" w:cs="宋体" w:eastAsia="宋体" w:hint="default"/>
        </w:rPr>
        <w:t>2001</w:t>
      </w:r>
      <w:r>
        <w:rPr>
          <w:rFonts w:ascii="宋体" w:hAnsi="宋体" w:cs="宋体" w:eastAsia="宋体" w:hint="default"/>
          <w:spacing w:val="-52"/>
        </w:rPr>
        <w:t> </w:t>
      </w:r>
      <w:r>
        <w:rPr/>
        <w:t>年开始在深圳市好易通科技有限 </w:t>
      </w:r>
      <w:r>
        <w:rPr>
          <w:spacing w:val="-1"/>
        </w:rPr>
        <w:t>公司工作，历任人力资源部总监、副总经理、董事会秘书、董事。现任海能达通信股份有限公司董事、副</w:t>
      </w:r>
      <w:r>
        <w:rPr>
          <w:spacing w:val="-83"/>
        </w:rPr>
        <w:t> </w:t>
      </w:r>
      <w:r>
        <w:rPr>
          <w:spacing w:val="-83"/>
        </w:rPr>
      </w:r>
      <w:r>
        <w:rPr>
          <w:spacing w:val="-1"/>
        </w:rPr>
        <w:t>总经理，兼任全资子公司南京海能达软件科技有限公司执行董事及经理、全资子公司鹤壁天海电子信息系</w:t>
      </w:r>
      <w:r>
        <w:rPr>
          <w:spacing w:val="-81"/>
        </w:rPr>
        <w:t> </w:t>
      </w:r>
      <w:r>
        <w:rPr>
          <w:spacing w:val="-81"/>
        </w:rPr>
      </w:r>
      <w:r>
        <w:rPr/>
        <w:t>统有限公司董事长。</w:t>
      </w:r>
    </w:p>
    <w:p>
      <w:pPr>
        <w:pStyle w:val="BodyText"/>
        <w:spacing w:line="408" w:lineRule="auto"/>
        <w:ind w:left="154" w:right="1121" w:firstLine="420"/>
        <w:jc w:val="left"/>
      </w:pPr>
      <w:r>
        <w:rPr/>
        <w:t>谭学治先生，</w:t>
      </w:r>
      <w:r>
        <w:rPr>
          <w:rFonts w:ascii="宋体" w:hAnsi="宋体" w:cs="宋体" w:eastAsia="宋体" w:hint="default"/>
        </w:rPr>
        <w:t>1957</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月出生，中国国籍，无永久境外居留权。</w:t>
      </w:r>
      <w:r>
        <w:rPr>
          <w:rFonts w:ascii="宋体" w:hAnsi="宋体" w:cs="宋体" w:eastAsia="宋体" w:hint="default"/>
        </w:rPr>
        <w:t>1996</w:t>
      </w:r>
      <w:r>
        <w:rPr>
          <w:rFonts w:ascii="宋体" w:hAnsi="宋体" w:cs="宋体" w:eastAsia="宋体" w:hint="default"/>
          <w:spacing w:val="-53"/>
        </w:rPr>
        <w:t> </w:t>
      </w:r>
      <w:r>
        <w:rPr/>
        <w:t>年至今，任哈尔滨工业大学通 信技术研究所教授、博士生导师、副所长；期间于</w:t>
      </w:r>
      <w:r>
        <w:rPr>
          <w:spacing w:val="-59"/>
        </w:rPr>
        <w:t> </w:t>
      </w:r>
      <w:r>
        <w:rPr>
          <w:rFonts w:ascii="宋体" w:hAnsi="宋体" w:cs="宋体" w:eastAsia="宋体" w:hint="default"/>
        </w:rPr>
        <w:t>1994</w:t>
      </w:r>
      <w:r>
        <w:rPr>
          <w:rFonts w:ascii="宋体" w:hAnsi="宋体" w:cs="宋体" w:eastAsia="宋体" w:hint="default"/>
          <w:spacing w:val="-60"/>
        </w:rPr>
        <w:t> </w:t>
      </w:r>
      <w:r>
        <w:rPr/>
        <w:t>年至</w:t>
      </w:r>
      <w:r>
        <w:rPr>
          <w:spacing w:val="-60"/>
        </w:rPr>
        <w:t> </w:t>
      </w:r>
      <w:r>
        <w:rPr>
          <w:rFonts w:ascii="宋体" w:hAnsi="宋体" w:cs="宋体" w:eastAsia="宋体" w:hint="default"/>
        </w:rPr>
        <w:t>2005</w:t>
      </w:r>
      <w:r>
        <w:rPr>
          <w:rFonts w:ascii="宋体" w:hAnsi="宋体" w:cs="宋体" w:eastAsia="宋体" w:hint="default"/>
          <w:spacing w:val="-60"/>
        </w:rPr>
        <w:t> </w:t>
      </w:r>
      <w:r>
        <w:rPr/>
        <w:t>年，任哈尔滨侨航通信设备有限公司副</w:t>
      </w:r>
      <w:r>
        <w:rPr>
          <w:spacing w:val="1"/>
        </w:rPr>
        <w:t> </w:t>
      </w:r>
      <w:r>
        <w:rPr/>
        <w:t>总经理。现任海能达通信股份有限公司董事、副总工程师，同时在哈尔滨工业大学任教。</w:t>
      </w:r>
    </w:p>
    <w:p>
      <w:pPr>
        <w:pStyle w:val="BodyText"/>
        <w:spacing w:line="408" w:lineRule="auto"/>
        <w:ind w:left="154" w:right="1092" w:firstLine="420"/>
        <w:jc w:val="left"/>
      </w:pPr>
      <w:r>
        <w:rPr/>
        <w:t>蒋叶林先生，</w:t>
      </w:r>
      <w:r>
        <w:rPr>
          <w:rFonts w:ascii="宋体" w:hAnsi="宋体" w:cs="宋体" w:eastAsia="宋体" w:hint="default"/>
        </w:rPr>
        <w:t>1972</w:t>
      </w:r>
      <w:r>
        <w:rPr>
          <w:rFonts w:ascii="宋体" w:hAnsi="宋体" w:cs="宋体" w:eastAsia="宋体" w:hint="default"/>
          <w:spacing w:val="-54"/>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月出生，中国国籍，无永久境外居留权。</w:t>
      </w:r>
      <w:r>
        <w:rPr>
          <w:rFonts w:ascii="宋体" w:hAnsi="宋体" w:cs="宋体" w:eastAsia="宋体" w:hint="default"/>
        </w:rPr>
        <w:t>2002</w:t>
      </w:r>
      <w:r>
        <w:rPr>
          <w:rFonts w:ascii="宋体" w:hAnsi="宋体" w:cs="宋体" w:eastAsia="宋体" w:hint="default"/>
          <w:spacing w:val="-54"/>
        </w:rPr>
        <w:t> </w:t>
      </w:r>
      <w:r>
        <w:rPr/>
        <w:t>年至</w:t>
      </w:r>
      <w:r>
        <w:rPr>
          <w:spacing w:val="-53"/>
        </w:rPr>
        <w:t> </w:t>
      </w:r>
      <w:r>
        <w:rPr>
          <w:rFonts w:ascii="宋体" w:hAnsi="宋体" w:cs="宋体" w:eastAsia="宋体" w:hint="default"/>
        </w:rPr>
        <w:t>2009</w:t>
      </w:r>
      <w:r>
        <w:rPr>
          <w:rFonts w:ascii="宋体" w:hAnsi="宋体" w:cs="宋体" w:eastAsia="宋体" w:hint="default"/>
          <w:spacing w:val="-54"/>
        </w:rPr>
        <w:t> </w:t>
      </w:r>
      <w:r>
        <w:rPr/>
        <w:t>年，历任上海贝尔 </w:t>
      </w:r>
      <w:r>
        <w:rPr>
          <w:spacing w:val="-1"/>
        </w:rPr>
        <w:t>有限公司移动核心网业务部总监、移动应用解决方案事业部总经理、核心网络方案事业部总经理、新产品</w:t>
      </w:r>
      <w:r>
        <w:rPr>
          <w:spacing w:val="-83"/>
        </w:rPr>
        <w:t> </w:t>
      </w:r>
      <w:r>
        <w:rPr>
          <w:spacing w:val="-83"/>
        </w:rPr>
      </w:r>
      <w:r>
        <w:rPr>
          <w:spacing w:val="-3"/>
        </w:rPr>
        <w:t>引入部负责人、公司副总裁；</w:t>
      </w:r>
      <w:r>
        <w:rPr>
          <w:rFonts w:ascii="宋体" w:hAnsi="宋体" w:cs="宋体" w:eastAsia="宋体" w:hint="default"/>
          <w:spacing w:val="-3"/>
        </w:rPr>
        <w:t>2009</w:t>
      </w:r>
      <w:r>
        <w:rPr>
          <w:rFonts w:ascii="宋体" w:hAnsi="宋体" w:cs="宋体" w:eastAsia="宋体" w:hint="default"/>
          <w:spacing w:val="-70"/>
        </w:rPr>
        <w:t> </w:t>
      </w:r>
      <w:r>
        <w:rPr/>
        <w:t>年开始加入海能达通信股份有限公司工作，任系统产品线总经理。现任 海能达通信股份有限公司董事、系统产品线总经理，兼任全资子公司哈尔滨海能达科技有限公司总经理。</w:t>
      </w:r>
    </w:p>
    <w:p>
      <w:pPr>
        <w:pStyle w:val="BodyText"/>
        <w:spacing w:line="240" w:lineRule="auto"/>
        <w:ind w:left="574" w:right="1046"/>
        <w:jc w:val="left"/>
      </w:pPr>
      <w:r>
        <w:rPr/>
        <w:t>张钜先生，</w:t>
      </w:r>
      <w:r>
        <w:rPr>
          <w:rFonts w:ascii="宋体" w:hAnsi="宋体" w:cs="宋体" w:eastAsia="宋体" w:hint="default"/>
        </w:rPr>
        <w:t>1975</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月出生，中国国籍，无永久境外居留权。</w:t>
      </w:r>
      <w:r>
        <w:rPr>
          <w:rFonts w:ascii="宋体" w:hAnsi="宋体" w:cs="宋体" w:eastAsia="宋体" w:hint="default"/>
        </w:rPr>
        <w:t>2006</w:t>
      </w:r>
      <w:r>
        <w:rPr>
          <w:rFonts w:ascii="宋体" w:hAnsi="宋体" w:cs="宋体" w:eastAsia="宋体" w:hint="default"/>
          <w:spacing w:val="-53"/>
        </w:rPr>
        <w:t> </w:t>
      </w:r>
      <w:r>
        <w:rPr/>
        <w:t>年开始在深圳市好易通科技有限</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46"/>
        <w:jc w:val="left"/>
      </w:pPr>
      <w:r>
        <w:rPr>
          <w:spacing w:val="-1"/>
        </w:rPr>
        <w:t>公司工作，任首席财政官。现任海能达通信股份有限公司董事、财务总监、董事会秘书，兼任哈尔滨海能</w:t>
      </w:r>
      <w:r>
        <w:rPr>
          <w:spacing w:val="-83"/>
        </w:rPr>
        <w:t> </w:t>
      </w:r>
      <w:r>
        <w:rPr>
          <w:spacing w:val="-83"/>
        </w:rPr>
      </w:r>
      <w:r>
        <w:rPr/>
        <w:t>达科技有限公司监事。</w:t>
      </w:r>
    </w:p>
    <w:p>
      <w:pPr>
        <w:pStyle w:val="BodyText"/>
        <w:spacing w:line="408" w:lineRule="auto"/>
        <w:ind w:right="1046" w:firstLine="420"/>
        <w:jc w:val="left"/>
      </w:pPr>
      <w:r>
        <w:rPr/>
        <w:t>李少谦先生，</w:t>
      </w:r>
      <w:r>
        <w:rPr>
          <w:rFonts w:ascii="宋体" w:hAnsi="宋体" w:cs="宋体" w:eastAsia="宋体" w:hint="default"/>
        </w:rPr>
        <w:t>1957</w:t>
      </w:r>
      <w:r>
        <w:rPr>
          <w:rFonts w:ascii="宋体" w:hAnsi="宋体" w:cs="宋体" w:eastAsia="宋体" w:hint="default"/>
          <w:spacing w:val="-53"/>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月出生，中国国籍，无永久境外居留权。</w:t>
      </w:r>
      <w:r>
        <w:rPr>
          <w:rFonts w:ascii="宋体" w:hAnsi="宋体" w:cs="宋体" w:eastAsia="宋体" w:hint="default"/>
        </w:rPr>
        <w:t>1994</w:t>
      </w:r>
      <w:r>
        <w:rPr>
          <w:rFonts w:ascii="宋体" w:hAnsi="宋体" w:cs="宋体" w:eastAsia="宋体" w:hint="default"/>
          <w:spacing w:val="-53"/>
        </w:rPr>
        <w:t> </w:t>
      </w:r>
      <w:r>
        <w:rPr/>
        <w:t>年至今，在电子科技大学通信 </w:t>
      </w:r>
      <w:r>
        <w:rPr>
          <w:spacing w:val="-1"/>
        </w:rPr>
        <w:t>抗干扰技术国家级重点实验室工作，任教授、主任。现任电子科技大学通信抗干扰技术国家级重点实验室</w:t>
      </w:r>
      <w:r>
        <w:rPr>
          <w:spacing w:val="-83"/>
        </w:rPr>
        <w:t> </w:t>
      </w:r>
      <w:r>
        <w:rPr>
          <w:spacing w:val="-83"/>
        </w:rPr>
      </w:r>
      <w:r>
        <w:rPr/>
        <w:t>主任、教授兼海能达通信股份有限公司独立董事。</w:t>
      </w:r>
    </w:p>
    <w:p>
      <w:pPr>
        <w:pStyle w:val="BodyText"/>
        <w:spacing w:line="408" w:lineRule="auto"/>
        <w:ind w:right="1024" w:firstLine="420"/>
        <w:jc w:val="left"/>
      </w:pPr>
      <w:r>
        <w:rPr/>
        <w:t>熊楚熊先生，</w:t>
      </w:r>
      <w:r>
        <w:rPr>
          <w:rFonts w:ascii="宋体" w:hAnsi="宋体" w:cs="宋体" w:eastAsia="宋体" w:hint="default"/>
        </w:rPr>
        <w:t>1955</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3"/>
        </w:rPr>
        <w:t> </w:t>
      </w:r>
      <w:r>
        <w:rPr/>
        <w:t>月出生，中国国籍，无永久境外居留权。</w:t>
      </w:r>
      <w:r>
        <w:rPr>
          <w:rFonts w:ascii="宋体" w:hAnsi="宋体" w:cs="宋体" w:eastAsia="宋体" w:hint="default"/>
        </w:rPr>
        <w:t>1992</w:t>
      </w:r>
      <w:r>
        <w:rPr>
          <w:rFonts w:ascii="宋体" w:hAnsi="宋体" w:cs="宋体" w:eastAsia="宋体" w:hint="default"/>
          <w:spacing w:val="-53"/>
        </w:rPr>
        <w:t> </w:t>
      </w:r>
      <w:r>
        <w:rPr/>
        <w:t>年至今，在深圳大学任教。现 </w:t>
      </w:r>
      <w:r>
        <w:rPr>
          <w:spacing w:val="-3"/>
        </w:rPr>
        <w:t>任深圳大学会计学教授，兼任海能达通信股份有限公司、中金岭南股份有限公司、国药一致股份有限公司、</w:t>
      </w:r>
      <w:r>
        <w:rPr>
          <w:spacing w:val="-90"/>
        </w:rPr>
        <w:t> </w:t>
      </w:r>
      <w:r>
        <w:rPr>
          <w:spacing w:val="-90"/>
        </w:rPr>
      </w:r>
      <w:r>
        <w:rPr/>
        <w:t>深国商独立董事。</w:t>
      </w:r>
    </w:p>
    <w:p>
      <w:pPr>
        <w:pStyle w:val="BodyText"/>
        <w:spacing w:line="408" w:lineRule="auto"/>
        <w:ind w:right="1041" w:firstLine="420"/>
        <w:jc w:val="left"/>
      </w:pPr>
      <w:r>
        <w:rPr/>
        <w:t>韩保江先生，</w:t>
      </w:r>
      <w:r>
        <w:rPr>
          <w:rFonts w:ascii="宋体" w:hAnsi="宋体" w:cs="宋体" w:eastAsia="宋体" w:hint="default"/>
        </w:rPr>
        <w:t>1963</w:t>
      </w:r>
      <w:r>
        <w:rPr>
          <w:rFonts w:ascii="宋体" w:hAnsi="宋体" w:cs="宋体" w:eastAsia="宋体" w:hint="default"/>
          <w:spacing w:val="-57"/>
        </w:rPr>
        <w:t> </w:t>
      </w:r>
      <w:r>
        <w:rPr/>
        <w:t>年</w:t>
      </w:r>
      <w:r>
        <w:rPr>
          <w:spacing w:val="-58"/>
        </w:rPr>
        <w:t> </w:t>
      </w:r>
      <w:r>
        <w:rPr>
          <w:rFonts w:ascii="宋体" w:hAnsi="宋体" w:cs="宋体" w:eastAsia="宋体" w:hint="default"/>
        </w:rPr>
        <w:t>3</w:t>
      </w:r>
      <w:r>
        <w:rPr>
          <w:rFonts w:ascii="宋体" w:hAnsi="宋体" w:cs="宋体" w:eastAsia="宋体" w:hint="default"/>
          <w:spacing w:val="-57"/>
        </w:rPr>
        <w:t> </w:t>
      </w:r>
      <w:r>
        <w:rPr/>
        <w:t>月出生，中国国籍，无永久境外居留权。</w:t>
      </w:r>
      <w:r>
        <w:rPr>
          <w:rFonts w:ascii="宋体" w:hAnsi="宋体" w:cs="宋体" w:eastAsia="宋体" w:hint="default"/>
        </w:rPr>
        <w:t>2004</w:t>
      </w:r>
      <w:r>
        <w:rPr>
          <w:rFonts w:ascii="宋体" w:hAnsi="宋体" w:cs="宋体" w:eastAsia="宋体" w:hint="default"/>
          <w:spacing w:val="-58"/>
        </w:rPr>
        <w:t> </w:t>
      </w:r>
      <w:r>
        <w:rPr/>
        <w:t>年至</w:t>
      </w:r>
      <w:r>
        <w:rPr>
          <w:spacing w:val="-56"/>
        </w:rPr>
        <w:t> </w:t>
      </w:r>
      <w:r>
        <w:rPr>
          <w:rFonts w:ascii="宋体" w:hAnsi="宋体" w:cs="宋体" w:eastAsia="宋体" w:hint="default"/>
        </w:rPr>
        <w:t>2012</w:t>
      </w:r>
      <w:r>
        <w:rPr>
          <w:rFonts w:ascii="宋体" w:hAnsi="宋体" w:cs="宋体" w:eastAsia="宋体" w:hint="default"/>
          <w:spacing w:val="-57"/>
        </w:rPr>
        <w:t> </w:t>
      </w:r>
      <w:r>
        <w:rPr/>
        <w:t>年，任中央党校经济 学部副主任；</w:t>
      </w:r>
      <w:r>
        <w:rPr>
          <w:rFonts w:ascii="宋体" w:hAnsi="宋体" w:cs="宋体" w:eastAsia="宋体" w:hint="default"/>
        </w:rPr>
        <w:t>2012</w:t>
      </w:r>
      <w:r>
        <w:rPr>
          <w:rFonts w:ascii="宋体" w:hAnsi="宋体" w:cs="宋体" w:eastAsia="宋体" w:hint="default"/>
          <w:spacing w:val="-53"/>
        </w:rPr>
        <w:t> </w:t>
      </w:r>
      <w:r>
        <w:rPr/>
        <w:t>年至今，任中央党校国际战略研究所所长、教授。现任中央党校国际战略研究所所长、 教授，兼任海能达通信股份有限公司独立董事。</w:t>
      </w:r>
    </w:p>
    <w:p>
      <w:pPr>
        <w:pStyle w:val="BodyText"/>
        <w:spacing w:line="240" w:lineRule="auto"/>
        <w:ind w:left="573" w:right="1046"/>
        <w:jc w:val="left"/>
      </w:pPr>
      <w:r>
        <w:rPr>
          <w:rFonts w:ascii="宋体" w:hAnsi="宋体" w:cs="宋体" w:eastAsia="宋体" w:hint="default"/>
        </w:rPr>
        <w:t>2</w:t>
      </w:r>
      <w:r>
        <w:rPr/>
        <w:t>、监事</w:t>
      </w:r>
    </w:p>
    <w:p>
      <w:pPr>
        <w:spacing w:line="240" w:lineRule="auto" w:before="10"/>
        <w:rPr>
          <w:rFonts w:ascii="宋体" w:hAnsi="宋体" w:cs="宋体" w:eastAsia="宋体" w:hint="default"/>
          <w:sz w:val="14"/>
          <w:szCs w:val="14"/>
        </w:rPr>
      </w:pPr>
    </w:p>
    <w:p>
      <w:pPr>
        <w:pStyle w:val="BodyText"/>
        <w:spacing w:line="408" w:lineRule="auto" w:before="0"/>
        <w:ind w:right="1129" w:firstLine="420"/>
        <w:jc w:val="both"/>
      </w:pPr>
      <w:r>
        <w:rPr>
          <w:spacing w:val="-5"/>
        </w:rPr>
        <w:t>邓峰先生，</w:t>
      </w:r>
      <w:r>
        <w:rPr>
          <w:rFonts w:ascii="宋体" w:hAnsi="宋体" w:cs="宋体" w:eastAsia="宋体" w:hint="default"/>
          <w:spacing w:val="-5"/>
        </w:rPr>
        <w:t>1982</w:t>
      </w:r>
      <w:r>
        <w:rPr>
          <w:rFonts w:ascii="宋体" w:hAnsi="宋体" w:cs="宋体" w:eastAsia="宋体" w:hint="default"/>
          <w:spacing w:val="-49"/>
        </w:rPr>
        <w:t> </w:t>
      </w:r>
      <w:r>
        <w:rPr/>
        <w:t>年</w:t>
      </w:r>
      <w:r>
        <w:rPr>
          <w:spacing w:val="-49"/>
        </w:rPr>
        <w:t> </w:t>
      </w:r>
      <w:r>
        <w:rPr>
          <w:rFonts w:ascii="宋体" w:hAnsi="宋体" w:cs="宋体" w:eastAsia="宋体" w:hint="default"/>
        </w:rPr>
        <w:t>9</w:t>
      </w:r>
      <w:r>
        <w:rPr>
          <w:rFonts w:ascii="宋体" w:hAnsi="宋体" w:cs="宋体" w:eastAsia="宋体" w:hint="default"/>
          <w:spacing w:val="-47"/>
        </w:rPr>
        <w:t> </w:t>
      </w:r>
      <w:r>
        <w:rPr>
          <w:spacing w:val="-6"/>
        </w:rPr>
        <w:t>月出生，中国国籍，无永久境外居留权。</w:t>
      </w:r>
      <w:r>
        <w:rPr>
          <w:rFonts w:ascii="宋体" w:hAnsi="宋体" w:cs="宋体" w:eastAsia="宋体" w:hint="default"/>
          <w:spacing w:val="-6"/>
        </w:rPr>
        <w:t>2004</w:t>
      </w:r>
      <w:r>
        <w:rPr>
          <w:rFonts w:ascii="宋体" w:hAnsi="宋体" w:cs="宋体" w:eastAsia="宋体" w:hint="default"/>
          <w:spacing w:val="-49"/>
        </w:rPr>
        <w:t> </w:t>
      </w:r>
      <w:r>
        <w:rPr/>
        <w:t>年至</w:t>
      </w:r>
      <w:r>
        <w:rPr>
          <w:spacing w:val="-50"/>
        </w:rPr>
        <w:t> </w:t>
      </w:r>
      <w:r>
        <w:rPr>
          <w:rFonts w:ascii="宋体" w:hAnsi="宋体" w:cs="宋体" w:eastAsia="宋体" w:hint="default"/>
        </w:rPr>
        <w:t>2007</w:t>
      </w:r>
      <w:r>
        <w:rPr>
          <w:rFonts w:ascii="宋体" w:hAnsi="宋体" w:cs="宋体" w:eastAsia="宋体" w:hint="default"/>
          <w:spacing w:val="-47"/>
        </w:rPr>
        <w:t> </w:t>
      </w:r>
      <w:r>
        <w:rPr>
          <w:spacing w:val="-8"/>
        </w:rPr>
        <w:t>年，在长澳药业科技（集</w:t>
      </w:r>
      <w:r>
        <w:rPr/>
        <w:t> 团）有限公司历任法务专员、法务主管；</w:t>
      </w:r>
      <w:r>
        <w:rPr>
          <w:rFonts w:ascii="宋体" w:hAnsi="宋体" w:cs="宋体" w:eastAsia="宋体" w:hint="default"/>
        </w:rPr>
        <w:t>2007</w:t>
      </w:r>
      <w:r>
        <w:rPr>
          <w:rFonts w:ascii="宋体" w:hAnsi="宋体" w:cs="宋体" w:eastAsia="宋体" w:hint="default"/>
          <w:spacing w:val="-54"/>
        </w:rPr>
        <w:t> </w:t>
      </w:r>
      <w:r>
        <w:rPr/>
        <w:t>年至</w:t>
      </w:r>
      <w:r>
        <w:rPr>
          <w:spacing w:val="-54"/>
        </w:rPr>
        <w:t> </w:t>
      </w:r>
      <w:r>
        <w:rPr>
          <w:rFonts w:ascii="宋体" w:hAnsi="宋体" w:cs="宋体" w:eastAsia="宋体" w:hint="default"/>
        </w:rPr>
        <w:t>2008</w:t>
      </w:r>
      <w:r>
        <w:rPr>
          <w:rFonts w:ascii="宋体" w:hAnsi="宋体" w:cs="宋体" w:eastAsia="宋体" w:hint="default"/>
          <w:spacing w:val="-54"/>
        </w:rPr>
        <w:t> </w:t>
      </w:r>
      <w:r>
        <w:rPr/>
        <w:t>年，在深圳市天基权科技股份有限公司任法律部 </w:t>
      </w:r>
      <w:r>
        <w:rPr>
          <w:spacing w:val="-6"/>
        </w:rPr>
        <w:t>主任；</w:t>
      </w:r>
      <w:r>
        <w:rPr>
          <w:rFonts w:ascii="宋体" w:hAnsi="宋体" w:cs="宋体" w:eastAsia="宋体" w:hint="default"/>
          <w:spacing w:val="-6"/>
        </w:rPr>
        <w:t>2008</w:t>
      </w:r>
      <w:r>
        <w:rPr>
          <w:rFonts w:ascii="宋体" w:hAnsi="宋体" w:cs="宋体" w:eastAsia="宋体" w:hint="default"/>
          <w:spacing w:val="-81"/>
        </w:rPr>
        <w:t> </w:t>
      </w:r>
      <w:r>
        <w:rPr/>
        <w:t>年开始在深圳市好易通科技有限公司任高级法务专员。现任海能达通信股份有限公司高级副总 裁助理兼南京基建项目部总监、监事会主席、职工监事。</w:t>
      </w:r>
    </w:p>
    <w:p>
      <w:pPr>
        <w:pStyle w:val="BodyText"/>
        <w:spacing w:line="408" w:lineRule="auto"/>
        <w:ind w:right="1015" w:firstLine="420"/>
        <w:jc w:val="left"/>
      </w:pPr>
      <w:r>
        <w:rPr>
          <w:spacing w:val="-5"/>
        </w:rPr>
        <w:t>张玉成先生，</w:t>
      </w:r>
      <w:r>
        <w:rPr>
          <w:rFonts w:ascii="宋体" w:hAnsi="宋体" w:cs="宋体" w:eastAsia="宋体" w:hint="default"/>
          <w:spacing w:val="-5"/>
        </w:rPr>
        <w:t>1979</w:t>
      </w:r>
      <w:r>
        <w:rPr>
          <w:rFonts w:ascii="宋体" w:hAnsi="宋体" w:cs="宋体" w:eastAsia="宋体" w:hint="default"/>
          <w:spacing w:val="-51"/>
        </w:rPr>
        <w:t> </w:t>
      </w:r>
      <w:r>
        <w:rPr/>
        <w:t>年</w:t>
      </w:r>
      <w:r>
        <w:rPr>
          <w:spacing w:val="-51"/>
        </w:rPr>
        <w:t> </w:t>
      </w:r>
      <w:r>
        <w:rPr>
          <w:rFonts w:ascii="宋体" w:hAnsi="宋体" w:cs="宋体" w:eastAsia="宋体" w:hint="default"/>
        </w:rPr>
        <w:t>9</w:t>
      </w:r>
      <w:r>
        <w:rPr>
          <w:rFonts w:ascii="宋体" w:hAnsi="宋体" w:cs="宋体" w:eastAsia="宋体" w:hint="default"/>
          <w:spacing w:val="-50"/>
        </w:rPr>
        <w:t> </w:t>
      </w:r>
      <w:r>
        <w:rPr>
          <w:spacing w:val="-4"/>
        </w:rPr>
        <w:t>月出生，中国国籍，无永久境外居留权，毕业于哈尔滨工业大学电气工程专业，</w:t>
      </w:r>
      <w:r>
        <w:rPr/>
        <w:t> 硕士学历。</w:t>
      </w:r>
      <w:r>
        <w:rPr>
          <w:rFonts w:ascii="宋体" w:hAnsi="宋体" w:cs="宋体" w:eastAsia="宋体" w:hint="default"/>
        </w:rPr>
        <w:t>2004</w:t>
      </w:r>
      <w:r>
        <w:rPr>
          <w:rFonts w:ascii="宋体" w:hAnsi="宋体" w:cs="宋体" w:eastAsia="宋体" w:hint="default"/>
          <w:spacing w:val="-77"/>
        </w:rPr>
        <w:t> </w:t>
      </w:r>
      <w:r>
        <w:rPr/>
        <w:t>年开始在深圳市好易通科技有限公司工作，历任软件工程师、产品需求标准化负责人、产 品规划部部长，现任海能达通信股份有限公司监事、</w:t>
      </w:r>
      <w:r>
        <w:rPr>
          <w:rFonts w:ascii="宋体" w:hAnsi="宋体" w:cs="宋体" w:eastAsia="宋体" w:hint="default"/>
        </w:rPr>
        <w:t>tetra</w:t>
      </w:r>
      <w:r>
        <w:rPr>
          <w:rFonts w:ascii="宋体" w:hAnsi="宋体" w:cs="宋体" w:eastAsia="宋体" w:hint="default"/>
          <w:spacing w:val="-53"/>
        </w:rPr>
        <w:t> </w:t>
      </w:r>
      <w:r>
        <w:rPr/>
        <w:t>系统产品开发部总监助理。</w:t>
      </w:r>
    </w:p>
    <w:p>
      <w:pPr>
        <w:pStyle w:val="BodyText"/>
        <w:spacing w:line="408" w:lineRule="auto"/>
        <w:ind w:right="1045" w:firstLine="420"/>
        <w:jc w:val="left"/>
      </w:pPr>
      <w:r>
        <w:rPr/>
        <w:t>王卓女士，</w:t>
      </w:r>
      <w:r>
        <w:rPr>
          <w:rFonts w:ascii="宋体" w:hAnsi="宋体" w:cs="宋体" w:eastAsia="宋体" w:hint="default"/>
        </w:rPr>
        <w:t>1981</w:t>
      </w:r>
      <w:r>
        <w:rPr>
          <w:rFonts w:ascii="宋体" w:hAnsi="宋体" w:cs="宋体" w:eastAsia="宋体" w:hint="default"/>
          <w:spacing w:val="-54"/>
        </w:rPr>
        <w:t> </w:t>
      </w:r>
      <w:r>
        <w:rPr/>
        <w:t>年</w:t>
      </w:r>
      <w:r>
        <w:rPr>
          <w:spacing w:val="-55"/>
        </w:rPr>
        <w:t> </w:t>
      </w:r>
      <w:r>
        <w:rPr>
          <w:rFonts w:ascii="宋体" w:hAnsi="宋体" w:cs="宋体" w:eastAsia="宋体" w:hint="default"/>
        </w:rPr>
        <w:t>7</w:t>
      </w:r>
      <w:r>
        <w:rPr>
          <w:rFonts w:ascii="宋体" w:hAnsi="宋体" w:cs="宋体" w:eastAsia="宋体" w:hint="default"/>
          <w:spacing w:val="-53"/>
        </w:rPr>
        <w:t> </w:t>
      </w:r>
      <w:r>
        <w:rPr/>
        <w:t>月出生，中国国籍，无永久境外居留权，毕业于吉林大学英语专业，本科学历。 </w:t>
      </w:r>
      <w:r>
        <w:rPr>
          <w:rFonts w:ascii="宋体" w:hAnsi="宋体" w:cs="宋体" w:eastAsia="宋体" w:hint="default"/>
        </w:rPr>
        <w:t>2004</w:t>
      </w:r>
      <w:r>
        <w:rPr>
          <w:rFonts w:ascii="宋体" w:hAnsi="宋体" w:cs="宋体" w:eastAsia="宋体" w:hint="default"/>
          <w:spacing w:val="-82"/>
        </w:rPr>
        <w:t> </w:t>
      </w:r>
      <w:r>
        <w:rPr/>
        <w:t>年起在深圳市好易通科技有限公司工作，历任总裁秘书、市场部副总监。现任海能达通信股份有限公 司监事、市场部副总监。</w:t>
      </w:r>
    </w:p>
    <w:p>
      <w:pPr>
        <w:pStyle w:val="BodyText"/>
        <w:spacing w:line="240" w:lineRule="auto"/>
        <w:ind w:left="573" w:right="1046"/>
        <w:jc w:val="left"/>
      </w:pPr>
      <w:r>
        <w:rPr>
          <w:rFonts w:ascii="宋体" w:hAnsi="宋体" w:cs="宋体" w:eastAsia="宋体" w:hint="default"/>
        </w:rPr>
        <w:t>3</w:t>
      </w:r>
      <w:r>
        <w:rPr/>
        <w:t>、高级管理人员</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本公司现任高级管理人员</w:t>
      </w:r>
      <w:r>
        <w:rPr>
          <w:spacing w:val="-53"/>
        </w:rPr>
        <w:t> </w:t>
      </w:r>
      <w:r>
        <w:rPr>
          <w:rFonts w:ascii="宋体" w:hAnsi="宋体" w:cs="宋体" w:eastAsia="宋体" w:hint="default"/>
        </w:rPr>
        <w:t>5</w:t>
      </w:r>
      <w:r>
        <w:rPr>
          <w:rFonts w:ascii="宋体" w:hAnsi="宋体" w:cs="宋体" w:eastAsia="宋体" w:hint="default"/>
          <w:spacing w:val="-53"/>
        </w:rPr>
        <w:t> </w:t>
      </w:r>
      <w:r>
        <w:rPr/>
        <w:t>人，其中陈清州、曾华、武美、张钜的简历见前述董事介绍。</w:t>
      </w:r>
    </w:p>
    <w:p>
      <w:pPr>
        <w:spacing w:line="240" w:lineRule="auto" w:before="10"/>
        <w:rPr>
          <w:rFonts w:ascii="宋体" w:hAnsi="宋体" w:cs="宋体" w:eastAsia="宋体" w:hint="default"/>
          <w:sz w:val="14"/>
          <w:szCs w:val="14"/>
        </w:rPr>
      </w:pPr>
    </w:p>
    <w:p>
      <w:pPr>
        <w:pStyle w:val="BodyText"/>
        <w:spacing w:line="405" w:lineRule="auto" w:before="0"/>
        <w:ind w:right="1122" w:firstLine="420"/>
        <w:jc w:val="left"/>
        <w:rPr>
          <w:sz w:val="18"/>
          <w:szCs w:val="18"/>
        </w:rPr>
      </w:pPr>
      <w:r>
        <w:rPr>
          <w:rFonts w:ascii="宋体" w:hAnsi="宋体" w:cs="宋体" w:eastAsia="宋体" w:hint="default"/>
        </w:rPr>
        <w:t>KOK</w:t>
      </w:r>
      <w:r>
        <w:rPr>
          <w:rFonts w:ascii="宋体" w:hAnsi="宋体" w:cs="宋体" w:eastAsia="宋体" w:hint="default"/>
          <w:spacing w:val="-51"/>
        </w:rPr>
        <w:t> </w:t>
      </w:r>
      <w:r>
        <w:rPr>
          <w:rFonts w:ascii="宋体" w:hAnsi="宋体" w:cs="宋体" w:eastAsia="宋体" w:hint="default"/>
        </w:rPr>
        <w:t>GEE</w:t>
      </w:r>
      <w:r>
        <w:rPr>
          <w:rFonts w:ascii="宋体" w:hAnsi="宋体" w:cs="宋体" w:eastAsia="宋体" w:hint="default"/>
          <w:spacing w:val="-52"/>
        </w:rPr>
        <w:t> </w:t>
      </w:r>
      <w:r>
        <w:rPr>
          <w:rFonts w:ascii="宋体" w:hAnsi="宋体" w:cs="宋体" w:eastAsia="宋体" w:hint="default"/>
          <w:spacing w:val="-22"/>
        </w:rPr>
        <w:t>SIONG</w:t>
      </w:r>
      <w:r>
        <w:rPr>
          <w:spacing w:val="-22"/>
        </w:rPr>
        <w:t>（中文名：郭羲祥），男，</w:t>
      </w:r>
      <w:r>
        <w:rPr>
          <w:rFonts w:ascii="宋体" w:hAnsi="宋体" w:cs="宋体" w:eastAsia="宋体" w:hint="default"/>
          <w:spacing w:val="-22"/>
        </w:rPr>
        <w:t>1958</w:t>
      </w:r>
      <w:r>
        <w:rPr>
          <w:rFonts w:ascii="宋体" w:hAnsi="宋体" w:cs="宋体" w:eastAsia="宋体" w:hint="default"/>
          <w:spacing w:val="-52"/>
        </w:rPr>
        <w:t> </w:t>
      </w:r>
      <w:r>
        <w:rPr/>
        <w:t>年</w:t>
      </w:r>
      <w:r>
        <w:rPr>
          <w:spacing w:val="-52"/>
        </w:rPr>
        <w:t> </w:t>
      </w:r>
      <w:r>
        <w:rPr>
          <w:rFonts w:ascii="宋体" w:hAnsi="宋体" w:cs="宋体" w:eastAsia="宋体" w:hint="default"/>
        </w:rPr>
        <w:t>7</w:t>
      </w:r>
      <w:r>
        <w:rPr>
          <w:rFonts w:ascii="宋体" w:hAnsi="宋体" w:cs="宋体" w:eastAsia="宋体" w:hint="default"/>
          <w:spacing w:val="-51"/>
        </w:rPr>
        <w:t> </w:t>
      </w:r>
      <w:r>
        <w:rPr>
          <w:spacing w:val="-12"/>
        </w:rPr>
        <w:t>月出生，马来西亚国籍。</w:t>
      </w:r>
      <w:r>
        <w:rPr>
          <w:rFonts w:ascii="宋体" w:hAnsi="宋体" w:cs="宋体" w:eastAsia="宋体" w:hint="default"/>
          <w:spacing w:val="-12"/>
        </w:rPr>
        <w:t>2003</w:t>
      </w:r>
      <w:r>
        <w:rPr>
          <w:rFonts w:ascii="宋体" w:hAnsi="宋体" w:cs="宋体" w:eastAsia="宋体" w:hint="default"/>
          <w:spacing w:val="-51"/>
        </w:rPr>
        <w:t> </w:t>
      </w:r>
      <w:r>
        <w:rPr>
          <w:spacing w:val="-1"/>
        </w:rPr>
        <w:t>年至</w:t>
      </w:r>
      <w:r>
        <w:rPr>
          <w:spacing w:val="-52"/>
        </w:rPr>
        <w:t> </w:t>
      </w:r>
      <w:r>
        <w:rPr>
          <w:rFonts w:ascii="宋体" w:hAnsi="宋体" w:cs="宋体" w:eastAsia="宋体" w:hint="default"/>
        </w:rPr>
        <w:t>2008</w:t>
      </w:r>
      <w:r>
        <w:rPr>
          <w:rFonts w:ascii="宋体" w:hAnsi="宋体" w:cs="宋体" w:eastAsia="宋体" w:hint="default"/>
          <w:spacing w:val="-52"/>
        </w:rPr>
        <w:t> </w:t>
      </w:r>
      <w:r>
        <w:rPr>
          <w:spacing w:val="-29"/>
        </w:rPr>
        <w:t>年，任</w:t>
      </w:r>
      <w:r>
        <w:rPr>
          <w:spacing w:val="-52"/>
        </w:rPr>
        <w:t> </w:t>
      </w:r>
      <w:r>
        <w:rPr>
          <w:rFonts w:ascii="宋体" w:hAnsi="宋体" w:cs="宋体" w:eastAsia="宋体" w:hint="default"/>
        </w:rPr>
        <w:t>Motorola Technology</w:t>
      </w:r>
      <w:r>
        <w:rPr>
          <w:rFonts w:ascii="宋体" w:hAnsi="宋体" w:cs="宋体" w:eastAsia="宋体" w:hint="default"/>
          <w:spacing w:val="-20"/>
        </w:rPr>
        <w:t> </w:t>
      </w:r>
      <w:r>
        <w:rPr>
          <w:rFonts w:ascii="宋体" w:hAnsi="宋体" w:cs="宋体" w:eastAsia="宋体" w:hint="default"/>
        </w:rPr>
        <w:t>Sdn</w:t>
      </w:r>
      <w:r>
        <w:rPr>
          <w:rFonts w:ascii="宋体" w:hAnsi="宋体" w:cs="宋体" w:eastAsia="宋体" w:hint="default"/>
          <w:spacing w:val="-20"/>
        </w:rPr>
        <w:t> </w:t>
      </w:r>
      <w:r>
        <w:rPr>
          <w:rFonts w:ascii="宋体" w:hAnsi="宋体" w:cs="宋体" w:eastAsia="宋体" w:hint="default"/>
        </w:rPr>
        <w:t>Bhd</w:t>
      </w:r>
      <w:r>
        <w:rPr>
          <w:rFonts w:ascii="宋体" w:hAnsi="宋体" w:cs="宋体" w:eastAsia="宋体" w:hint="default"/>
          <w:spacing w:val="-1"/>
        </w:rPr>
        <w:t> </w:t>
      </w:r>
      <w:r>
        <w:rPr/>
        <w:t>，</w:t>
      </w:r>
      <w:r>
        <w:rPr>
          <w:rFonts w:ascii="宋体" w:hAnsi="宋体" w:cs="宋体" w:eastAsia="宋体" w:hint="default"/>
        </w:rPr>
        <w:t>RND</w:t>
      </w:r>
      <w:r>
        <w:rPr>
          <w:rFonts w:ascii="宋体" w:hAnsi="宋体" w:cs="宋体" w:eastAsia="宋体" w:hint="default"/>
          <w:spacing w:val="-21"/>
        </w:rPr>
        <w:t> </w:t>
      </w:r>
      <w:r>
        <w:rPr>
          <w:rFonts w:ascii="宋体" w:hAnsi="宋体" w:cs="宋体" w:eastAsia="宋体" w:hint="default"/>
        </w:rPr>
        <w:t>Engineering</w:t>
      </w:r>
      <w:r>
        <w:rPr>
          <w:rFonts w:ascii="宋体" w:hAnsi="宋体" w:cs="宋体" w:eastAsia="宋体" w:hint="default"/>
          <w:spacing w:val="-20"/>
        </w:rPr>
        <w:t> </w:t>
      </w:r>
      <w:r>
        <w:rPr>
          <w:rFonts w:ascii="宋体" w:hAnsi="宋体" w:cs="宋体" w:eastAsia="宋体" w:hint="default"/>
        </w:rPr>
        <w:t>Manager</w:t>
      </w:r>
      <w:r>
        <w:rPr/>
        <w:t>；</w:t>
      </w:r>
      <w:r>
        <w:rPr>
          <w:rFonts w:ascii="宋体" w:hAnsi="宋体" w:cs="宋体" w:eastAsia="宋体" w:hint="default"/>
        </w:rPr>
        <w:t>2008</w:t>
      </w:r>
      <w:r>
        <w:rPr>
          <w:rFonts w:ascii="宋体" w:hAnsi="宋体" w:cs="宋体" w:eastAsia="宋体" w:hint="default"/>
          <w:spacing w:val="-52"/>
        </w:rPr>
        <w:t> </w:t>
      </w:r>
      <w:r>
        <w:rPr/>
        <w:t>年开始在深圳市好易通科技有限公司工作，任深 圳研发中心</w:t>
      </w:r>
      <w:r>
        <w:rPr>
          <w:spacing w:val="-54"/>
        </w:rPr>
        <w:t> </w:t>
      </w:r>
      <w:r>
        <w:rPr>
          <w:rFonts w:ascii="宋体" w:hAnsi="宋体" w:cs="宋体" w:eastAsia="宋体" w:hint="default"/>
        </w:rPr>
        <w:t>DMR</w:t>
      </w:r>
      <w:r>
        <w:rPr>
          <w:rFonts w:ascii="宋体" w:hAnsi="宋体" w:cs="宋体" w:eastAsia="宋体" w:hint="default"/>
          <w:spacing w:val="-53"/>
        </w:rPr>
        <w:t> </w:t>
      </w:r>
      <w:r>
        <w:rPr/>
        <w:t>副总监。现任海能达通信股份有限公司副总经理、总工程师、终端产品线总经理。 </w:t>
      </w:r>
      <w:r>
        <w:rPr>
          <w:sz w:val="18"/>
          <w:szCs w:val="18"/>
        </w:rPr>
        <w:t>在股东单位任职情况</w:t>
      </w:r>
    </w:p>
    <w:p>
      <w:pPr>
        <w:spacing w:line="338" w:lineRule="auto" w:before="0"/>
        <w:ind w:left="15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3190"/>
        <w:gridCol w:w="1063"/>
        <w:gridCol w:w="1196"/>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0"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7"/>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深圳市安智捷科技有限公司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天津市海能达信息技术有限公司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HYT North</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z w:val="18"/>
                <w:szCs w:val="18"/>
              </w:rPr>
              <w:t>AMERICA</w:t>
            </w:r>
            <w:r>
              <w:rPr>
                <w:rFonts w:ascii="宋体" w:hAnsi="宋体" w:cs="宋体" w:eastAsia="宋体" w:hint="default"/>
                <w:sz w:val="18"/>
                <w:szCs w:val="18"/>
              </w:rPr>
              <w:t>，</w:t>
            </w:r>
            <w:r>
              <w:rPr>
                <w:rFonts w:ascii="Times New Roman" w:hAnsi="Times New Roman" w:cs="Times New Roman" w:eastAsia="Times New Roman" w:hint="default"/>
                <w:sz w:val="18"/>
                <w:szCs w:val="18"/>
              </w:rPr>
              <w:t>INC.</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深圳市海能达通信有限公司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深圳市海天朗科技有限公司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海能达通信（香港）有限公司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南京海能达软件科技有限公司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鹤壁天海电子信息系统有限公司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哈尔滨海能达科技有限公司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李少谦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电子科技大学通信抗干扰技术国家级重 点实验室</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主任、教授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深圳大学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3"/>
                <w:sz w:val="18"/>
                <w:szCs w:val="18"/>
              </w:rPr>
              <w:t>学院院长、教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深圳市国际商业企业股份有限公司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中金岭南股份有限公司独立董事</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韩保江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中央党校国际战略研究所</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所长、教授</w:t>
            </w:r>
          </w:p>
        </w:tc>
        <w:tc>
          <w:tcPr>
            <w:tcW w:w="1196"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陈清州先生、曾华先生、武美先生、张钜先生的上述任职均为公司之全资子公司。</w:t>
            </w:r>
          </w:p>
        </w:tc>
      </w:tr>
    </w:tbl>
    <w:p>
      <w:pPr>
        <w:spacing w:line="240" w:lineRule="auto" w:before="2"/>
        <w:rPr>
          <w:rFonts w:ascii="宋体" w:hAnsi="宋体" w:cs="宋体" w:eastAsia="宋体" w:hint="default"/>
          <w:sz w:val="18"/>
          <w:szCs w:val="18"/>
        </w:rPr>
      </w:pPr>
    </w:p>
    <w:p>
      <w:pPr>
        <w:pStyle w:val="Heading2"/>
        <w:spacing w:line="240" w:lineRule="auto" w:before="26"/>
        <w:ind w:left="154" w:right="1046"/>
        <w:jc w:val="left"/>
        <w:rPr>
          <w:b w:val="0"/>
          <w:bCs w:val="0"/>
        </w:rPr>
      </w:pPr>
      <w:bookmarkStart w:name="三、董事、监事、高级管理人员报酬情况" w:id="114"/>
      <w:bookmarkEnd w:id="114"/>
      <w:r>
        <w:rPr>
          <w:b w:val="0"/>
          <w:bCs w:val="0"/>
        </w:rPr>
      </w:r>
      <w:r>
        <w:rPr/>
        <w:t>三、董事、监事、高级管理人员报酬情况</w:t>
      </w:r>
      <w:r>
        <w:rPr>
          <w:b w:val="0"/>
          <w:bCs w:val="0"/>
        </w:rPr>
      </w:r>
    </w:p>
    <w:p>
      <w:pPr>
        <w:spacing w:line="240" w:lineRule="auto" w:before="8"/>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10"/>
        <w:rPr>
          <w:rFonts w:ascii="宋体" w:hAnsi="宋体" w:cs="宋体" w:eastAsia="宋体" w:hint="default"/>
          <w:sz w:val="12"/>
          <w:szCs w:val="12"/>
        </w:rPr>
      </w:pPr>
    </w:p>
    <w:p>
      <w:pPr>
        <w:pStyle w:val="BodyText"/>
        <w:spacing w:line="408" w:lineRule="auto" w:before="0"/>
        <w:ind w:right="1093" w:firstLine="420"/>
        <w:jc w:val="left"/>
        <w:rPr>
          <w:rFonts w:ascii="宋体" w:hAnsi="宋体" w:cs="宋体" w:eastAsia="宋体" w:hint="default"/>
        </w:rPr>
      </w:pPr>
      <w:r>
        <w:rPr/>
        <w:t>决策程序：公司薪酬与考核委员会根据考核情况提出薪酬预案，由董事会、股东大会审议批准实施。 公司第二届董事会第七次会议及</w:t>
      </w:r>
      <w:r>
        <w:rPr>
          <w:spacing w:val="-53"/>
        </w:rPr>
        <w:t> </w:t>
      </w:r>
      <w:r>
        <w:rPr>
          <w:rFonts w:ascii="宋体" w:hAnsi="宋体" w:cs="宋体" w:eastAsia="宋体" w:hint="default"/>
        </w:rPr>
        <w:t>2013</w:t>
      </w:r>
      <w:r>
        <w:rPr>
          <w:rFonts w:ascii="宋体" w:hAnsi="宋体" w:cs="宋体" w:eastAsia="宋体" w:hint="default"/>
          <w:spacing w:val="-54"/>
        </w:rPr>
        <w:t> </w:t>
      </w:r>
      <w:r>
        <w:rPr/>
        <w:t>年年度股东大会审议通过了《关于董事、监事、高级管理人员</w:t>
      </w:r>
      <w:r>
        <w:rPr>
          <w:spacing w:val="-53"/>
        </w:rPr>
        <w:t> </w:t>
      </w:r>
      <w:r>
        <w:rPr>
          <w:rFonts w:ascii="宋体" w:hAnsi="宋体" w:cs="宋体" w:eastAsia="宋体" w:hint="default"/>
        </w:rPr>
        <w:t>2014</w:t>
      </w:r>
    </w:p>
    <w:p>
      <w:pPr>
        <w:spacing w:after="0" w:line="408" w:lineRule="auto"/>
        <w:jc w:val="left"/>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46"/>
        <w:jc w:val="left"/>
      </w:pPr>
      <w:r>
        <w:rPr/>
        <w:t>年薪酬的预案</w:t>
      </w:r>
      <w:r>
        <w:rPr>
          <w:spacing w:val="-105"/>
        </w:rPr>
        <w:t>》</w:t>
      </w:r>
      <w:r>
        <w:rPr/>
        <w:t>。</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确定依据：公司独立董事按照第二届董事会第七次会议及</w:t>
      </w:r>
      <w:r>
        <w:rPr>
          <w:spacing w:val="-53"/>
        </w:rPr>
        <w:t> </w:t>
      </w:r>
      <w:r>
        <w:rPr>
          <w:rFonts w:ascii="宋体" w:hAnsi="宋体" w:cs="宋体" w:eastAsia="宋体" w:hint="default"/>
        </w:rPr>
        <w:t>2013</w:t>
      </w:r>
      <w:r>
        <w:rPr>
          <w:rFonts w:ascii="宋体" w:hAnsi="宋体" w:cs="宋体" w:eastAsia="宋体" w:hint="default"/>
          <w:spacing w:val="-54"/>
        </w:rPr>
        <w:t> </w:t>
      </w:r>
      <w:r>
        <w:rPr/>
        <w:t>年年度股东大会审议通过的《关于董</w:t>
      </w:r>
    </w:p>
    <w:p>
      <w:pPr>
        <w:spacing w:line="240" w:lineRule="auto" w:before="10"/>
        <w:rPr>
          <w:rFonts w:ascii="宋体" w:hAnsi="宋体" w:cs="宋体" w:eastAsia="宋体" w:hint="default"/>
          <w:sz w:val="14"/>
          <w:szCs w:val="14"/>
        </w:rPr>
      </w:pPr>
    </w:p>
    <w:p>
      <w:pPr>
        <w:pStyle w:val="BodyText"/>
        <w:spacing w:line="408" w:lineRule="auto" w:before="0"/>
        <w:ind w:right="1046"/>
        <w:jc w:val="left"/>
      </w:pPr>
      <w:r>
        <w:rPr/>
        <w:t>事、监事、高级管理人员</w:t>
      </w:r>
      <w:r>
        <w:rPr>
          <w:spacing w:val="-53"/>
        </w:rPr>
        <w:t> </w:t>
      </w:r>
      <w:r>
        <w:rPr>
          <w:rFonts w:ascii="宋体" w:hAnsi="宋体" w:cs="宋体" w:eastAsia="宋体" w:hint="default"/>
        </w:rPr>
        <w:t>2014</w:t>
      </w:r>
      <w:r>
        <w:rPr>
          <w:rFonts w:ascii="宋体" w:hAnsi="宋体" w:cs="宋体" w:eastAsia="宋体" w:hint="default"/>
          <w:spacing w:val="-54"/>
        </w:rPr>
        <w:t> </w:t>
      </w:r>
      <w:r>
        <w:rPr/>
        <w:t>年薪酬的预案》确定薪酬，其他人员主要根据职责、重要性以及其他同行 </w:t>
      </w:r>
      <w:r>
        <w:rPr>
          <w:spacing w:val="-1"/>
        </w:rPr>
        <w:t>企业相关岗位的薪酬水平确定报酬方案，包括固定工资和绩效奖金两部分，绩效奖金与公司年度经营指标</w:t>
      </w:r>
      <w:r>
        <w:rPr>
          <w:spacing w:val="-80"/>
        </w:rPr>
        <w:t> </w:t>
      </w:r>
      <w:r>
        <w:rPr>
          <w:spacing w:val="-80"/>
        </w:rPr>
      </w:r>
      <w:r>
        <w:rPr/>
        <w:t>完成情况以及个人绩效评价相挂钩，其实际支付金额会有所浮动。</w:t>
      </w:r>
    </w:p>
    <w:p>
      <w:pPr>
        <w:pStyle w:val="BodyText"/>
        <w:spacing w:line="240" w:lineRule="auto"/>
        <w:ind w:left="573" w:right="1046"/>
        <w:jc w:val="left"/>
      </w:pPr>
      <w:r>
        <w:rPr/>
        <w:t>实际支付情况：公司独立董事的津贴按月支付。其他人员的固定工资按月支付，绩效奖金按年支付。</w:t>
      </w:r>
    </w:p>
    <w:p>
      <w:pPr>
        <w:spacing w:line="240" w:lineRule="auto" w:before="6"/>
        <w:rPr>
          <w:rFonts w:ascii="宋体" w:hAnsi="宋体" w:cs="宋体" w:eastAsia="宋体" w:hint="default"/>
          <w:sz w:val="10"/>
          <w:szCs w:val="10"/>
        </w:rPr>
      </w:pPr>
    </w:p>
    <w:p>
      <w:pPr>
        <w:spacing w:before="44"/>
        <w:ind w:left="153" w:right="1046"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714"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3" w:right="51"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2" w:right="53"/>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陈清州</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董事长兼总经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37.37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37.37</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董事兼副总经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81.29</w:t>
            </w:r>
          </w:p>
        </w:tc>
      </w:tr>
      <w:tr>
        <w:trPr>
          <w:trHeight w:val="71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董事兼副总经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95.29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谭学治</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30.74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30.74</w:t>
            </w:r>
          </w:p>
        </w:tc>
      </w:tr>
      <w:tr>
        <w:trPr>
          <w:trHeight w:val="102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董事、财务总 监、董事会秘 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71.51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71.51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114.79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李少谦</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韩保江</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邓峰</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35.65</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张玉成</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29.29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29.29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王卓</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30.61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郭羲祥</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75.71</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杜志刚</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63.42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63.42</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汪冀</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57.18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57.18</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孙萌</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72.53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72.53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蔡海</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119.09</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939.67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939.67</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60"/>
        <w:gridCol w:w="956"/>
        <w:gridCol w:w="955"/>
        <w:gridCol w:w="957"/>
        <w:gridCol w:w="958"/>
        <w:gridCol w:w="956"/>
        <w:gridCol w:w="958"/>
        <w:gridCol w:w="957"/>
        <w:gridCol w:w="958"/>
        <w:gridCol w:w="956"/>
      </w:tblGrid>
      <w:tr>
        <w:trPr>
          <w:trHeight w:val="1338"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2" w:right="20" w:hanging="90"/>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报告期内已 行权股数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2" w:right="22" w:hanging="1"/>
              <w:jc w:val="center"/>
              <w:rPr>
                <w:rFonts w:ascii="宋体" w:hAnsi="宋体" w:cs="宋体" w:eastAsia="宋体" w:hint="default"/>
                <w:sz w:val="18"/>
                <w:szCs w:val="18"/>
              </w:rPr>
            </w:pPr>
            <w:r>
              <w:rPr>
                <w:rFonts w:ascii="宋体" w:hAnsi="宋体" w:cs="宋体" w:eastAsia="宋体" w:hint="default"/>
                <w:sz w:val="18"/>
                <w:szCs w:val="18"/>
              </w:rPr>
              <w:t>报告期内已 行权股数行 </w:t>
            </w:r>
            <w:r>
              <w:rPr>
                <w:rFonts w:ascii="宋体" w:hAnsi="宋体" w:cs="宋体" w:eastAsia="宋体" w:hint="default"/>
                <w:spacing w:val="-9"/>
                <w:sz w:val="18"/>
                <w:szCs w:val="18"/>
              </w:rPr>
              <w:t>权价格（元</w:t>
            </w:r>
            <w:r>
              <w:rPr>
                <w:rFonts w:ascii="Times New Roman" w:hAnsi="Times New Roman" w:cs="Times New Roman" w:eastAsia="Times New Roman" w:hint="default"/>
                <w:spacing w:val="-9"/>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20"/>
              <w:ind w:left="87"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曾华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董事兼副总 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武美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董事兼副总 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谭学治</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22,500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张钜</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董事、财务 总监、董事 会秘书</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蒋叶林</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187,500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187,500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蔡海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187,500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孙萌</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150,000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10.09</w:t>
            </w:r>
          </w:p>
        </w:tc>
        <w:tc>
          <w:tcPr>
            <w:tcW w:w="958"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997,500</w:t>
            </w:r>
          </w:p>
        </w:tc>
        <w:tc>
          <w:tcPr>
            <w:tcW w:w="95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187,500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left="154" w:right="1046"/>
        <w:jc w:val="left"/>
        <w:rPr>
          <w:b w:val="0"/>
          <w:bCs w:val="0"/>
        </w:rPr>
      </w:pPr>
      <w:bookmarkStart w:name="四、公司董事、监事、高级管理人员变动情况" w:id="115"/>
      <w:bookmarkEnd w:id="115"/>
      <w:r>
        <w:rPr>
          <w:b w:val="0"/>
          <w:bCs w:val="0"/>
        </w:rPr>
      </w:r>
      <w:r>
        <w:rPr/>
        <w:t>四、公司董事、监事、高级管理人员变动情况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杜志刚</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个人原因离职。</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汪冀</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个人原因离职。</w:t>
            </w:r>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46"/>
        <w:jc w:val="left"/>
        <w:rPr>
          <w:b w:val="0"/>
          <w:bCs w:val="0"/>
        </w:rPr>
      </w:pPr>
      <w:bookmarkStart w:name="五、报告期核心技术团队或关键技术人员变动情况（非董事、监事、高级管理人员）" w:id="116"/>
      <w:bookmarkEnd w:id="116"/>
      <w:r>
        <w:rPr>
          <w:b w:val="0"/>
          <w:bCs w:val="0"/>
        </w:rPr>
      </w:r>
      <w:r>
        <w:rPr/>
        <w:t>五、报告期核心技术团队或关键技术人员变动情况（非董事、监事、高级管理人员）</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1046"/>
        <w:jc w:val="left"/>
      </w:pPr>
      <w:r>
        <w:rPr/>
        <w:t>报告期内公司无核心技术团队或关键技术人员变动情况。</w:t>
      </w:r>
    </w:p>
    <w:p>
      <w:pPr>
        <w:spacing w:line="240" w:lineRule="auto" w:before="0"/>
        <w:rPr>
          <w:rFonts w:ascii="宋体" w:hAnsi="宋体" w:cs="宋体" w:eastAsia="宋体" w:hint="default"/>
          <w:sz w:val="20"/>
          <w:szCs w:val="20"/>
        </w:rPr>
      </w:pPr>
    </w:p>
    <w:p>
      <w:pPr>
        <w:pStyle w:val="Heading2"/>
        <w:spacing w:line="240" w:lineRule="auto" w:before="131"/>
        <w:ind w:right="1046"/>
        <w:jc w:val="left"/>
        <w:rPr>
          <w:b w:val="0"/>
          <w:bCs w:val="0"/>
        </w:rPr>
      </w:pPr>
      <w:bookmarkStart w:name="六、公司员工情况" w:id="117"/>
      <w:bookmarkEnd w:id="117"/>
      <w:r>
        <w:rPr>
          <w:b w:val="0"/>
          <w:bCs w:val="0"/>
        </w:rPr>
      </w:r>
      <w:r>
        <w:rPr/>
        <w:t>六、公司员工情况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4" w:right="5303"/>
        <w:jc w:val="left"/>
      </w:pPr>
      <w:r>
        <w:rPr/>
        <w:t>截止</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日，公司共有在册员工</w:t>
      </w:r>
      <w:r>
        <w:rPr>
          <w:spacing w:val="-53"/>
        </w:rPr>
        <w:t> </w:t>
      </w:r>
      <w:r>
        <w:rPr>
          <w:rFonts w:ascii="宋体" w:hAnsi="宋体" w:cs="宋体" w:eastAsia="宋体" w:hint="default"/>
        </w:rPr>
        <w:t>3738</w:t>
      </w:r>
      <w:r>
        <w:rPr>
          <w:rFonts w:ascii="宋体" w:hAnsi="宋体" w:cs="宋体" w:eastAsia="宋体" w:hint="default"/>
          <w:spacing w:val="-55"/>
        </w:rPr>
        <w:t> </w:t>
      </w:r>
      <w:r>
        <w:rPr/>
        <w:t>名。 </w:t>
      </w:r>
      <w:r>
        <w:rPr>
          <w:rFonts w:ascii="宋体" w:hAnsi="宋体" w:cs="宋体" w:eastAsia="宋体" w:hint="default"/>
          <w:spacing w:val="-7"/>
        </w:rPr>
        <w:t>1</w:t>
      </w:r>
      <w:r>
        <w:rPr>
          <w:spacing w:val="-7"/>
        </w:rPr>
        <w:t>、按专业结构划分（饼状图列示）：</w:t>
      </w:r>
    </w:p>
    <w:tbl>
      <w:tblPr>
        <w:tblW w:w="0" w:type="auto"/>
        <w:jc w:val="left"/>
        <w:tblInd w:w="705" w:type="dxa"/>
        <w:tblLayout w:type="fixed"/>
        <w:tblCellMar>
          <w:top w:w="0" w:type="dxa"/>
          <w:left w:w="0" w:type="dxa"/>
          <w:bottom w:w="0" w:type="dxa"/>
          <w:right w:w="0" w:type="dxa"/>
        </w:tblCellMar>
        <w:tblLook w:val="01E0"/>
      </w:tblPr>
      <w:tblGrid>
        <w:gridCol w:w="2840"/>
        <w:gridCol w:w="2841"/>
        <w:gridCol w:w="2842"/>
      </w:tblGrid>
      <w:tr>
        <w:trPr>
          <w:trHeight w:val="355" w:hRule="exact"/>
        </w:trPr>
        <w:tc>
          <w:tcPr>
            <w:tcW w:w="2840" w:type="dxa"/>
            <w:tcBorders>
              <w:top w:val="single" w:sz="6" w:space="0" w:color="000000"/>
              <w:left w:val="single" w:sz="6" w:space="0" w:color="000000"/>
              <w:bottom w:val="single" w:sz="12" w:space="0" w:color="000000"/>
              <w:right w:val="single" w:sz="12" w:space="0" w:color="000000"/>
            </w:tcBorders>
            <w:shd w:val="clear" w:color="auto" w:fill="D9D9D9"/>
          </w:tcPr>
          <w:p>
            <w:pPr>
              <w:pStyle w:val="TableParagraph"/>
              <w:spacing w:line="254" w:lineRule="exact"/>
              <w:ind w:left="4"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841"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54" w:lineRule="exact"/>
              <w:ind w:left="1190" w:right="0"/>
              <w:jc w:val="left"/>
              <w:rPr>
                <w:rFonts w:ascii="宋体" w:hAnsi="宋体" w:cs="宋体" w:eastAsia="宋体" w:hint="default"/>
                <w:sz w:val="21"/>
                <w:szCs w:val="21"/>
              </w:rPr>
            </w:pPr>
            <w:r>
              <w:rPr>
                <w:rFonts w:ascii="宋体" w:hAnsi="宋体" w:cs="宋体" w:eastAsia="宋体" w:hint="default"/>
                <w:sz w:val="21"/>
                <w:szCs w:val="21"/>
              </w:rPr>
              <w:t>人数</w:t>
            </w:r>
          </w:p>
        </w:tc>
        <w:tc>
          <w:tcPr>
            <w:tcW w:w="2842"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54" w:lineRule="exact"/>
              <w:ind w:right="45"/>
              <w:jc w:val="right"/>
              <w:rPr>
                <w:rFonts w:ascii="宋体" w:hAnsi="宋体" w:cs="宋体" w:eastAsia="宋体" w:hint="default"/>
                <w:sz w:val="21"/>
                <w:szCs w:val="21"/>
              </w:rPr>
            </w:pPr>
            <w:r>
              <w:rPr>
                <w:rFonts w:ascii="宋体" w:hAnsi="宋体" w:cs="宋体" w:eastAsia="宋体" w:hint="default"/>
                <w:sz w:val="21"/>
                <w:szCs w:val="21"/>
              </w:rPr>
              <w:t>占公司员工总数的比例（％）</w:t>
            </w:r>
          </w:p>
        </w:tc>
      </w:tr>
      <w:tr>
        <w:trPr>
          <w:trHeight w:val="352"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生产人员</w:t>
            </w:r>
          </w:p>
        </w:tc>
        <w:tc>
          <w:tcPr>
            <w:tcW w:w="2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left="1201" w:right="0"/>
              <w:jc w:val="left"/>
              <w:rPr>
                <w:rFonts w:ascii="Times New Roman" w:hAnsi="Times New Roman" w:cs="Times New Roman" w:eastAsia="Times New Roman" w:hint="default"/>
                <w:sz w:val="20"/>
                <w:szCs w:val="20"/>
              </w:rPr>
            </w:pPr>
            <w:r>
              <w:rPr>
                <w:rFonts w:ascii="Times New Roman"/>
                <w:sz w:val="20"/>
              </w:rPr>
              <w:t>1323</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2"/>
              <w:jc w:val="right"/>
              <w:rPr>
                <w:rFonts w:ascii="Times New Roman" w:hAnsi="Times New Roman" w:cs="Times New Roman" w:eastAsia="Times New Roman" w:hint="default"/>
                <w:sz w:val="22"/>
                <w:szCs w:val="22"/>
              </w:rPr>
            </w:pPr>
            <w:r>
              <w:rPr>
                <w:rFonts w:ascii="Times New Roman"/>
                <w:w w:val="95"/>
                <w:sz w:val="22"/>
              </w:rPr>
              <w:t>35.39%</w:t>
            </w:r>
            <w:r>
              <w:rPr>
                <w:rFonts w:ascii="Times New Roman"/>
                <w:sz w:val="22"/>
              </w:rPr>
            </w:r>
          </w:p>
        </w:tc>
      </w:tr>
      <w:tr>
        <w:trPr>
          <w:trHeight w:val="353"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43" w:lineRule="exact"/>
              <w:ind w:left="3" w:right="0"/>
              <w:jc w:val="center"/>
              <w:rPr>
                <w:rFonts w:ascii="宋体" w:hAnsi="宋体" w:cs="宋体" w:eastAsia="宋体" w:hint="default"/>
                <w:sz w:val="21"/>
                <w:szCs w:val="21"/>
              </w:rPr>
            </w:pPr>
            <w:r>
              <w:rPr>
                <w:rFonts w:ascii="宋体" w:hAnsi="宋体" w:cs="宋体" w:eastAsia="宋体" w:hint="default"/>
                <w:sz w:val="21"/>
                <w:szCs w:val="21"/>
              </w:rPr>
              <w:t>技术人员（注）</w:t>
            </w:r>
          </w:p>
        </w:tc>
        <w:tc>
          <w:tcPr>
            <w:tcW w:w="2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left="1201" w:right="0"/>
              <w:jc w:val="left"/>
              <w:rPr>
                <w:rFonts w:ascii="Times New Roman" w:hAnsi="Times New Roman" w:cs="Times New Roman" w:eastAsia="Times New Roman" w:hint="default"/>
                <w:sz w:val="20"/>
                <w:szCs w:val="20"/>
              </w:rPr>
            </w:pPr>
            <w:r>
              <w:rPr>
                <w:rFonts w:ascii="Times New Roman"/>
                <w:sz w:val="20"/>
              </w:rPr>
              <w:t>1313</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2"/>
              <w:ind w:right="2"/>
              <w:jc w:val="right"/>
              <w:rPr>
                <w:rFonts w:ascii="Times New Roman" w:hAnsi="Times New Roman" w:cs="Times New Roman" w:eastAsia="Times New Roman" w:hint="default"/>
                <w:sz w:val="22"/>
                <w:szCs w:val="22"/>
              </w:rPr>
            </w:pPr>
            <w:r>
              <w:rPr>
                <w:rFonts w:ascii="Times New Roman"/>
                <w:w w:val="95"/>
                <w:sz w:val="22"/>
              </w:rPr>
              <w:t>35.13%</w:t>
            </w:r>
            <w:r>
              <w:rPr>
                <w:rFonts w:ascii="Times New Roman"/>
                <w:sz w:val="22"/>
              </w:rPr>
            </w:r>
          </w:p>
        </w:tc>
      </w:tr>
      <w:tr>
        <w:trPr>
          <w:trHeight w:val="352"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销售人员</w:t>
            </w:r>
          </w:p>
        </w:tc>
        <w:tc>
          <w:tcPr>
            <w:tcW w:w="2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left="1250" w:right="0"/>
              <w:jc w:val="left"/>
              <w:rPr>
                <w:rFonts w:ascii="Times New Roman" w:hAnsi="Times New Roman" w:cs="Times New Roman" w:eastAsia="Times New Roman" w:hint="default"/>
                <w:sz w:val="20"/>
                <w:szCs w:val="20"/>
              </w:rPr>
            </w:pPr>
            <w:r>
              <w:rPr>
                <w:rFonts w:ascii="Times New Roman"/>
                <w:sz w:val="20"/>
              </w:rPr>
              <w:t>619</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2"/>
              <w:jc w:val="right"/>
              <w:rPr>
                <w:rFonts w:ascii="Times New Roman" w:hAnsi="Times New Roman" w:cs="Times New Roman" w:eastAsia="Times New Roman" w:hint="default"/>
                <w:sz w:val="22"/>
                <w:szCs w:val="22"/>
              </w:rPr>
            </w:pPr>
            <w:r>
              <w:rPr>
                <w:rFonts w:ascii="Times New Roman"/>
                <w:w w:val="95"/>
                <w:sz w:val="22"/>
              </w:rPr>
              <w:t>16.56%</w:t>
            </w:r>
            <w:r>
              <w:rPr>
                <w:rFonts w:ascii="Times New Roman"/>
                <w:sz w:val="22"/>
              </w:rPr>
            </w:r>
          </w:p>
        </w:tc>
      </w:tr>
      <w:tr>
        <w:trPr>
          <w:trHeight w:val="352"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2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left="1250" w:right="0"/>
              <w:jc w:val="left"/>
              <w:rPr>
                <w:rFonts w:ascii="Times New Roman" w:hAnsi="Times New Roman" w:cs="Times New Roman" w:eastAsia="Times New Roman" w:hint="default"/>
                <w:sz w:val="20"/>
                <w:szCs w:val="20"/>
              </w:rPr>
            </w:pPr>
            <w:r>
              <w:rPr>
                <w:rFonts w:ascii="Times New Roman"/>
                <w:sz w:val="20"/>
              </w:rPr>
              <w:t>230</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2"/>
              <w:jc w:val="right"/>
              <w:rPr>
                <w:rFonts w:ascii="Times New Roman" w:hAnsi="Times New Roman" w:cs="Times New Roman" w:eastAsia="Times New Roman" w:hint="default"/>
                <w:sz w:val="22"/>
                <w:szCs w:val="22"/>
              </w:rPr>
            </w:pPr>
            <w:r>
              <w:rPr>
                <w:rFonts w:ascii="Times New Roman"/>
                <w:w w:val="95"/>
                <w:sz w:val="22"/>
              </w:rPr>
              <w:t>6.15%</w:t>
            </w:r>
            <w:r>
              <w:rPr>
                <w:rFonts w:ascii="Times New Roman"/>
                <w:sz w:val="22"/>
              </w:rPr>
            </w:r>
          </w:p>
        </w:tc>
      </w:tr>
      <w:tr>
        <w:trPr>
          <w:trHeight w:val="353"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43" w:lineRule="exact"/>
              <w:ind w:left="4" w:right="0"/>
              <w:jc w:val="center"/>
              <w:rPr>
                <w:rFonts w:ascii="宋体" w:hAnsi="宋体" w:cs="宋体" w:eastAsia="宋体" w:hint="default"/>
                <w:sz w:val="21"/>
                <w:szCs w:val="21"/>
              </w:rPr>
            </w:pPr>
            <w:r>
              <w:rPr>
                <w:rFonts w:ascii="宋体" w:hAnsi="宋体" w:cs="宋体" w:eastAsia="宋体" w:hint="default"/>
                <w:sz w:val="21"/>
                <w:szCs w:val="21"/>
              </w:rPr>
              <w:t>行政后勤</w:t>
            </w:r>
          </w:p>
        </w:tc>
        <w:tc>
          <w:tcPr>
            <w:tcW w:w="2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3"/>
              <w:ind w:left="1250" w:right="0"/>
              <w:jc w:val="left"/>
              <w:rPr>
                <w:rFonts w:ascii="Times New Roman" w:hAnsi="Times New Roman" w:cs="Times New Roman" w:eastAsia="Times New Roman" w:hint="default"/>
                <w:sz w:val="20"/>
                <w:szCs w:val="20"/>
              </w:rPr>
            </w:pPr>
            <w:r>
              <w:rPr>
                <w:rFonts w:ascii="Times New Roman"/>
                <w:sz w:val="20"/>
              </w:rPr>
              <w:t>173</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11"/>
              <w:ind w:right="2"/>
              <w:jc w:val="right"/>
              <w:rPr>
                <w:rFonts w:ascii="Times New Roman" w:hAnsi="Times New Roman" w:cs="Times New Roman" w:eastAsia="Times New Roman" w:hint="default"/>
                <w:sz w:val="22"/>
                <w:szCs w:val="22"/>
              </w:rPr>
            </w:pPr>
            <w:r>
              <w:rPr>
                <w:rFonts w:ascii="Times New Roman"/>
                <w:w w:val="95"/>
                <w:sz w:val="22"/>
              </w:rPr>
              <w:t>4.63%</w:t>
            </w:r>
            <w:r>
              <w:rPr>
                <w:rFonts w:ascii="Times New Roman"/>
                <w:sz w:val="22"/>
              </w:rPr>
            </w:r>
          </w:p>
        </w:tc>
      </w:tr>
    </w:tbl>
    <w:p>
      <w:pPr>
        <w:spacing w:after="0" w:line="240" w:lineRule="auto"/>
        <w:jc w:val="right"/>
        <w:rPr>
          <w:rFonts w:ascii="Times New Roman" w:hAnsi="Times New Roman" w:cs="Times New Roman" w:eastAsia="Times New Roman" w:hint="default"/>
          <w:sz w:val="22"/>
          <w:szCs w:val="22"/>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05" w:type="dxa"/>
        <w:tblLayout w:type="fixed"/>
        <w:tblCellMar>
          <w:top w:w="0" w:type="dxa"/>
          <w:left w:w="0" w:type="dxa"/>
          <w:bottom w:w="0" w:type="dxa"/>
          <w:right w:w="0" w:type="dxa"/>
        </w:tblCellMar>
        <w:tblLook w:val="01E0"/>
      </w:tblPr>
      <w:tblGrid>
        <w:gridCol w:w="2840"/>
        <w:gridCol w:w="2841"/>
        <w:gridCol w:w="2842"/>
      </w:tblGrid>
      <w:tr>
        <w:trPr>
          <w:trHeight w:val="355" w:hRule="exact"/>
        </w:trPr>
        <w:tc>
          <w:tcPr>
            <w:tcW w:w="2840" w:type="dxa"/>
            <w:tcBorders>
              <w:top w:val="single" w:sz="6" w:space="0" w:color="000000"/>
              <w:left w:val="single" w:sz="6" w:space="0" w:color="000000"/>
              <w:bottom w:val="single" w:sz="12" w:space="0" w:color="000000"/>
              <w:right w:val="single" w:sz="12" w:space="0" w:color="000000"/>
            </w:tcBorders>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财务人员</w:t>
            </w:r>
          </w:p>
        </w:tc>
        <w:tc>
          <w:tcPr>
            <w:tcW w:w="2841"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51"/>
              <w:ind w:right="4"/>
              <w:jc w:val="center"/>
              <w:rPr>
                <w:rFonts w:ascii="Times New Roman" w:hAnsi="Times New Roman" w:cs="Times New Roman" w:eastAsia="Times New Roman" w:hint="default"/>
                <w:sz w:val="20"/>
                <w:szCs w:val="20"/>
              </w:rPr>
            </w:pPr>
            <w:r>
              <w:rPr>
                <w:rFonts w:ascii="Times New Roman"/>
                <w:sz w:val="20"/>
              </w:rPr>
              <w:t>49</w:t>
            </w:r>
          </w:p>
        </w:tc>
        <w:tc>
          <w:tcPr>
            <w:tcW w:w="2842" w:type="dxa"/>
            <w:tcBorders>
              <w:top w:val="single" w:sz="6" w:space="0" w:color="000000"/>
              <w:left w:val="single" w:sz="12" w:space="0" w:color="000000"/>
              <w:bottom w:val="single" w:sz="12" w:space="0" w:color="000000"/>
              <w:right w:val="single" w:sz="12" w:space="0" w:color="000000"/>
            </w:tcBorders>
          </w:tcPr>
          <w:p>
            <w:pPr>
              <w:pStyle w:val="TableParagraph"/>
              <w:spacing w:line="240" w:lineRule="auto" w:before="39"/>
              <w:ind w:right="2"/>
              <w:jc w:val="right"/>
              <w:rPr>
                <w:rFonts w:ascii="Times New Roman" w:hAnsi="Times New Roman" w:cs="Times New Roman" w:eastAsia="Times New Roman" w:hint="default"/>
                <w:sz w:val="22"/>
                <w:szCs w:val="22"/>
              </w:rPr>
            </w:pPr>
            <w:r>
              <w:rPr>
                <w:rFonts w:ascii="Times New Roman"/>
                <w:w w:val="95"/>
                <w:sz w:val="22"/>
              </w:rPr>
              <w:t>1.31%</w:t>
            </w:r>
            <w:r>
              <w:rPr>
                <w:rFonts w:ascii="Times New Roman"/>
                <w:sz w:val="22"/>
              </w:rPr>
            </w:r>
          </w:p>
        </w:tc>
      </w:tr>
      <w:tr>
        <w:trPr>
          <w:trHeight w:val="352"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人力资源</w:t>
            </w:r>
          </w:p>
        </w:tc>
        <w:tc>
          <w:tcPr>
            <w:tcW w:w="2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4"/>
              <w:jc w:val="center"/>
              <w:rPr>
                <w:rFonts w:ascii="Times New Roman" w:hAnsi="Times New Roman" w:cs="Times New Roman" w:eastAsia="Times New Roman" w:hint="default"/>
                <w:sz w:val="20"/>
                <w:szCs w:val="20"/>
              </w:rPr>
            </w:pPr>
            <w:r>
              <w:rPr>
                <w:rFonts w:ascii="Times New Roman"/>
                <w:sz w:val="20"/>
              </w:rPr>
              <w:t>31</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8"/>
              <w:ind w:right="2"/>
              <w:jc w:val="right"/>
              <w:rPr>
                <w:rFonts w:ascii="Times New Roman" w:hAnsi="Times New Roman" w:cs="Times New Roman" w:eastAsia="Times New Roman" w:hint="default"/>
                <w:sz w:val="22"/>
                <w:szCs w:val="22"/>
              </w:rPr>
            </w:pPr>
            <w:r>
              <w:rPr>
                <w:rFonts w:ascii="Times New Roman"/>
                <w:w w:val="95"/>
                <w:sz w:val="22"/>
              </w:rPr>
              <w:t>0.83%</w:t>
            </w:r>
            <w:r>
              <w:rPr>
                <w:rFonts w:ascii="Times New Roman"/>
                <w:sz w:val="22"/>
              </w:rPr>
            </w:r>
          </w:p>
        </w:tc>
      </w:tr>
      <w:tr>
        <w:trPr>
          <w:trHeight w:val="353"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4"/>
              <w:jc w:val="center"/>
              <w:rPr>
                <w:rFonts w:ascii="Times New Roman" w:hAnsi="Times New Roman" w:cs="Times New Roman" w:eastAsia="Times New Roman" w:hint="default"/>
                <w:sz w:val="20"/>
                <w:szCs w:val="20"/>
              </w:rPr>
            </w:pPr>
            <w:r>
              <w:rPr>
                <w:rFonts w:ascii="Times New Roman"/>
                <w:sz w:val="20"/>
              </w:rPr>
              <w:t>3738</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28"/>
              <w:ind w:right="2"/>
              <w:jc w:val="right"/>
              <w:rPr>
                <w:rFonts w:ascii="Times New Roman" w:hAnsi="Times New Roman" w:cs="Times New Roman" w:eastAsia="Times New Roman" w:hint="default"/>
                <w:sz w:val="22"/>
                <w:szCs w:val="22"/>
              </w:rPr>
            </w:pPr>
            <w:r>
              <w:rPr>
                <w:rFonts w:ascii="Times New Roman"/>
                <w:w w:val="95"/>
                <w:sz w:val="22"/>
              </w:rPr>
              <w:t>100.00%</w:t>
            </w:r>
            <w:r>
              <w:rPr>
                <w:rFonts w:ascii="Times New Roman"/>
                <w:sz w:val="22"/>
              </w:rPr>
            </w:r>
          </w:p>
        </w:tc>
      </w:tr>
    </w:tbl>
    <w:p>
      <w:pPr>
        <w:spacing w:line="240" w:lineRule="auto" w:before="7"/>
        <w:rPr>
          <w:rFonts w:ascii="宋体" w:hAnsi="宋体" w:cs="宋体" w:eastAsia="宋体" w:hint="default"/>
          <w:sz w:val="4"/>
          <w:szCs w:val="4"/>
        </w:rPr>
      </w:pPr>
    </w:p>
    <w:p>
      <w:pPr>
        <w:spacing w:line="4240" w:lineRule="exact"/>
        <w:ind w:left="1514" w:right="0" w:firstLine="0"/>
        <w:rPr>
          <w:rFonts w:ascii="宋体" w:hAnsi="宋体" w:cs="宋体" w:eastAsia="宋体" w:hint="default"/>
          <w:sz w:val="20"/>
          <w:szCs w:val="20"/>
        </w:rPr>
      </w:pPr>
      <w:r>
        <w:rPr>
          <w:rFonts w:ascii="宋体" w:hAnsi="宋体" w:cs="宋体" w:eastAsia="宋体" w:hint="default"/>
          <w:position w:val="-84"/>
          <w:sz w:val="20"/>
          <w:szCs w:val="20"/>
        </w:rPr>
        <w:drawing>
          <wp:inline distT="0" distB="0" distL="0" distR="0">
            <wp:extent cx="4387150" cy="2692907"/>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3" cstate="print"/>
                    <a:stretch>
                      <a:fillRect/>
                    </a:stretch>
                  </pic:blipFill>
                  <pic:spPr>
                    <a:xfrm>
                      <a:off x="0" y="0"/>
                      <a:ext cx="4387150" cy="2692907"/>
                    </a:xfrm>
                    <a:prstGeom prst="rect">
                      <a:avLst/>
                    </a:prstGeom>
                  </pic:spPr>
                </pic:pic>
              </a:graphicData>
            </a:graphic>
          </wp:inline>
        </w:drawing>
      </w:r>
      <w:r>
        <w:rPr>
          <w:rFonts w:ascii="宋体" w:hAnsi="宋体" w:cs="宋体" w:eastAsia="宋体" w:hint="default"/>
          <w:position w:val="-84"/>
          <w:sz w:val="20"/>
          <w:szCs w:val="20"/>
        </w:rPr>
      </w:r>
    </w:p>
    <w:p>
      <w:pPr>
        <w:spacing w:line="240" w:lineRule="auto" w:before="5"/>
        <w:rPr>
          <w:rFonts w:ascii="宋体" w:hAnsi="宋体" w:cs="宋体" w:eastAsia="宋体" w:hint="default"/>
          <w:sz w:val="7"/>
          <w:szCs w:val="7"/>
        </w:rPr>
      </w:pPr>
    </w:p>
    <w:p>
      <w:pPr>
        <w:pStyle w:val="BodyText"/>
        <w:spacing w:line="240" w:lineRule="auto" w:before="35"/>
        <w:ind w:left="573" w:right="1046"/>
        <w:jc w:val="left"/>
      </w:pPr>
      <w:r>
        <w:rPr>
          <w:rFonts w:ascii="宋体" w:hAnsi="宋体" w:cs="宋体" w:eastAsia="宋体" w:hint="default"/>
          <w:spacing w:val="1"/>
        </w:rPr>
        <w:t>2</w:t>
      </w:r>
      <w:r>
        <w:rPr/>
        <w:t>、按受教</w:t>
      </w:r>
      <w:r>
        <w:rPr>
          <w:spacing w:val="-2"/>
        </w:rPr>
        <w:t>育</w:t>
      </w:r>
      <w:r>
        <w:rPr/>
        <w:t>程度划分（饼状图列示</w:t>
      </w:r>
      <w:r>
        <w:rPr>
          <w:spacing w:val="-106"/>
        </w:rPr>
        <w:t>）</w:t>
      </w:r>
      <w:r>
        <w:rPr/>
        <w:t>：</w:t>
      </w:r>
    </w:p>
    <w:p>
      <w:pPr>
        <w:spacing w:line="240" w:lineRule="auto" w:before="12"/>
        <w:rPr>
          <w:rFonts w:ascii="宋体" w:hAnsi="宋体" w:cs="宋体" w:eastAsia="宋体" w:hint="default"/>
          <w:sz w:val="9"/>
          <w:szCs w:val="9"/>
        </w:rPr>
      </w:pPr>
    </w:p>
    <w:tbl>
      <w:tblPr>
        <w:tblW w:w="0" w:type="auto"/>
        <w:jc w:val="left"/>
        <w:tblInd w:w="705" w:type="dxa"/>
        <w:tblLayout w:type="fixed"/>
        <w:tblCellMar>
          <w:top w:w="0" w:type="dxa"/>
          <w:left w:w="0" w:type="dxa"/>
          <w:bottom w:w="0" w:type="dxa"/>
          <w:right w:w="0" w:type="dxa"/>
        </w:tblCellMar>
        <w:tblLook w:val="01E0"/>
      </w:tblPr>
      <w:tblGrid>
        <w:gridCol w:w="2840"/>
        <w:gridCol w:w="2841"/>
        <w:gridCol w:w="2842"/>
      </w:tblGrid>
      <w:tr>
        <w:trPr>
          <w:trHeight w:val="355" w:hRule="exact"/>
        </w:trPr>
        <w:tc>
          <w:tcPr>
            <w:tcW w:w="2840" w:type="dxa"/>
            <w:tcBorders>
              <w:top w:val="single" w:sz="6" w:space="0" w:color="000000"/>
              <w:left w:val="single" w:sz="6" w:space="0" w:color="000000"/>
              <w:bottom w:val="single" w:sz="12" w:space="0" w:color="000000"/>
              <w:right w:val="single" w:sz="12" w:space="0" w:color="000000"/>
            </w:tcBorders>
            <w:shd w:val="clear" w:color="auto" w:fill="D9D9D9"/>
          </w:tcPr>
          <w:p>
            <w:pPr>
              <w:pStyle w:val="TableParagraph"/>
              <w:spacing w:line="271" w:lineRule="exact"/>
              <w:ind w:left="4" w:right="0"/>
              <w:jc w:val="center"/>
              <w:rPr>
                <w:rFonts w:ascii="宋体" w:hAnsi="宋体" w:cs="宋体" w:eastAsia="宋体" w:hint="default"/>
                <w:sz w:val="21"/>
                <w:szCs w:val="21"/>
              </w:rPr>
            </w:pPr>
            <w:r>
              <w:rPr>
                <w:rFonts w:ascii="宋体" w:hAnsi="宋体" w:cs="宋体" w:eastAsia="宋体" w:hint="default"/>
                <w:sz w:val="21"/>
                <w:szCs w:val="21"/>
              </w:rPr>
              <w:t>学历</w:t>
            </w:r>
          </w:p>
        </w:tc>
        <w:tc>
          <w:tcPr>
            <w:tcW w:w="2841"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71" w:lineRule="exact"/>
              <w:ind w:right="1199"/>
              <w:jc w:val="right"/>
              <w:rPr>
                <w:rFonts w:ascii="宋体" w:hAnsi="宋体" w:cs="宋体" w:eastAsia="宋体" w:hint="default"/>
                <w:sz w:val="21"/>
                <w:szCs w:val="21"/>
              </w:rPr>
            </w:pPr>
            <w:r>
              <w:rPr>
                <w:rFonts w:ascii="宋体" w:hAnsi="宋体" w:cs="宋体" w:eastAsia="宋体" w:hint="default"/>
                <w:sz w:val="21"/>
                <w:szCs w:val="21"/>
              </w:rPr>
              <w:t>人数</w:t>
            </w:r>
          </w:p>
        </w:tc>
        <w:tc>
          <w:tcPr>
            <w:tcW w:w="2842" w:type="dxa"/>
            <w:tcBorders>
              <w:top w:val="single" w:sz="6" w:space="0" w:color="000000"/>
              <w:left w:val="single" w:sz="12" w:space="0" w:color="000000"/>
              <w:bottom w:val="single" w:sz="12" w:space="0" w:color="000000"/>
              <w:right w:val="single" w:sz="12" w:space="0" w:color="000000"/>
            </w:tcBorders>
            <w:shd w:val="clear" w:color="auto" w:fill="D9D9D9"/>
          </w:tcPr>
          <w:p>
            <w:pPr>
              <w:pStyle w:val="TableParagraph"/>
              <w:spacing w:line="271" w:lineRule="exact"/>
              <w:ind w:right="9"/>
              <w:jc w:val="center"/>
              <w:rPr>
                <w:rFonts w:ascii="宋体" w:hAnsi="宋体" w:cs="宋体" w:eastAsia="宋体" w:hint="default"/>
                <w:sz w:val="21"/>
                <w:szCs w:val="21"/>
              </w:rPr>
            </w:pPr>
            <w:r>
              <w:rPr>
                <w:rFonts w:ascii="宋体" w:hAnsi="宋体" w:cs="宋体" w:eastAsia="宋体" w:hint="default"/>
                <w:sz w:val="21"/>
                <w:szCs w:val="21"/>
              </w:rPr>
              <w:t>占公司员工总数的比例（％）</w:t>
            </w:r>
          </w:p>
        </w:tc>
      </w:tr>
      <w:tr>
        <w:trPr>
          <w:trHeight w:val="352"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博士</w:t>
            </w:r>
          </w:p>
        </w:tc>
        <w:tc>
          <w:tcPr>
            <w:tcW w:w="2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1307"/>
              <w:jc w:val="right"/>
              <w:rPr>
                <w:rFonts w:ascii="Times New Roman" w:hAnsi="Times New Roman" w:cs="Times New Roman" w:eastAsia="Times New Roman" w:hint="default"/>
                <w:sz w:val="20"/>
                <w:szCs w:val="20"/>
              </w:rPr>
            </w:pPr>
            <w:r>
              <w:rPr>
                <w:rFonts w:ascii="Times New Roman"/>
                <w:sz w:val="20"/>
              </w:rPr>
              <w:t>10</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6"/>
              <w:jc w:val="center"/>
              <w:rPr>
                <w:rFonts w:ascii="Times New Roman" w:hAnsi="Times New Roman" w:cs="Times New Roman" w:eastAsia="Times New Roman" w:hint="default"/>
                <w:sz w:val="20"/>
                <w:szCs w:val="20"/>
              </w:rPr>
            </w:pPr>
            <w:r>
              <w:rPr>
                <w:rFonts w:ascii="Times New Roman"/>
                <w:sz w:val="20"/>
              </w:rPr>
              <w:t>0.27%</w:t>
            </w:r>
          </w:p>
        </w:tc>
      </w:tr>
      <w:tr>
        <w:trPr>
          <w:trHeight w:val="353"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3" w:right="0"/>
              <w:jc w:val="center"/>
              <w:rPr>
                <w:rFonts w:ascii="宋体" w:hAnsi="宋体" w:cs="宋体" w:eastAsia="宋体" w:hint="default"/>
                <w:sz w:val="21"/>
                <w:szCs w:val="21"/>
              </w:rPr>
            </w:pPr>
            <w:r>
              <w:rPr>
                <w:rFonts w:ascii="宋体" w:hAnsi="宋体" w:cs="宋体" w:eastAsia="宋体" w:hint="default"/>
                <w:sz w:val="21"/>
                <w:szCs w:val="21"/>
              </w:rPr>
              <w:t>硕士研究生</w:t>
            </w:r>
          </w:p>
        </w:tc>
        <w:tc>
          <w:tcPr>
            <w:tcW w:w="2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1257"/>
              <w:jc w:val="right"/>
              <w:rPr>
                <w:rFonts w:ascii="Times New Roman" w:hAnsi="Times New Roman" w:cs="Times New Roman" w:eastAsia="Times New Roman" w:hint="default"/>
                <w:sz w:val="20"/>
                <w:szCs w:val="20"/>
              </w:rPr>
            </w:pPr>
            <w:r>
              <w:rPr>
                <w:rFonts w:ascii="Times New Roman"/>
                <w:sz w:val="20"/>
              </w:rPr>
              <w:t>380</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7"/>
              <w:jc w:val="center"/>
              <w:rPr>
                <w:rFonts w:ascii="Times New Roman" w:hAnsi="Times New Roman" w:cs="Times New Roman" w:eastAsia="Times New Roman" w:hint="default"/>
                <w:sz w:val="20"/>
                <w:szCs w:val="20"/>
              </w:rPr>
            </w:pPr>
            <w:r>
              <w:rPr>
                <w:rFonts w:ascii="Times New Roman"/>
                <w:sz w:val="20"/>
              </w:rPr>
              <w:t>10.17%</w:t>
            </w:r>
          </w:p>
        </w:tc>
      </w:tr>
      <w:tr>
        <w:trPr>
          <w:trHeight w:val="352"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2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1206"/>
              <w:jc w:val="right"/>
              <w:rPr>
                <w:rFonts w:ascii="Times New Roman" w:hAnsi="Times New Roman" w:cs="Times New Roman" w:eastAsia="Times New Roman" w:hint="default"/>
                <w:sz w:val="20"/>
                <w:szCs w:val="20"/>
              </w:rPr>
            </w:pPr>
            <w:r>
              <w:rPr>
                <w:rFonts w:ascii="Times New Roman"/>
                <w:sz w:val="20"/>
              </w:rPr>
              <w:t>1585</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7"/>
              <w:jc w:val="center"/>
              <w:rPr>
                <w:rFonts w:ascii="Times New Roman" w:hAnsi="Times New Roman" w:cs="Times New Roman" w:eastAsia="Times New Roman" w:hint="default"/>
                <w:sz w:val="20"/>
                <w:szCs w:val="20"/>
              </w:rPr>
            </w:pPr>
            <w:r>
              <w:rPr>
                <w:rFonts w:ascii="Times New Roman"/>
                <w:sz w:val="20"/>
              </w:rPr>
              <w:t>42.40%</w:t>
            </w:r>
          </w:p>
        </w:tc>
      </w:tr>
      <w:tr>
        <w:trPr>
          <w:trHeight w:val="352"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大专</w:t>
            </w:r>
          </w:p>
        </w:tc>
        <w:tc>
          <w:tcPr>
            <w:tcW w:w="2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1257"/>
              <w:jc w:val="right"/>
              <w:rPr>
                <w:rFonts w:ascii="Times New Roman" w:hAnsi="Times New Roman" w:cs="Times New Roman" w:eastAsia="Times New Roman" w:hint="default"/>
                <w:sz w:val="20"/>
                <w:szCs w:val="20"/>
              </w:rPr>
            </w:pPr>
            <w:r>
              <w:rPr>
                <w:rFonts w:ascii="Times New Roman"/>
                <w:sz w:val="20"/>
              </w:rPr>
              <w:t>504</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7"/>
              <w:jc w:val="center"/>
              <w:rPr>
                <w:rFonts w:ascii="Times New Roman" w:hAnsi="Times New Roman" w:cs="Times New Roman" w:eastAsia="Times New Roman" w:hint="default"/>
                <w:sz w:val="20"/>
                <w:szCs w:val="20"/>
              </w:rPr>
            </w:pPr>
            <w:r>
              <w:rPr>
                <w:rFonts w:ascii="Times New Roman"/>
                <w:sz w:val="20"/>
              </w:rPr>
              <w:t>13.48%</w:t>
            </w:r>
          </w:p>
        </w:tc>
      </w:tr>
      <w:tr>
        <w:trPr>
          <w:trHeight w:val="353"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2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1206"/>
              <w:jc w:val="right"/>
              <w:rPr>
                <w:rFonts w:ascii="Times New Roman" w:hAnsi="Times New Roman" w:cs="Times New Roman" w:eastAsia="Times New Roman" w:hint="default"/>
                <w:sz w:val="20"/>
                <w:szCs w:val="20"/>
              </w:rPr>
            </w:pPr>
            <w:r>
              <w:rPr>
                <w:rFonts w:ascii="Times New Roman"/>
                <w:sz w:val="20"/>
              </w:rPr>
              <w:t>1259</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7"/>
              <w:jc w:val="center"/>
              <w:rPr>
                <w:rFonts w:ascii="Times New Roman" w:hAnsi="Times New Roman" w:cs="Times New Roman" w:eastAsia="Times New Roman" w:hint="default"/>
                <w:sz w:val="20"/>
                <w:szCs w:val="20"/>
              </w:rPr>
            </w:pPr>
            <w:r>
              <w:rPr>
                <w:rFonts w:ascii="Times New Roman"/>
                <w:sz w:val="20"/>
              </w:rPr>
              <w:t>33.68%</w:t>
            </w:r>
          </w:p>
        </w:tc>
      </w:tr>
      <w:tr>
        <w:trPr>
          <w:trHeight w:val="352" w:hRule="exact"/>
        </w:trPr>
        <w:tc>
          <w:tcPr>
            <w:tcW w:w="2840" w:type="dxa"/>
            <w:tcBorders>
              <w:top w:val="single" w:sz="12" w:space="0" w:color="000000"/>
              <w:left w:val="single" w:sz="6" w:space="0" w:color="000000"/>
              <w:bottom w:val="single" w:sz="12" w:space="0" w:color="000000"/>
              <w:right w:val="single" w:sz="12" w:space="0" w:color="000000"/>
            </w:tcBorders>
          </w:tcPr>
          <w:p>
            <w:pPr>
              <w:pStyle w:val="TableParagraph"/>
              <w:spacing w:line="260" w:lineRule="exact"/>
              <w:ind w:left="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41"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1206"/>
              <w:jc w:val="right"/>
              <w:rPr>
                <w:rFonts w:ascii="Times New Roman" w:hAnsi="Times New Roman" w:cs="Times New Roman" w:eastAsia="Times New Roman" w:hint="default"/>
                <w:sz w:val="20"/>
                <w:szCs w:val="20"/>
              </w:rPr>
            </w:pPr>
            <w:r>
              <w:rPr>
                <w:rFonts w:ascii="Times New Roman"/>
                <w:sz w:val="20"/>
              </w:rPr>
              <w:t>3738</w:t>
            </w:r>
          </w:p>
        </w:tc>
        <w:tc>
          <w:tcPr>
            <w:tcW w:w="2842" w:type="dxa"/>
            <w:tcBorders>
              <w:top w:val="single" w:sz="12" w:space="0" w:color="000000"/>
              <w:left w:val="single" w:sz="12" w:space="0" w:color="000000"/>
              <w:bottom w:val="single" w:sz="12" w:space="0" w:color="000000"/>
              <w:right w:val="single" w:sz="12" w:space="0" w:color="000000"/>
            </w:tcBorders>
          </w:tcPr>
          <w:p>
            <w:pPr>
              <w:pStyle w:val="TableParagraph"/>
              <w:spacing w:line="240" w:lineRule="auto" w:before="40"/>
              <w:ind w:right="6"/>
              <w:jc w:val="center"/>
              <w:rPr>
                <w:rFonts w:ascii="Times New Roman" w:hAnsi="Times New Roman" w:cs="Times New Roman" w:eastAsia="Times New Roman" w:hint="default"/>
                <w:sz w:val="20"/>
                <w:szCs w:val="20"/>
              </w:rPr>
            </w:pPr>
            <w:r>
              <w:rPr>
                <w:rFonts w:ascii="Times New Roman"/>
                <w:sz w:val="20"/>
              </w:rPr>
              <w:t>100.00%</w:t>
            </w:r>
          </w:p>
        </w:tc>
      </w:tr>
    </w:tbl>
    <w:p>
      <w:pPr>
        <w:spacing w:line="240" w:lineRule="auto" w:before="13"/>
        <w:rPr>
          <w:rFonts w:ascii="宋体" w:hAnsi="宋体" w:cs="宋体" w:eastAsia="宋体" w:hint="default"/>
          <w:sz w:val="5"/>
          <w:szCs w:val="5"/>
        </w:rPr>
      </w:pPr>
    </w:p>
    <w:p>
      <w:pPr>
        <w:spacing w:line="3600" w:lineRule="exact"/>
        <w:ind w:left="2154" w:right="0" w:firstLine="0"/>
        <w:rPr>
          <w:rFonts w:ascii="宋体" w:hAnsi="宋体" w:cs="宋体" w:eastAsia="宋体" w:hint="default"/>
          <w:sz w:val="20"/>
          <w:szCs w:val="20"/>
        </w:rPr>
      </w:pPr>
      <w:r>
        <w:rPr>
          <w:rFonts w:ascii="宋体" w:hAnsi="宋体" w:cs="宋体" w:eastAsia="宋体" w:hint="default"/>
          <w:position w:val="-71"/>
          <w:sz w:val="20"/>
          <w:szCs w:val="20"/>
        </w:rPr>
        <w:drawing>
          <wp:inline distT="0" distB="0" distL="0" distR="0">
            <wp:extent cx="3594921" cy="2286285"/>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14" cstate="print"/>
                    <a:stretch>
                      <a:fillRect/>
                    </a:stretch>
                  </pic:blipFill>
                  <pic:spPr>
                    <a:xfrm>
                      <a:off x="0" y="0"/>
                      <a:ext cx="3594921" cy="2286285"/>
                    </a:xfrm>
                    <a:prstGeom prst="rect">
                      <a:avLst/>
                    </a:prstGeom>
                  </pic:spPr>
                </pic:pic>
              </a:graphicData>
            </a:graphic>
          </wp:inline>
        </w:drawing>
      </w:r>
      <w:r>
        <w:rPr>
          <w:rFonts w:ascii="宋体" w:hAnsi="宋体" w:cs="宋体" w:eastAsia="宋体" w:hint="default"/>
          <w:position w:val="-71"/>
          <w:sz w:val="20"/>
          <w:szCs w:val="20"/>
        </w:rPr>
      </w:r>
    </w:p>
    <w:p>
      <w:pPr>
        <w:spacing w:line="240" w:lineRule="auto" w:before="2"/>
        <w:rPr>
          <w:rFonts w:ascii="宋体" w:hAnsi="宋体" w:cs="宋体" w:eastAsia="宋体" w:hint="default"/>
          <w:sz w:val="7"/>
          <w:szCs w:val="7"/>
        </w:rPr>
      </w:pPr>
    </w:p>
    <w:p>
      <w:pPr>
        <w:pStyle w:val="BodyText"/>
        <w:spacing w:line="408" w:lineRule="auto" w:before="35"/>
        <w:ind w:left="574" w:right="6080"/>
        <w:jc w:val="left"/>
      </w:pPr>
      <w:r>
        <w:rPr>
          <w:rFonts w:ascii="宋体" w:hAnsi="宋体" w:cs="宋体" w:eastAsia="宋体" w:hint="default"/>
        </w:rPr>
        <w:t>3</w:t>
      </w:r>
      <w:r>
        <w:rPr/>
        <w:t>、公司需承担费用的离退休职工人数：</w:t>
      </w:r>
      <w:r>
        <w:rPr>
          <w:rFonts w:ascii="宋体" w:hAnsi="宋体" w:cs="宋体" w:eastAsia="宋体" w:hint="default"/>
        </w:rPr>
        <w:t>4</w:t>
      </w:r>
      <w:r>
        <w:rPr>
          <w:rFonts w:ascii="宋体" w:hAnsi="宋体" w:cs="宋体" w:eastAsia="宋体" w:hint="default"/>
          <w:spacing w:val="-53"/>
        </w:rPr>
        <w:t> </w:t>
      </w:r>
      <w:r>
        <w:rPr/>
        <w:t>人。 薪酬政策：</w:t>
      </w:r>
    </w:p>
    <w:p>
      <w:pPr>
        <w:pStyle w:val="BodyText"/>
        <w:spacing w:line="408" w:lineRule="auto"/>
        <w:ind w:right="1019" w:firstLine="420"/>
        <w:jc w:val="left"/>
      </w:pPr>
      <w:r>
        <w:rPr>
          <w:rFonts w:ascii="宋体" w:hAnsi="宋体" w:cs="宋体" w:eastAsia="宋体" w:hint="default"/>
        </w:rPr>
        <w:t>2014</w:t>
      </w:r>
      <w:r>
        <w:rPr>
          <w:rFonts w:ascii="宋体" w:hAnsi="宋体" w:cs="宋体" w:eastAsia="宋体" w:hint="default"/>
          <w:spacing w:val="-26"/>
        </w:rPr>
        <w:t> </w:t>
      </w:r>
      <w:r>
        <w:rPr>
          <w:spacing w:val="-5"/>
        </w:rPr>
        <w:t>年，公司继续夯实激励机制，进一步强调以结果和贡献为导向的评价与激励体系，推行“谁奋斗、</w:t>
      </w:r>
      <w:r>
        <w:rPr/>
        <w:t> 谁贡献、谁的待遇就高，拉开差距”的激励模型，坚决杜绝分配平均主义。一方面，继续加大营销和研发</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两大主业务体系的激励资源投入；另一方面，加强了各层级干部和员工的绩效考核，在分配导向上激励资</w:t>
      </w:r>
      <w:r>
        <w:rPr>
          <w:spacing w:val="-83"/>
        </w:rPr>
        <w:t> </w:t>
      </w:r>
      <w:r>
        <w:rPr>
          <w:spacing w:val="-83"/>
        </w:rPr>
      </w:r>
      <w:r>
        <w:rPr>
          <w:spacing w:val="-1"/>
        </w:rPr>
        <w:t>源向业务一线和关键绩效人员加强倾斜。同时，随着公司实现第一期期权计划，对关键员工队伍激励进一</w:t>
      </w:r>
      <w:r>
        <w:rPr>
          <w:spacing w:val="-83"/>
        </w:rPr>
        <w:t> </w:t>
      </w:r>
      <w:r>
        <w:rPr>
          <w:spacing w:val="-83"/>
        </w:rPr>
      </w:r>
      <w:r>
        <w:rPr/>
        <w:t>步加强，关键员工稳定性进一步提升。</w:t>
      </w:r>
    </w:p>
    <w:p>
      <w:pPr>
        <w:pStyle w:val="BodyText"/>
        <w:spacing w:line="240" w:lineRule="auto"/>
        <w:ind w:left="573" w:right="1046"/>
        <w:jc w:val="left"/>
      </w:pPr>
      <w:r>
        <w:rPr/>
        <w:t>培训计划：</w:t>
      </w:r>
    </w:p>
    <w:p>
      <w:pPr>
        <w:spacing w:line="240" w:lineRule="auto" w:before="10"/>
        <w:rPr>
          <w:rFonts w:ascii="宋体" w:hAnsi="宋体" w:cs="宋体" w:eastAsia="宋体" w:hint="default"/>
          <w:sz w:val="14"/>
          <w:szCs w:val="14"/>
        </w:rPr>
      </w:pPr>
    </w:p>
    <w:p>
      <w:pPr>
        <w:pStyle w:val="BodyText"/>
        <w:spacing w:line="408" w:lineRule="auto" w:before="0"/>
        <w:ind w:right="1116" w:firstLine="420"/>
        <w:jc w:val="left"/>
      </w:pPr>
      <w:r>
        <w:rPr>
          <w:rFonts w:ascii="宋体" w:hAnsi="宋体" w:cs="宋体" w:eastAsia="宋体" w:hint="default"/>
        </w:rPr>
        <w:t>2014</w:t>
      </w:r>
      <w:r>
        <w:rPr>
          <w:rFonts w:ascii="宋体" w:hAnsi="宋体" w:cs="宋体" w:eastAsia="宋体" w:hint="default"/>
          <w:spacing w:val="-46"/>
        </w:rPr>
        <w:t> </w:t>
      </w:r>
      <w:r>
        <w:rPr>
          <w:spacing w:val="-2"/>
        </w:rPr>
        <w:t>年，公司培训以重点提升各级管理干部的管理素养和业务技能为重点，推出了高层变革与创新学</w:t>
      </w:r>
      <w:r>
        <w:rPr/>
        <w:t> 术论坛、中层</w:t>
      </w:r>
      <w:r>
        <w:rPr>
          <w:spacing w:val="-64"/>
        </w:rPr>
        <w:t> </w:t>
      </w:r>
      <w:r>
        <w:rPr>
          <w:rFonts w:ascii="宋体" w:hAnsi="宋体" w:cs="宋体" w:eastAsia="宋体" w:hint="default"/>
        </w:rPr>
        <w:t>MTP</w:t>
      </w:r>
      <w:r>
        <w:rPr>
          <w:rFonts w:ascii="宋体" w:hAnsi="宋体" w:cs="宋体" w:eastAsia="宋体" w:hint="default"/>
          <w:spacing w:val="-64"/>
        </w:rPr>
        <w:t> </w:t>
      </w:r>
      <w:r>
        <w:rPr/>
        <w:t>训练营等项目；其次，秉承战略与业务需求为主线，以能力培养为核心，全面推动各项 在岗训练，内部培训总时数</w:t>
      </w:r>
      <w:r>
        <w:rPr>
          <w:spacing w:val="-53"/>
        </w:rPr>
        <w:t> </w:t>
      </w:r>
      <w:r>
        <w:rPr>
          <w:rFonts w:ascii="宋体" w:hAnsi="宋体" w:cs="宋体" w:eastAsia="宋体" w:hint="default"/>
        </w:rPr>
        <w:t>461.45</w:t>
      </w:r>
      <w:r>
        <w:rPr>
          <w:rFonts w:ascii="宋体" w:hAnsi="宋体" w:cs="宋体" w:eastAsia="宋体" w:hint="default"/>
          <w:spacing w:val="-55"/>
        </w:rPr>
        <w:t> </w:t>
      </w:r>
      <w:r>
        <w:rPr/>
        <w:t>小时，外派</w:t>
      </w:r>
      <w:r>
        <w:rPr>
          <w:spacing w:val="-53"/>
        </w:rPr>
        <w:t> </w:t>
      </w:r>
      <w:r>
        <w:rPr>
          <w:rFonts w:ascii="宋体" w:hAnsi="宋体" w:cs="宋体" w:eastAsia="宋体" w:hint="default"/>
        </w:rPr>
        <w:t>137</w:t>
      </w:r>
      <w:r>
        <w:rPr>
          <w:rFonts w:ascii="宋体" w:hAnsi="宋体" w:cs="宋体" w:eastAsia="宋体" w:hint="default"/>
          <w:spacing w:val="-53"/>
        </w:rPr>
        <w:t> </w:t>
      </w:r>
      <w:r>
        <w:rPr/>
        <w:t>人次参加各类精品外训，分层分级提升各级员工的业 务技能与职业素养。</w:t>
      </w:r>
    </w:p>
    <w:p>
      <w:pPr>
        <w:pStyle w:val="BodyText"/>
        <w:spacing w:line="408" w:lineRule="auto"/>
        <w:ind w:right="1110" w:firstLine="420"/>
        <w:jc w:val="both"/>
      </w:pPr>
      <w:r>
        <w:rPr>
          <w:rFonts w:ascii="宋体" w:hAnsi="宋体" w:cs="宋体" w:eastAsia="宋体" w:hint="default"/>
        </w:rPr>
        <w:t>2014</w:t>
      </w:r>
      <w:r>
        <w:rPr>
          <w:rFonts w:ascii="宋体" w:hAnsi="宋体" w:cs="宋体" w:eastAsia="宋体" w:hint="default"/>
          <w:spacing w:val="-48"/>
        </w:rPr>
        <w:t> </w:t>
      </w:r>
      <w:r>
        <w:rPr>
          <w:spacing w:val="-2"/>
        </w:rPr>
        <w:t>年底，为构建公司级知识管理、人才发展、市场竞争的智力平台，为海能达合作伙伴、客户提供</w:t>
      </w:r>
      <w:r>
        <w:rPr/>
        <w:t> 专业、优质的专网通信技术培训及解决方案，传承企业价值观，延展企业价值链，公司成立海能达学院， </w:t>
      </w:r>
      <w:r>
        <w:rPr>
          <w:spacing w:val="-1"/>
        </w:rPr>
        <w:t>制定了学院的三年规划及业务目标，初步搭建起学院的管理班子，为后续公司内部人才培养计划打下坚实</w:t>
      </w:r>
      <w:r>
        <w:rPr>
          <w:spacing w:val="-81"/>
        </w:rPr>
        <w:t> </w:t>
      </w:r>
      <w:r>
        <w:rPr>
          <w:spacing w:val="-81"/>
        </w:rPr>
      </w:r>
      <w:r>
        <w:rPr/>
        <w:t>的基础。</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536"/>
        <w:jc w:val="center"/>
        <w:rPr>
          <w:b w:val="0"/>
          <w:bCs w:val="0"/>
        </w:rPr>
      </w:pPr>
      <w:bookmarkStart w:name="_TOC_250003" w:id="118"/>
      <w:bookmarkStart w:name="第九节 公司治理" w:id="119"/>
      <w:r>
        <w:rPr>
          <w:b w:val="0"/>
          <w:bCs w:val="0"/>
        </w:rPr>
      </w:r>
      <w:r>
        <w:rPr/>
        <w:t>第九节</w:t>
      </w:r>
      <w:r>
        <w:rPr>
          <w:spacing w:val="-5"/>
        </w:rPr>
        <w:t> </w:t>
      </w:r>
      <w:r>
        <w:rPr/>
        <w:t>公司治理</w:t>
      </w:r>
      <w:bookmarkEnd w:id="118"/>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20"/>
      <w:bookmarkEnd w:id="120"/>
      <w:r>
        <w:rPr>
          <w:b w:val="0"/>
          <w:bCs w:val="0"/>
        </w:rPr>
      </w:r>
      <w:r>
        <w:rPr/>
        <w:t>一、公司治理的基本状况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110" w:firstLine="420"/>
        <w:jc w:val="both"/>
      </w:pPr>
      <w:r>
        <w:rPr>
          <w:spacing w:val="-15"/>
        </w:rPr>
        <w:t>自上市以来，公司严格按照《公司法》、《证券法》、《上市公司治理准则》、《深圳证券交易所股票上市</w:t>
      </w:r>
      <w:r>
        <w:rPr/>
        <w:t> </w:t>
      </w:r>
      <w:r>
        <w:rPr>
          <w:spacing w:val="-5"/>
        </w:rPr>
        <w:t>规则》、《深圳证券交易所中小企业板上市公司规范运作指引》和中国证监会有关规章制度的要求，不断完</w:t>
      </w:r>
      <w:r>
        <w:rPr/>
        <w:t> 善治理结构、规范公司运作，建立了涵盖重大投资决策、关联交易决策、财务管理等各个方面较为完善、 </w:t>
      </w:r>
      <w:r>
        <w:rPr>
          <w:spacing w:val="-1"/>
        </w:rPr>
        <w:t>健全、有效的内部控制制度体系，各项制度建立之后得到了有效执行。报告期内，公司进一步健全内控体</w:t>
      </w:r>
      <w:r>
        <w:rPr>
          <w:spacing w:val="-86"/>
        </w:rPr>
        <w:t> </w:t>
      </w:r>
      <w:r>
        <w:rPr>
          <w:spacing w:val="-86"/>
        </w:rPr>
      </w:r>
      <w:r>
        <w:rPr>
          <w:spacing w:val="-1"/>
        </w:rPr>
        <w:t>系，规范公司运作，提高公司治理水平。截至报告期末，公司治理的实际状况基本符合中国证监会发布的</w:t>
      </w:r>
      <w:r>
        <w:rPr>
          <w:spacing w:val="-86"/>
        </w:rPr>
        <w:t> </w:t>
      </w:r>
      <w:r>
        <w:rPr>
          <w:spacing w:val="-86"/>
        </w:rPr>
      </w:r>
      <w:r>
        <w:rPr/>
        <w:t>有关上市公司治理的规范性文件要求。</w:t>
      </w:r>
    </w:p>
    <w:p>
      <w:pPr>
        <w:pStyle w:val="BodyText"/>
        <w:spacing w:line="408" w:lineRule="auto"/>
        <w:ind w:left="573" w:right="1046"/>
        <w:jc w:val="left"/>
      </w:pPr>
      <w:r>
        <w:rPr/>
        <w:t>（一）关于股东与股东大会 </w:t>
      </w:r>
      <w:r>
        <w:rPr>
          <w:spacing w:val="-6"/>
        </w:rPr>
        <w:t>公司严格按照公司《章程》、《股东大会议事规则》的规定和要求，规范股东大会的召集、召开、表决</w:t>
      </w:r>
    </w:p>
    <w:p>
      <w:pPr>
        <w:pStyle w:val="BodyText"/>
        <w:spacing w:line="408" w:lineRule="auto"/>
        <w:ind w:right="1131"/>
        <w:jc w:val="both"/>
      </w:pPr>
      <w:r>
        <w:rPr>
          <w:spacing w:val="-1"/>
        </w:rPr>
        <w:t>程序，平等对待所有股东，确保股东特别是中小股东能充分行使其权利。报告期内，董事会勤勉尽责地审</w:t>
      </w:r>
      <w:r>
        <w:rPr>
          <w:spacing w:val="-85"/>
        </w:rPr>
        <w:t> </w:t>
      </w:r>
      <w:r>
        <w:rPr>
          <w:spacing w:val="-85"/>
        </w:rPr>
      </w:r>
      <w:r>
        <w:rPr>
          <w:spacing w:val="-1"/>
        </w:rPr>
        <w:t>议并安排股东大会审议事项，并严格执行股东大会的决议事项。公司历次股东大会的召集、召开程序符合</w:t>
      </w:r>
      <w:r>
        <w:rPr>
          <w:spacing w:val="-83"/>
        </w:rPr>
        <w:t> </w:t>
      </w:r>
      <w:r>
        <w:rPr>
          <w:spacing w:val="-83"/>
        </w:rPr>
      </w:r>
      <w:r>
        <w:rPr>
          <w:spacing w:val="-1"/>
        </w:rPr>
        <w:t>相关规定；股东大会的通知时间、授权委托符合相关规定；股东大会提案审议符合法定程序；股东大会会</w:t>
      </w:r>
      <w:r>
        <w:rPr>
          <w:spacing w:val="-86"/>
        </w:rPr>
        <w:t> </w:t>
      </w:r>
      <w:r>
        <w:rPr>
          <w:spacing w:val="-86"/>
        </w:rPr>
      </w:r>
      <w:r>
        <w:rPr>
          <w:spacing w:val="-1"/>
        </w:rPr>
        <w:t>议记录完整、保存完好，会议决议得以充分及时披露。报告期内，公司未发生单独或合并持有公司有表决</w:t>
      </w:r>
      <w:r>
        <w:rPr>
          <w:spacing w:val="-86"/>
        </w:rPr>
        <w:t> </w:t>
      </w:r>
      <w:r>
        <w:rPr>
          <w:spacing w:val="-86"/>
        </w:rPr>
      </w:r>
      <w:r>
        <w:rPr/>
        <w:t>权股份总数</w:t>
      </w:r>
      <w:r>
        <w:rPr>
          <w:spacing w:val="-54"/>
        </w:rPr>
        <w:t> </w:t>
      </w:r>
      <w:r>
        <w:rPr>
          <w:rFonts w:ascii="宋体" w:hAnsi="宋体" w:cs="宋体" w:eastAsia="宋体" w:hint="default"/>
        </w:rPr>
        <w:t>10%</w:t>
      </w:r>
      <w:r>
        <w:rPr/>
        <w:t>以上的股东请求召开临时股东大会的情形，也无应监事会提议召开的股东大会的情形。</w:t>
      </w:r>
    </w:p>
    <w:p>
      <w:pPr>
        <w:pStyle w:val="BodyText"/>
        <w:spacing w:line="408" w:lineRule="auto" w:before="45"/>
        <w:ind w:left="573" w:right="1046"/>
        <w:jc w:val="left"/>
      </w:pPr>
      <w:r>
        <w:rPr/>
        <w:t>（二）关于控股股东与上市公司的关系 </w:t>
      </w:r>
      <w:r>
        <w:rPr>
          <w:spacing w:val="-1"/>
        </w:rPr>
        <w:t>公司具有完整独立的业务、自主的经营能力和完备的运营体系，业务、人员、资产、机构、财务完全</w:t>
      </w:r>
    </w:p>
    <w:p>
      <w:pPr>
        <w:pStyle w:val="BodyText"/>
        <w:spacing w:line="408" w:lineRule="auto"/>
        <w:ind w:right="1110"/>
        <w:jc w:val="both"/>
      </w:pPr>
      <w:r>
        <w:rPr>
          <w:spacing w:val="-1"/>
        </w:rPr>
        <w:t>独立，公司董事会、监事会和内部机构能够独立运作。公司关联交易公平合理，决策程序符合规定，不存</w:t>
      </w:r>
      <w:r>
        <w:rPr>
          <w:spacing w:val="-83"/>
        </w:rPr>
        <w:t> </w:t>
      </w:r>
      <w:r>
        <w:rPr>
          <w:spacing w:val="-83"/>
        </w:rPr>
      </w:r>
      <w:r>
        <w:rPr>
          <w:spacing w:val="-1"/>
        </w:rPr>
        <w:t>在控股股东占用公司资金的现象，公司亦无为控股股东提供担保的情形。控股股东陈清州先生以公司总经</w:t>
      </w:r>
      <w:r>
        <w:rPr>
          <w:spacing w:val="-81"/>
        </w:rPr>
        <w:t> </w:t>
      </w:r>
      <w:r>
        <w:rPr>
          <w:spacing w:val="-81"/>
        </w:rPr>
      </w:r>
      <w:r>
        <w:rPr/>
        <w:t>理身份参与公司内部的各项决策，但公司内部各项决策均按照相应制度履行审核程序，不受制于大股东。</w:t>
      </w:r>
    </w:p>
    <w:p>
      <w:pPr>
        <w:pStyle w:val="BodyText"/>
        <w:spacing w:line="240" w:lineRule="auto"/>
        <w:ind w:left="573" w:right="1046"/>
        <w:jc w:val="left"/>
      </w:pPr>
      <w:r>
        <w:rPr/>
        <w:t>（三）关于董事和董事会</w:t>
      </w:r>
    </w:p>
    <w:p>
      <w:pPr>
        <w:spacing w:line="240" w:lineRule="auto" w:before="10"/>
        <w:rPr>
          <w:rFonts w:ascii="宋体" w:hAnsi="宋体" w:cs="宋体" w:eastAsia="宋体" w:hint="default"/>
          <w:sz w:val="14"/>
          <w:szCs w:val="14"/>
        </w:rPr>
      </w:pPr>
    </w:p>
    <w:p>
      <w:pPr>
        <w:pStyle w:val="BodyText"/>
        <w:spacing w:line="408" w:lineRule="auto" w:before="0"/>
        <w:ind w:right="1109" w:firstLine="420"/>
        <w:jc w:val="both"/>
      </w:pPr>
      <w:r>
        <w:rPr/>
        <w:t>公司目前董事会成员</w:t>
      </w:r>
      <w:r>
        <w:rPr>
          <w:spacing w:val="-53"/>
        </w:rPr>
        <w:t> </w:t>
      </w:r>
      <w:r>
        <w:rPr>
          <w:rFonts w:ascii="宋体" w:hAnsi="宋体" w:cs="宋体" w:eastAsia="宋体" w:hint="default"/>
        </w:rPr>
        <w:t>9</w:t>
      </w:r>
      <w:r>
        <w:rPr>
          <w:rFonts w:ascii="宋体" w:hAnsi="宋体" w:cs="宋体" w:eastAsia="宋体" w:hint="default"/>
          <w:spacing w:val="-54"/>
        </w:rPr>
        <w:t> </w:t>
      </w:r>
      <w:r>
        <w:rPr/>
        <w:t>人，其中独立董事</w:t>
      </w:r>
      <w:r>
        <w:rPr>
          <w:spacing w:val="-53"/>
        </w:rPr>
        <w:t> </w:t>
      </w:r>
      <w:r>
        <w:rPr>
          <w:rFonts w:ascii="宋体" w:hAnsi="宋体" w:cs="宋体" w:eastAsia="宋体" w:hint="default"/>
        </w:rPr>
        <w:t>3</w:t>
      </w:r>
      <w:r>
        <w:rPr>
          <w:rFonts w:ascii="宋体" w:hAnsi="宋体" w:cs="宋体" w:eastAsia="宋体" w:hint="default"/>
          <w:spacing w:val="-53"/>
        </w:rPr>
        <w:t> </w:t>
      </w:r>
      <w:r>
        <w:rPr/>
        <w:t>名，董事会下设战略委员会、审计委员会、提名委员会、 </w:t>
      </w:r>
      <w:r>
        <w:rPr>
          <w:spacing w:val="-1"/>
        </w:rPr>
        <w:t>薪酬与考核委员会四个专门委员会，专门委员会成员全部由公司董事组成，除战略委员会外，其余委员会</w:t>
      </w:r>
      <w:r>
        <w:rPr>
          <w:spacing w:val="-83"/>
        </w:rPr>
        <w:t> </w:t>
      </w:r>
      <w:r>
        <w:rPr>
          <w:spacing w:val="-83"/>
        </w:rPr>
      </w:r>
      <w:r>
        <w:rPr>
          <w:spacing w:val="-1"/>
        </w:rPr>
        <w:t>均由独立董事担任召集人，且独立董事人数大于非独立董事人数。公司董事会严格按照《公司法》和公司</w:t>
      </w:r>
    </w:p>
    <w:p>
      <w:pPr>
        <w:pStyle w:val="BodyText"/>
        <w:spacing w:line="408" w:lineRule="auto"/>
        <w:ind w:left="154" w:right="1110"/>
        <w:jc w:val="both"/>
      </w:pPr>
      <w:r>
        <w:rPr>
          <w:spacing w:val="-5"/>
        </w:rPr>
        <w:t>《章程》、《董事会议事规则》的规定，规范董事会的召集、召开和表决，公司全体董事能够忠实、勤勉、</w:t>
      </w:r>
      <w:r>
        <w:rPr>
          <w:spacing w:val="-82"/>
        </w:rPr>
        <w:t> </w:t>
      </w:r>
      <w:r>
        <w:rPr>
          <w:spacing w:val="-82"/>
        </w:rPr>
      </w:r>
      <w:r>
        <w:rPr>
          <w:spacing w:val="-1"/>
        </w:rPr>
        <w:t>尽责地履行董事义务和职责，切实执行股东大会决议，审慎行使职权，认真出席会议，积极参加相关知识</w:t>
      </w:r>
      <w:r>
        <w:rPr>
          <w:spacing w:val="-86"/>
        </w:rPr>
        <w:t> </w:t>
      </w:r>
      <w:r>
        <w:rPr>
          <w:spacing w:val="-86"/>
        </w:rPr>
      </w:r>
      <w:r>
        <w:rPr/>
        <w:t>的培训和学习，熟悉有关法律法规。</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1046"/>
        <w:jc w:val="left"/>
      </w:pPr>
      <w:r>
        <w:rPr/>
        <w:t>（四）关于监事和监事会</w:t>
      </w:r>
    </w:p>
    <w:p>
      <w:pPr>
        <w:spacing w:line="240" w:lineRule="auto" w:before="10"/>
        <w:rPr>
          <w:rFonts w:ascii="宋体" w:hAnsi="宋体" w:cs="宋体" w:eastAsia="宋体" w:hint="default"/>
          <w:sz w:val="14"/>
          <w:szCs w:val="14"/>
        </w:rPr>
      </w:pPr>
    </w:p>
    <w:p>
      <w:pPr>
        <w:pStyle w:val="BodyText"/>
        <w:spacing w:line="408" w:lineRule="auto" w:before="0"/>
        <w:ind w:right="1109" w:firstLine="420"/>
        <w:jc w:val="both"/>
      </w:pPr>
      <w:r>
        <w:rPr/>
        <w:t>公司目前监事会由</w:t>
      </w:r>
      <w:r>
        <w:rPr>
          <w:spacing w:val="-53"/>
        </w:rPr>
        <w:t> </w:t>
      </w:r>
      <w:r>
        <w:rPr>
          <w:rFonts w:ascii="宋体" w:hAnsi="宋体" w:cs="宋体" w:eastAsia="宋体" w:hint="default"/>
        </w:rPr>
        <w:t>3</w:t>
      </w:r>
      <w:r>
        <w:rPr>
          <w:rFonts w:ascii="宋体" w:hAnsi="宋体" w:cs="宋体" w:eastAsia="宋体" w:hint="default"/>
          <w:spacing w:val="-53"/>
        </w:rPr>
        <w:t> </w:t>
      </w:r>
      <w:r>
        <w:rPr/>
        <w:t>名监事组成，其中</w:t>
      </w:r>
      <w:r>
        <w:rPr>
          <w:spacing w:val="-53"/>
        </w:rPr>
        <w:t> </w:t>
      </w:r>
      <w:r>
        <w:rPr>
          <w:rFonts w:ascii="宋体" w:hAnsi="宋体" w:cs="宋体" w:eastAsia="宋体" w:hint="default"/>
        </w:rPr>
        <w:t>1</w:t>
      </w:r>
      <w:r>
        <w:rPr>
          <w:rFonts w:ascii="宋体" w:hAnsi="宋体" w:cs="宋体" w:eastAsia="宋体" w:hint="default"/>
          <w:spacing w:val="-53"/>
        </w:rPr>
        <w:t> </w:t>
      </w:r>
      <w:r>
        <w:rPr/>
        <w:t>名为职工代表监事，监事会的组成符合法律、法规的要求。 </w:t>
      </w:r>
      <w:r>
        <w:rPr>
          <w:spacing w:val="-5"/>
        </w:rPr>
        <w:t>公司监事会严格按照《公司法》和公司《章程》、《监事会议事规则》的规定，规范监事会的召集、召开和</w:t>
      </w:r>
      <w:r>
        <w:rPr>
          <w:spacing w:val="1"/>
        </w:rPr>
        <w:t> </w:t>
      </w:r>
      <w:r>
        <w:rPr>
          <w:spacing w:val="-1"/>
        </w:rPr>
        <w:t>表决，公司监事认真履行职责，诚信、勤勉、尽责地对公司财务以及董事、总经理及其他高级管理人员履</w:t>
      </w:r>
      <w:r>
        <w:rPr>
          <w:spacing w:val="-83"/>
        </w:rPr>
        <w:t> </w:t>
      </w:r>
      <w:r>
        <w:rPr>
          <w:spacing w:val="-83"/>
        </w:rPr>
      </w:r>
      <w:r>
        <w:rPr/>
        <w:t>行职责的合法、合规性进行监督，维护公司及股东的合法权益。</w:t>
      </w:r>
    </w:p>
    <w:p>
      <w:pPr>
        <w:pStyle w:val="BodyText"/>
        <w:spacing w:line="408" w:lineRule="auto"/>
        <w:ind w:left="573" w:right="1018"/>
        <w:jc w:val="left"/>
      </w:pPr>
      <w:r>
        <w:rPr/>
        <w:t>（五）关于绩效评价与激励约束机制 </w:t>
      </w:r>
      <w:r>
        <w:rPr>
          <w:spacing w:val="-3"/>
        </w:rPr>
        <w:t>公司董事、监事和高级管理人员的聘任公开、透明且符合有关法律、法规和公司内部规章制度的规定。</w:t>
      </w:r>
    </w:p>
    <w:p>
      <w:pPr>
        <w:pStyle w:val="BodyText"/>
        <w:spacing w:line="408" w:lineRule="auto"/>
        <w:ind w:right="1131"/>
        <w:jc w:val="both"/>
      </w:pPr>
      <w:r>
        <w:rPr>
          <w:spacing w:val="-1"/>
        </w:rPr>
        <w:t>公司建立了完善的高级管理人员绩效考评体系，通过季度审视、半年度述职和年度述职等形式加大对公司</w:t>
      </w:r>
      <w:r>
        <w:rPr>
          <w:spacing w:val="-81"/>
        </w:rPr>
        <w:t> </w:t>
      </w:r>
      <w:r>
        <w:rPr>
          <w:spacing w:val="-81"/>
        </w:rPr>
      </w:r>
      <w:r>
        <w:rPr/>
        <w:t>高级管理人员的激励考核，强化责任目标约束。报告期内，公司董事会以年度为周期，以年度</w:t>
      </w:r>
      <w:r>
        <w:rPr>
          <w:spacing w:val="-64"/>
        </w:rPr>
        <w:t> </w:t>
      </w:r>
      <w:r>
        <w:rPr>
          <w:rFonts w:ascii="宋体" w:hAnsi="宋体" w:cs="宋体" w:eastAsia="宋体" w:hint="default"/>
        </w:rPr>
        <w:t>KPI</w:t>
      </w:r>
      <w:r>
        <w:rPr>
          <w:rFonts w:ascii="宋体" w:hAnsi="宋体" w:cs="宋体" w:eastAsia="宋体" w:hint="default"/>
          <w:spacing w:val="-65"/>
        </w:rPr>
        <w:t> </w:t>
      </w:r>
      <w:r>
        <w:rPr/>
        <w:t>和重点 </w:t>
      </w:r>
      <w:r>
        <w:rPr>
          <w:spacing w:val="-1"/>
        </w:rPr>
        <w:t>工作的完成情况为主要依据，对公司高级管理人员的工作业绩进行了考评。董事会负责对总经理的任职能</w:t>
      </w:r>
      <w:r>
        <w:rPr>
          <w:spacing w:val="-81"/>
        </w:rPr>
        <w:t> </w:t>
      </w:r>
      <w:r>
        <w:rPr>
          <w:spacing w:val="-81"/>
        </w:rPr>
      </w:r>
      <w:r>
        <w:rPr>
          <w:spacing w:val="-1"/>
        </w:rPr>
        <w:t>力和工作业绩进行考评；总经理负责对公司其它高级管理人员进行考评，从绩效、领导力素质、品德三个</w:t>
      </w:r>
      <w:r>
        <w:rPr>
          <w:spacing w:val="-86"/>
        </w:rPr>
        <w:t> </w:t>
      </w:r>
      <w:r>
        <w:rPr>
          <w:spacing w:val="-86"/>
        </w:rPr>
      </w:r>
      <w:r>
        <w:rPr>
          <w:spacing w:val="-1"/>
        </w:rPr>
        <w:t>方面进行综合考量，其中绩效又分为关键绩效要素的达成情况、重点工作任务的完成情况、团队合作情况</w:t>
      </w:r>
      <w:r>
        <w:rPr>
          <w:spacing w:val="-83"/>
        </w:rPr>
        <w:t> </w:t>
      </w:r>
      <w:r>
        <w:rPr>
          <w:spacing w:val="-83"/>
        </w:rPr>
      </w:r>
      <w:r>
        <w:rPr>
          <w:spacing w:val="-1"/>
        </w:rPr>
        <w:t>等三个方面，考评结果直接与高级管理人员的干部任免、薪酬调整和奖金分配等挂钩，充分发挥和调动了</w:t>
      </w:r>
      <w:r>
        <w:rPr>
          <w:spacing w:val="-83"/>
        </w:rPr>
        <w:t> </w:t>
      </w:r>
      <w:r>
        <w:rPr>
          <w:spacing w:val="-83"/>
        </w:rPr>
      </w:r>
      <w:r>
        <w:rPr>
          <w:spacing w:val="-1"/>
        </w:rPr>
        <w:t>高级管理人员的工作积极性和创造性，更好的提高了企业的营运能力和经济效益，进一步加强了公司的管</w:t>
      </w:r>
      <w:r>
        <w:rPr>
          <w:spacing w:val="-81"/>
        </w:rPr>
        <w:t> </w:t>
      </w:r>
      <w:r>
        <w:rPr>
          <w:spacing w:val="-81"/>
        </w:rPr>
      </w:r>
      <w:r>
        <w:rPr/>
        <w:t>理水平。</w:t>
      </w:r>
    </w:p>
    <w:p>
      <w:pPr>
        <w:pStyle w:val="BodyText"/>
        <w:spacing w:line="408" w:lineRule="auto"/>
        <w:ind w:left="573" w:right="1046"/>
        <w:jc w:val="left"/>
      </w:pPr>
      <w:r>
        <w:rPr/>
        <w:t>（六）关于相关利益者 </w:t>
      </w:r>
      <w:r>
        <w:rPr>
          <w:spacing w:val="-1"/>
        </w:rPr>
        <w:t>公司在保持快速发展、实现股东利益最大化的同时，重视社会责任，充分尊重和维护职工、债权人等</w:t>
      </w:r>
    </w:p>
    <w:p>
      <w:pPr>
        <w:pStyle w:val="BodyText"/>
        <w:spacing w:line="408" w:lineRule="auto"/>
        <w:ind w:right="1046"/>
        <w:jc w:val="left"/>
      </w:pPr>
      <w:r>
        <w:rPr>
          <w:spacing w:val="-1"/>
        </w:rPr>
        <w:t>利益相关者的合法权利，加强与各方的沟通和合作，实现股东、员工、社会等各方利益的均衡，推动公司</w:t>
      </w:r>
      <w:r>
        <w:rPr>
          <w:spacing w:val="-83"/>
        </w:rPr>
        <w:t> </w:t>
      </w:r>
      <w:r>
        <w:rPr>
          <w:spacing w:val="-83"/>
        </w:rPr>
      </w:r>
      <w:r>
        <w:rPr/>
        <w:t>持续、稳定、健康地发展。</w:t>
      </w:r>
    </w:p>
    <w:p>
      <w:pPr>
        <w:pStyle w:val="BodyText"/>
        <w:spacing w:line="408" w:lineRule="auto"/>
        <w:ind w:left="573" w:right="1046"/>
        <w:jc w:val="left"/>
      </w:pPr>
      <w:r>
        <w:rPr/>
        <w:t>（七）关于信息披露与透明度 </w:t>
      </w:r>
      <w:r>
        <w:rPr>
          <w:spacing w:val="-6"/>
        </w:rPr>
        <w:t>公司严格按照有关法律法规和公司《信息披露管理制度》、《投资者关系管理制度》的要求，指定公司</w:t>
      </w:r>
    </w:p>
    <w:p>
      <w:pPr>
        <w:pStyle w:val="BodyText"/>
        <w:spacing w:line="405" w:lineRule="auto"/>
        <w:ind w:right="1024"/>
        <w:jc w:val="left"/>
        <w:rPr>
          <w:sz w:val="18"/>
          <w:szCs w:val="18"/>
        </w:rPr>
      </w:pPr>
      <w:r>
        <w:rPr>
          <w:spacing w:val="-3"/>
        </w:rPr>
        <w:t>董事会秘书负责信息披露工作、接待投资者来访和咨询，并严格按照有关规定在指定信息披露媒体上真实、</w:t>
      </w:r>
      <w:r>
        <w:rPr>
          <w:spacing w:val="-92"/>
        </w:rPr>
        <w:t> </w:t>
      </w:r>
      <w:r>
        <w:rPr>
          <w:spacing w:val="-92"/>
        </w:rPr>
      </w:r>
      <w:r>
        <w:rPr/>
        <w:t>准确、完整、及时地披露有关信息，确保公司所有股东平等地获得公司经营管理信息。公司不存在向大股</w:t>
      </w:r>
      <w:r>
        <w:rPr/>
        <w:t> 东、实际控制人提供未公开信息等治理非规范情况。 </w:t>
      </w:r>
      <w:r>
        <w:rPr>
          <w:sz w:val="18"/>
          <w:szCs w:val="18"/>
        </w:rPr>
        <w:t>公司治理与《公司法》和中国证监会相关规定的要求是否存在差异</w:t>
      </w:r>
    </w:p>
    <w:p>
      <w:pPr>
        <w:spacing w:line="338" w:lineRule="auto" w:before="0"/>
        <w:ind w:left="153" w:right="55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公司治理与《公司法》和中国证监会相关规定的要求不存在差异。</w:t>
      </w:r>
    </w:p>
    <w:p>
      <w:pPr>
        <w:spacing w:before="42"/>
        <w:ind w:left="153" w:right="1046" w:firstLine="0"/>
        <w:jc w:val="left"/>
        <w:rPr>
          <w:rFonts w:ascii="宋体" w:hAnsi="宋体" w:cs="宋体" w:eastAsia="宋体" w:hint="default"/>
          <w:sz w:val="18"/>
          <w:szCs w:val="18"/>
        </w:rPr>
      </w:pPr>
      <w:r>
        <w:rPr>
          <w:rFonts w:ascii="宋体" w:hAnsi="宋体" w:cs="宋体" w:eastAsia="宋体" w:hint="default"/>
          <w:sz w:val="18"/>
          <w:szCs w:val="18"/>
        </w:rPr>
        <w:t>公司治理专项活动开展情况以及内幕信息知情人登记管理制度的制定、实施情况</w:t>
      </w:r>
    </w:p>
    <w:p>
      <w:pPr>
        <w:spacing w:line="240" w:lineRule="auto" w:before="12"/>
        <w:rPr>
          <w:rFonts w:ascii="宋体" w:hAnsi="宋体" w:cs="宋体" w:eastAsia="宋体" w:hint="default"/>
          <w:sz w:val="12"/>
          <w:szCs w:val="12"/>
        </w:rPr>
      </w:pPr>
    </w:p>
    <w:p>
      <w:pPr>
        <w:pStyle w:val="BodyText"/>
        <w:spacing w:line="408" w:lineRule="auto" w:before="0"/>
        <w:ind w:left="154" w:right="1131" w:firstLine="420"/>
        <w:jc w:val="both"/>
      </w:pPr>
      <w:r>
        <w:rPr/>
        <w:t>根据中国证监会《关于上市公司建立内幕信息知情人登记管理制度的规定》的要求，</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11 </w:t>
      </w:r>
      <w:r>
        <w:rPr>
          <w:spacing w:val="-1"/>
        </w:rPr>
        <w:t>日，公司第一届董事会第十四次会议审议通过了《海能达通信股份有限公司内幕信息知情人报备制度》和</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207"/>
        <w:jc w:val="left"/>
      </w:pPr>
      <w:r>
        <w:rPr>
          <w:spacing w:val="-4"/>
        </w:rPr>
        <w:t>《海能达通信股份有限公司对外信息报送和使用管理制度》，具体详见公司于</w:t>
      </w:r>
      <w:r>
        <w:rPr>
          <w:spacing w:val="-46"/>
        </w:rPr>
        <w:t> </w:t>
      </w:r>
      <w:r>
        <w:rPr>
          <w:rFonts w:ascii="宋体" w:hAnsi="宋体" w:cs="宋体" w:eastAsia="宋体" w:hint="default"/>
        </w:rPr>
        <w:t>2011</w:t>
      </w:r>
      <w:r>
        <w:rPr>
          <w:rFonts w:ascii="宋体" w:hAnsi="宋体" w:cs="宋体" w:eastAsia="宋体" w:hint="default"/>
          <w:spacing w:val="-49"/>
        </w:rPr>
        <w:t> </w:t>
      </w:r>
      <w:r>
        <w:rPr/>
        <w:t>年</w:t>
      </w:r>
      <w:r>
        <w:rPr>
          <w:spacing w:val="-48"/>
        </w:rPr>
        <w:t> </w:t>
      </w:r>
      <w:r>
        <w:rPr>
          <w:rFonts w:ascii="宋体" w:hAnsi="宋体" w:cs="宋体" w:eastAsia="宋体" w:hint="default"/>
        </w:rPr>
        <w:t>8</w:t>
      </w:r>
      <w:r>
        <w:rPr>
          <w:rFonts w:ascii="宋体" w:hAnsi="宋体" w:cs="宋体" w:eastAsia="宋体" w:hint="default"/>
          <w:spacing w:val="-47"/>
        </w:rPr>
        <w:t> </w:t>
      </w:r>
      <w:r>
        <w:rPr/>
        <w:t>月</w:t>
      </w:r>
      <w:r>
        <w:rPr>
          <w:spacing w:val="-49"/>
        </w:rPr>
        <w:t> </w:t>
      </w:r>
      <w:r>
        <w:rPr>
          <w:rFonts w:ascii="宋体" w:hAnsi="宋体" w:cs="宋体" w:eastAsia="宋体" w:hint="default"/>
          <w:spacing w:val="-1"/>
        </w:rPr>
        <w:t>11</w:t>
      </w:r>
      <w:r>
        <w:rPr>
          <w:rFonts w:ascii="宋体" w:hAnsi="宋体" w:cs="宋体" w:eastAsia="宋体" w:hint="default"/>
          <w:spacing w:val="-47"/>
        </w:rPr>
        <w:t> </w:t>
      </w:r>
      <w:r>
        <w:rPr>
          <w:spacing w:val="-1"/>
        </w:rPr>
        <w:t>日通过指定</w:t>
      </w:r>
      <w:r>
        <w:rPr/>
        <w:t> 媒体巨潮资讯网发布的制度。</w:t>
      </w:r>
    </w:p>
    <w:p>
      <w:pPr>
        <w:pStyle w:val="BodyText"/>
        <w:spacing w:line="408" w:lineRule="auto"/>
        <w:ind w:right="1110" w:firstLine="420"/>
        <w:jc w:val="both"/>
      </w:pPr>
      <w:r>
        <w:rPr>
          <w:spacing w:val="-6"/>
        </w:rPr>
        <w:t>报告期内，公司严格按照《内幕信息知情人报备制度》、《对外信息报送和使用管理制度》等有关制度</w:t>
      </w:r>
      <w:r>
        <w:rPr/>
        <w:t> </w:t>
      </w:r>
      <w:r>
        <w:rPr>
          <w:spacing w:val="-1"/>
        </w:rPr>
        <w:t>的规定和要求，积极做好内幕信息保密和信息披露管理工作，从源头预防内幕交易。在涉及重大事项、定</w:t>
      </w:r>
      <w:r>
        <w:rPr>
          <w:spacing w:val="-85"/>
        </w:rPr>
        <w:t> </w:t>
      </w:r>
      <w:r>
        <w:rPr>
          <w:spacing w:val="-85"/>
        </w:rPr>
      </w:r>
      <w:r>
        <w:rPr>
          <w:spacing w:val="-1"/>
        </w:rPr>
        <w:t>期报告等披露敏感期间，公司将内幕信息知情人范围控制在最小范围，做好内幕信息知情人登记工作；在</w:t>
      </w:r>
      <w:r>
        <w:rPr>
          <w:spacing w:val="-83"/>
        </w:rPr>
        <w:t> </w:t>
      </w:r>
      <w:r>
        <w:rPr>
          <w:spacing w:val="-83"/>
        </w:rPr>
      </w:r>
      <w:r>
        <w:rPr/>
        <w:t>对外报送信息资料时，要求信息使用者登记并签订保密协议；投资者来访调研时要求其签署保密承诺书， 并由专人全程陪同，严格控制和防范未披露信息外泄。</w:t>
      </w:r>
    </w:p>
    <w:p>
      <w:pPr>
        <w:pStyle w:val="BodyText"/>
        <w:spacing w:line="408" w:lineRule="auto"/>
        <w:ind w:right="1131" w:firstLine="420"/>
        <w:jc w:val="both"/>
      </w:pPr>
      <w:r>
        <w:rPr>
          <w:spacing w:val="-1"/>
        </w:rPr>
        <w:t>报告期内，未发现相关人员利用内幕信息进行内幕交易的行为，公司不存在向大股东、实际控制人提</w:t>
      </w:r>
      <w:r>
        <w:rPr/>
        <w:t> 供未公开信息等情况。</w:t>
      </w:r>
    </w:p>
    <w:p>
      <w:pPr>
        <w:spacing w:line="240" w:lineRule="auto" w:before="11"/>
        <w:rPr>
          <w:rFonts w:ascii="宋体" w:hAnsi="宋体" w:cs="宋体" w:eastAsia="宋体" w:hint="default"/>
          <w:sz w:val="18"/>
          <w:szCs w:val="18"/>
        </w:rPr>
      </w:pPr>
    </w:p>
    <w:p>
      <w:pPr>
        <w:pStyle w:val="Heading2"/>
        <w:spacing w:line="240" w:lineRule="auto"/>
        <w:ind w:right="1046"/>
        <w:jc w:val="left"/>
        <w:rPr>
          <w:b w:val="0"/>
          <w:bCs w:val="0"/>
        </w:rPr>
      </w:pPr>
      <w:bookmarkStart w:name="二、报告期内召开的年度股东大会和临时股东大会的有关情况" w:id="121"/>
      <w:bookmarkEnd w:id="121"/>
      <w:r>
        <w:rPr>
          <w:b w:val="0"/>
          <w:bCs w:val="0"/>
        </w:rPr>
      </w:r>
      <w:r>
        <w:rPr/>
        <w:t>二、报告期内召开的年度股东大会和临时股东大会的有关情况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本报告期年度股东大会情况" w:id="122"/>
      <w:bookmarkEnd w:id="122"/>
      <w:r>
        <w:rPr>
          <w:b w:val="0"/>
          <w:bCs w:val="0"/>
        </w:rPr>
      </w:r>
      <w:r>
        <w:rPr>
          <w:rFonts w:ascii="Times New Roman" w:hAnsi="Times New Roman" w:cs="Times New Roman" w:eastAsia="Times New Roman" w:hint="default"/>
        </w:rPr>
        <w:t>1</w:t>
      </w:r>
      <w:r>
        <w:rPr/>
        <w:t>、本报告期年度股东大会情况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53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董事会工作报告的 </w:t>
            </w:r>
            <w:r>
              <w:rPr>
                <w:rFonts w:ascii="宋体" w:hAnsi="宋体" w:cs="宋体" w:eastAsia="宋体" w:hint="default"/>
                <w:spacing w:val="-20"/>
                <w:sz w:val="18"/>
                <w:szCs w:val="18"/>
              </w:rPr>
              <w:t>议案》、《关于公司</w:t>
            </w:r>
            <w:r>
              <w:rPr>
                <w:rFonts w:ascii="宋体" w:hAnsi="宋体" w:cs="宋体" w:eastAsia="宋体" w:hint="default"/>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年监事会工作 </w:t>
            </w:r>
            <w:r>
              <w:rPr>
                <w:rFonts w:ascii="宋体" w:hAnsi="宋体" w:cs="宋体" w:eastAsia="宋体" w:hint="default"/>
                <w:spacing w:val="-27"/>
                <w:sz w:val="18"/>
                <w:szCs w:val="18"/>
              </w:rPr>
              <w:t>报告的议案》、《关于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年年度报告及 </w:t>
            </w:r>
            <w:r>
              <w:rPr>
                <w:rFonts w:ascii="宋体" w:hAnsi="宋体" w:cs="宋体" w:eastAsia="宋体" w:hint="default"/>
                <w:spacing w:val="-27"/>
                <w:sz w:val="18"/>
                <w:szCs w:val="18"/>
              </w:rPr>
              <w:t>其摘要的议案》、《关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 财务决算报告的议 </w:t>
            </w:r>
            <w:r>
              <w:rPr>
                <w:rFonts w:ascii="宋体" w:hAnsi="宋体" w:cs="宋体" w:eastAsia="宋体" w:hint="default"/>
                <w:spacing w:val="-23"/>
                <w:sz w:val="18"/>
                <w:szCs w:val="18"/>
              </w:rPr>
              <w:t>案》、《关于公司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年度利润分配 </w:t>
            </w:r>
            <w:r>
              <w:rPr>
                <w:rFonts w:ascii="宋体" w:hAnsi="宋体" w:cs="宋体" w:eastAsia="宋体" w:hint="default"/>
                <w:spacing w:val="-27"/>
                <w:sz w:val="18"/>
                <w:szCs w:val="18"/>
              </w:rPr>
              <w:t>的议案》、《关于续聘</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瑞华会计师事务所 为公司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年度审 </w:t>
            </w:r>
            <w:r>
              <w:rPr>
                <w:rFonts w:ascii="宋体" w:hAnsi="宋体" w:cs="宋体" w:eastAsia="宋体" w:hint="default"/>
                <w:spacing w:val="-27"/>
                <w:sz w:val="18"/>
                <w:szCs w:val="18"/>
              </w:rPr>
              <w:t>计机构的议案》、《关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于董事、监事、高级</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管理人员</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 </w:t>
            </w:r>
            <w:r>
              <w:rPr>
                <w:rFonts w:ascii="宋体" w:hAnsi="宋体" w:cs="宋体" w:eastAsia="宋体" w:hint="default"/>
                <w:sz w:val="18"/>
                <w:szCs w:val="18"/>
              </w:rPr>
              <w:t>年薪 </w:t>
            </w:r>
            <w:r>
              <w:rPr>
                <w:rFonts w:ascii="宋体" w:hAnsi="宋体" w:cs="宋体" w:eastAsia="宋体" w:hint="default"/>
                <w:spacing w:val="-27"/>
                <w:sz w:val="18"/>
                <w:szCs w:val="18"/>
              </w:rPr>
              <w:t>酬的预案》、《关于将</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专业数字终端开发 平台项目结余募集 资金永久性补充流 </w:t>
            </w:r>
            <w:r>
              <w:rPr>
                <w:rFonts w:ascii="宋体" w:hAnsi="宋体" w:cs="宋体" w:eastAsia="宋体" w:hint="default"/>
                <w:spacing w:val="-27"/>
                <w:sz w:val="18"/>
                <w:szCs w:val="18"/>
              </w:rPr>
              <w:t>动资金的议案》、《关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年度公司向 银行申请银行授信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会议以现场记名投 票与网络投票相结 </w:t>
            </w:r>
            <w:r>
              <w:rPr>
                <w:rFonts w:ascii="宋体" w:hAnsi="宋体" w:cs="宋体" w:eastAsia="宋体" w:hint="default"/>
                <w:spacing w:val="-10"/>
                <w:sz w:val="18"/>
                <w:szCs w:val="18"/>
              </w:rPr>
              <w:t>合的方式，审议通过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了全部议案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9"/>
                <w:szCs w:val="19"/>
              </w:rPr>
            </w:pPr>
          </w:p>
          <w:p>
            <w:pPr>
              <w:pStyle w:val="TableParagraph"/>
              <w:spacing w:line="309" w:lineRule="auto"/>
              <w:ind w:left="23" w:right="2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大会决议公告 》刊 </w:t>
            </w:r>
            <w:r>
              <w:rPr>
                <w:rFonts w:ascii="宋体" w:hAnsi="宋体" w:cs="宋体" w:eastAsia="宋体" w:hint="default"/>
                <w:spacing w:val="-10"/>
                <w:sz w:val="18"/>
                <w:szCs w:val="18"/>
              </w:rPr>
              <w:t>登于《证券时报》、</w:t>
            </w:r>
          </w:p>
          <w:p>
            <w:pPr>
              <w:pStyle w:val="TableParagraph"/>
              <w:spacing w:line="316" w:lineRule="auto" w:before="24"/>
              <w:ind w:left="23" w:right="20"/>
              <w:jc w:val="both"/>
              <w:rPr>
                <w:rFonts w:ascii="宋体" w:hAnsi="宋体" w:cs="宋体" w:eastAsia="宋体" w:hint="default"/>
                <w:sz w:val="18"/>
                <w:szCs w:val="18"/>
              </w:rPr>
            </w:pPr>
            <w:r>
              <w:rPr>
                <w:rFonts w:ascii="宋体" w:hAnsi="宋体" w:cs="宋体" w:eastAsia="宋体" w:hint="default"/>
                <w:spacing w:val="-27"/>
                <w:sz w:val="18"/>
                <w:szCs w:val="18"/>
              </w:rPr>
              <w:t>《上海证券报》、《证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0"/>
                <w:sz w:val="18"/>
                <w:szCs w:val="18"/>
              </w:rPr>
              <w:t>券日报》及巨潮资讯</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网</w:t>
            </w:r>
          </w:p>
          <w:p>
            <w:pPr>
              <w:pStyle w:val="TableParagraph"/>
              <w:spacing w:line="319" w:lineRule="auto" w:before="19"/>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5">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2014-028</w:t>
            </w:r>
          </w:p>
        </w:tc>
      </w:tr>
    </w:tbl>
    <w:p>
      <w:pPr>
        <w:spacing w:after="0" w:line="319"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1298"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0"/>
              <w:ind w:left="23" w:right="21"/>
              <w:jc w:val="left"/>
              <w:rPr>
                <w:rFonts w:ascii="宋体" w:hAnsi="宋体" w:cs="宋体" w:eastAsia="宋体" w:hint="default"/>
                <w:sz w:val="18"/>
                <w:szCs w:val="18"/>
              </w:rPr>
            </w:pPr>
            <w:r>
              <w:rPr>
                <w:rFonts w:ascii="宋体" w:hAnsi="宋体" w:cs="宋体" w:eastAsia="宋体" w:hint="default"/>
                <w:spacing w:val="-27"/>
                <w:sz w:val="18"/>
                <w:szCs w:val="18"/>
              </w:rPr>
              <w:t>额度的议案》、《关于</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年为全资 子公司提供担保的 议案》</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5"/>
        <w:ind w:right="1046"/>
        <w:jc w:val="left"/>
        <w:rPr>
          <w:b w:val="0"/>
          <w:bCs w:val="0"/>
        </w:rPr>
      </w:pPr>
      <w:bookmarkStart w:name="2、本报告期临时股东大会情况" w:id="123"/>
      <w:bookmarkEnd w:id="123"/>
      <w:r>
        <w:rPr>
          <w:b w:val="0"/>
          <w:bCs w:val="0"/>
        </w:rPr>
      </w: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会议议案名称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决议情况</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770"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302"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《关于公司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半年度利润分配的 </w:t>
            </w:r>
            <w:r>
              <w:rPr>
                <w:rFonts w:ascii="宋体" w:hAnsi="宋体" w:cs="宋体" w:eastAsia="宋体" w:hint="default"/>
                <w:spacing w:val="-27"/>
                <w:sz w:val="18"/>
                <w:szCs w:val="18"/>
              </w:rPr>
              <w:t>议案》、《关于修订公</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27"/>
                <w:sz w:val="18"/>
                <w:szCs w:val="18"/>
              </w:rPr>
              <w:t>司章程的议案》、《关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于部分募投项目结 项并使用结余募集 资金及利息永久补 充流动资金的议 </w:t>
            </w:r>
            <w:r>
              <w:rPr>
                <w:rFonts w:ascii="宋体" w:hAnsi="宋体" w:cs="宋体" w:eastAsia="宋体" w:hint="default"/>
                <w:spacing w:val="-27"/>
                <w:sz w:val="18"/>
                <w:szCs w:val="18"/>
              </w:rPr>
              <w:t>案》、《关于向德国子</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Hytera Mobilfunk GmbH</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提 </w:t>
            </w:r>
            <w:r>
              <w:rPr>
                <w:rFonts w:ascii="宋体" w:hAnsi="宋体" w:cs="宋体" w:eastAsia="宋体" w:hint="default"/>
                <w:spacing w:val="-27"/>
                <w:sz w:val="18"/>
                <w:szCs w:val="18"/>
              </w:rPr>
              <w:t>供担保的议案》、《关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于在前海投资设立 融资租赁公司的议 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18"/>
              <w:ind w:left="22" w:right="20"/>
              <w:jc w:val="left"/>
              <w:rPr>
                <w:rFonts w:ascii="宋体" w:hAnsi="宋体" w:cs="宋体" w:eastAsia="宋体" w:hint="default"/>
                <w:sz w:val="18"/>
                <w:szCs w:val="18"/>
              </w:rPr>
            </w:pPr>
            <w:r>
              <w:rPr>
                <w:rFonts w:ascii="宋体" w:hAnsi="宋体" w:cs="宋体" w:eastAsia="宋体" w:hint="default"/>
                <w:sz w:val="18"/>
                <w:szCs w:val="18"/>
              </w:rPr>
              <w:t>会议以现场记名投 票与网络投票相结 </w:t>
            </w:r>
            <w:r>
              <w:rPr>
                <w:rFonts w:ascii="宋体" w:hAnsi="宋体" w:cs="宋体" w:eastAsia="宋体" w:hint="default"/>
                <w:spacing w:val="-10"/>
                <w:sz w:val="18"/>
                <w:szCs w:val="18"/>
              </w:rPr>
              <w:t>合的方式，审议通过</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了全部议案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6"/>
                <w:szCs w:val="26"/>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 时股东大会决议公 告 》刊登于《证券 </w:t>
            </w:r>
            <w:r>
              <w:rPr>
                <w:rFonts w:ascii="宋体" w:hAnsi="宋体" w:cs="宋体" w:eastAsia="宋体" w:hint="default"/>
                <w:spacing w:val="-20"/>
                <w:sz w:val="18"/>
                <w:szCs w:val="18"/>
              </w:rPr>
              <w:t>时报》、《上海证券</w:t>
            </w:r>
            <w:r>
              <w:rPr>
                <w:rFonts w:ascii="宋体" w:hAnsi="宋体" w:cs="宋体" w:eastAsia="宋体" w:hint="default"/>
                <w:sz w:val="18"/>
                <w:szCs w:val="18"/>
              </w:rPr>
              <w:t> </w:t>
            </w:r>
            <w:r>
              <w:rPr>
                <w:rFonts w:ascii="宋体" w:hAnsi="宋体" w:cs="宋体" w:eastAsia="宋体" w:hint="default"/>
                <w:spacing w:val="-27"/>
                <w:sz w:val="18"/>
                <w:szCs w:val="18"/>
              </w:rPr>
              <w:t>报》、《证券日报》及</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巨潮资讯网</w:t>
            </w:r>
          </w:p>
          <w:p>
            <w:pPr>
              <w:pStyle w:val="TableParagraph"/>
              <w:spacing w:line="319" w:lineRule="auto" w:before="20"/>
              <w:ind w:left="23" w:right="97"/>
              <w:jc w:val="left"/>
              <w:rPr>
                <w:rFonts w:ascii="Times New Roman" w:hAnsi="Times New Roman" w:cs="Times New Roman" w:eastAsia="Times New Roman" w:hint="default"/>
                <w:sz w:val="18"/>
                <w:szCs w:val="18"/>
              </w:rPr>
            </w:pPr>
            <w:r>
              <w:rPr>
                <w:rFonts w:ascii="宋体" w:hAnsi="宋体" w:cs="宋体" w:eastAsia="宋体" w:hint="default"/>
                <w:spacing w:val="-1"/>
                <w:sz w:val="18"/>
                <w:szCs w:val="18"/>
              </w:rPr>
              <w:t>（</w:t>
            </w:r>
            <w:hyperlink r:id="rId15">
              <w:r>
                <w:rPr>
                  <w:rFonts w:ascii="Times New Roman" w:hAnsi="Times New Roman" w:cs="Times New Roman" w:eastAsia="Times New Roman" w:hint="default"/>
                  <w:spacing w:val="-1"/>
                  <w:sz w:val="18"/>
                  <w:szCs w:val="18"/>
                </w:rPr>
                <w:t>www.cninfo.com.</w:t>
              </w:r>
            </w:hyperlink>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0"/>
                <w:sz w:val="18"/>
                <w:szCs w:val="18"/>
              </w:rPr>
              <w:t>cn</w:t>
            </w:r>
            <w:r>
              <w:rPr>
                <w:rFonts w:ascii="宋体" w:hAnsi="宋体" w:cs="宋体" w:eastAsia="宋体" w:hint="default"/>
                <w:spacing w:val="-10"/>
                <w:sz w:val="18"/>
                <w:szCs w:val="18"/>
              </w:rPr>
              <w:t>），公告编号：</w:t>
            </w:r>
            <w:r>
              <w:rPr>
                <w:rFonts w:ascii="宋体" w:hAnsi="宋体" w:cs="宋体" w:eastAsia="宋体" w:hint="default"/>
                <w:sz w:val="18"/>
                <w:szCs w:val="18"/>
              </w:rPr>
              <w:t> </w:t>
            </w:r>
            <w:r>
              <w:rPr>
                <w:rFonts w:ascii="Times New Roman" w:hAnsi="Times New Roman" w:cs="Times New Roman" w:eastAsia="Times New Roman" w:hint="default"/>
                <w:sz w:val="18"/>
                <w:szCs w:val="18"/>
              </w:rPr>
              <w:t>2014-065</w:t>
            </w:r>
          </w:p>
        </w:tc>
      </w:tr>
    </w:tbl>
    <w:p>
      <w:pPr>
        <w:spacing w:line="240" w:lineRule="auto" w:before="2"/>
        <w:rPr>
          <w:rFonts w:ascii="宋体" w:hAnsi="宋体" w:cs="宋体" w:eastAsia="宋体" w:hint="default"/>
          <w:b/>
          <w:bCs/>
          <w:sz w:val="19"/>
          <w:szCs w:val="19"/>
        </w:rPr>
      </w:pPr>
    </w:p>
    <w:p>
      <w:pPr>
        <w:pStyle w:val="Heading3"/>
        <w:spacing w:line="240" w:lineRule="auto" w:before="35"/>
        <w:ind w:right="1046"/>
        <w:jc w:val="left"/>
        <w:rPr>
          <w:b w:val="0"/>
          <w:bCs w:val="0"/>
        </w:rPr>
      </w:pPr>
      <w:bookmarkStart w:name="3、表决权恢夊的优先股股东请求召开临时股东大会" w:id="124"/>
      <w:bookmarkEnd w:id="124"/>
      <w:r>
        <w:rPr>
          <w:b w:val="0"/>
          <w:bCs w:val="0"/>
        </w:rPr>
      </w:r>
      <w:r>
        <w:rPr>
          <w:rFonts w:ascii="Times New Roman" w:hAnsi="Times New Roman" w:cs="Times New Roman" w:eastAsia="Times New Roman" w:hint="default"/>
        </w:rPr>
        <w:t>3</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1046"/>
        <w:jc w:val="left"/>
        <w:rPr>
          <w:b w:val="0"/>
          <w:bCs w:val="0"/>
        </w:rPr>
      </w:pPr>
      <w:bookmarkStart w:name="三、报告期内独立董事履行职责的情况" w:id="125"/>
      <w:bookmarkEnd w:id="125"/>
      <w:r>
        <w:rPr>
          <w:b w:val="0"/>
          <w:bCs w:val="0"/>
        </w:rPr>
      </w: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46"/>
        <w:jc w:val="left"/>
        <w:rPr>
          <w:b w:val="0"/>
          <w:bCs w:val="0"/>
        </w:rPr>
      </w:pPr>
      <w:bookmarkStart w:name="1、独立董事出席董事会及股东大会的情况" w:id="126"/>
      <w:bookmarkEnd w:id="126"/>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李少谦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熊楚熊</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韩保江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0"/>
        <w:jc w:val="both"/>
        <w:rPr>
          <w:b w:val="0"/>
          <w:bCs w:val="0"/>
        </w:rPr>
      </w:pPr>
      <w:bookmarkStart w:name="2、独立董事对公司有关事项提出异议的情况" w:id="127"/>
      <w:bookmarkEnd w:id="127"/>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2"/>
        <w:rPr>
          <w:rFonts w:ascii="宋体" w:hAnsi="宋体" w:cs="宋体" w:eastAsia="宋体" w:hint="default"/>
          <w:sz w:val="20"/>
          <w:szCs w:val="20"/>
        </w:rPr>
      </w:pPr>
    </w:p>
    <w:p>
      <w:pPr>
        <w:pStyle w:val="Heading3"/>
        <w:spacing w:line="240" w:lineRule="auto"/>
        <w:ind w:left="153" w:right="0"/>
        <w:jc w:val="both"/>
        <w:rPr>
          <w:b w:val="0"/>
          <w:bCs w:val="0"/>
        </w:rPr>
      </w:pPr>
      <w:bookmarkStart w:name="3、独立董事履行职责的其他说明" w:id="128"/>
      <w:bookmarkEnd w:id="128"/>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5"/>
        <w:ind w:right="1131" w:firstLine="420"/>
        <w:jc w:val="both"/>
      </w:pPr>
      <w:r>
        <w:rPr>
          <w:spacing w:val="-1"/>
        </w:rPr>
        <w:t>根据公司目前快速发展的实际情况，独立董事利用自身丰富的工作经验及深厚的专业知识对公司的未</w:t>
      </w:r>
      <w:r>
        <w:rPr/>
        <w:t> </w:t>
      </w:r>
      <w:r>
        <w:rPr>
          <w:spacing w:val="-1"/>
        </w:rPr>
        <w:t>来发展战略、规范运作、财务管理、内部控制等方面均提出了有效建议，特别是在公司对外投资与企业发</w:t>
      </w:r>
      <w:r>
        <w:rPr>
          <w:spacing w:val="-86"/>
        </w:rPr>
        <w:t> </w:t>
      </w:r>
      <w:r>
        <w:rPr>
          <w:spacing w:val="-86"/>
        </w:rPr>
      </w:r>
      <w:r>
        <w:rPr>
          <w:spacing w:val="-1"/>
        </w:rPr>
        <w:t>展的平衡、财务资金效益最大化等方面提出了建设性意见被公司逐步采纳，为公司规范稳步发展、完善监</w:t>
      </w:r>
      <w:r>
        <w:rPr>
          <w:spacing w:val="-83"/>
        </w:rPr>
        <w:t> </w:t>
      </w:r>
      <w:r>
        <w:rPr>
          <w:spacing w:val="-83"/>
        </w:rPr>
      </w:r>
      <w:r>
        <w:rPr/>
        <w:t>督机制贡献了力量，为公司和全体股东的合法权益发挥了应有的作用。</w:t>
      </w:r>
    </w:p>
    <w:p>
      <w:pPr>
        <w:spacing w:line="240" w:lineRule="auto" w:before="11"/>
        <w:rPr>
          <w:rFonts w:ascii="宋体" w:hAnsi="宋体" w:cs="宋体" w:eastAsia="宋体" w:hint="default"/>
          <w:sz w:val="18"/>
          <w:szCs w:val="18"/>
        </w:rPr>
      </w:pPr>
    </w:p>
    <w:p>
      <w:pPr>
        <w:pStyle w:val="Heading2"/>
        <w:spacing w:line="240" w:lineRule="auto"/>
        <w:ind w:right="0"/>
        <w:jc w:val="both"/>
        <w:rPr>
          <w:b w:val="0"/>
          <w:bCs w:val="0"/>
        </w:rPr>
      </w:pPr>
      <w:bookmarkStart w:name="四、董事会下设专门委员会在报告期内履行职责情况" w:id="129"/>
      <w:bookmarkEnd w:id="129"/>
      <w:r>
        <w:rPr>
          <w:b w:val="0"/>
          <w:bCs w:val="0"/>
        </w:rPr>
      </w:r>
      <w:r>
        <w:rPr/>
        <w:t>四、董事会下设专门委员会在报告期内履行职责情况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240" w:lineRule="auto" w:before="0"/>
        <w:ind w:left="573" w:right="1046"/>
        <w:jc w:val="left"/>
      </w:pPr>
      <w:r>
        <w:rPr>
          <w:rFonts w:ascii="宋体" w:hAnsi="宋体" w:cs="宋体" w:eastAsia="宋体" w:hint="default"/>
        </w:rPr>
        <w:t>1</w:t>
      </w:r>
      <w:r>
        <w:rPr/>
        <w:t>、董事会审计委员会</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公司审计委员会由</w:t>
      </w:r>
      <w:r>
        <w:rPr>
          <w:spacing w:val="-59"/>
        </w:rPr>
        <w:t> </w:t>
      </w:r>
      <w:r>
        <w:rPr>
          <w:rFonts w:ascii="宋体" w:hAnsi="宋体" w:cs="宋体" w:eastAsia="宋体" w:hint="default"/>
        </w:rPr>
        <w:t>3</w:t>
      </w:r>
      <w:r>
        <w:rPr>
          <w:rFonts w:ascii="宋体" w:hAnsi="宋体" w:cs="宋体" w:eastAsia="宋体" w:hint="default"/>
          <w:spacing w:val="-59"/>
        </w:rPr>
        <w:t> </w:t>
      </w:r>
      <w:r>
        <w:rPr/>
        <w:t>名董事组成，其中独立董事</w:t>
      </w:r>
      <w:r>
        <w:rPr>
          <w:spacing w:val="-59"/>
        </w:rPr>
        <w:t> </w:t>
      </w:r>
      <w:r>
        <w:rPr>
          <w:rFonts w:ascii="宋体" w:hAnsi="宋体" w:cs="宋体" w:eastAsia="宋体" w:hint="default"/>
        </w:rPr>
        <w:t>2</w:t>
      </w:r>
      <w:r>
        <w:rPr>
          <w:rFonts w:ascii="宋体" w:hAnsi="宋体" w:cs="宋体" w:eastAsia="宋体" w:hint="default"/>
          <w:spacing w:val="-59"/>
        </w:rPr>
        <w:t> </w:t>
      </w:r>
      <w:r>
        <w:rPr/>
        <w:t>名。审计委员会严格按照相关工作规则的规定和董</w:t>
      </w:r>
    </w:p>
    <w:p>
      <w:pPr>
        <w:spacing w:line="240" w:lineRule="auto" w:before="10"/>
        <w:rPr>
          <w:rFonts w:ascii="宋体" w:hAnsi="宋体" w:cs="宋体" w:eastAsia="宋体" w:hint="default"/>
          <w:sz w:val="14"/>
          <w:szCs w:val="14"/>
        </w:rPr>
      </w:pPr>
    </w:p>
    <w:p>
      <w:pPr>
        <w:pStyle w:val="BodyText"/>
        <w:spacing w:line="408" w:lineRule="auto" w:before="0"/>
        <w:ind w:right="1131"/>
        <w:jc w:val="both"/>
      </w:pPr>
      <w:r>
        <w:rPr/>
        <w:t>事会的要求，规范运作，勤勉尽责，报告期内共召开审计委员会</w:t>
      </w:r>
      <w:r>
        <w:rPr>
          <w:spacing w:val="-65"/>
        </w:rPr>
        <w:t> </w:t>
      </w:r>
      <w:r>
        <w:rPr>
          <w:rFonts w:ascii="宋体" w:hAnsi="宋体" w:cs="宋体" w:eastAsia="宋体" w:hint="default"/>
        </w:rPr>
        <w:t>6</w:t>
      </w:r>
      <w:r>
        <w:rPr>
          <w:rFonts w:ascii="宋体" w:hAnsi="宋体" w:cs="宋体" w:eastAsia="宋体" w:hint="default"/>
          <w:spacing w:val="-65"/>
        </w:rPr>
        <w:t> </w:t>
      </w:r>
      <w:r>
        <w:rPr/>
        <w:t>次，审议了公司审计部提交的各项内部 </w:t>
      </w:r>
      <w:r>
        <w:rPr>
          <w:spacing w:val="-1"/>
        </w:rPr>
        <w:t>审计报告，听取了审计部年度工作总结和工作计划安排；对审计部工作开展给予了一定的指导；对年度审</w:t>
      </w:r>
      <w:r>
        <w:rPr>
          <w:spacing w:val="-83"/>
        </w:rPr>
        <w:t> </w:t>
      </w:r>
      <w:r>
        <w:rPr>
          <w:spacing w:val="-83"/>
        </w:rPr>
      </w:r>
      <w:r>
        <w:rPr>
          <w:spacing w:val="-1"/>
        </w:rPr>
        <w:t>计、外部审计机构的聘任等事项给予了合理的建议；对财务报告、募集资金使用、信息披露、内部控制等</w:t>
      </w:r>
      <w:r>
        <w:rPr>
          <w:spacing w:val="-83"/>
        </w:rPr>
        <w:t> </w:t>
      </w:r>
      <w:r>
        <w:rPr>
          <w:spacing w:val="-83"/>
        </w:rPr>
      </w:r>
      <w:r>
        <w:rPr/>
        <w:t>情况进行了审核，并向董事会提交了年度工作总结。</w:t>
      </w:r>
    </w:p>
    <w:p>
      <w:pPr>
        <w:pStyle w:val="BodyText"/>
        <w:spacing w:line="408" w:lineRule="auto"/>
        <w:ind w:left="154" w:right="1046" w:firstLine="420"/>
        <w:jc w:val="left"/>
      </w:pPr>
      <w:r>
        <w:rPr>
          <w:spacing w:val="-1"/>
        </w:rPr>
        <w:t>审计委员会对公司年度财务审计机构瑞华会计师事务所（特殊普通合伙）的工作进行了总体评估，认</w:t>
      </w:r>
      <w:r>
        <w:rPr/>
        <w:t> 为其在</w:t>
      </w:r>
      <w:r>
        <w:rPr>
          <w:spacing w:val="-52"/>
        </w:rPr>
        <w:t> </w:t>
      </w:r>
      <w:r>
        <w:rPr>
          <w:rFonts w:ascii="宋体" w:hAnsi="宋体" w:cs="宋体" w:eastAsia="宋体" w:hint="default"/>
        </w:rPr>
        <w:t>2014</w:t>
      </w:r>
      <w:r>
        <w:rPr>
          <w:rFonts w:ascii="宋体" w:hAnsi="宋体" w:cs="宋体" w:eastAsia="宋体" w:hint="default"/>
          <w:spacing w:val="-54"/>
        </w:rPr>
        <w:t> </w:t>
      </w:r>
      <w:r>
        <w:rPr/>
        <w:t>年度严格按国家有关规定以及注册会计师执业规范的要求开展审计工作，坚持以公允、客观 </w:t>
      </w:r>
      <w:r>
        <w:rPr>
          <w:spacing w:val="-1"/>
        </w:rPr>
        <w:t>的态度开展审计工作，独立、客观地发表审计意见，表现出良好的的职业操守和业务素质，并提议继续聘</w:t>
      </w:r>
      <w:r>
        <w:rPr>
          <w:spacing w:val="-86"/>
        </w:rPr>
        <w:t> </w:t>
      </w:r>
      <w:r>
        <w:rPr>
          <w:spacing w:val="-86"/>
        </w:rPr>
      </w:r>
      <w:r>
        <w:rPr/>
        <w:t>任瑞华会计师事务所（特殊普通合伙）担任本公司</w:t>
      </w:r>
      <w:r>
        <w:rPr>
          <w:spacing w:val="-53"/>
        </w:rPr>
        <w:t> </w:t>
      </w:r>
      <w:r>
        <w:rPr>
          <w:rFonts w:ascii="宋体" w:hAnsi="宋体" w:cs="宋体" w:eastAsia="宋体" w:hint="default"/>
        </w:rPr>
        <w:t>2015</w:t>
      </w:r>
      <w:r>
        <w:rPr>
          <w:rFonts w:ascii="宋体" w:hAnsi="宋体" w:cs="宋体" w:eastAsia="宋体" w:hint="default"/>
          <w:spacing w:val="-54"/>
        </w:rPr>
        <w:t> </w:t>
      </w:r>
      <w:r>
        <w:rPr/>
        <w:t>年度的财务审计机构。</w:t>
      </w:r>
    </w:p>
    <w:p>
      <w:pPr>
        <w:pStyle w:val="BodyText"/>
        <w:spacing w:line="240" w:lineRule="auto"/>
        <w:ind w:left="574" w:right="1046"/>
        <w:jc w:val="left"/>
      </w:pPr>
      <w:r>
        <w:rPr>
          <w:rFonts w:ascii="宋体" w:hAnsi="宋体" w:cs="宋体" w:eastAsia="宋体" w:hint="default"/>
        </w:rPr>
        <w:t>2</w:t>
      </w:r>
      <w:r>
        <w:rPr/>
        <w:t>、董事会战略委员会</w:t>
      </w:r>
    </w:p>
    <w:p>
      <w:pPr>
        <w:spacing w:line="240" w:lineRule="auto" w:before="10"/>
        <w:rPr>
          <w:rFonts w:ascii="宋体" w:hAnsi="宋体" w:cs="宋体" w:eastAsia="宋体" w:hint="default"/>
          <w:sz w:val="14"/>
          <w:szCs w:val="14"/>
        </w:rPr>
      </w:pPr>
    </w:p>
    <w:p>
      <w:pPr>
        <w:pStyle w:val="BodyText"/>
        <w:spacing w:line="408" w:lineRule="auto" w:before="0"/>
        <w:ind w:left="154" w:right="1013" w:firstLine="420"/>
        <w:jc w:val="left"/>
      </w:pPr>
      <w:r>
        <w:rPr/>
        <w:t>公司战略委员会由</w:t>
      </w:r>
      <w:r>
        <w:rPr>
          <w:spacing w:val="-46"/>
        </w:rPr>
        <w:t> </w:t>
      </w:r>
      <w:r>
        <w:rPr>
          <w:rFonts w:ascii="宋体" w:hAnsi="宋体" w:cs="宋体" w:eastAsia="宋体" w:hint="default"/>
        </w:rPr>
        <w:t>3</w:t>
      </w:r>
      <w:r>
        <w:rPr>
          <w:rFonts w:ascii="宋体" w:hAnsi="宋体" w:cs="宋体" w:eastAsia="宋体" w:hint="default"/>
          <w:spacing w:val="-46"/>
        </w:rPr>
        <w:t> </w:t>
      </w:r>
      <w:r>
        <w:rPr>
          <w:spacing w:val="-4"/>
        </w:rPr>
        <w:t>名董事组成，由董事长担任召集人，负责研究公司长期发展战略和重大投资决策。</w:t>
      </w:r>
      <w:r>
        <w:rPr/>
        <w:t> </w:t>
      </w:r>
      <w:r>
        <w:rPr>
          <w:spacing w:val="-6"/>
        </w:rPr>
        <w:t>公司董事会战略委员会根据《公司章程》、《董事会战略委员会议事规则》等相关规定履行职责，报告期内</w:t>
      </w:r>
      <w:r>
        <w:rPr>
          <w:spacing w:val="-61"/>
        </w:rPr>
        <w:t> </w:t>
      </w:r>
      <w:r>
        <w:rPr>
          <w:spacing w:val="-61"/>
        </w:rPr>
      </w:r>
      <w:r>
        <w:rPr/>
        <w:t>共召开战略委员会</w:t>
      </w:r>
      <w:r>
        <w:rPr>
          <w:spacing w:val="-53"/>
        </w:rPr>
        <w:t> </w:t>
      </w:r>
      <w:r>
        <w:rPr>
          <w:rFonts w:ascii="宋体" w:hAnsi="宋体" w:cs="宋体" w:eastAsia="宋体" w:hint="default"/>
        </w:rPr>
        <w:t>1</w:t>
      </w:r>
      <w:r>
        <w:rPr>
          <w:rFonts w:ascii="宋体" w:hAnsi="宋体" w:cs="宋体" w:eastAsia="宋体" w:hint="default"/>
          <w:spacing w:val="-53"/>
        </w:rPr>
        <w:t> </w:t>
      </w:r>
      <w:r>
        <w:rPr/>
        <w:t>次，对公司收购南京宙达通信技术有限公司</w:t>
      </w:r>
      <w:r>
        <w:rPr>
          <w:spacing w:val="-53"/>
        </w:rPr>
        <w:t> </w:t>
      </w:r>
      <w:r>
        <w:rPr>
          <w:rFonts w:ascii="宋体" w:hAnsi="宋体" w:cs="宋体" w:eastAsia="宋体" w:hint="default"/>
        </w:rPr>
        <w:t>100%</w:t>
      </w:r>
      <w:r>
        <w:rPr/>
        <w:t>股权进行了审议。</w:t>
      </w:r>
    </w:p>
    <w:p>
      <w:pPr>
        <w:pStyle w:val="BodyText"/>
        <w:spacing w:line="240" w:lineRule="auto"/>
        <w:ind w:left="573" w:right="1046"/>
        <w:jc w:val="left"/>
      </w:pPr>
      <w:r>
        <w:rPr>
          <w:rFonts w:ascii="宋体" w:hAnsi="宋体" w:cs="宋体" w:eastAsia="宋体" w:hint="default"/>
        </w:rPr>
        <w:t>3</w:t>
      </w:r>
      <w:r>
        <w:rPr/>
        <w:t>、董事会薪酬与考核委员会</w:t>
      </w:r>
    </w:p>
    <w:p>
      <w:pPr>
        <w:spacing w:line="240" w:lineRule="auto" w:before="10"/>
        <w:rPr>
          <w:rFonts w:ascii="宋体" w:hAnsi="宋体" w:cs="宋体" w:eastAsia="宋体" w:hint="default"/>
          <w:sz w:val="14"/>
          <w:szCs w:val="14"/>
        </w:rPr>
      </w:pPr>
    </w:p>
    <w:p>
      <w:pPr>
        <w:pStyle w:val="BodyText"/>
        <w:spacing w:line="240" w:lineRule="auto" w:before="0"/>
        <w:ind w:left="573" w:right="0"/>
        <w:jc w:val="left"/>
      </w:pPr>
      <w:r>
        <w:rPr/>
        <w:t>公司薪酬与考核委员会由</w:t>
      </w:r>
      <w:r>
        <w:rPr>
          <w:spacing w:val="-52"/>
        </w:rPr>
        <w:t> </w:t>
      </w:r>
      <w:r>
        <w:rPr>
          <w:rFonts w:ascii="宋体" w:hAnsi="宋体" w:cs="宋体" w:eastAsia="宋体" w:hint="default"/>
        </w:rPr>
        <w:t>3</w:t>
      </w:r>
      <w:r>
        <w:rPr>
          <w:rFonts w:ascii="宋体" w:hAnsi="宋体" w:cs="宋体" w:eastAsia="宋体" w:hint="default"/>
          <w:spacing w:val="-52"/>
        </w:rPr>
        <w:t> </w:t>
      </w:r>
      <w:r>
        <w:rPr/>
        <w:t>名董</w:t>
      </w:r>
      <w:r>
        <w:rPr>
          <w:spacing w:val="-2"/>
        </w:rPr>
        <w:t>事</w:t>
      </w:r>
      <w:r>
        <w:rPr/>
        <w:t>组成</w:t>
      </w:r>
      <w:r>
        <w:rPr>
          <w:spacing w:val="-77"/>
        </w:rPr>
        <w:t>，</w:t>
      </w:r>
      <w:r>
        <w:rPr/>
        <w:t>其中独立董事</w:t>
      </w:r>
      <w:r>
        <w:rPr>
          <w:spacing w:val="-52"/>
        </w:rPr>
        <w:t> </w:t>
      </w:r>
      <w:r>
        <w:rPr>
          <w:rFonts w:ascii="宋体" w:hAnsi="宋体" w:cs="宋体" w:eastAsia="宋体" w:hint="default"/>
        </w:rPr>
        <w:t>2</w:t>
      </w:r>
      <w:r>
        <w:rPr>
          <w:rFonts w:ascii="宋体" w:hAnsi="宋体" w:cs="宋体" w:eastAsia="宋体" w:hint="default"/>
          <w:spacing w:val="-52"/>
        </w:rPr>
        <w:t> </w:t>
      </w:r>
      <w:r>
        <w:rPr/>
        <w:t>名</w:t>
      </w:r>
      <w:r>
        <w:rPr>
          <w:spacing w:val="-78"/>
        </w:rPr>
        <w:t>。</w:t>
      </w:r>
      <w:r>
        <w:rPr/>
        <w:t>公司薪酬与考核委员会根</w:t>
      </w:r>
      <w:r>
        <w:rPr>
          <w:spacing w:val="-77"/>
        </w:rPr>
        <w:t>据</w:t>
      </w:r>
      <w:r>
        <w:rPr/>
        <w:t>《公司章程</w:t>
      </w:r>
      <w:r>
        <w:rPr>
          <w:spacing w:val="-105"/>
        </w:rPr>
        <w:t>》</w:t>
      </w:r>
      <w:r>
        <w:rPr/>
        <w:t>、</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46"/>
        <w:jc w:val="left"/>
      </w:pPr>
      <w:r>
        <w:rPr/>
        <w:t>《董事会薪酬与考核委员会议事规则》等相关规定履行职责，报告期内共召开战略委员会</w:t>
      </w:r>
      <w:r>
        <w:rPr>
          <w:spacing w:val="-65"/>
        </w:rPr>
        <w:t> </w:t>
      </w:r>
      <w:r>
        <w:rPr>
          <w:rFonts w:ascii="宋体" w:hAnsi="宋体" w:cs="宋体" w:eastAsia="宋体" w:hint="default"/>
        </w:rPr>
        <w:t>1</w:t>
      </w:r>
      <w:r>
        <w:rPr>
          <w:rFonts w:ascii="宋体" w:hAnsi="宋体" w:cs="宋体" w:eastAsia="宋体" w:hint="default"/>
          <w:spacing w:val="-65"/>
        </w:rPr>
        <w:t> </w:t>
      </w:r>
      <w:r>
        <w:rPr/>
        <w:t>次，对公司董</w:t>
      </w:r>
    </w:p>
    <w:p>
      <w:pPr>
        <w:spacing w:line="240" w:lineRule="auto" w:before="10"/>
        <w:rPr>
          <w:rFonts w:ascii="宋体" w:hAnsi="宋体" w:cs="宋体" w:eastAsia="宋体" w:hint="default"/>
          <w:sz w:val="14"/>
          <w:szCs w:val="14"/>
        </w:rPr>
      </w:pPr>
    </w:p>
    <w:p>
      <w:pPr>
        <w:pStyle w:val="BodyText"/>
        <w:spacing w:line="408" w:lineRule="auto" w:before="0"/>
        <w:ind w:left="573" w:right="3198" w:hanging="420"/>
        <w:jc w:val="left"/>
      </w:pPr>
      <w:r>
        <w:rPr/>
        <w:t>事、监事、高级管理人员</w:t>
      </w:r>
      <w:r>
        <w:rPr>
          <w:spacing w:val="-53"/>
        </w:rPr>
        <w:t> </w:t>
      </w:r>
      <w:r>
        <w:rPr>
          <w:rFonts w:ascii="宋体" w:hAnsi="宋体" w:cs="宋体" w:eastAsia="宋体" w:hint="default"/>
        </w:rPr>
        <w:t>2012</w:t>
      </w:r>
      <w:r>
        <w:rPr>
          <w:rFonts w:ascii="宋体" w:hAnsi="宋体" w:cs="宋体" w:eastAsia="宋体" w:hint="default"/>
          <w:spacing w:val="-54"/>
        </w:rPr>
        <w:t> </w:t>
      </w:r>
      <w:r>
        <w:rPr/>
        <w:t>年度薪酬和</w:t>
      </w:r>
      <w:r>
        <w:rPr>
          <w:spacing w:val="-53"/>
        </w:rPr>
        <w:t> </w:t>
      </w:r>
      <w:r>
        <w:rPr>
          <w:rFonts w:ascii="宋体" w:hAnsi="宋体" w:cs="宋体" w:eastAsia="宋体" w:hint="default"/>
        </w:rPr>
        <w:t>2013</w:t>
      </w:r>
      <w:r>
        <w:rPr>
          <w:rFonts w:ascii="宋体" w:hAnsi="宋体" w:cs="宋体" w:eastAsia="宋体" w:hint="default"/>
          <w:spacing w:val="-55"/>
        </w:rPr>
        <w:t> </w:t>
      </w:r>
      <w:r>
        <w:rPr/>
        <w:t>年度薪酬预案等事项进行了审议。 </w:t>
      </w:r>
      <w:r>
        <w:rPr>
          <w:rFonts w:ascii="宋体" w:hAnsi="宋体" w:cs="宋体" w:eastAsia="宋体" w:hint="default"/>
        </w:rPr>
        <w:t>4</w:t>
      </w:r>
      <w:r>
        <w:rPr/>
        <w:t>、董事会提名委员会</w:t>
      </w:r>
    </w:p>
    <w:p>
      <w:pPr>
        <w:pStyle w:val="BodyText"/>
        <w:spacing w:line="408" w:lineRule="auto"/>
        <w:ind w:right="1126" w:firstLine="420"/>
        <w:jc w:val="left"/>
      </w:pPr>
      <w:r>
        <w:rPr/>
        <w:t>公司提名委员会由</w:t>
      </w:r>
      <w:r>
        <w:rPr>
          <w:spacing w:val="-47"/>
        </w:rPr>
        <w:t> </w:t>
      </w:r>
      <w:r>
        <w:rPr>
          <w:rFonts w:ascii="宋体" w:hAnsi="宋体" w:cs="宋体" w:eastAsia="宋体" w:hint="default"/>
        </w:rPr>
        <w:t>3</w:t>
      </w:r>
      <w:r>
        <w:rPr>
          <w:rFonts w:ascii="宋体" w:hAnsi="宋体" w:cs="宋体" w:eastAsia="宋体" w:hint="default"/>
          <w:spacing w:val="-47"/>
        </w:rPr>
        <w:t> </w:t>
      </w:r>
      <w:r>
        <w:rPr>
          <w:spacing w:val="-1"/>
        </w:rPr>
        <w:t>名董事组成，其中独立董事</w:t>
      </w:r>
      <w:r>
        <w:rPr>
          <w:spacing w:val="-47"/>
        </w:rPr>
        <w:t> </w:t>
      </w:r>
      <w:r>
        <w:rPr>
          <w:rFonts w:ascii="宋体" w:hAnsi="宋体" w:cs="宋体" w:eastAsia="宋体" w:hint="default"/>
        </w:rPr>
        <w:t>2</w:t>
      </w:r>
      <w:r>
        <w:rPr>
          <w:rFonts w:ascii="宋体" w:hAnsi="宋体" w:cs="宋体" w:eastAsia="宋体" w:hint="default"/>
          <w:spacing w:val="-47"/>
        </w:rPr>
        <w:t> </w:t>
      </w:r>
      <w:r>
        <w:rPr>
          <w:spacing w:val="-11"/>
        </w:rPr>
        <w:t>名。公司提名委员会根据《公司章程》、《董事会提</w:t>
      </w:r>
      <w:r>
        <w:rPr/>
        <w:t> 名委员会议事规则》等相关规定履行职责。</w:t>
      </w:r>
    </w:p>
    <w:p>
      <w:pPr>
        <w:spacing w:line="240" w:lineRule="auto" w:before="11"/>
        <w:rPr>
          <w:rFonts w:ascii="宋体" w:hAnsi="宋体" w:cs="宋体" w:eastAsia="宋体" w:hint="default"/>
          <w:sz w:val="18"/>
          <w:szCs w:val="18"/>
        </w:rPr>
      </w:pPr>
    </w:p>
    <w:p>
      <w:pPr>
        <w:pStyle w:val="Heading2"/>
        <w:spacing w:line="240" w:lineRule="auto"/>
        <w:ind w:left="154" w:right="1046"/>
        <w:jc w:val="left"/>
        <w:rPr>
          <w:b w:val="0"/>
          <w:bCs w:val="0"/>
        </w:rPr>
      </w:pPr>
      <w:bookmarkStart w:name="五、监事会工作情况" w:id="130"/>
      <w:bookmarkEnd w:id="130"/>
      <w:r>
        <w:rPr>
          <w:b w:val="0"/>
          <w:bCs w:val="0"/>
        </w:rPr>
      </w:r>
      <w:r>
        <w:rPr/>
        <w:t>五、监事会工作情况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1046"/>
        <w:jc w:val="left"/>
        <w:rPr>
          <w:b w:val="0"/>
          <w:bCs w:val="0"/>
        </w:rPr>
      </w:pPr>
      <w:bookmarkStart w:name="六、公司相对于控股股东在业务、人员、资产、机构、财务等方面的独立完整情况" w:id="131"/>
      <w:bookmarkEnd w:id="131"/>
      <w:r>
        <w:rPr>
          <w:b w:val="0"/>
          <w:bCs w:val="0"/>
        </w:rPr>
      </w:r>
      <w:r>
        <w:rPr/>
        <w:t>六、公司相对于控股股东在业务、人员、资产、机构、财务等方面的独立完整情况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46" w:firstLine="420"/>
        <w:jc w:val="left"/>
      </w:pPr>
      <w:r>
        <w:rPr>
          <w:spacing w:val="-1"/>
        </w:rPr>
        <w:t>公司与控股股东在业务、人员、资产、机构、财务等方面完全分开，具有独立完整的业务及自主经营</w:t>
      </w:r>
      <w:r>
        <w:rPr/>
        <w:t> 能力。</w:t>
      </w:r>
    </w:p>
    <w:p>
      <w:pPr>
        <w:pStyle w:val="BodyText"/>
        <w:spacing w:line="408" w:lineRule="auto"/>
        <w:ind w:right="1046" w:firstLine="420"/>
        <w:jc w:val="left"/>
      </w:pPr>
      <w:r>
        <w:rPr>
          <w:rFonts w:ascii="宋体" w:hAnsi="宋体" w:cs="宋体" w:eastAsia="宋体" w:hint="default"/>
        </w:rPr>
        <w:t>1</w:t>
      </w:r>
      <w:r>
        <w:rPr/>
        <w:t>、业务：公司业务结构完整，自主独立经营，不依赖于股东或其它任何关联方，与控股股东、实际 </w:t>
      </w:r>
      <w:r>
        <w:rPr>
          <w:spacing w:val="-1"/>
        </w:rPr>
        <w:t>控制人及其控制的其他企业间不存在同业竞争或者显失公平的关联交易，控股股东陈清州先生作为公司董</w:t>
      </w:r>
      <w:r>
        <w:rPr>
          <w:spacing w:val="-81"/>
        </w:rPr>
        <w:t> </w:t>
      </w:r>
      <w:r>
        <w:rPr>
          <w:spacing w:val="-81"/>
        </w:rPr>
      </w:r>
      <w:r>
        <w:rPr/>
        <w:t>事长兼总经理参与公司的日常经营管理。</w:t>
      </w:r>
    </w:p>
    <w:p>
      <w:pPr>
        <w:pStyle w:val="BodyText"/>
        <w:spacing w:line="408" w:lineRule="auto"/>
        <w:ind w:right="1198" w:firstLine="420"/>
        <w:jc w:val="left"/>
      </w:pPr>
      <w:r>
        <w:rPr>
          <w:rFonts w:ascii="宋体" w:hAnsi="宋体" w:cs="宋体" w:eastAsia="宋体" w:hint="default"/>
        </w:rPr>
        <w:t>2</w:t>
      </w:r>
      <w:r>
        <w:rPr/>
        <w:t>、人员：公司在劳动、人事及工资等方面均完全独立于控股股东。公司总经理、副总经理、董事会 秘书、财务负责人等高级管理人员均在公司领取薪酬，未在控股股东或其下属企业担任任何职务。</w:t>
      </w:r>
    </w:p>
    <w:p>
      <w:pPr>
        <w:pStyle w:val="BodyText"/>
        <w:spacing w:line="408" w:lineRule="auto"/>
        <w:ind w:right="1046" w:firstLine="420"/>
        <w:jc w:val="left"/>
      </w:pPr>
      <w:r>
        <w:rPr>
          <w:rFonts w:ascii="宋体" w:hAnsi="宋体" w:cs="宋体" w:eastAsia="宋体" w:hint="default"/>
        </w:rPr>
        <w:t>3</w:t>
      </w:r>
      <w:r>
        <w:rPr/>
        <w:t>、资产：公司拥有独立于控股股东的生产经营场所，拥有独立完整的资产结构，拥有独立的生产系 </w:t>
      </w:r>
      <w:r>
        <w:rPr>
          <w:spacing w:val="-1"/>
        </w:rPr>
        <w:t>统、辅助生产系统和配套设施、土地使用权、房屋所有权等资产，拥有独立的采购和销售系统，对所有资</w:t>
      </w:r>
      <w:r>
        <w:rPr>
          <w:spacing w:val="-82"/>
        </w:rPr>
        <w:t> </w:t>
      </w:r>
      <w:r>
        <w:rPr>
          <w:spacing w:val="-82"/>
        </w:rPr>
      </w:r>
      <w:r>
        <w:rPr>
          <w:spacing w:val="-1"/>
        </w:rPr>
        <w:t>产拥有完全的控制支配权，不存在资产、资金被控股股东、实际控制人及其控制的其他企业违规占用而损</w:t>
      </w:r>
      <w:r>
        <w:rPr>
          <w:spacing w:val="-83"/>
        </w:rPr>
        <w:t> </w:t>
      </w:r>
      <w:r>
        <w:rPr>
          <w:spacing w:val="-83"/>
        </w:rPr>
      </w:r>
      <w:r>
        <w:rPr/>
        <w:t>害公司利益的情况。</w:t>
      </w:r>
    </w:p>
    <w:p>
      <w:pPr>
        <w:pStyle w:val="BodyText"/>
        <w:spacing w:line="408" w:lineRule="auto"/>
        <w:ind w:right="1198" w:firstLine="420"/>
        <w:jc w:val="left"/>
      </w:pPr>
      <w:r>
        <w:rPr>
          <w:rFonts w:ascii="宋体" w:hAnsi="宋体" w:cs="宋体" w:eastAsia="宋体" w:hint="default"/>
        </w:rPr>
        <w:t>4</w:t>
      </w:r>
      <w:r>
        <w:rPr/>
        <w:t>、机构：公司设立了健全的组织机构体系，独立运作，不存在与控股股东或其职能部门之间的从属 关系。</w:t>
      </w:r>
    </w:p>
    <w:p>
      <w:pPr>
        <w:pStyle w:val="BodyText"/>
        <w:spacing w:line="408" w:lineRule="auto"/>
        <w:ind w:right="1198" w:firstLine="420"/>
        <w:jc w:val="left"/>
      </w:pPr>
      <w:r>
        <w:rPr>
          <w:rFonts w:ascii="宋体" w:hAnsi="宋体" w:cs="宋体" w:eastAsia="宋体" w:hint="default"/>
        </w:rPr>
        <w:t>5</w:t>
      </w:r>
      <w:r>
        <w:rPr/>
        <w:t>、财务：公司设有独立的财务部门，配备独立的财务会计人员，建立了独立的会计核算体系和财务 管理制度，独立进行财务决策。公司独立开设银行账户，独立纳税。</w:t>
      </w:r>
    </w:p>
    <w:p>
      <w:pPr>
        <w:spacing w:line="240" w:lineRule="auto" w:before="11"/>
        <w:rPr>
          <w:rFonts w:ascii="宋体" w:hAnsi="宋体" w:cs="宋体" w:eastAsia="宋体" w:hint="default"/>
          <w:sz w:val="18"/>
          <w:szCs w:val="18"/>
        </w:rPr>
      </w:pPr>
    </w:p>
    <w:p>
      <w:pPr>
        <w:pStyle w:val="Heading2"/>
        <w:spacing w:line="240" w:lineRule="auto"/>
        <w:ind w:right="1046"/>
        <w:jc w:val="left"/>
        <w:rPr>
          <w:b w:val="0"/>
          <w:bCs w:val="0"/>
        </w:rPr>
      </w:pPr>
      <w:bookmarkStart w:name="七、同业竞争情况" w:id="132"/>
      <w:bookmarkEnd w:id="132"/>
      <w:r>
        <w:rPr>
          <w:b w:val="0"/>
          <w:bCs w:val="0"/>
        </w:rPr>
      </w:r>
      <w:r>
        <w:rPr/>
        <w:t>七、同业竞争情况</w:t>
      </w:r>
      <w:r>
        <w:rPr>
          <w:b w:val="0"/>
          <w:bCs w:val="0"/>
        </w:rPr>
      </w:r>
    </w:p>
    <w:p>
      <w:pPr>
        <w:spacing w:line="240" w:lineRule="auto" w:before="7"/>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046"/>
        <w:jc w:val="left"/>
        <w:rPr>
          <w:b w:val="0"/>
          <w:bCs w:val="0"/>
        </w:rPr>
      </w:pPr>
      <w:bookmarkStart w:name="八、高级管理人员的考评及激励情况" w:id="133"/>
      <w:bookmarkEnd w:id="133"/>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46" w:firstLine="420"/>
        <w:jc w:val="left"/>
      </w:pPr>
      <w:r>
        <w:rPr>
          <w:spacing w:val="-1"/>
        </w:rPr>
        <w:t>公司建立了公正、合理、有效的高级管理人员绩效考核评价体系，将公司年度经营目标分解落实，明</w:t>
      </w:r>
      <w:r>
        <w:rPr/>
        <w:t> 确责任，量化考核，根据高级管理人员的绩效进行考核及实施对应的奖惩。</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536"/>
        <w:jc w:val="center"/>
        <w:rPr>
          <w:b w:val="0"/>
          <w:bCs w:val="0"/>
        </w:rPr>
      </w:pPr>
      <w:bookmarkStart w:name="_TOC_250002" w:id="134"/>
      <w:bookmarkStart w:name="第十节 内部控制" w:id="135"/>
      <w:r>
        <w:rPr>
          <w:b w:val="0"/>
          <w:bCs w:val="0"/>
        </w:rPr>
      </w:r>
      <w:r>
        <w:rPr/>
        <w:t>第十节</w:t>
      </w:r>
      <w:r>
        <w:rPr>
          <w:spacing w:val="-5"/>
        </w:rPr>
        <w:t> </w:t>
      </w:r>
      <w:r>
        <w:rPr/>
        <w:t>内部控制</w:t>
      </w:r>
      <w:bookmarkEnd w:id="13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6"/>
        <w:jc w:val="left"/>
        <w:rPr>
          <w:b w:val="0"/>
          <w:bCs w:val="0"/>
        </w:rPr>
      </w:pPr>
      <w:bookmarkStart w:name="一、内部控制建设情况" w:id="136"/>
      <w:bookmarkEnd w:id="136"/>
      <w:r>
        <w:rPr>
          <w:b w:val="0"/>
          <w:bCs w:val="0"/>
        </w:rPr>
      </w:r>
      <w:r>
        <w:rPr/>
        <w:t>一、内部控制建设情况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left="573" w:right="8443"/>
        <w:jc w:val="left"/>
      </w:pPr>
      <w:r>
        <w:rPr/>
        <w:t>（一）内部控制环境 </w:t>
      </w:r>
      <w:r>
        <w:rPr>
          <w:rFonts w:ascii="宋体" w:hAnsi="宋体" w:cs="宋体" w:eastAsia="宋体" w:hint="default"/>
        </w:rPr>
        <w:t>1</w:t>
      </w:r>
      <w:r>
        <w:rPr/>
        <w:t>、公司治理结构</w:t>
      </w:r>
    </w:p>
    <w:p>
      <w:pPr>
        <w:pStyle w:val="BodyText"/>
        <w:spacing w:line="408" w:lineRule="auto"/>
        <w:ind w:right="1118" w:firstLine="420"/>
        <w:jc w:val="left"/>
      </w:pPr>
      <w:r>
        <w:rPr>
          <w:spacing w:val="-6"/>
        </w:rPr>
        <w:t>公司根据《公司法》、《公司章程》和有关法律法规的规定，建立了股东大会、董事会、监事会和总经</w:t>
      </w:r>
      <w:r>
        <w:rPr/>
        <w:t> </w:t>
      </w:r>
      <w:r>
        <w:rPr>
          <w:spacing w:val="-5"/>
        </w:rPr>
        <w:t>理的法人治理结构，制定了《股东大会议事规则》、《董事会议事规则》和《监事会议事规则》等三会议事</w:t>
      </w:r>
      <w:r>
        <w:rPr/>
        <w:t> </w:t>
      </w:r>
      <w:r>
        <w:rPr>
          <w:spacing w:val="-1"/>
        </w:rPr>
        <w:t>规则，明确决策、执行、监督等方面的职责权限，形成科学有效的职责分工和制衡机制，能够做到各司其</w:t>
      </w:r>
      <w:r>
        <w:rPr>
          <w:spacing w:val="-83"/>
        </w:rPr>
        <w:t> </w:t>
      </w:r>
      <w:r>
        <w:rPr>
          <w:spacing w:val="-83"/>
        </w:rPr>
      </w:r>
      <w:r>
        <w:rPr/>
        <w:t>职、规范协作。同时董事会下设战略委员会、审计委员会、提名委员会、</w:t>
      </w:r>
      <w:r>
        <w:rPr>
          <w:spacing w:val="-2"/>
        </w:rPr>
        <w:t> </w:t>
      </w:r>
      <w:r>
        <w:rPr/>
        <w:t>薪酬与考核委员会四个专门委</w:t>
      </w:r>
      <w:r>
        <w:rPr/>
        <w:t> </w:t>
      </w:r>
      <w:r>
        <w:rPr>
          <w:spacing w:val="-1"/>
        </w:rPr>
        <w:t>员会，以进一步完善治理结构，促进董事会科学、高效决策。公司全体董事、监事、高级管理人员勤勉尽</w:t>
      </w:r>
      <w:r>
        <w:rPr>
          <w:spacing w:val="-83"/>
        </w:rPr>
        <w:t> </w:t>
      </w:r>
      <w:r>
        <w:rPr>
          <w:spacing w:val="-83"/>
        </w:rPr>
      </w:r>
      <w:r>
        <w:rPr/>
        <w:t>责，运行情况良好。</w:t>
      </w:r>
    </w:p>
    <w:p>
      <w:pPr>
        <w:pStyle w:val="BodyText"/>
        <w:spacing w:line="408" w:lineRule="auto"/>
        <w:ind w:left="573" w:right="1046"/>
        <w:jc w:val="left"/>
      </w:pPr>
      <w:r>
        <w:rPr>
          <w:rFonts w:ascii="宋体" w:hAnsi="宋体" w:cs="宋体" w:eastAsia="宋体" w:hint="default"/>
        </w:rPr>
        <w:t>2</w:t>
      </w:r>
      <w:r>
        <w:rPr/>
        <w:t>、组织结构 </w:t>
      </w:r>
      <w:r>
        <w:rPr>
          <w:spacing w:val="-1"/>
        </w:rPr>
        <w:t>根据公司经营活动的状况，公司组织结构逐步向更灵活、高效的形式发展，已建立起了较为科学、规</w:t>
      </w:r>
    </w:p>
    <w:p>
      <w:pPr>
        <w:pStyle w:val="BodyText"/>
        <w:spacing w:line="408" w:lineRule="auto"/>
        <w:ind w:left="573" w:right="4663" w:hanging="420"/>
        <w:jc w:val="left"/>
      </w:pPr>
      <w:r>
        <w:rPr/>
        <w:t>范的法人治理结构，便于由上而下、由下而上或横向的信息传递。 公司的组织结构图如下所示：</w:t>
      </w:r>
    </w:p>
    <w:p>
      <w:pPr>
        <w:spacing w:line="240" w:lineRule="auto" w:before="6"/>
        <w:rPr>
          <w:rFonts w:ascii="宋体" w:hAnsi="宋体" w:cs="宋体" w:eastAsia="宋体" w:hint="default"/>
          <w:sz w:val="15"/>
          <w:szCs w:val="15"/>
        </w:rPr>
      </w:pPr>
    </w:p>
    <w:p>
      <w:pPr>
        <w:spacing w:line="5728" w:lineRule="exact"/>
        <w:ind w:left="154" w:right="0" w:firstLine="0"/>
        <w:rPr>
          <w:rFonts w:ascii="宋体" w:hAnsi="宋体" w:cs="宋体" w:eastAsia="宋体" w:hint="default"/>
          <w:sz w:val="20"/>
          <w:szCs w:val="20"/>
        </w:rPr>
      </w:pPr>
      <w:r>
        <w:rPr>
          <w:rFonts w:ascii="宋体" w:hAnsi="宋体" w:cs="宋体" w:eastAsia="宋体" w:hint="default"/>
          <w:position w:val="-114"/>
          <w:sz w:val="20"/>
          <w:szCs w:val="20"/>
        </w:rPr>
        <w:drawing>
          <wp:inline distT="0" distB="0" distL="0" distR="0">
            <wp:extent cx="6125631" cy="3637788"/>
            <wp:effectExtent l="0" t="0" r="0" b="0"/>
            <wp:docPr id="9" name="image6.jpeg" descr=""/>
            <wp:cNvGraphicFramePr>
              <a:graphicFrameLocks noChangeAspect="1"/>
            </wp:cNvGraphicFramePr>
            <a:graphic>
              <a:graphicData uri="http://schemas.openxmlformats.org/drawingml/2006/picture">
                <pic:pic>
                  <pic:nvPicPr>
                    <pic:cNvPr id="10" name="image6.jpeg"/>
                    <pic:cNvPicPr/>
                  </pic:nvPicPr>
                  <pic:blipFill>
                    <a:blip r:embed="rId16" cstate="print"/>
                    <a:stretch>
                      <a:fillRect/>
                    </a:stretch>
                  </pic:blipFill>
                  <pic:spPr>
                    <a:xfrm>
                      <a:off x="0" y="0"/>
                      <a:ext cx="6125631" cy="3637788"/>
                    </a:xfrm>
                    <a:prstGeom prst="rect">
                      <a:avLst/>
                    </a:prstGeom>
                  </pic:spPr>
                </pic:pic>
              </a:graphicData>
            </a:graphic>
          </wp:inline>
        </w:drawing>
      </w:r>
      <w:r>
        <w:rPr>
          <w:rFonts w:ascii="宋体" w:hAnsi="宋体" w:cs="宋体" w:eastAsia="宋体" w:hint="default"/>
          <w:position w:val="-114"/>
          <w:sz w:val="20"/>
          <w:szCs w:val="20"/>
        </w:rPr>
      </w:r>
    </w:p>
    <w:p>
      <w:pPr>
        <w:spacing w:after="0" w:line="5728" w:lineRule="exact"/>
        <w:rPr>
          <w:rFonts w:ascii="宋体" w:hAnsi="宋体" w:cs="宋体" w:eastAsia="宋体" w:hint="default"/>
          <w:sz w:val="20"/>
          <w:szCs w:val="20"/>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046"/>
        <w:jc w:val="left"/>
      </w:pPr>
      <w:r>
        <w:rPr>
          <w:rFonts w:ascii="宋体" w:hAnsi="宋体" w:cs="宋体" w:eastAsia="宋体" w:hint="default"/>
        </w:rPr>
        <w:t>3</w:t>
      </w:r>
      <w:r>
        <w:rPr/>
        <w:t>、内部审计 </w:t>
      </w:r>
      <w:r>
        <w:rPr>
          <w:spacing w:val="-3"/>
        </w:rPr>
        <w:t>公司制定《内部审计工作制度》，明确了审计部在董事会审计委员会的领导下开展工作，并向董事会</w:t>
      </w:r>
    </w:p>
    <w:p>
      <w:pPr>
        <w:pStyle w:val="BodyText"/>
        <w:spacing w:line="408" w:lineRule="auto"/>
        <w:ind w:right="1024"/>
        <w:jc w:val="left"/>
      </w:pPr>
      <w:r>
        <w:rPr/>
        <w:t>审计委员会报告内部审计工作，保证了审计的独立性和客观性。审计部根据相关法规和审计准则的要求， 对公司及下属子公司财务、经营活动、内部控制有效性进行监督和检查、对检查和发现的内部控制缺陷进 行报告，并提出相应的审计建议和处理意见，对重大的缺陷可直接向董事会和监事会报告。本报告期内， </w:t>
      </w:r>
      <w:r>
        <w:rPr>
          <w:spacing w:val="-3"/>
        </w:rPr>
        <w:t>审计部开展了多项审计工作，审计项目包含每季度募集资金和对外投资、关联交易等需要重点关注的审计、</w:t>
      </w:r>
      <w:r>
        <w:rPr>
          <w:spacing w:val="-92"/>
        </w:rPr>
        <w:t> </w:t>
      </w:r>
      <w:r>
        <w:rPr>
          <w:spacing w:val="-92"/>
        </w:rPr>
      </w:r>
      <w:r>
        <w:rPr/>
        <w:t>销售及应收流程审计、工程项目专项审计、费用报销专项审计等。</w:t>
      </w:r>
    </w:p>
    <w:p>
      <w:pPr>
        <w:pStyle w:val="BodyText"/>
        <w:spacing w:line="408" w:lineRule="auto"/>
        <w:ind w:left="573" w:right="1046"/>
        <w:jc w:val="left"/>
      </w:pPr>
      <w:r>
        <w:rPr>
          <w:rFonts w:ascii="宋体" w:hAnsi="宋体" w:cs="宋体" w:eastAsia="宋体" w:hint="default"/>
        </w:rPr>
        <w:t>4</w:t>
      </w:r>
      <w:r>
        <w:rPr/>
        <w:t>、人力资源政策 </w:t>
      </w:r>
      <w:r>
        <w:rPr>
          <w:spacing w:val="-1"/>
        </w:rPr>
        <w:t>公司继续遵循“诚勤创业、共同发展”的人才发展理念，坚持“中高薪酬，全面激励”的薪酬政策和</w:t>
      </w:r>
    </w:p>
    <w:p>
      <w:pPr>
        <w:pStyle w:val="BodyText"/>
        <w:spacing w:line="408" w:lineRule="auto"/>
        <w:ind w:right="1132"/>
        <w:jc w:val="both"/>
      </w:pPr>
      <w:r>
        <w:rPr>
          <w:spacing w:val="-1"/>
        </w:rPr>
        <w:t>与绩效挂钩的利润分享机制，持续优化内部人员管理机制，促进组织效率提升。公司注重干部培养，优化</w:t>
      </w:r>
      <w:r>
        <w:rPr>
          <w:spacing w:val="-86"/>
        </w:rPr>
        <w:t> </w:t>
      </w:r>
      <w:r>
        <w:rPr>
          <w:spacing w:val="-86"/>
        </w:rPr>
      </w:r>
      <w:r>
        <w:rPr>
          <w:spacing w:val="-1"/>
        </w:rPr>
        <w:t>干部选拔标准与程序，强化“能上能下”、“授权、行权与问责”的干部调整与管理机制。公司关注员工</w:t>
      </w:r>
      <w:r>
        <w:rPr>
          <w:spacing w:val="-85"/>
        </w:rPr>
        <w:t> </w:t>
      </w:r>
      <w:r>
        <w:rPr>
          <w:spacing w:val="-85"/>
        </w:rPr>
      </w:r>
      <w:r>
        <w:rPr>
          <w:spacing w:val="-1"/>
        </w:rPr>
        <w:t>成长，推广管理、技术与专业、新员工三大训练营，加大培训资源池建设力度，丰富内部讲师与品牌课程</w:t>
      </w:r>
      <w:r>
        <w:rPr>
          <w:spacing w:val="-83"/>
        </w:rPr>
        <w:t> </w:t>
      </w:r>
      <w:r>
        <w:rPr>
          <w:spacing w:val="-83"/>
        </w:rPr>
      </w:r>
      <w:r>
        <w:rPr/>
        <w:t>等培训资源。</w:t>
      </w:r>
    </w:p>
    <w:p>
      <w:pPr>
        <w:pStyle w:val="BodyText"/>
        <w:spacing w:line="408" w:lineRule="auto"/>
        <w:ind w:left="573" w:right="1046"/>
        <w:jc w:val="left"/>
      </w:pPr>
      <w:r>
        <w:rPr>
          <w:rFonts w:ascii="宋体" w:hAnsi="宋体" w:cs="宋体" w:eastAsia="宋体" w:hint="default"/>
        </w:rPr>
        <w:t>5</w:t>
      </w:r>
      <w:r>
        <w:rPr/>
        <w:t>、企业文化 </w:t>
      </w:r>
      <w:r>
        <w:rPr>
          <w:spacing w:val="-1"/>
        </w:rPr>
        <w:t>公司坚持“聚焦客户需求、持续创新改进、追求卓越绩效、熔铸团队合力、坚持共同发展”的核心价</w:t>
      </w:r>
    </w:p>
    <w:p>
      <w:pPr>
        <w:pStyle w:val="BodyText"/>
        <w:spacing w:line="408" w:lineRule="auto"/>
        <w:ind w:right="1133"/>
        <w:jc w:val="both"/>
      </w:pPr>
      <w:r>
        <w:rPr>
          <w:spacing w:val="-1"/>
        </w:rPr>
        <w:t>值观，在公司董事会、监事会和管理层的带领下，培育员工积极向上的价值观和社会责任感，通过多种形</w:t>
      </w:r>
      <w:r>
        <w:rPr>
          <w:spacing w:val="-86"/>
        </w:rPr>
        <w:t> </w:t>
      </w:r>
      <w:r>
        <w:rPr>
          <w:spacing w:val="-86"/>
        </w:rPr>
      </w:r>
      <w:r>
        <w:rPr/>
        <w:t>式的沟通会统一上下思想，促进组织成长，同时公司通过“总裁</w:t>
      </w:r>
      <w:r>
        <w:rPr>
          <w:spacing w:val="-50"/>
        </w:rPr>
        <w:t> </w:t>
      </w:r>
      <w:r>
        <w:rPr>
          <w:rFonts w:ascii="宋体" w:hAnsi="宋体" w:cs="宋体" w:eastAsia="宋体" w:hint="default"/>
        </w:rPr>
        <w:t>OPEN</w:t>
      </w:r>
      <w:r>
        <w:rPr>
          <w:rFonts w:ascii="宋体" w:hAnsi="宋体" w:cs="宋体" w:eastAsia="宋体" w:hint="default"/>
          <w:spacing w:val="6"/>
        </w:rPr>
        <w:t> </w:t>
      </w:r>
      <w:r>
        <w:rPr>
          <w:rFonts w:ascii="宋体" w:hAnsi="宋体" w:cs="宋体" w:eastAsia="宋体" w:hint="default"/>
          <w:spacing w:val="-7"/>
        </w:rPr>
        <w:t>DAY</w:t>
      </w:r>
      <w:r>
        <w:rPr>
          <w:spacing w:val="-7"/>
        </w:rPr>
        <w:t>”、总裁信箱等形式打通基层员</w:t>
      </w:r>
      <w:r>
        <w:rPr>
          <w:spacing w:val="-103"/>
        </w:rPr>
        <w:t> </w:t>
      </w:r>
      <w:r>
        <w:rPr>
          <w:spacing w:val="-103"/>
        </w:rPr>
      </w:r>
      <w:r>
        <w:rPr/>
        <w:t>工和管理层的日常沟通渠道。</w:t>
      </w:r>
    </w:p>
    <w:p>
      <w:pPr>
        <w:pStyle w:val="BodyText"/>
        <w:spacing w:line="408" w:lineRule="auto"/>
        <w:ind w:left="574" w:right="8547"/>
        <w:jc w:val="left"/>
      </w:pPr>
      <w:r>
        <w:rPr/>
        <w:t>（二）风险评估 </w:t>
      </w:r>
      <w:r>
        <w:rPr>
          <w:rFonts w:ascii="宋体" w:hAnsi="宋体" w:cs="宋体" w:eastAsia="宋体" w:hint="default"/>
        </w:rPr>
        <w:t>1</w:t>
      </w:r>
      <w:r>
        <w:rPr/>
        <w:t>、风险评估的方式</w:t>
      </w:r>
    </w:p>
    <w:p>
      <w:pPr>
        <w:pStyle w:val="BodyText"/>
        <w:spacing w:line="408" w:lineRule="auto"/>
        <w:ind w:left="154" w:right="1131" w:firstLine="420"/>
        <w:jc w:val="both"/>
      </w:pPr>
      <w:r>
        <w:rPr>
          <w:spacing w:val="-1"/>
        </w:rPr>
        <w:t>公司制定了发展战略，并设置战略委员会和审计委员会识别可能存在的经营风险、环境风险、财务风</w:t>
      </w:r>
      <w:r>
        <w:rPr/>
        <w:t> </w:t>
      </w:r>
      <w:r>
        <w:rPr>
          <w:spacing w:val="-1"/>
        </w:rPr>
        <w:t>险等。公司管理层面对国际、国内各方日益激烈的竞争，以及在生产经营活动中所承受的各种风险，坚持</w:t>
      </w:r>
      <w:r>
        <w:rPr>
          <w:spacing w:val="-86"/>
        </w:rPr>
        <w:t> </w:t>
      </w:r>
      <w:r>
        <w:rPr>
          <w:spacing w:val="-86"/>
        </w:rPr>
      </w:r>
      <w:r>
        <w:rPr>
          <w:spacing w:val="-1"/>
        </w:rPr>
        <w:t>安全、稳健的经营方针，在积极发展新客户、拓展新业务的同时，量入为出，开展费用专项管控，最大限</w:t>
      </w:r>
      <w:r>
        <w:rPr>
          <w:spacing w:val="-83"/>
        </w:rPr>
        <w:t> </w:t>
      </w:r>
      <w:r>
        <w:rPr>
          <w:spacing w:val="-83"/>
        </w:rPr>
      </w:r>
      <w:r>
        <w:rPr/>
        <w:t>度地降低经营风险。</w:t>
      </w:r>
    </w:p>
    <w:p>
      <w:pPr>
        <w:pStyle w:val="BodyText"/>
        <w:spacing w:line="240" w:lineRule="auto"/>
        <w:ind w:left="574" w:right="1046"/>
        <w:jc w:val="left"/>
      </w:pPr>
      <w:r>
        <w:rPr>
          <w:rFonts w:ascii="宋体" w:hAnsi="宋体" w:cs="宋体" w:eastAsia="宋体" w:hint="default"/>
        </w:rPr>
        <w:t>2</w:t>
      </w:r>
      <w:r>
        <w:rPr/>
        <w:t>、风险应对</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①针对人民币汇率波动的风险</w:t>
      </w:r>
    </w:p>
    <w:p>
      <w:pPr>
        <w:spacing w:line="240" w:lineRule="auto" w:before="10"/>
        <w:rPr>
          <w:rFonts w:ascii="宋体" w:hAnsi="宋体" w:cs="宋体" w:eastAsia="宋体" w:hint="default"/>
          <w:sz w:val="14"/>
          <w:szCs w:val="14"/>
        </w:rPr>
      </w:pPr>
    </w:p>
    <w:p>
      <w:pPr>
        <w:pStyle w:val="BodyText"/>
        <w:spacing w:line="408" w:lineRule="auto" w:before="0"/>
        <w:ind w:right="1122" w:firstLine="420"/>
        <w:jc w:val="left"/>
      </w:pPr>
      <w:r>
        <w:rPr/>
        <w:t>公司密切关注人民币汇率的波动，并已在</w:t>
      </w:r>
      <w:r>
        <w:rPr>
          <w:spacing w:val="-57"/>
        </w:rPr>
        <w:t> </w:t>
      </w:r>
      <w:r>
        <w:rPr>
          <w:rFonts w:ascii="宋体" w:hAnsi="宋体" w:cs="宋体" w:eastAsia="宋体" w:hint="default"/>
        </w:rPr>
        <w:t>2011</w:t>
      </w:r>
      <w:r>
        <w:rPr>
          <w:rFonts w:ascii="宋体" w:hAnsi="宋体" w:cs="宋体" w:eastAsia="宋体" w:hint="default"/>
          <w:spacing w:val="-58"/>
        </w:rPr>
        <w:t> </w:t>
      </w:r>
      <w:r>
        <w:rPr/>
        <w:t>年</w:t>
      </w:r>
      <w:r>
        <w:rPr>
          <w:spacing w:val="-57"/>
        </w:rPr>
        <w:t> </w:t>
      </w:r>
      <w:r>
        <w:rPr>
          <w:rFonts w:ascii="宋体" w:hAnsi="宋体" w:cs="宋体" w:eastAsia="宋体" w:hint="default"/>
        </w:rPr>
        <w:t>12</w:t>
      </w:r>
      <w:r>
        <w:rPr>
          <w:rFonts w:ascii="宋体" w:hAnsi="宋体" w:cs="宋体" w:eastAsia="宋体" w:hint="default"/>
          <w:spacing w:val="-57"/>
        </w:rPr>
        <w:t> </w:t>
      </w:r>
      <w:r>
        <w:rPr/>
        <w:t>月</w:t>
      </w:r>
      <w:r>
        <w:rPr>
          <w:spacing w:val="-58"/>
        </w:rPr>
        <w:t> </w:t>
      </w:r>
      <w:r>
        <w:rPr>
          <w:rFonts w:ascii="宋体" w:hAnsi="宋体" w:cs="宋体" w:eastAsia="宋体" w:hint="default"/>
        </w:rPr>
        <w:t>7</w:t>
      </w:r>
      <w:r>
        <w:rPr>
          <w:rFonts w:ascii="宋体" w:hAnsi="宋体" w:cs="宋体" w:eastAsia="宋体" w:hint="default"/>
          <w:spacing w:val="-57"/>
        </w:rPr>
        <w:t> </w:t>
      </w:r>
      <w:r>
        <w:rPr/>
        <w:t>日的第一届董事会第十七次会议上，讨论通 </w:t>
      </w:r>
      <w:r>
        <w:rPr>
          <w:spacing w:val="-3"/>
        </w:rPr>
        <w:t>过了《关于开展远期结售汇业务的议案》，同意公司开展远期结售汇业务锁定汇率风险。公司将在适当的</w:t>
      </w:r>
      <w:r>
        <w:rPr>
          <w:spacing w:val="-74"/>
        </w:rPr>
        <w:t> </w:t>
      </w:r>
      <w:r>
        <w:rPr>
          <w:spacing w:val="-74"/>
        </w:rPr>
      </w:r>
      <w:r>
        <w:rPr/>
        <w:t>时候具体开展该业务，以减小汇率波动带来的风险。</w:t>
      </w:r>
    </w:p>
    <w:p>
      <w:pPr>
        <w:pStyle w:val="BodyText"/>
        <w:spacing w:line="240" w:lineRule="auto"/>
        <w:ind w:left="573" w:right="1046"/>
        <w:jc w:val="left"/>
      </w:pPr>
      <w:r>
        <w:rPr/>
        <w:t>②针对市场竞争风险</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公司将通过继续积极推进募投项目及其他内部研发项目的实施，积极参与并努力引导各项专业无线通</w:t>
      </w:r>
      <w:r>
        <w:rPr/>
        <w:t> </w:t>
      </w:r>
      <w:r>
        <w:rPr>
          <w:spacing w:val="-1"/>
        </w:rPr>
        <w:t>信标准的制定，从而进一步建立公司的技术优势；公司借助募投项目的开展，将进一步完善公司的海外营</w:t>
      </w:r>
      <w:r>
        <w:rPr>
          <w:spacing w:val="-83"/>
        </w:rPr>
        <w:t> </w:t>
      </w:r>
      <w:r>
        <w:rPr>
          <w:spacing w:val="-83"/>
        </w:rPr>
      </w:r>
      <w:r>
        <w:rPr/>
        <w:t>销网络，提高公司的营销服务能力。</w:t>
      </w:r>
    </w:p>
    <w:p>
      <w:pPr>
        <w:pStyle w:val="BodyText"/>
        <w:spacing w:line="408" w:lineRule="auto"/>
        <w:ind w:left="573" w:right="1046"/>
        <w:jc w:val="left"/>
      </w:pPr>
      <w:r>
        <w:rPr/>
        <w:t>③针对规模扩张带来的管理风险 </w:t>
      </w:r>
      <w:r>
        <w:rPr>
          <w:spacing w:val="-1"/>
        </w:rPr>
        <w:t>公司将加强内部管理人员特别是中层管理人员的培养，提高整个公司管理人员的管理水平；公司将加</w:t>
      </w:r>
    </w:p>
    <w:p>
      <w:pPr>
        <w:pStyle w:val="BodyText"/>
        <w:spacing w:line="240" w:lineRule="auto"/>
        <w:ind w:right="0"/>
        <w:jc w:val="both"/>
      </w:pPr>
      <w:r>
        <w:rPr/>
        <w:t>强内部业务流程的梳理，使得公司业务规范化、流程化，以提高公司的规范运营水平。</w:t>
      </w:r>
    </w:p>
    <w:p>
      <w:pPr>
        <w:spacing w:line="240" w:lineRule="auto" w:before="10"/>
        <w:rPr>
          <w:rFonts w:ascii="宋体" w:hAnsi="宋体" w:cs="宋体" w:eastAsia="宋体" w:hint="default"/>
          <w:sz w:val="14"/>
          <w:szCs w:val="14"/>
        </w:rPr>
      </w:pPr>
    </w:p>
    <w:p>
      <w:pPr>
        <w:pStyle w:val="BodyText"/>
        <w:spacing w:line="408" w:lineRule="auto" w:before="0"/>
        <w:ind w:left="573" w:right="1046"/>
        <w:jc w:val="left"/>
      </w:pPr>
      <w:r>
        <w:rPr/>
        <w:t>④针对人力资源的风险 </w:t>
      </w:r>
      <w:r>
        <w:rPr>
          <w:spacing w:val="-1"/>
        </w:rPr>
        <w:t>公司将持续完善绩效管理体系，将员工的薪酬与公司的业绩紧密挂钩，充分调动员工工作的主动性和</w:t>
      </w:r>
    </w:p>
    <w:p>
      <w:pPr>
        <w:pStyle w:val="BodyText"/>
        <w:spacing w:line="408" w:lineRule="auto"/>
        <w:ind w:right="1133"/>
        <w:jc w:val="both"/>
      </w:pPr>
      <w:r>
        <w:rPr>
          <w:spacing w:val="-1"/>
        </w:rPr>
        <w:t>积极性；继续加强员工业务技能培训，持续提升员工的能力，努力创造愉快和谐的工作氛围；采取积极措</w:t>
      </w:r>
      <w:r>
        <w:rPr>
          <w:spacing w:val="-86"/>
        </w:rPr>
        <w:t> </w:t>
      </w:r>
      <w:r>
        <w:rPr>
          <w:spacing w:val="-86"/>
        </w:rPr>
      </w:r>
      <w:r>
        <w:rPr/>
        <w:t>施吸引、招募优秀人才加盟公司，着力打造一流人才队伍。</w:t>
      </w:r>
    </w:p>
    <w:p>
      <w:pPr>
        <w:pStyle w:val="BodyText"/>
        <w:spacing w:line="408" w:lineRule="auto"/>
        <w:ind w:left="680" w:right="8651" w:hanging="107"/>
        <w:jc w:val="left"/>
      </w:pPr>
      <w:r>
        <w:rPr/>
        <w:t>（三）控制活动 </w:t>
      </w:r>
      <w:r>
        <w:rPr>
          <w:rFonts w:ascii="宋体" w:hAnsi="宋体" w:cs="宋体" w:eastAsia="宋体" w:hint="default"/>
        </w:rPr>
        <w:t>1</w:t>
      </w:r>
      <w:r>
        <w:rPr/>
        <w:t>、安全生产控制</w:t>
      </w:r>
    </w:p>
    <w:p>
      <w:pPr>
        <w:pStyle w:val="BodyText"/>
        <w:spacing w:line="408" w:lineRule="auto"/>
        <w:ind w:right="1118" w:firstLine="420"/>
        <w:jc w:val="left"/>
      </w:pPr>
      <w:r>
        <w:rPr>
          <w:spacing w:val="-6"/>
        </w:rPr>
        <w:t>公司非常重视安全生产，建立了《安全生产管理制度》、《化学品泄漏紧急处理预案》及《大厦消防应</w:t>
      </w:r>
      <w:r>
        <w:rPr/>
        <w:t> </w:t>
      </w:r>
      <w:r>
        <w:rPr>
          <w:spacing w:val="-1"/>
        </w:rPr>
        <w:t>急预案》等相关制度，公司设立了安全管理委员会，各部门一级部门长为直接责任人，并建立安全生产责</w:t>
      </w:r>
      <w:r>
        <w:rPr>
          <w:spacing w:val="-85"/>
        </w:rPr>
        <w:t> </w:t>
      </w:r>
      <w:r>
        <w:rPr>
          <w:spacing w:val="-85"/>
        </w:rPr>
      </w:r>
      <w:r>
        <w:rPr>
          <w:spacing w:val="-5"/>
        </w:rPr>
        <w:t>任追究机制。公司每年组织消防安全演习，对员工实施安全生产培训，增强员工安全意识。公司建立了《安</w:t>
      </w:r>
      <w:r>
        <w:rPr/>
        <w:t> </w:t>
      </w:r>
      <w:r>
        <w:rPr>
          <w:spacing w:val="-3"/>
        </w:rPr>
        <w:t>全巡查制度》，定期对公司全方面进行巡查，并予以公告，对巡查发现的问题要求责任人限期整改。公司</w:t>
      </w:r>
      <w:r>
        <w:rPr>
          <w:spacing w:val="-73"/>
        </w:rPr>
        <w:t> </w:t>
      </w:r>
      <w:r>
        <w:rPr>
          <w:spacing w:val="-73"/>
        </w:rPr>
      </w:r>
      <w:r>
        <w:rPr/>
        <w:t>注重重要设备的日常维修和保养，杜绝安全隐患。</w:t>
      </w:r>
    </w:p>
    <w:p>
      <w:pPr>
        <w:pStyle w:val="BodyText"/>
        <w:spacing w:line="408" w:lineRule="auto"/>
        <w:ind w:left="573" w:right="1046"/>
        <w:jc w:val="left"/>
      </w:pPr>
      <w:r>
        <w:rPr>
          <w:rFonts w:ascii="宋体" w:hAnsi="宋体" w:cs="宋体" w:eastAsia="宋体" w:hint="default"/>
        </w:rPr>
        <w:t>2</w:t>
      </w:r>
      <w:r>
        <w:rPr/>
        <w:t>、销售与收款循环控制 </w:t>
      </w:r>
      <w:r>
        <w:rPr>
          <w:spacing w:val="-1"/>
        </w:rPr>
        <w:t>公司产品销售根据不同的客户群和行业，划分多个销售体系，包含无线产品销售部、政府与行业销售</w:t>
      </w:r>
    </w:p>
    <w:p>
      <w:pPr>
        <w:pStyle w:val="BodyText"/>
        <w:spacing w:line="408" w:lineRule="auto"/>
        <w:ind w:right="1109"/>
        <w:jc w:val="both"/>
      </w:pPr>
      <w:r>
        <w:rPr/>
        <w:t>部、海外销售部、</w:t>
      </w:r>
      <w:r>
        <w:rPr>
          <w:rFonts w:ascii="宋体" w:hAnsi="宋体" w:cs="宋体" w:eastAsia="宋体" w:hint="default"/>
        </w:rPr>
        <w:t>EMS</w:t>
      </w:r>
      <w:r>
        <w:rPr>
          <w:rFonts w:ascii="宋体" w:hAnsi="宋体" w:cs="宋体" w:eastAsia="宋体" w:hint="default"/>
          <w:spacing w:val="-53"/>
        </w:rPr>
        <w:t> </w:t>
      </w:r>
      <w:r>
        <w:rPr/>
        <w:t>销售部和轨道交通部等。在产品定价方面，各个销售体系根据市场的不同情况制定 </w:t>
      </w:r>
      <w:r>
        <w:rPr>
          <w:spacing w:val="-3"/>
        </w:rPr>
        <w:t>相匹配的价格体系，并根据市场情况适时调整销售策略。公司制定了《合同管理制度》，销售合同必须经</w:t>
      </w:r>
      <w:r>
        <w:rPr>
          <w:spacing w:val="-74"/>
        </w:rPr>
        <w:t> </w:t>
      </w:r>
      <w:r>
        <w:rPr>
          <w:spacing w:val="-74"/>
        </w:rPr>
      </w:r>
      <w:r>
        <w:rPr/>
        <w:t>过各个部门会审，经授权人审批后方才可执行。公司通过</w:t>
      </w:r>
      <w:r>
        <w:rPr>
          <w:spacing w:val="-53"/>
        </w:rPr>
        <w:t> </w:t>
      </w:r>
      <w:r>
        <w:rPr>
          <w:rFonts w:ascii="宋体" w:hAnsi="宋体" w:cs="宋体" w:eastAsia="宋体" w:hint="default"/>
        </w:rPr>
        <w:t>ERP</w:t>
      </w:r>
      <w:r>
        <w:rPr>
          <w:rFonts w:ascii="宋体" w:hAnsi="宋体" w:cs="宋体" w:eastAsia="宋体" w:hint="default"/>
          <w:spacing w:val="-53"/>
        </w:rPr>
        <w:t> </w:t>
      </w:r>
      <w:r>
        <w:rPr/>
        <w:t>系统对销售合同实行全程管理，订单录入、 信用审核、发货、收款确认等环节均职责分离。</w:t>
      </w:r>
    </w:p>
    <w:p>
      <w:pPr>
        <w:pStyle w:val="BodyText"/>
        <w:spacing w:line="408" w:lineRule="auto"/>
        <w:ind w:right="1131" w:firstLine="420"/>
        <w:jc w:val="both"/>
      </w:pPr>
      <w:r>
        <w:rPr>
          <w:spacing w:val="-1"/>
        </w:rPr>
        <w:t>为了实现公司“随需而通”的使命，保证产品满足客户的需求，客户服务部门制定了产品退货、维修</w:t>
      </w:r>
      <w:r>
        <w:rPr/>
        <w:t> </w:t>
      </w:r>
      <w:r>
        <w:rPr>
          <w:spacing w:val="-1"/>
        </w:rPr>
        <w:t>物料管理、售后服务支持管理、客户服务平台管理、服务质量监督、工程交付、终端和系统维护管理等多</w:t>
      </w:r>
      <w:r>
        <w:rPr>
          <w:spacing w:val="-83"/>
        </w:rPr>
        <w:t> </w:t>
      </w:r>
      <w:r>
        <w:rPr>
          <w:spacing w:val="-83"/>
        </w:rPr>
      </w:r>
      <w:r>
        <w:rPr/>
        <w:t>项制度和流程，为客户搭建统一的服务平台。</w:t>
      </w:r>
    </w:p>
    <w:p>
      <w:pPr>
        <w:pStyle w:val="BodyText"/>
        <w:spacing w:line="408" w:lineRule="auto"/>
        <w:ind w:left="574" w:right="1046" w:firstLine="106"/>
        <w:jc w:val="left"/>
      </w:pPr>
      <w:r>
        <w:rPr>
          <w:rFonts w:ascii="宋体" w:hAnsi="宋体" w:cs="宋体" w:eastAsia="宋体" w:hint="default"/>
        </w:rPr>
        <w:t>3</w:t>
      </w:r>
      <w:r>
        <w:rPr/>
        <w:t>、采购与付款循环控制 </w:t>
      </w:r>
      <w:r>
        <w:rPr>
          <w:spacing w:val="-3"/>
        </w:rPr>
        <w:t>公司制定了《采购管理程序》，对采购计划、供应商选择、订购及订单执行、产品交货检验、货款支</w:t>
      </w:r>
    </w:p>
    <w:p>
      <w:pPr>
        <w:pStyle w:val="BodyText"/>
        <w:spacing w:line="408" w:lineRule="auto"/>
        <w:ind w:left="574" w:right="1046" w:hanging="420"/>
        <w:jc w:val="left"/>
      </w:pPr>
      <w:r>
        <w:rPr/>
        <w:t>付等环节进行了规范，保证采购过程职责分离、流程顺畅。 </w:t>
      </w:r>
      <w:r>
        <w:rPr>
          <w:spacing w:val="-1"/>
        </w:rPr>
        <w:t>公司对供应商实施严格的准入制度，采购中心供应商管理部专门负责供应商的选择和评估，公司制定</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3"/>
        <w:jc w:val="both"/>
      </w:pPr>
      <w:r>
        <w:rPr>
          <w:spacing w:val="-14"/>
        </w:rPr>
        <w:t>了《供应商开发流程》、《供应商现场考察作业规范》、《供应商变更控制管理程序》、《供应商考核流程》等</w:t>
      </w:r>
      <w:r>
        <w:rPr>
          <w:spacing w:val="-77"/>
        </w:rPr>
        <w:t> </w:t>
      </w:r>
      <w:r>
        <w:rPr>
          <w:spacing w:val="-77"/>
        </w:rPr>
      </w:r>
      <w:r>
        <w:rPr/>
        <w:t>制度，确保供应商供货质量和交货及时。</w:t>
      </w:r>
    </w:p>
    <w:p>
      <w:pPr>
        <w:pStyle w:val="BodyText"/>
        <w:spacing w:line="408" w:lineRule="auto"/>
        <w:ind w:right="1046" w:firstLine="420"/>
        <w:jc w:val="left"/>
      </w:pPr>
      <w:r>
        <w:rPr>
          <w:spacing w:val="-3"/>
        </w:rPr>
        <w:t>公司采购的付款方式有预付款、月结付款等，公司制定了《采购预付款审批流程》，对预付款的流程</w:t>
      </w:r>
      <w:r>
        <w:rPr/>
        <w:t> 和审批权限进行规范，确保采购预付款的准确和有效。</w:t>
      </w:r>
    </w:p>
    <w:p>
      <w:pPr>
        <w:pStyle w:val="BodyText"/>
        <w:spacing w:line="408" w:lineRule="auto"/>
        <w:ind w:left="573" w:right="1046"/>
        <w:jc w:val="left"/>
      </w:pPr>
      <w:r>
        <w:rPr>
          <w:rFonts w:ascii="宋体" w:hAnsi="宋体" w:cs="宋体" w:eastAsia="宋体" w:hint="default"/>
        </w:rPr>
        <w:t>4</w:t>
      </w:r>
      <w:r>
        <w:rPr/>
        <w:t>、固定资产的控制 </w:t>
      </w:r>
      <w:r>
        <w:rPr>
          <w:spacing w:val="-3"/>
        </w:rPr>
        <w:t>公司制定了《固定资产管理流程》，对固定资产的申请、购置、调拨、处置、报废、担保、抵押、租</w:t>
      </w:r>
    </w:p>
    <w:p>
      <w:pPr>
        <w:pStyle w:val="BodyText"/>
        <w:spacing w:line="408" w:lineRule="auto"/>
        <w:ind w:left="573" w:right="1205" w:hanging="420"/>
        <w:jc w:val="left"/>
      </w:pPr>
      <w:r>
        <w:rPr/>
        <w:t>赁、日常保养和维修、盘点、关键资产维护等进行了明确的规范。 公司固定资产由行政部门和财务部分别在</w:t>
      </w:r>
      <w:r>
        <w:rPr>
          <w:spacing w:val="-54"/>
        </w:rPr>
        <w:t> </w:t>
      </w:r>
      <w:r>
        <w:rPr>
          <w:rFonts w:ascii="宋体" w:hAnsi="宋体" w:cs="宋体" w:eastAsia="宋体" w:hint="default"/>
        </w:rPr>
        <w:t>OA</w:t>
      </w:r>
      <w:r>
        <w:rPr>
          <w:rFonts w:ascii="宋体" w:hAnsi="宋体" w:cs="宋体" w:eastAsia="宋体" w:hint="default"/>
          <w:spacing w:val="-54"/>
        </w:rPr>
        <w:t> </w:t>
      </w:r>
      <w:r>
        <w:rPr/>
        <w:t>系统和</w:t>
      </w:r>
      <w:r>
        <w:rPr>
          <w:spacing w:val="-55"/>
        </w:rPr>
        <w:t> </w:t>
      </w:r>
      <w:r>
        <w:rPr>
          <w:rFonts w:ascii="宋体" w:hAnsi="宋体" w:cs="宋体" w:eastAsia="宋体" w:hint="default"/>
        </w:rPr>
        <w:t>ERP</w:t>
      </w:r>
      <w:r>
        <w:rPr>
          <w:rFonts w:ascii="宋体" w:hAnsi="宋体" w:cs="宋体" w:eastAsia="宋体" w:hint="default"/>
          <w:spacing w:val="-54"/>
        </w:rPr>
        <w:t> </w:t>
      </w:r>
      <w:r>
        <w:rPr/>
        <w:t>系统中建立详细的固定资产卡片，每年定期</w:t>
      </w:r>
    </w:p>
    <w:p>
      <w:pPr>
        <w:pStyle w:val="BodyText"/>
        <w:spacing w:line="408" w:lineRule="auto"/>
        <w:ind w:right="1131"/>
        <w:jc w:val="both"/>
      </w:pPr>
      <w:r>
        <w:rPr>
          <w:spacing w:val="-1"/>
        </w:rPr>
        <w:t>对固定资产组织盘点，出具盘点报告，并根据盘点结果经授权人审批后予以账务调整，保证固定资产的账</w:t>
      </w:r>
      <w:r>
        <w:rPr>
          <w:spacing w:val="-83"/>
        </w:rPr>
        <w:t> </w:t>
      </w:r>
      <w:r>
        <w:rPr>
          <w:spacing w:val="-83"/>
        </w:rPr>
      </w:r>
      <w:r>
        <w:rPr/>
        <w:t>实相符。</w:t>
      </w:r>
    </w:p>
    <w:p>
      <w:pPr>
        <w:pStyle w:val="BodyText"/>
        <w:spacing w:line="408" w:lineRule="auto"/>
        <w:ind w:left="573" w:right="1093"/>
        <w:jc w:val="left"/>
      </w:pPr>
      <w:r>
        <w:rPr>
          <w:rFonts w:ascii="宋体" w:hAnsi="宋体" w:cs="宋体" w:eastAsia="宋体" w:hint="default"/>
        </w:rPr>
        <w:t>5</w:t>
      </w:r>
      <w:r>
        <w:rPr/>
        <w:t>、货币资金的控制 公司的《财务管理制度》对货币资金管理做出了明确规定。公司的资金管理部负责货币资金的保管、</w:t>
      </w:r>
    </w:p>
    <w:p>
      <w:pPr>
        <w:pStyle w:val="BodyText"/>
        <w:spacing w:line="240" w:lineRule="auto"/>
        <w:ind w:right="0"/>
        <w:jc w:val="both"/>
      </w:pPr>
      <w:r>
        <w:rPr/>
        <w:t>记录和盘点等。每月末财务主管、资金管理人员和出纳共同盘点现金，签字确认现金盘点表。公司制定了</w:t>
      </w:r>
    </w:p>
    <w:p>
      <w:pPr>
        <w:spacing w:line="240" w:lineRule="auto" w:before="10"/>
        <w:rPr>
          <w:rFonts w:ascii="宋体" w:hAnsi="宋体" w:cs="宋体" w:eastAsia="宋体" w:hint="default"/>
          <w:sz w:val="14"/>
          <w:szCs w:val="14"/>
        </w:rPr>
      </w:pPr>
    </w:p>
    <w:p>
      <w:pPr>
        <w:pStyle w:val="BodyText"/>
        <w:spacing w:line="408" w:lineRule="auto" w:before="0"/>
        <w:ind w:right="1024"/>
        <w:jc w:val="left"/>
      </w:pPr>
      <w:r>
        <w:rPr>
          <w:spacing w:val="-3"/>
        </w:rPr>
        <w:t>《财务结算单据审批权授权文件》，付款申请人提交申请后由上述文件规定的授权人审批后出纳方可支付，</w:t>
      </w:r>
      <w:r>
        <w:rPr>
          <w:spacing w:val="-92"/>
        </w:rPr>
        <w:t> </w:t>
      </w:r>
      <w:r>
        <w:rPr>
          <w:spacing w:val="-92"/>
        </w:rPr>
      </w:r>
      <w:r>
        <w:rPr/>
        <w:t>公司资金支付的申请、审核和支付职责分离。公司的银行账户必须经财务总监审批后开立，公司每月编制</w:t>
      </w:r>
      <w:r>
        <w:rPr/>
        <w:t> 银行余额调节表，并由资金管理人员和财务主管签字确认。</w:t>
      </w:r>
    </w:p>
    <w:p>
      <w:pPr>
        <w:pStyle w:val="BodyText"/>
        <w:spacing w:line="408" w:lineRule="auto"/>
        <w:ind w:right="1046" w:firstLine="420"/>
        <w:jc w:val="left"/>
      </w:pPr>
      <w:r>
        <w:rPr>
          <w:spacing w:val="-1"/>
        </w:rPr>
        <w:t>公司建立票据登记簿，对票据的购买、领用、注销等进行详细登记和检查。公司票据和相关印章分别</w:t>
      </w:r>
      <w:r>
        <w:rPr/>
        <w:t> 由财务资金主管和总经理授权人保管，以防范风险。</w:t>
      </w:r>
    </w:p>
    <w:p>
      <w:pPr>
        <w:pStyle w:val="BodyText"/>
        <w:spacing w:line="408" w:lineRule="auto"/>
        <w:ind w:left="573" w:right="1046"/>
        <w:jc w:val="left"/>
      </w:pPr>
      <w:r>
        <w:rPr>
          <w:rFonts w:ascii="宋体" w:hAnsi="宋体" w:cs="宋体" w:eastAsia="宋体" w:hint="default"/>
        </w:rPr>
        <w:t>6</w:t>
      </w:r>
      <w:r>
        <w:rPr/>
        <w:t>、关联交易的控制 </w:t>
      </w:r>
      <w:r>
        <w:rPr>
          <w:spacing w:val="-10"/>
        </w:rPr>
        <w:t>公司严格并按照有关法律、行政法规、部门规章以及《深圳证券交易所股票上市规则》（以下简称“《上</w:t>
      </w:r>
    </w:p>
    <w:p>
      <w:pPr>
        <w:pStyle w:val="BodyText"/>
        <w:spacing w:line="408" w:lineRule="auto"/>
        <w:ind w:right="1132"/>
        <w:jc w:val="both"/>
      </w:pPr>
      <w:r>
        <w:rPr>
          <w:spacing w:val="-1"/>
        </w:rPr>
        <w:t>市规则》”）</w:t>
      </w:r>
      <w:r>
        <w:rPr>
          <w:spacing w:val="31"/>
        </w:rPr>
        <w:t> </w:t>
      </w:r>
      <w:r>
        <w:rPr>
          <w:spacing w:val="-4"/>
        </w:rPr>
        <w:t>等有关规定，制定了《关联交易管理制度》，明确关联方交易的类型、关联方的范围及确认</w:t>
      </w:r>
      <w:r>
        <w:rPr>
          <w:spacing w:val="-102"/>
        </w:rPr>
        <w:t> </w:t>
      </w:r>
      <w:r>
        <w:rPr>
          <w:spacing w:val="-102"/>
        </w:rPr>
      </w:r>
      <w:r>
        <w:rPr>
          <w:spacing w:val="-1"/>
        </w:rPr>
        <w:t>标准、关联交易的审批程序、关联交易的执行和关联交易的披露等。本报告期内，公司审计部每季度对关</w:t>
      </w:r>
      <w:r>
        <w:rPr>
          <w:spacing w:val="-86"/>
        </w:rPr>
        <w:t> </w:t>
      </w:r>
      <w:r>
        <w:rPr>
          <w:spacing w:val="-86"/>
        </w:rPr>
      </w:r>
      <w:r>
        <w:rPr/>
        <w:t>联交易进行审计。</w:t>
      </w:r>
    </w:p>
    <w:p>
      <w:pPr>
        <w:pStyle w:val="BodyText"/>
        <w:spacing w:line="408" w:lineRule="auto"/>
        <w:ind w:left="573" w:right="1046"/>
        <w:jc w:val="left"/>
      </w:pPr>
      <w:r>
        <w:rPr>
          <w:rFonts w:ascii="宋体" w:hAnsi="宋体" w:cs="宋体" w:eastAsia="宋体" w:hint="default"/>
        </w:rPr>
        <w:t>7</w:t>
      </w:r>
      <w:r>
        <w:rPr/>
        <w:t>、募集资金的控制 </w:t>
      </w:r>
      <w:r>
        <w:rPr>
          <w:spacing w:val="-6"/>
        </w:rPr>
        <w:t>公司严格按照有关法律、行政法规、部门规章以及《深圳证券交易所股票上市规则》（以下简称“《上</w:t>
      </w:r>
    </w:p>
    <w:p>
      <w:pPr>
        <w:pStyle w:val="BodyText"/>
        <w:spacing w:line="408" w:lineRule="auto"/>
        <w:ind w:right="1131"/>
        <w:jc w:val="both"/>
      </w:pPr>
      <w:r>
        <w:rPr>
          <w:spacing w:val="-1"/>
        </w:rPr>
        <w:t>市规则》”）</w:t>
      </w:r>
      <w:r>
        <w:rPr>
          <w:spacing w:val="31"/>
        </w:rPr>
        <w:t> </w:t>
      </w:r>
      <w:r>
        <w:rPr>
          <w:spacing w:val="-4"/>
        </w:rPr>
        <w:t>等有关规定，制定了《募集资金管理制度》，规定了募集资金专户存储、募集资金使用的审</w:t>
      </w:r>
      <w:r>
        <w:rPr>
          <w:spacing w:val="-101"/>
        </w:rPr>
        <w:t> </w:t>
      </w:r>
      <w:r>
        <w:rPr>
          <w:spacing w:val="-101"/>
        </w:rPr>
      </w:r>
      <w:r>
        <w:rPr>
          <w:spacing w:val="-1"/>
        </w:rPr>
        <w:t>批流程以及募集资金管理与监督的办法。公司的募集资金实行专户存储，并与保荐人、银行签订了三方监</w:t>
      </w:r>
      <w:r>
        <w:rPr>
          <w:spacing w:val="-83"/>
        </w:rPr>
        <w:t> </w:t>
      </w:r>
      <w:r>
        <w:rPr>
          <w:spacing w:val="-83"/>
        </w:rPr>
      </w:r>
      <w:r>
        <w:rPr>
          <w:spacing w:val="-1"/>
        </w:rPr>
        <w:t>管协议。公司在使用募集资金时，遵循公司的审批流程，需要经过公司总经理的审批后予以支付。公司财</w:t>
      </w:r>
      <w:r>
        <w:rPr>
          <w:spacing w:val="-85"/>
        </w:rPr>
        <w:t> </w:t>
      </w:r>
      <w:r>
        <w:rPr>
          <w:spacing w:val="-85"/>
        </w:rPr>
      </w:r>
      <w:r>
        <w:rPr>
          <w:spacing w:val="-1"/>
        </w:rPr>
        <w:t>务部建立募集资金台账，对募集资金的使用进度及时跟进。本报告期内，公司审计部根据《深圳证券交易</w:t>
      </w:r>
      <w:r>
        <w:rPr>
          <w:spacing w:val="-86"/>
        </w:rPr>
        <w:t> </w:t>
      </w:r>
      <w:r>
        <w:rPr>
          <w:spacing w:val="-86"/>
        </w:rPr>
      </w:r>
      <w:r>
        <w:rPr>
          <w:spacing w:val="-1"/>
        </w:rPr>
        <w:t>所中小企业板上市公司规范运作指引》的要求，每季度均对募集资金的存放和使用情况实施内部审计，保</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8443" w:hanging="420"/>
        <w:jc w:val="left"/>
      </w:pPr>
      <w:r>
        <w:rPr/>
        <w:t>证募集资金的规范使用。 </w:t>
      </w:r>
      <w:r>
        <w:rPr>
          <w:rFonts w:ascii="宋体" w:hAnsi="宋体" w:cs="宋体" w:eastAsia="宋体" w:hint="default"/>
        </w:rPr>
        <w:t>8</w:t>
      </w:r>
      <w:r>
        <w:rPr/>
        <w:t>、对外投资的控制</w:t>
      </w:r>
    </w:p>
    <w:p>
      <w:pPr>
        <w:pStyle w:val="BodyText"/>
        <w:spacing w:line="408" w:lineRule="auto"/>
        <w:ind w:right="1018" w:firstLine="420"/>
        <w:jc w:val="left"/>
      </w:pPr>
      <w:r>
        <w:rPr>
          <w:spacing w:val="-3"/>
        </w:rPr>
        <w:t>为了建立规范、有效、科学的投资决策机制，避免投资决策失误，化解投资风险，提高投资经济效益，</w:t>
      </w:r>
      <w:r>
        <w:rPr/>
        <w:t> </w:t>
      </w:r>
      <w:r>
        <w:rPr>
          <w:spacing w:val="-3"/>
        </w:rPr>
        <w:t>实现公司资产的保值增值，公司制定了《对外投资管理制度》，明确对外投资的类型、审批权限、组织管</w:t>
      </w:r>
      <w:r>
        <w:rPr>
          <w:spacing w:val="-74"/>
        </w:rPr>
        <w:t> </w:t>
      </w:r>
      <w:r>
        <w:rPr>
          <w:spacing w:val="-74"/>
        </w:rPr>
      </w:r>
      <w:r>
        <w:rPr/>
        <w:t>理机构、投资的转让和收回、对外投资项目的人事、财务审计和信息披露等管理。</w:t>
      </w:r>
    </w:p>
    <w:p>
      <w:pPr>
        <w:pStyle w:val="BodyText"/>
        <w:spacing w:line="408" w:lineRule="auto"/>
        <w:ind w:right="1046" w:firstLine="420"/>
        <w:jc w:val="left"/>
      </w:pPr>
      <w:r>
        <w:rPr>
          <w:spacing w:val="-3"/>
        </w:rPr>
        <w:t>为了加强对子公司的管理，建立了《子公司管理制度》，从子公司高管的委派、财务管理、经营及投</w:t>
      </w:r>
      <w:r>
        <w:rPr/>
        <w:t> </w:t>
      </w:r>
      <w:r>
        <w:rPr>
          <w:spacing w:val="-1"/>
        </w:rPr>
        <w:t>资决策管理、重大信息报告、内部审计监督、行政事务管理、人力资源管理和绩效考核制度等方面来规范</w:t>
      </w:r>
      <w:r>
        <w:rPr>
          <w:spacing w:val="-86"/>
        </w:rPr>
        <w:t> </w:t>
      </w:r>
      <w:r>
        <w:rPr>
          <w:spacing w:val="-86"/>
        </w:rPr>
      </w:r>
      <w:r>
        <w:rPr/>
        <w:t>子公司的管理。审计部每季度对对外投资情况进行审计。</w:t>
      </w:r>
    </w:p>
    <w:p>
      <w:pPr>
        <w:pStyle w:val="BodyText"/>
        <w:spacing w:line="408" w:lineRule="auto"/>
        <w:ind w:left="573" w:right="1046"/>
        <w:jc w:val="left"/>
      </w:pPr>
      <w:r>
        <w:rPr>
          <w:rFonts w:ascii="宋体" w:hAnsi="宋体" w:cs="宋体" w:eastAsia="宋体" w:hint="default"/>
        </w:rPr>
        <w:t>9</w:t>
      </w:r>
      <w:r>
        <w:rPr/>
        <w:t>、对外担保的控制 </w:t>
      </w:r>
      <w:r>
        <w:rPr>
          <w:spacing w:val="-3"/>
        </w:rPr>
        <w:t>公司为了防范担保风险，建立了《对外担保管理制度》，明确担保的对象、范围、程序、担保限额和</w:t>
      </w:r>
    </w:p>
    <w:p>
      <w:pPr>
        <w:pStyle w:val="BodyText"/>
        <w:spacing w:line="408" w:lineRule="auto"/>
        <w:ind w:right="1131"/>
        <w:jc w:val="both"/>
      </w:pPr>
      <w:r>
        <w:rPr>
          <w:spacing w:val="-1"/>
        </w:rPr>
        <w:t>禁止担保等事项，并要求指定部门或者委托中介机构对担保对象进行资信调查，通过规定的审批程序才可</w:t>
      </w:r>
      <w:r>
        <w:rPr>
          <w:spacing w:val="-81"/>
        </w:rPr>
        <w:t> </w:t>
      </w:r>
      <w:r>
        <w:rPr>
          <w:spacing w:val="-81"/>
        </w:rPr>
      </w:r>
      <w:r>
        <w:rPr>
          <w:spacing w:val="-1"/>
        </w:rPr>
        <w:t>以签订担保合同。公司指定财务部管理担保合同，定期监测担保人的经营情况，同时明确了担保业务的责</w:t>
      </w:r>
      <w:r>
        <w:rPr>
          <w:spacing w:val="-83"/>
        </w:rPr>
        <w:t> </w:t>
      </w:r>
      <w:r>
        <w:rPr>
          <w:spacing w:val="-83"/>
        </w:rPr>
      </w:r>
      <w:r>
        <w:rPr/>
        <w:t>任追究机制。审计部每季度对对外担保情况进行审计。</w:t>
      </w:r>
    </w:p>
    <w:p>
      <w:pPr>
        <w:pStyle w:val="BodyText"/>
        <w:spacing w:line="408" w:lineRule="auto"/>
        <w:ind w:left="573" w:right="1046"/>
        <w:jc w:val="left"/>
      </w:pPr>
      <w:r>
        <w:rPr>
          <w:rFonts w:ascii="宋体" w:hAnsi="宋体" w:cs="宋体" w:eastAsia="宋体" w:hint="default"/>
        </w:rPr>
        <w:t>10</w:t>
      </w:r>
      <w:r>
        <w:rPr/>
        <w:t>、会计系统和财务报告的控制 </w:t>
      </w:r>
      <w:r>
        <w:rPr>
          <w:spacing w:val="-1"/>
        </w:rPr>
        <w:t>为了真实、综合反映公司的生产经营活动，及时、准确地进行会计核算，并提供财务信息和经营管理</w:t>
      </w:r>
    </w:p>
    <w:p>
      <w:pPr>
        <w:pStyle w:val="BodyText"/>
        <w:spacing w:line="408" w:lineRule="auto"/>
        <w:ind w:right="1094"/>
        <w:jc w:val="left"/>
      </w:pPr>
      <w:r>
        <w:rPr>
          <w:spacing w:val="-3"/>
        </w:rPr>
        <w:t>信息，公司制定了《财务管理制度》，明确会计政策、会计估计和差错更正、利润及分配管理、会计核算</w:t>
      </w:r>
      <w:r>
        <w:rPr>
          <w:spacing w:val="-73"/>
        </w:rPr>
        <w:t> </w:t>
      </w:r>
      <w:r>
        <w:rPr>
          <w:spacing w:val="-73"/>
        </w:rPr>
      </w:r>
      <w:r>
        <w:rPr>
          <w:spacing w:val="-1"/>
        </w:rPr>
        <w:t>内容和程序、财务报告及分析管理、财务信息系统管理、子公司管理、税务管理、成本费用管理、财务预</w:t>
      </w:r>
      <w:r>
        <w:rPr>
          <w:spacing w:val="-83"/>
        </w:rPr>
        <w:t> </w:t>
      </w:r>
      <w:r>
        <w:rPr>
          <w:spacing w:val="-83"/>
        </w:rPr>
      </w:r>
      <w:r>
        <w:rPr/>
        <w:t>算管理等方面的内容。公司采用</w:t>
      </w:r>
      <w:r>
        <w:rPr>
          <w:spacing w:val="-53"/>
        </w:rPr>
        <w:t> </w:t>
      </w:r>
      <w:r>
        <w:rPr>
          <w:rFonts w:ascii="宋体" w:hAnsi="宋体" w:cs="宋体" w:eastAsia="宋体" w:hint="default"/>
        </w:rPr>
        <w:t>ERP</w:t>
      </w:r>
      <w:r>
        <w:rPr>
          <w:rFonts w:ascii="宋体" w:hAnsi="宋体" w:cs="宋体" w:eastAsia="宋体" w:hint="default"/>
          <w:spacing w:val="-53"/>
        </w:rPr>
        <w:t> </w:t>
      </w:r>
      <w:r>
        <w:rPr/>
        <w:t>系统进行财务核算，记账、复核、过账、结账、报表都有专人负责， </w:t>
      </w:r>
      <w:r>
        <w:rPr>
          <w:spacing w:val="-1"/>
        </w:rPr>
        <w:t>以保证账簿记录内容完整、数字准确。公司每月根据各单体报表编制合并报表，并根据相关的法规及时披</w:t>
      </w:r>
      <w:r>
        <w:rPr>
          <w:spacing w:val="-83"/>
        </w:rPr>
        <w:t> </w:t>
      </w:r>
      <w:r>
        <w:rPr>
          <w:spacing w:val="-83"/>
        </w:rPr>
      </w:r>
      <w:r>
        <w:rPr/>
        <w:t>露财务报告。</w:t>
      </w:r>
    </w:p>
    <w:p>
      <w:pPr>
        <w:pStyle w:val="BodyText"/>
        <w:spacing w:line="408" w:lineRule="auto"/>
        <w:ind w:left="573" w:right="1046"/>
        <w:jc w:val="left"/>
      </w:pPr>
      <w:r>
        <w:rPr>
          <w:rFonts w:ascii="宋体" w:hAnsi="宋体" w:cs="宋体" w:eastAsia="宋体" w:hint="default"/>
        </w:rPr>
        <w:t>11</w:t>
      </w:r>
      <w:r>
        <w:rPr/>
        <w:t>、信息披露的控制 </w:t>
      </w:r>
      <w:r>
        <w:rPr>
          <w:spacing w:val="-1"/>
        </w:rPr>
        <w:t>公司按照《上市公司信息披露管理办法》和《深圳证券交易所中小板上市公司公平信息披露指引》的</w:t>
      </w:r>
    </w:p>
    <w:p>
      <w:pPr>
        <w:pStyle w:val="BodyText"/>
        <w:spacing w:line="408" w:lineRule="auto"/>
        <w:ind w:right="1093"/>
        <w:jc w:val="left"/>
      </w:pPr>
      <w:r>
        <w:rPr>
          <w:spacing w:val="-3"/>
        </w:rPr>
        <w:t>要求，建立了《重大信息内部报告制度》和《信息披露管理制度》，明确信息收集和内部报告机制、重大</w:t>
      </w:r>
      <w:r>
        <w:rPr>
          <w:spacing w:val="-74"/>
        </w:rPr>
        <w:t> </w:t>
      </w:r>
      <w:r>
        <w:rPr>
          <w:spacing w:val="-74"/>
        </w:rPr>
      </w:r>
      <w:r>
        <w:rPr>
          <w:spacing w:val="-1"/>
        </w:rPr>
        <w:t>信息披露的范围和内容。公司证券部负责对外信息披露事务，公司公开披露的信息文稿由证券部根据其他</w:t>
      </w:r>
      <w:r>
        <w:rPr>
          <w:spacing w:val="-81"/>
        </w:rPr>
        <w:t> </w:t>
      </w:r>
      <w:r>
        <w:rPr>
          <w:spacing w:val="-81"/>
        </w:rPr>
      </w:r>
      <w:r>
        <w:rPr>
          <w:spacing w:val="-1"/>
        </w:rPr>
        <w:t>部门提供的资料负责起草，由董事会秘书进行审核，在履行审批程序后加以披露。公司设专人负责回答投</w:t>
      </w:r>
      <w:r>
        <w:rPr>
          <w:spacing w:val="-83"/>
        </w:rPr>
        <w:t> </w:t>
      </w:r>
      <w:r>
        <w:rPr>
          <w:spacing w:val="-83"/>
        </w:rPr>
      </w:r>
      <w:r>
        <w:rPr/>
        <w:t>资者所提的问题，相关人员以公开披露的信息作为回答投资者提问的依据，通过公告、股东大会、网站、</w:t>
      </w:r>
      <w:r>
        <w:rPr/>
        <w:t> 媒体采访、现场参观等各种方式和投资者进行广泛深入的信息沟通，保证投资者的知情权。</w:t>
      </w:r>
    </w:p>
    <w:p>
      <w:pPr>
        <w:pStyle w:val="BodyText"/>
        <w:spacing w:line="408" w:lineRule="auto"/>
        <w:ind w:right="1046" w:firstLine="420"/>
        <w:jc w:val="left"/>
      </w:pPr>
      <w:r>
        <w:rPr>
          <w:spacing w:val="-3"/>
        </w:rPr>
        <w:t>公司建立了《内幕信息知情人报备制度》，明确内幕信息知情人的范围、建立内幕信息知情人登记备</w:t>
      </w:r>
      <w:r>
        <w:rPr/>
        <w:t> 案管理，确保内幕信息得到有效的管理。</w:t>
      </w:r>
    </w:p>
    <w:p>
      <w:pPr>
        <w:pStyle w:val="BodyText"/>
        <w:spacing w:line="240" w:lineRule="auto"/>
        <w:ind w:left="573" w:right="1046"/>
        <w:jc w:val="left"/>
      </w:pPr>
      <w:r>
        <w:rPr/>
        <w:t>（四）信息沟通</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46" w:firstLine="420"/>
        <w:jc w:val="left"/>
      </w:pPr>
      <w:r>
        <w:rPr>
          <w:spacing w:val="-3"/>
        </w:rPr>
        <w:t>本公司建立了《重大信息内部报告制度》，规范了重大信息的内容，明确了报告的流程和责任人，要</w:t>
      </w:r>
      <w:r>
        <w:rPr/>
        <w:t> </w:t>
      </w:r>
      <w:r>
        <w:rPr>
          <w:spacing w:val="-1"/>
        </w:rPr>
        <w:t>求在实时报告重大信息同时注意信息保密。公司持续地运用各种信息化手段提管理层决策及运营效力，公</w:t>
      </w:r>
      <w:r>
        <w:rPr>
          <w:spacing w:val="-81"/>
        </w:rPr>
        <w:t> </w:t>
      </w:r>
      <w:r>
        <w:rPr>
          <w:spacing w:val="-81"/>
        </w:rPr>
      </w:r>
      <w:r>
        <w:rPr/>
        <w:t>司内部通过邮件、办公</w:t>
      </w:r>
      <w:r>
        <w:rPr>
          <w:spacing w:val="-54"/>
        </w:rPr>
        <w:t> </w:t>
      </w:r>
      <w:r>
        <w:rPr>
          <w:rFonts w:ascii="宋体" w:hAnsi="宋体" w:cs="宋体" w:eastAsia="宋体" w:hint="default"/>
        </w:rPr>
        <w:t>OA</w:t>
      </w:r>
      <w:r>
        <w:rPr>
          <w:rFonts w:ascii="宋体" w:hAnsi="宋体" w:cs="宋体" w:eastAsia="宋体" w:hint="default"/>
          <w:spacing w:val="-54"/>
        </w:rPr>
        <w:t> </w:t>
      </w:r>
      <w:r>
        <w:rPr/>
        <w:t>系统、总裁信箱、员工建议、会议、工作周报等方式进行信息的沟通和传递。</w:t>
      </w:r>
    </w:p>
    <w:p>
      <w:pPr>
        <w:pStyle w:val="BodyText"/>
        <w:spacing w:line="408" w:lineRule="auto"/>
        <w:ind w:left="154" w:right="1023" w:firstLine="420"/>
        <w:jc w:val="left"/>
      </w:pPr>
      <w:r>
        <w:rPr/>
        <w:t>在与客户、合作伙伴、投资者关系方面，公司已建立起较完整透明的沟通渠道，在完善沟通的同时发 </w:t>
      </w:r>
      <w:r>
        <w:rPr>
          <w:spacing w:val="-3"/>
        </w:rPr>
        <w:t>挥了对公司管理的监督作用。对客户，公司的全球客户服务部接收客户的投诉，并进行登记、调查和解决，</w:t>
      </w:r>
      <w:r>
        <w:rPr>
          <w:spacing w:val="-96"/>
        </w:rPr>
        <w:t> </w:t>
      </w:r>
      <w:r>
        <w:rPr>
          <w:spacing w:val="-96"/>
        </w:rPr>
      </w:r>
      <w:r>
        <w:rPr>
          <w:spacing w:val="-3"/>
        </w:rPr>
        <w:t>保证公司的产品能够最大限度满足客户的需求。对投资者，公司建立《投资者关系管理制度》，公司除了</w:t>
      </w:r>
      <w:r>
        <w:rPr>
          <w:spacing w:val="-73"/>
        </w:rPr>
        <w:t> </w:t>
      </w:r>
      <w:r>
        <w:rPr>
          <w:spacing w:val="-73"/>
        </w:rPr>
      </w:r>
      <w:r>
        <w:rPr/>
        <w:t>通过法定信息披露渠道发布公司信息外，投资者还可以通过电话、电子邮件、访问公司网站、直接到访公</w:t>
      </w:r>
      <w:r>
        <w:rPr/>
        <w:t> 司等方式了解公司信息，保证投资者及时了解公司的经营动态；对供应商，公司会定期进行供应商审核和 评价，确保供应商的资质满足公司生产的需要。</w:t>
      </w:r>
    </w:p>
    <w:p>
      <w:pPr>
        <w:pStyle w:val="BodyText"/>
        <w:spacing w:line="408" w:lineRule="auto"/>
        <w:ind w:left="574" w:right="1046"/>
        <w:jc w:val="left"/>
      </w:pPr>
      <w:r>
        <w:rPr/>
        <w:t>（五）监督 </w:t>
      </w:r>
      <w:r>
        <w:rPr>
          <w:spacing w:val="-1"/>
        </w:rPr>
        <w:t>公司监事会负责对董事、经理及其他高级管理人员的履职情形及公司依法运作情况进行监督，对股东</w:t>
      </w:r>
    </w:p>
    <w:p>
      <w:pPr>
        <w:pStyle w:val="BodyText"/>
        <w:spacing w:line="240" w:lineRule="auto"/>
        <w:ind w:left="154" w:right="1046"/>
        <w:jc w:val="left"/>
      </w:pPr>
      <w:r>
        <w:rPr/>
        <w:t>大会负责。</w:t>
      </w:r>
    </w:p>
    <w:p>
      <w:pPr>
        <w:spacing w:line="240" w:lineRule="auto" w:before="10"/>
        <w:rPr>
          <w:rFonts w:ascii="宋体" w:hAnsi="宋体" w:cs="宋体" w:eastAsia="宋体" w:hint="default"/>
          <w:sz w:val="14"/>
          <w:szCs w:val="14"/>
        </w:rPr>
      </w:pPr>
    </w:p>
    <w:p>
      <w:pPr>
        <w:pStyle w:val="BodyText"/>
        <w:spacing w:line="408" w:lineRule="auto" w:before="0"/>
        <w:ind w:left="154" w:right="1046" w:firstLine="420"/>
        <w:jc w:val="left"/>
      </w:pPr>
      <w:r>
        <w:rPr>
          <w:spacing w:val="-1"/>
        </w:rPr>
        <w:t>审计委员会是董事会的专门委员会，主要负责公司内、外部审计的沟通、监督和核查工作，确保董事</w:t>
      </w:r>
      <w:r>
        <w:rPr/>
        <w:t> 会对管理层有效监督。</w:t>
      </w:r>
    </w:p>
    <w:p>
      <w:pPr>
        <w:pStyle w:val="BodyText"/>
        <w:spacing w:line="408" w:lineRule="auto"/>
        <w:ind w:left="154" w:right="1131" w:firstLine="420"/>
        <w:jc w:val="both"/>
      </w:pPr>
      <w:r>
        <w:rPr>
          <w:spacing w:val="-1"/>
        </w:rPr>
        <w:t>公司审计部负责对全公司及控股子公司的财务收支及经济活动进行审计、监督，对其经济效益的真实</w:t>
      </w:r>
      <w:r>
        <w:rPr/>
        <w:t> </w:t>
      </w:r>
      <w:r>
        <w:rPr>
          <w:spacing w:val="-1"/>
        </w:rPr>
        <w:t>性、合理性、合法性做出合理评价，及时发现内部控制的缺陷和不足，提出整改方案并监督落实，及时报</w:t>
      </w:r>
      <w:r>
        <w:rPr>
          <w:spacing w:val="-83"/>
        </w:rPr>
        <w:t> </w:t>
      </w:r>
      <w:r>
        <w:rPr>
          <w:spacing w:val="-83"/>
        </w:rPr>
      </w:r>
      <w:r>
        <w:rPr>
          <w:spacing w:val="-1"/>
        </w:rPr>
        <w:t>告董事会审计委员会。本报告期内，审计部开展了多项审计工作，审计项目包含每季度募集资金和对外投</w:t>
      </w:r>
      <w:r>
        <w:rPr>
          <w:spacing w:val="-83"/>
        </w:rPr>
        <w:t> </w:t>
      </w:r>
      <w:r>
        <w:rPr>
          <w:spacing w:val="-83"/>
        </w:rPr>
      </w:r>
      <w:r>
        <w:rPr>
          <w:spacing w:val="-1"/>
        </w:rPr>
        <w:t>资、关联交易等需要重点关注的审计、销售及应收流程审计、工程项目专项审计和费用专项审计等，提出</w:t>
      </w:r>
      <w:r>
        <w:rPr>
          <w:spacing w:val="-86"/>
        </w:rPr>
        <w:t> </w:t>
      </w:r>
      <w:r>
        <w:rPr>
          <w:spacing w:val="-86"/>
        </w:rPr>
      </w:r>
      <w:r>
        <w:rPr/>
        <w:t>了多项审计建议，在重大方面规范了公司的内控。</w:t>
      </w:r>
    </w:p>
    <w:p>
      <w:pPr>
        <w:spacing w:line="240" w:lineRule="auto" w:before="11"/>
        <w:rPr>
          <w:rFonts w:ascii="宋体" w:hAnsi="宋体" w:cs="宋体" w:eastAsia="宋体" w:hint="default"/>
          <w:sz w:val="18"/>
          <w:szCs w:val="18"/>
        </w:rPr>
      </w:pPr>
    </w:p>
    <w:p>
      <w:pPr>
        <w:pStyle w:val="Heading2"/>
        <w:spacing w:line="240" w:lineRule="auto"/>
        <w:ind w:left="154" w:right="1046"/>
        <w:jc w:val="left"/>
        <w:rPr>
          <w:b w:val="0"/>
          <w:bCs w:val="0"/>
        </w:rPr>
      </w:pPr>
      <w:bookmarkStart w:name="二、董事会关于内部控制责任的声明" w:id="137"/>
      <w:bookmarkEnd w:id="137"/>
      <w:r>
        <w:rPr>
          <w:b w:val="0"/>
          <w:bCs w:val="0"/>
        </w:rPr>
      </w:r>
      <w:r>
        <w:rPr/>
        <w:t>二、董事会关于内部控制责任的声明</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154" w:right="1026" w:firstLine="420"/>
        <w:jc w:val="left"/>
      </w:pPr>
      <w:r>
        <w:rPr>
          <w:spacing w:val="-12"/>
        </w:rPr>
        <w:t>公司董事会认为，公司现有的内部控制制度符合我国《公司法》、《证券法》、《企业内部控制基本规范》</w:t>
      </w:r>
      <w:r>
        <w:rPr/>
        <w:t> 和《企业内部控制配套指引》等法律法规以及监管部门规范性文件的要求，且符合公司的实际情况，能够 满足公司的发展需求，同时对公司的管理水平、规范运作以及风险控制等发挥了重要的作用。</w:t>
      </w:r>
    </w:p>
    <w:p>
      <w:pPr>
        <w:pStyle w:val="BodyText"/>
        <w:spacing w:line="408" w:lineRule="auto"/>
        <w:ind w:right="1131" w:firstLine="420"/>
        <w:jc w:val="both"/>
      </w:pPr>
      <w:r>
        <w:rPr>
          <w:spacing w:val="-1"/>
        </w:rPr>
        <w:t>报告期内，公司内部控制制度在对外担保、重大投资、信息披露、关联交易、募集资金运用等重点控</w:t>
      </w:r>
      <w:r>
        <w:rPr/>
        <w:t> </w:t>
      </w:r>
      <w:r>
        <w:rPr>
          <w:spacing w:val="-1"/>
        </w:rPr>
        <w:t>制事项方面不存在重大缺陷，公司内部控制是有效的。由于内部控制固有的局限性，内部环境以及宏观环</w:t>
      </w:r>
      <w:r>
        <w:rPr>
          <w:spacing w:val="-83"/>
        </w:rPr>
        <w:t> </w:t>
      </w:r>
      <w:r>
        <w:rPr>
          <w:spacing w:val="-83"/>
        </w:rPr>
      </w:r>
      <w:r>
        <w:rPr>
          <w:spacing w:val="-1"/>
        </w:rPr>
        <w:t>境、政策法规持续变化，可能导致原有的控制活动不适用或者出现偏差，对此公司将及时进行内部控制体</w:t>
      </w:r>
      <w:r>
        <w:rPr>
          <w:spacing w:val="-83"/>
        </w:rPr>
        <w:t> </w:t>
      </w:r>
      <w:r>
        <w:rPr>
          <w:spacing w:val="-83"/>
        </w:rPr>
      </w:r>
      <w:r>
        <w:rPr/>
        <w:t>系的补充和完善，为财务报告的真实性、完整性，以及公司战略、经营等目标的实现提供合理保障。</w:t>
      </w:r>
    </w:p>
    <w:p>
      <w:pPr>
        <w:spacing w:after="0" w:line="408"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46"/>
        <w:jc w:val="left"/>
        <w:rPr>
          <w:b w:val="0"/>
          <w:bCs w:val="0"/>
        </w:rPr>
      </w:pPr>
      <w:bookmarkStart w:name="三、建立财务报告内部控制的依据" w:id="138"/>
      <w:bookmarkEnd w:id="138"/>
      <w:r>
        <w:rPr>
          <w:b w:val="0"/>
          <w:bCs w:val="0"/>
        </w:rPr>
      </w:r>
      <w:r>
        <w:rPr/>
        <w:t>三、建立财务报告内部控制的依据</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3" w:right="1198"/>
        <w:jc w:val="left"/>
      </w:pPr>
      <w:r>
        <w:rPr/>
        <w:t>（一）公司建立内部会计控制制度的目标 </w:t>
      </w:r>
      <w:r>
        <w:rPr>
          <w:rFonts w:ascii="宋体" w:hAnsi="宋体" w:cs="宋体" w:eastAsia="宋体" w:hint="default"/>
        </w:rPr>
        <w:t>1</w:t>
      </w:r>
      <w:r>
        <w:rPr/>
        <w:t>、建立和完善符合现代公司管理要求的内部组织结构，形成科学的决策机制、执行机制和监督机制</w:t>
      </w:r>
    </w:p>
    <w:p>
      <w:pPr>
        <w:pStyle w:val="BodyText"/>
        <w:spacing w:line="408" w:lineRule="auto"/>
        <w:ind w:left="573" w:right="1828" w:hanging="420"/>
        <w:jc w:val="left"/>
      </w:pPr>
      <w:r>
        <w:rPr/>
        <w:t>保证公司经营管理目标的实现； </w:t>
      </w:r>
      <w:r>
        <w:rPr>
          <w:rFonts w:ascii="宋体" w:hAnsi="宋体" w:cs="宋体" w:eastAsia="宋体" w:hint="default"/>
        </w:rPr>
        <w:t>2</w:t>
      </w:r>
      <w:r>
        <w:rPr/>
        <w:t>、建立行之有效的风险控制系统，强化风险管理，保证公司各项经营活动的正常有序运行；</w:t>
      </w:r>
    </w:p>
    <w:p>
      <w:pPr>
        <w:pStyle w:val="BodyText"/>
        <w:spacing w:line="408" w:lineRule="auto"/>
        <w:ind w:left="154" w:right="1197" w:firstLine="420"/>
        <w:jc w:val="left"/>
      </w:pPr>
      <w:r>
        <w:rPr>
          <w:rFonts w:ascii="宋体" w:hAnsi="宋体" w:cs="宋体" w:eastAsia="宋体" w:hint="default"/>
        </w:rPr>
        <w:t>3</w:t>
      </w:r>
      <w:r>
        <w:rPr/>
        <w:t>、建立良好的公司内部控制环境，堵塞漏洞、消除隐患，防止并及时发现和纠正错误及舞弊行为， 保护公司资产的安全、完整；</w:t>
      </w:r>
    </w:p>
    <w:p>
      <w:pPr>
        <w:pStyle w:val="BodyText"/>
        <w:spacing w:line="240" w:lineRule="auto"/>
        <w:ind w:left="574" w:right="1046"/>
        <w:jc w:val="left"/>
      </w:pPr>
      <w:r>
        <w:rPr>
          <w:rFonts w:ascii="宋体" w:hAnsi="宋体" w:cs="宋体" w:eastAsia="宋体" w:hint="default"/>
        </w:rPr>
        <w:t>4</w:t>
      </w:r>
      <w:r>
        <w:rPr/>
        <w:t>、规范本公司会计行为，保证会计资料真实、完整，提高会计信息质量；</w:t>
      </w:r>
    </w:p>
    <w:p>
      <w:pPr>
        <w:spacing w:line="240" w:lineRule="auto" w:before="10"/>
        <w:rPr>
          <w:rFonts w:ascii="宋体" w:hAnsi="宋体" w:cs="宋体" w:eastAsia="宋体" w:hint="default"/>
          <w:sz w:val="14"/>
          <w:szCs w:val="14"/>
        </w:rPr>
      </w:pPr>
    </w:p>
    <w:p>
      <w:pPr>
        <w:pStyle w:val="BodyText"/>
        <w:spacing w:line="240" w:lineRule="auto" w:before="0"/>
        <w:ind w:left="574" w:right="1046"/>
        <w:jc w:val="left"/>
      </w:pPr>
      <w:r>
        <w:rPr>
          <w:rFonts w:ascii="宋体" w:hAnsi="宋体" w:cs="宋体" w:eastAsia="宋体" w:hint="default"/>
        </w:rPr>
        <w:t>5</w:t>
      </w:r>
      <w:r>
        <w:rPr/>
        <w:t>、确保国家有关法律法规和本公司内部规章制度的贯彻执行。</w:t>
      </w:r>
    </w:p>
    <w:p>
      <w:pPr>
        <w:spacing w:line="240" w:lineRule="auto" w:before="10"/>
        <w:rPr>
          <w:rFonts w:ascii="宋体" w:hAnsi="宋体" w:cs="宋体" w:eastAsia="宋体" w:hint="default"/>
          <w:sz w:val="14"/>
          <w:szCs w:val="14"/>
        </w:rPr>
      </w:pPr>
    </w:p>
    <w:p>
      <w:pPr>
        <w:pStyle w:val="BodyText"/>
        <w:spacing w:line="408" w:lineRule="auto" w:before="0"/>
        <w:ind w:left="574" w:right="1122"/>
        <w:jc w:val="left"/>
      </w:pPr>
      <w:r>
        <w:rPr/>
        <w:t>（二）公司建立内部会计控制制度应遵循的原则 </w:t>
      </w:r>
      <w:r>
        <w:rPr>
          <w:rFonts w:ascii="宋体" w:hAnsi="宋体" w:cs="宋体" w:eastAsia="宋体" w:hint="default"/>
          <w:spacing w:val="-3"/>
        </w:rPr>
        <w:t>1</w:t>
      </w:r>
      <w:r>
        <w:rPr>
          <w:spacing w:val="-3"/>
        </w:rPr>
        <w:t>、内部会计控制符合国家有关法律法规、财政部颁布的《内部会计控制规范—基本规范（试行）》及</w:t>
      </w:r>
    </w:p>
    <w:p>
      <w:pPr>
        <w:pStyle w:val="BodyText"/>
        <w:spacing w:line="408" w:lineRule="auto"/>
        <w:ind w:left="573" w:right="1198" w:hanging="420"/>
        <w:jc w:val="left"/>
      </w:pPr>
      <w:r>
        <w:rPr/>
        <w:t>相关具体规范以及本公司的实际情况； </w:t>
      </w:r>
      <w:r>
        <w:rPr>
          <w:rFonts w:ascii="宋体" w:hAnsi="宋体" w:cs="宋体" w:eastAsia="宋体" w:hint="default"/>
        </w:rPr>
        <w:t>2</w:t>
      </w:r>
      <w:r>
        <w:rPr/>
        <w:t>、内部会计控制能够约束本公司内部涉及会计工作的所有人员，任何个人都不得拥有超越内部会计</w:t>
      </w:r>
    </w:p>
    <w:p>
      <w:pPr>
        <w:pStyle w:val="BodyText"/>
        <w:spacing w:line="240" w:lineRule="auto"/>
        <w:ind w:left="154" w:right="1046"/>
        <w:jc w:val="left"/>
      </w:pPr>
      <w:r>
        <w:rPr/>
        <w:t>控制的权力；</w:t>
      </w:r>
    </w:p>
    <w:p>
      <w:pPr>
        <w:spacing w:line="240" w:lineRule="auto" w:before="10"/>
        <w:rPr>
          <w:rFonts w:ascii="宋体" w:hAnsi="宋体" w:cs="宋体" w:eastAsia="宋体" w:hint="default"/>
          <w:sz w:val="14"/>
          <w:szCs w:val="14"/>
        </w:rPr>
      </w:pPr>
    </w:p>
    <w:p>
      <w:pPr>
        <w:pStyle w:val="BodyText"/>
        <w:spacing w:line="408" w:lineRule="auto" w:before="0"/>
        <w:ind w:left="154" w:right="1197" w:firstLine="420"/>
        <w:jc w:val="left"/>
      </w:pPr>
      <w:r>
        <w:rPr>
          <w:rFonts w:ascii="宋体" w:hAnsi="宋体" w:cs="宋体" w:eastAsia="宋体" w:hint="default"/>
        </w:rPr>
        <w:t>3</w:t>
      </w:r>
      <w:r>
        <w:rPr/>
        <w:t>、内部会计控制能够涵盖本公司内部涉及会计工作的各项经济业务及相关岗位，并针对业务处理过 程中的关键控制点，落实到决策、执行、监督、反馈等各个环节；</w:t>
      </w:r>
    </w:p>
    <w:p>
      <w:pPr>
        <w:pStyle w:val="BodyText"/>
        <w:spacing w:line="408" w:lineRule="auto"/>
        <w:ind w:left="154" w:right="1197" w:firstLine="420"/>
        <w:jc w:val="left"/>
      </w:pPr>
      <w:r>
        <w:rPr>
          <w:rFonts w:ascii="宋体" w:hAnsi="宋体" w:cs="宋体" w:eastAsia="宋体" w:hint="default"/>
        </w:rPr>
        <w:t>4</w:t>
      </w:r>
      <w:r>
        <w:rPr/>
        <w:t>、内部会计控制能够保证本公司内部涉及会计工作的机构、岗位的合理设置及其职责权限的合理划 分，坚持不相容职务相互分离，确保不同机构和岗位之间权责分明、相互制约、相互监督；</w:t>
      </w:r>
    </w:p>
    <w:p>
      <w:pPr>
        <w:pStyle w:val="BodyText"/>
        <w:spacing w:line="240" w:lineRule="auto"/>
        <w:ind w:left="574" w:right="1046"/>
        <w:jc w:val="left"/>
      </w:pPr>
      <w:r>
        <w:rPr>
          <w:rFonts w:ascii="宋体" w:hAnsi="宋体" w:cs="宋体" w:eastAsia="宋体" w:hint="default"/>
        </w:rPr>
        <w:t>5</w:t>
      </w:r>
      <w:r>
        <w:rPr/>
        <w:t>、本公司建立内部会计控制时遵循成本效益原则，以合理的控制成本达到最佳的控制效果；</w:t>
      </w:r>
    </w:p>
    <w:p>
      <w:pPr>
        <w:spacing w:line="240" w:lineRule="auto" w:before="10"/>
        <w:rPr>
          <w:rFonts w:ascii="宋体" w:hAnsi="宋体" w:cs="宋体" w:eastAsia="宋体" w:hint="default"/>
          <w:sz w:val="14"/>
          <w:szCs w:val="14"/>
        </w:rPr>
      </w:pPr>
    </w:p>
    <w:p>
      <w:pPr>
        <w:pStyle w:val="BodyText"/>
        <w:spacing w:line="408" w:lineRule="auto" w:before="0"/>
        <w:ind w:left="154" w:right="1197" w:firstLine="420"/>
        <w:jc w:val="left"/>
      </w:pPr>
      <w:r>
        <w:rPr>
          <w:rFonts w:ascii="宋体" w:hAnsi="宋体" w:cs="宋体" w:eastAsia="宋体" w:hint="default"/>
        </w:rPr>
        <w:t>6</w:t>
      </w:r>
      <w:r>
        <w:rPr/>
        <w:t>、内部会计控制能够随着外部环境的变化、本公司业务职能的调整和管理要求的提高，不断修订和 完善。</w:t>
      </w:r>
    </w:p>
    <w:p>
      <w:pPr>
        <w:spacing w:line="240" w:lineRule="auto" w:before="11"/>
        <w:rPr>
          <w:rFonts w:ascii="宋体" w:hAnsi="宋体" w:cs="宋体" w:eastAsia="宋体" w:hint="default"/>
          <w:sz w:val="18"/>
          <w:szCs w:val="18"/>
        </w:rPr>
      </w:pPr>
    </w:p>
    <w:p>
      <w:pPr>
        <w:pStyle w:val="Heading2"/>
        <w:spacing w:line="240" w:lineRule="auto"/>
        <w:ind w:left="154" w:right="1046"/>
        <w:jc w:val="left"/>
        <w:rPr>
          <w:b w:val="0"/>
          <w:bCs w:val="0"/>
        </w:rPr>
      </w:pPr>
      <w:bookmarkStart w:name="四、内部控制评价报告" w:id="139"/>
      <w:bookmarkEnd w:id="139"/>
      <w:r>
        <w:rPr>
          <w:b w:val="0"/>
          <w:bCs w:val="0"/>
        </w:rPr>
      </w:r>
      <w:r>
        <w:rPr/>
        <w:t>四、内部控制评价报告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8" w:right="0"/>
              <w:jc w:val="left"/>
              <w:rPr>
                <w:rFonts w:ascii="宋体" w:hAnsi="宋体" w:cs="宋体" w:eastAsia="宋体" w:hint="default"/>
                <w:sz w:val="18"/>
                <w:szCs w:val="18"/>
              </w:rPr>
            </w:pPr>
            <w:r>
              <w:rPr>
                <w:rFonts w:ascii="宋体" w:hAnsi="宋体" w:cs="宋体" w:eastAsia="宋体" w:hint="default"/>
                <w:sz w:val="18"/>
                <w:szCs w:val="18"/>
              </w:rPr>
              <w:t>内部控制评价报告中报告期内发现的内部控制重大缺陷的具体情况</w:t>
            </w:r>
          </w:p>
        </w:tc>
      </w:tr>
      <w:tr>
        <w:trPr>
          <w:trHeight w:val="2315"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firstLine="360"/>
              <w:jc w:val="both"/>
              <w:rPr>
                <w:rFonts w:ascii="宋体" w:hAnsi="宋体" w:cs="宋体" w:eastAsia="宋体" w:hint="default"/>
                <w:sz w:val="18"/>
                <w:szCs w:val="18"/>
              </w:rPr>
            </w:pPr>
            <w:r>
              <w:rPr>
                <w:rFonts w:ascii="宋体" w:hAnsi="宋体" w:cs="宋体" w:eastAsia="宋体" w:hint="default"/>
                <w:spacing w:val="-8"/>
                <w:sz w:val="18"/>
                <w:szCs w:val="18"/>
              </w:rPr>
              <w:t>公司已按照《公司法》、《企业内部控制规范》、《企业内部控制应用指引》和《深圳证券交易所中小企业板上市公司规</w:t>
            </w:r>
            <w:r>
              <w:rPr>
                <w:rFonts w:ascii="宋体" w:hAnsi="宋体" w:cs="宋体" w:eastAsia="宋体" w:hint="default"/>
                <w:sz w:val="18"/>
                <w:szCs w:val="18"/>
              </w:rPr>
              <w:t> </w:t>
            </w:r>
            <w:r>
              <w:rPr>
                <w:rFonts w:ascii="宋体" w:hAnsi="宋体" w:cs="宋体" w:eastAsia="宋体" w:hint="default"/>
                <w:spacing w:val="-1"/>
                <w:sz w:val="18"/>
                <w:szCs w:val="18"/>
              </w:rPr>
              <w:t>范运作指引》等法律法规的要求，建立了适应公司实际情况的内控制度，能够对公司各项业务活动的健康运行及国家有关</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法律法规和单位内部规章制度的贯彻执行提供保证。但随着外部环境的变化、业务的快速发展和管理要求的不断提高，公</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司内部控制制度仍需要不断进行完善，主要表现在：</w:t>
            </w:r>
          </w:p>
          <w:p>
            <w:pPr>
              <w:pStyle w:val="TableParagraph"/>
              <w:spacing w:line="302" w:lineRule="auto" w:before="56"/>
              <w:ind w:left="22" w:right="8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、需要不断对员工进行了全面、严格的业务技能培训，对重点业务流程进行了合理的优化，更大程度地保证人员业 务素质满足业务流程控制的需要。</w:t>
            </w:r>
          </w:p>
          <w:p>
            <w:pPr>
              <w:pStyle w:val="TableParagraph"/>
              <w:spacing w:line="240" w:lineRule="auto" w:before="68"/>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、通过培训进一步加强了全体员工，特别是董事、监事、高级管理人员对规范运作和诚信意识的认识和理解，牢固</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2002"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树立公司规范化运作的理念。</w:t>
            </w:r>
          </w:p>
          <w:p>
            <w:pPr>
              <w:pStyle w:val="TableParagraph"/>
              <w:spacing w:line="309" w:lineRule="auto" w:before="116"/>
              <w:ind w:left="22" w:right="23"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、进一步强化和完善内审部门的监督职能。以审计委员会主导，以内部审计部门为实施部门，对内部控制建立与实 </w:t>
            </w:r>
            <w:r>
              <w:rPr>
                <w:rFonts w:ascii="宋体" w:hAnsi="宋体" w:cs="宋体" w:eastAsia="宋体" w:hint="default"/>
                <w:spacing w:val="-1"/>
                <w:sz w:val="18"/>
                <w:szCs w:val="18"/>
              </w:rPr>
              <w:t>施情况进行常规、持续的日常监督检查；同时加强对内部控制重要方面进行有针对性的专项监督检查。进一步完善内部控</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制评价机制，及时发现内部控制缺陷，及时加以改进，保证内部控制的有效性。</w:t>
            </w:r>
          </w:p>
          <w:p>
            <w:pPr>
              <w:pStyle w:val="TableParagraph"/>
              <w:spacing w:line="302" w:lineRule="auto" w:before="63"/>
              <w:ind w:left="22" w:right="8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、加强风险评估体系建设。应全面系统的收集相关信息，结合实际情况，及时进行风险评估。采取相应措施，实现 对风险的有效控制。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4"/>
              <w:jc w:val="center"/>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54" w:right="1046"/>
        <w:jc w:val="left"/>
        <w:rPr>
          <w:b w:val="0"/>
          <w:bCs w:val="0"/>
        </w:rPr>
      </w:pPr>
      <w:bookmarkStart w:name="五、内部控制审计报告或鉴证报告" w:id="140"/>
      <w:bookmarkEnd w:id="140"/>
      <w:r>
        <w:rPr>
          <w:b w:val="0"/>
          <w:bCs w:val="0"/>
        </w:rPr>
      </w:r>
      <w:r>
        <w:rPr/>
        <w:t>五、内部控制审计报告或鉴证报告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85"/>
              <w:jc w:val="left"/>
              <w:rPr>
                <w:rFonts w:ascii="宋体" w:hAnsi="宋体" w:cs="宋体" w:eastAsia="宋体" w:hint="default"/>
                <w:sz w:val="18"/>
                <w:szCs w:val="18"/>
              </w:rPr>
            </w:pPr>
            <w:r>
              <w:rPr>
                <w:rFonts w:ascii="宋体" w:hAnsi="宋体" w:cs="宋体" w:eastAsia="宋体" w:hint="default"/>
                <w:sz w:val="18"/>
                <w:szCs w:val="18"/>
              </w:rPr>
              <w:t>海能达通信股份有限公司于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 财务报告内部控制。</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宋体" w:hAnsi="宋体" w:cs="宋体" w:eastAsia="宋体" w:hint="default"/>
                <w:spacing w:val="-60"/>
                <w:sz w:val="18"/>
                <w:szCs w:val="18"/>
              </w:rPr>
              <w:t> </w:t>
            </w:r>
            <w:hyperlink r:id="rId11">
              <w:r>
                <w:rPr>
                  <w:rFonts w:ascii="Times New Roman" w:hAnsi="Times New Roman" w:cs="Times New Roman" w:eastAsia="Times New Roman" w:hint="default"/>
                  <w:sz w:val="18"/>
                  <w:szCs w:val="18"/>
                </w:rPr>
                <w:t>www.cninfo.com.cn</w:t>
              </w:r>
            </w:hyperlink>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3" w:right="46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3"/>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1046"/>
        <w:jc w:val="left"/>
        <w:rPr>
          <w:b w:val="0"/>
          <w:bCs w:val="0"/>
        </w:rPr>
      </w:pPr>
      <w:bookmarkStart w:name="六、年度报告重大差错责任追究制度的建立与执行情况" w:id="141"/>
      <w:bookmarkEnd w:id="141"/>
      <w:r>
        <w:rPr>
          <w:b w:val="0"/>
          <w:bCs w:val="0"/>
        </w:rPr>
      </w:r>
      <w:r>
        <w:rPr/>
        <w:t>六、年度报告重大差错责任追究制度的建立与执行情况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before="0"/>
        <w:ind w:right="1046" w:firstLine="420"/>
        <w:jc w:val="left"/>
      </w:pPr>
      <w:r>
        <w:rPr>
          <w:spacing w:val="-3"/>
        </w:rPr>
        <w:t>公司已经建立了《年报信息披露重大差错责任追究制度》，严格按照制度执行。报告期内公司未发生</w:t>
      </w:r>
      <w:r>
        <w:rPr/>
        <w:t> 重大会计差错更正、重大遗漏信息补充等情况。</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607" w:right="1046"/>
        <w:jc w:val="left"/>
        <w:rPr>
          <w:b w:val="0"/>
          <w:bCs w:val="0"/>
        </w:rPr>
      </w:pPr>
      <w:bookmarkStart w:name="_TOC_250001" w:id="142"/>
      <w:bookmarkStart w:name="第十一节 财务报告" w:id="143"/>
      <w:r>
        <w:rPr>
          <w:b w:val="0"/>
          <w:bCs w:val="0"/>
        </w:rPr>
      </w:r>
      <w:r>
        <w:rPr/>
        <w:t>第十一节</w:t>
      </w:r>
      <w:r>
        <w:rPr>
          <w:spacing w:val="-6"/>
        </w:rPr>
        <w:t> </w:t>
      </w:r>
      <w:r>
        <w:rPr/>
        <w:t>财务报告</w:t>
      </w:r>
      <w:bookmarkEnd w:id="14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46"/>
        <w:jc w:val="left"/>
        <w:rPr>
          <w:b w:val="0"/>
          <w:bCs w:val="0"/>
        </w:rPr>
      </w:pPr>
      <w:bookmarkStart w:name="一、审计报告" w:id="144"/>
      <w:bookmarkEnd w:id="144"/>
      <w:r>
        <w:rPr>
          <w:b w:val="0"/>
          <w:bCs w:val="0"/>
        </w:rPr>
      </w:r>
      <w:r>
        <w:rPr/>
        <w:t>一、审计报告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2"/>
        <w:gridCol w:w="4787"/>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瑞华会计师事务所（特殊普通合伙）</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瑞华审字</w:t>
            </w:r>
            <w:r>
              <w:rPr>
                <w:rFonts w:ascii="Times New Roman" w:hAnsi="Times New Roman" w:cs="Times New Roman" w:eastAsia="Times New Roman" w:hint="default"/>
                <w:sz w:val="18"/>
                <w:szCs w:val="18"/>
              </w:rPr>
              <w:t>[2015]48090024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桑涛、徐凌</w:t>
            </w:r>
          </w:p>
        </w:tc>
      </w:tr>
    </w:tbl>
    <w:p>
      <w:pPr>
        <w:spacing w:before="51"/>
        <w:ind w:left="558" w:right="1534"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3"/>
        <w:rPr>
          <w:rFonts w:ascii="宋体" w:hAnsi="宋体" w:cs="宋体" w:eastAsia="宋体" w:hint="default"/>
          <w:sz w:val="10"/>
          <w:szCs w:val="10"/>
        </w:rPr>
      </w:pPr>
    </w:p>
    <w:p>
      <w:pPr>
        <w:pStyle w:val="Heading3"/>
        <w:spacing w:line="240" w:lineRule="auto" w:before="35"/>
        <w:ind w:left="153" w:right="1046"/>
        <w:jc w:val="left"/>
        <w:rPr>
          <w:b w:val="0"/>
          <w:bCs w:val="0"/>
        </w:rPr>
      </w:pPr>
      <w:r>
        <w:rPr/>
        <w:t>海能达通信股份有限公司全体股东：</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37"/>
        <w:ind w:left="573" w:right="1046"/>
        <w:jc w:val="left"/>
      </w:pPr>
      <w:r>
        <w:rPr/>
        <w:t>我们审计了后附的海能达通信股份有限公司（以下简称“海能达公司”）的财务报表，包括</w:t>
      </w:r>
      <w:r>
        <w:rPr>
          <w:spacing w:val="-52"/>
        </w:rPr>
        <w:t> </w:t>
      </w:r>
      <w:r>
        <w:rPr>
          <w:rFonts w:ascii="宋体" w:hAnsi="宋体" w:cs="宋体" w:eastAsia="宋体" w:hint="default"/>
        </w:rPr>
        <w:t>2014</w:t>
      </w:r>
      <w:r>
        <w:rPr>
          <w:rFonts w:ascii="宋体" w:hAnsi="宋体" w:cs="宋体" w:eastAsia="宋体" w:hint="default"/>
          <w:spacing w:val="-53"/>
        </w:rPr>
        <w:t> </w:t>
      </w:r>
      <w:r>
        <w:rPr/>
        <w:t>年</w:t>
      </w:r>
    </w:p>
    <w:p>
      <w:pPr>
        <w:spacing w:line="240" w:lineRule="auto" w:before="10"/>
        <w:rPr>
          <w:rFonts w:ascii="宋体" w:hAnsi="宋体" w:cs="宋体" w:eastAsia="宋体" w:hint="default"/>
          <w:sz w:val="14"/>
          <w:szCs w:val="14"/>
        </w:rPr>
      </w:pPr>
    </w:p>
    <w:p>
      <w:pPr>
        <w:pStyle w:val="BodyText"/>
        <w:spacing w:line="408" w:lineRule="auto" w:before="0"/>
        <w:ind w:right="1119"/>
        <w:jc w:val="left"/>
      </w:pPr>
      <w:r>
        <w:rPr>
          <w:rFonts w:ascii="宋体" w:hAnsi="宋体" w:cs="宋体" w:eastAsia="宋体" w:hint="default"/>
        </w:rPr>
        <w:t>12</w:t>
      </w:r>
      <w:r>
        <w:rPr>
          <w:rFonts w:ascii="宋体" w:hAnsi="宋体" w:cs="宋体" w:eastAsia="宋体" w:hint="default"/>
          <w:spacing w:val="-60"/>
        </w:rPr>
        <w:t> </w:t>
      </w:r>
      <w:r>
        <w:rPr/>
        <w:t>月</w:t>
      </w:r>
      <w:r>
        <w:rPr>
          <w:spacing w:val="-59"/>
        </w:rPr>
        <w:t> </w:t>
      </w:r>
      <w:r>
        <w:rPr>
          <w:rFonts w:ascii="宋体" w:hAnsi="宋体" w:cs="宋体" w:eastAsia="宋体" w:hint="default"/>
        </w:rPr>
        <w:t>31</w:t>
      </w:r>
      <w:r>
        <w:rPr>
          <w:rFonts w:ascii="宋体" w:hAnsi="宋体" w:cs="宋体" w:eastAsia="宋体" w:hint="default"/>
          <w:spacing w:val="-59"/>
        </w:rPr>
        <w:t> </w:t>
      </w:r>
      <w:r>
        <w:rPr/>
        <w:t>日合并及公司的资产负债表，</w:t>
      </w:r>
      <w:r>
        <w:rPr>
          <w:rFonts w:ascii="宋体" w:hAnsi="宋体" w:cs="宋体" w:eastAsia="宋体" w:hint="default"/>
        </w:rPr>
        <w:t>2014</w:t>
      </w:r>
      <w:r>
        <w:rPr>
          <w:rFonts w:ascii="宋体" w:hAnsi="宋体" w:cs="宋体" w:eastAsia="宋体" w:hint="default"/>
          <w:spacing w:val="-58"/>
        </w:rPr>
        <w:t> </w:t>
      </w:r>
      <w:r>
        <w:rPr/>
        <w:t>年度合并及公司的利润表、合并及公司的现金流量表和合并及 公司的股东权益变动表以及财务报表附注。</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408" w:lineRule="auto" w:before="0"/>
        <w:ind w:left="574" w:right="1122"/>
        <w:jc w:val="left"/>
      </w:pPr>
      <w:r>
        <w:rPr/>
        <w:t>一、管理层对财务报表的责任 </w:t>
      </w:r>
      <w:r>
        <w:rPr>
          <w:spacing w:val="-3"/>
        </w:rPr>
        <w:t>编制和公允列报财务报表是海能达公司管理层的责任。这种责任包括：（</w:t>
      </w:r>
      <w:r>
        <w:rPr>
          <w:rFonts w:ascii="宋体" w:hAnsi="宋体" w:cs="宋体" w:eastAsia="宋体" w:hint="default"/>
          <w:spacing w:val="-3"/>
        </w:rPr>
        <w:t>1</w:t>
      </w:r>
      <w:r>
        <w:rPr>
          <w:spacing w:val="-3"/>
        </w:rPr>
        <w:t>）按照企业会计准则的规定</w:t>
      </w:r>
    </w:p>
    <w:p>
      <w:pPr>
        <w:pStyle w:val="BodyText"/>
        <w:spacing w:line="408" w:lineRule="auto"/>
        <w:ind w:right="1129"/>
        <w:jc w:val="left"/>
      </w:pPr>
      <w:r>
        <w:rPr>
          <w:spacing w:val="-3"/>
        </w:rPr>
        <w:t>编制财务报表，并使其实现公允反映；（</w:t>
      </w:r>
      <w:r>
        <w:rPr>
          <w:rFonts w:ascii="宋体" w:hAnsi="宋体" w:cs="宋体" w:eastAsia="宋体" w:hint="default"/>
          <w:spacing w:val="-3"/>
        </w:rPr>
        <w:t>2</w:t>
      </w:r>
      <w:r>
        <w:rPr>
          <w:spacing w:val="-3"/>
        </w:rPr>
        <w:t>）设计、执行和维护必要的内部控制，以使财务报表不存在由于</w:t>
      </w:r>
      <w:r>
        <w:rPr>
          <w:spacing w:val="-93"/>
        </w:rPr>
        <w:t> </w:t>
      </w:r>
      <w:r>
        <w:rPr>
          <w:spacing w:val="-93"/>
        </w:rPr>
      </w:r>
      <w:r>
        <w:rPr/>
        <w:t>舞弊或错误导致的重大错报。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408" w:lineRule="auto" w:before="0"/>
        <w:ind w:left="574" w:right="1046"/>
        <w:jc w:val="left"/>
      </w:pPr>
      <w:r>
        <w:rPr/>
        <w:t>二、注册会计师的责任 </w:t>
      </w:r>
      <w:r>
        <w:rPr>
          <w:spacing w:val="-1"/>
        </w:rPr>
        <w:t>我们的责任是在执行审计工作的基础上对财务报表发表审计意见。我们按照中国注册会计师审计准则</w:t>
      </w:r>
    </w:p>
    <w:p>
      <w:pPr>
        <w:pStyle w:val="BodyText"/>
        <w:spacing w:line="408" w:lineRule="auto"/>
        <w:ind w:left="154" w:right="1046"/>
        <w:jc w:val="left"/>
      </w:pPr>
      <w:r>
        <w:rPr>
          <w:spacing w:val="-1"/>
        </w:rPr>
        <w:t>的规定执行了审计工作。中国注册会计师审计准则要求我们遵守中国注册会计师职业道德守则，计划和执</w:t>
      </w:r>
      <w:r>
        <w:rPr>
          <w:spacing w:val="-81"/>
        </w:rPr>
        <w:t> </w:t>
      </w:r>
      <w:r>
        <w:rPr>
          <w:spacing w:val="-81"/>
        </w:rPr>
      </w:r>
      <w:r>
        <w:rPr/>
        <w:t>行审计工作以对财务报表是否不存在重大错报获取合理保证。</w:t>
      </w:r>
    </w:p>
    <w:p>
      <w:pPr>
        <w:pStyle w:val="BodyText"/>
        <w:spacing w:line="408" w:lineRule="auto"/>
        <w:ind w:right="1131" w:firstLine="420"/>
        <w:jc w:val="both"/>
      </w:pPr>
      <w:r>
        <w:rPr>
          <w:spacing w:val="-1"/>
        </w:rPr>
        <w:t>审计工作涉及实施审计程序，以获取有关财务报表金额和披露的审计证据。选择的审计程序取决于注</w:t>
      </w:r>
      <w:r>
        <w:rPr/>
        <w:t> </w:t>
      </w:r>
      <w:r>
        <w:rPr>
          <w:spacing w:val="-1"/>
        </w:rPr>
        <w:t>册会计师的判断，包括对由于舞弊或错误导致的财务报表重大错报风险的评估。在进行风险评估时，注册</w:t>
      </w:r>
      <w:r>
        <w:rPr>
          <w:spacing w:val="-83"/>
        </w:rPr>
        <w:t> </w:t>
      </w:r>
      <w:r>
        <w:rPr>
          <w:spacing w:val="-83"/>
        </w:rPr>
      </w:r>
      <w:r>
        <w:rPr>
          <w:spacing w:val="-1"/>
        </w:rPr>
        <w:t>会计师考虑与财务报表编制和公允列报相关的内部控制，以设计恰当的审计程序，但目的并非对内部控制</w:t>
      </w:r>
      <w:r>
        <w:rPr>
          <w:spacing w:val="-81"/>
        </w:rPr>
        <w:t> </w:t>
      </w:r>
      <w:r>
        <w:rPr>
          <w:spacing w:val="-81"/>
        </w:rPr>
      </w:r>
      <w:r>
        <w:rPr>
          <w:spacing w:val="-1"/>
        </w:rPr>
        <w:t>的有效性发表意见。审计工作还包括评价管理层选用会计政策的恰当性和作出会计估计的合理性，以及评</w:t>
      </w:r>
      <w:r>
        <w:rPr>
          <w:spacing w:val="-81"/>
        </w:rPr>
        <w:t> </w:t>
      </w:r>
      <w:r>
        <w:rPr>
          <w:spacing w:val="-81"/>
        </w:rPr>
      </w:r>
      <w:r>
        <w:rPr/>
        <w:t>价财务报表的总体列报。</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1046"/>
        <w:jc w:val="left"/>
      </w:pPr>
      <w:r>
        <w:rPr/>
        <w:t>我们相信，我们获取的审计证据是充分、适当的，为发表审计意见提供了基础。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08" w:lineRule="auto" w:before="137"/>
        <w:ind w:left="573" w:right="1046"/>
        <w:jc w:val="left"/>
      </w:pPr>
      <w:r>
        <w:rPr/>
        <w:t>三、审计意见 </w:t>
      </w:r>
      <w:r>
        <w:rPr>
          <w:spacing w:val="-1"/>
        </w:rPr>
        <w:t>我们认为，上述财务报表在所有重大方面按照企业会计准则的规定编制，公允反映了海能达通信股份</w:t>
      </w:r>
    </w:p>
    <w:p>
      <w:pPr>
        <w:pStyle w:val="BodyText"/>
        <w:spacing w:line="240" w:lineRule="auto"/>
        <w:ind w:right="1046"/>
        <w:jc w:val="left"/>
      </w:pPr>
      <w:r>
        <w:rPr/>
        <w:t>有限公司</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日合并及公司的财务状况以及</w:t>
      </w:r>
      <w:r>
        <w:rPr>
          <w:spacing w:val="-53"/>
        </w:rPr>
        <w:t> </w:t>
      </w:r>
      <w:r>
        <w:rPr>
          <w:rFonts w:ascii="宋体" w:hAnsi="宋体" w:cs="宋体" w:eastAsia="宋体" w:hint="default"/>
        </w:rPr>
        <w:t>2014</w:t>
      </w:r>
      <w:r>
        <w:rPr>
          <w:rFonts w:ascii="宋体" w:hAnsi="宋体" w:cs="宋体" w:eastAsia="宋体" w:hint="default"/>
          <w:spacing w:val="-55"/>
        </w:rPr>
        <w:t> </w:t>
      </w:r>
      <w:r>
        <w:rPr/>
        <w:t>年度合并及公司的经营成果和现金流量。</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tbl>
      <w:tblPr>
        <w:tblW w:w="0" w:type="auto"/>
        <w:jc w:val="left"/>
        <w:tblInd w:w="300" w:type="dxa"/>
        <w:tblLayout w:type="fixed"/>
        <w:tblCellMar>
          <w:top w:w="0" w:type="dxa"/>
          <w:left w:w="0" w:type="dxa"/>
          <w:bottom w:w="0" w:type="dxa"/>
          <w:right w:w="0" w:type="dxa"/>
        </w:tblCellMar>
        <w:tblLook w:val="01E0"/>
      </w:tblPr>
      <w:tblGrid>
        <w:gridCol w:w="4363"/>
        <w:gridCol w:w="3688"/>
      </w:tblGrid>
      <w:tr>
        <w:trPr>
          <w:trHeight w:val="286"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240" w:lineRule="exact"/>
              <w:ind w:right="121"/>
              <w:jc w:val="center"/>
              <w:rPr>
                <w:rFonts w:ascii="宋体" w:hAnsi="宋体" w:cs="宋体" w:eastAsia="宋体" w:hint="default"/>
                <w:sz w:val="24"/>
                <w:szCs w:val="24"/>
              </w:rPr>
            </w:pPr>
            <w:r>
              <w:rPr>
                <w:rFonts w:ascii="宋体" w:hAnsi="宋体" w:cs="宋体" w:eastAsia="宋体" w:hint="default"/>
                <w:sz w:val="24"/>
                <w:szCs w:val="24"/>
              </w:rPr>
              <w:t>瑞华会计师事务所（特殊普通合伙）</w:t>
            </w:r>
          </w:p>
        </w:tc>
        <w:tc>
          <w:tcPr>
            <w:tcW w:w="3688" w:type="dxa"/>
            <w:tcBorders>
              <w:top w:val="nil" w:sz="6" w:space="0" w:color="auto"/>
              <w:left w:val="nil" w:sz="6" w:space="0" w:color="auto"/>
              <w:bottom w:val="nil" w:sz="6" w:space="0" w:color="auto"/>
              <w:right w:val="nil" w:sz="6" w:space="0" w:color="auto"/>
            </w:tcBorders>
          </w:tcPr>
          <w:p>
            <w:pPr>
              <w:pStyle w:val="TableParagraph"/>
              <w:spacing w:line="240" w:lineRule="exact"/>
              <w:ind w:left="323" w:right="0"/>
              <w:jc w:val="left"/>
              <w:rPr>
                <w:rFonts w:ascii="宋体" w:hAnsi="宋体" w:cs="宋体" w:eastAsia="宋体" w:hint="default"/>
                <w:sz w:val="24"/>
                <w:szCs w:val="24"/>
              </w:rPr>
            </w:pPr>
            <w:r>
              <w:rPr>
                <w:rFonts w:ascii="宋体" w:hAnsi="宋体" w:cs="宋体" w:eastAsia="宋体" w:hint="default"/>
                <w:sz w:val="24"/>
                <w:szCs w:val="24"/>
              </w:rPr>
              <w:t>中国注册会计师：桑涛</w:t>
            </w:r>
          </w:p>
        </w:tc>
      </w:tr>
      <w:tr>
        <w:trPr>
          <w:trHeight w:val="339" w:hRule="exact"/>
        </w:trPr>
        <w:tc>
          <w:tcPr>
            <w:tcW w:w="4363" w:type="dxa"/>
            <w:tcBorders>
              <w:top w:val="nil" w:sz="6" w:space="0" w:color="auto"/>
              <w:left w:val="nil" w:sz="6" w:space="0" w:color="auto"/>
              <w:bottom w:val="nil" w:sz="6" w:space="0" w:color="auto"/>
              <w:right w:val="nil" w:sz="6" w:space="0" w:color="auto"/>
            </w:tcBorders>
          </w:tcPr>
          <w:p>
            <w:pPr>
              <w:pStyle w:val="TableParagraph"/>
              <w:spacing w:line="304" w:lineRule="exact"/>
              <w:ind w:right="121"/>
              <w:jc w:val="center"/>
              <w:rPr>
                <w:rFonts w:ascii="宋体" w:hAnsi="宋体" w:cs="宋体" w:eastAsia="宋体" w:hint="default"/>
                <w:sz w:val="24"/>
                <w:szCs w:val="24"/>
              </w:rPr>
            </w:pPr>
            <w:r>
              <w:rPr>
                <w:rFonts w:ascii="宋体" w:hAnsi="宋体" w:cs="宋体" w:eastAsia="宋体" w:hint="default"/>
                <w:sz w:val="24"/>
                <w:szCs w:val="24"/>
              </w:rPr>
              <w:t>中国</w:t>
            </w:r>
            <w:r>
              <w:rPr>
                <w:rFonts w:ascii="Times New Roman" w:hAnsi="Times New Roman" w:cs="Times New Roman" w:eastAsia="Times New Roman" w:hint="default"/>
                <w:sz w:val="24"/>
                <w:szCs w:val="24"/>
              </w:rPr>
              <w:t>·</w:t>
            </w:r>
            <w:r>
              <w:rPr>
                <w:rFonts w:ascii="宋体" w:hAnsi="宋体" w:cs="宋体" w:eastAsia="宋体" w:hint="default"/>
                <w:sz w:val="24"/>
                <w:szCs w:val="24"/>
              </w:rPr>
              <w:t>北京</w:t>
            </w:r>
          </w:p>
        </w:tc>
        <w:tc>
          <w:tcPr>
            <w:tcW w:w="3688" w:type="dxa"/>
            <w:tcBorders>
              <w:top w:val="nil" w:sz="6" w:space="0" w:color="auto"/>
              <w:left w:val="nil" w:sz="6" w:space="0" w:color="auto"/>
              <w:bottom w:val="nil" w:sz="6" w:space="0" w:color="auto"/>
              <w:right w:val="nil" w:sz="6" w:space="0" w:color="auto"/>
            </w:tcBorders>
          </w:tcPr>
          <w:p>
            <w:pPr>
              <w:pStyle w:val="TableParagraph"/>
              <w:spacing w:line="286" w:lineRule="exact"/>
              <w:ind w:left="323" w:right="0"/>
              <w:jc w:val="left"/>
              <w:rPr>
                <w:rFonts w:ascii="宋体" w:hAnsi="宋体" w:cs="宋体" w:eastAsia="宋体" w:hint="default"/>
                <w:sz w:val="24"/>
                <w:szCs w:val="24"/>
              </w:rPr>
            </w:pPr>
            <w:r>
              <w:rPr>
                <w:rFonts w:ascii="宋体" w:hAnsi="宋体" w:cs="宋体" w:eastAsia="宋体" w:hint="default"/>
                <w:sz w:val="24"/>
                <w:szCs w:val="24"/>
              </w:rPr>
              <w:t>中国注册会计师：徐凌</w:t>
            </w:r>
          </w:p>
        </w:tc>
      </w:tr>
      <w:tr>
        <w:trPr>
          <w:trHeight w:val="280" w:hRule="exact"/>
        </w:trPr>
        <w:tc>
          <w:tcPr>
            <w:tcW w:w="4363" w:type="dxa"/>
            <w:tcBorders>
              <w:top w:val="nil" w:sz="6" w:space="0" w:color="auto"/>
              <w:left w:val="nil" w:sz="6" w:space="0" w:color="auto"/>
              <w:bottom w:val="nil" w:sz="6" w:space="0" w:color="auto"/>
              <w:right w:val="nil" w:sz="6" w:space="0" w:color="auto"/>
            </w:tcBorders>
          </w:tcPr>
          <w:p>
            <w:pPr/>
          </w:p>
        </w:tc>
        <w:tc>
          <w:tcPr>
            <w:tcW w:w="3688" w:type="dxa"/>
            <w:tcBorders>
              <w:top w:val="nil" w:sz="6" w:space="0" w:color="auto"/>
              <w:left w:val="nil" w:sz="6" w:space="0" w:color="auto"/>
              <w:bottom w:val="nil" w:sz="6" w:space="0" w:color="auto"/>
              <w:right w:val="nil" w:sz="6" w:space="0" w:color="auto"/>
            </w:tcBorders>
          </w:tcPr>
          <w:p>
            <w:pPr>
              <w:pStyle w:val="TableParagraph"/>
              <w:spacing w:line="280" w:lineRule="exact"/>
              <w:ind w:left="847" w:right="0"/>
              <w:jc w:val="left"/>
              <w:rPr>
                <w:rFonts w:ascii="宋体" w:hAnsi="宋体" w:cs="宋体" w:eastAsia="宋体" w:hint="default"/>
                <w:sz w:val="24"/>
                <w:szCs w:val="24"/>
              </w:rPr>
            </w:pPr>
            <w:r>
              <w:rPr>
                <w:rFonts w:ascii="宋体" w:hAnsi="宋体" w:cs="宋体" w:eastAsia="宋体" w:hint="default"/>
                <w:sz w:val="24"/>
                <w:szCs w:val="24"/>
              </w:rPr>
              <w:t>二〇一四年三月二十六日</w:t>
            </w:r>
          </w:p>
        </w:tc>
      </w:tr>
    </w:tbl>
    <w:p>
      <w:pPr>
        <w:spacing w:after="0" w:line="280" w:lineRule="exact"/>
        <w:jc w:val="left"/>
        <w:rPr>
          <w:rFonts w:ascii="宋体" w:hAnsi="宋体" w:cs="宋体" w:eastAsia="宋体" w:hint="default"/>
          <w:sz w:val="24"/>
          <w:szCs w:val="24"/>
        </w:rPr>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1046"/>
        <w:jc w:val="left"/>
        <w:rPr>
          <w:b w:val="0"/>
          <w:bCs w:val="0"/>
        </w:rPr>
      </w:pPr>
      <w:bookmarkStart w:name="二、财务报表" w:id="145"/>
      <w:bookmarkEnd w:id="14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left="153" w:right="1046"/>
        <w:jc w:val="left"/>
        <w:rPr>
          <w:b w:val="0"/>
          <w:bCs w:val="0"/>
        </w:rPr>
      </w:pPr>
      <w:bookmarkStart w:name="1、合并资产负债表" w:id="146"/>
      <w:bookmarkEnd w:id="14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3" w:right="-19" w:firstLine="0"/>
        <w:jc w:val="left"/>
        <w:rPr>
          <w:rFonts w:ascii="宋体" w:hAnsi="宋体" w:cs="宋体" w:eastAsia="宋体" w:hint="default"/>
          <w:sz w:val="18"/>
          <w:szCs w:val="18"/>
        </w:rPr>
      </w:pPr>
      <w:r>
        <w:rPr>
          <w:rFonts w:ascii="宋体" w:hAnsi="宋体" w:cs="宋体" w:eastAsia="宋体" w:hint="default"/>
          <w:sz w:val="18"/>
          <w:szCs w:val="18"/>
        </w:rPr>
        <w:t>编制单位：海能达通信股份有限公司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035" w:space="104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475,353,427.38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513,030,678.00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13,295,346.59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13,914,346.37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1,040,580,608.47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954,239,645.87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59,018,395.01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60,128,559.68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62,945,136.04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42,005,720.31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435,291,226.40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415,243,241.99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84,140.30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72,066,905.91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87,141,674.04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2,158,635,186.10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2,085,703,866.26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25,354,488.27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12,898,726.81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879,564,062.43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576,836,683.80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42,418,287.50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272,051,229.72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235,842,020.17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241,491,083.27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91,664,076.65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55,185,527.16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46,758,195.29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36,671,804.31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54,921,533.31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59,383,192.26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19,186,898.97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16,706,171.01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66,887,610.00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66,076,100.00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1,483,097,172.59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1,337,300,518.34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3,641,732,358.69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3,423,004,384.60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464,174,723.13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576,225,852.93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39,136,984.29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25,953,720.06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442,596,380.72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354,143,358.28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59,777,901.47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83,717,993.51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70,383,486.92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69,356,581.58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17,830,673.62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32,444,519.78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781,802.47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1,049,046.39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35,774,180.77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44,493,378.05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49,797,222.80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73,771,166.28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1,949,187.22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1,998,047.27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1,182,202,543.41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1,263,153,664.13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365,150,377.97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89,718,246.58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2,343,605.08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2,959,596.91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23,747,675.01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22,736,063.79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54,321,777.78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58,181,549.51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10,612,394.23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8,333,230.71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456,175,830.07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181,928,687.50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1,638,378,373.48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1,445,082,351.63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696,515,650.00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867,442,988.66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1,275,759,896.06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-2,900,638.49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2,669,177.37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470,835.14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693,375.11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51,551,109.35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45,340,614.54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390,274,040.55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375,458,969.89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2,003,353,985.21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1,977,922,032.97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2,003,353,985.21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1,977,922,032.97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3,641,732,358.69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3,423,004,384.60</w:t>
            </w:r>
          </w:p>
        </w:tc>
      </w:tr>
    </w:tbl>
    <w:p>
      <w:pPr>
        <w:spacing w:line="240" w:lineRule="auto" w:before="3"/>
        <w:rPr>
          <w:rFonts w:ascii="Times New Roman" w:hAnsi="Times New Roman" w:cs="Times New Roman" w:eastAsia="Times New Roman" w:hint="default"/>
          <w:sz w:val="23"/>
          <w:szCs w:val="23"/>
        </w:rPr>
      </w:pPr>
    </w:p>
    <w:p>
      <w:pPr>
        <w:tabs>
          <w:tab w:pos="3600" w:val="left" w:leader="none"/>
          <w:tab w:pos="774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法定代表人：陈清州</w:t>
        <w:tab/>
        <w:t>主管会计工作负责人：张钜</w:t>
        <w:tab/>
        <w:t>会计机构负责人：张钜</w:t>
      </w:r>
    </w:p>
    <w:p>
      <w:pPr>
        <w:spacing w:line="240" w:lineRule="auto" w:before="11"/>
        <w:rPr>
          <w:rFonts w:ascii="宋体" w:hAnsi="宋体" w:cs="宋体" w:eastAsia="宋体" w:hint="default"/>
          <w:sz w:val="26"/>
          <w:szCs w:val="26"/>
        </w:rPr>
      </w:pPr>
    </w:p>
    <w:p>
      <w:pPr>
        <w:pStyle w:val="Heading3"/>
        <w:spacing w:line="240" w:lineRule="auto"/>
        <w:ind w:left="153" w:right="1046"/>
        <w:jc w:val="left"/>
        <w:rPr>
          <w:b w:val="0"/>
          <w:bCs w:val="0"/>
        </w:rPr>
      </w:pPr>
      <w:bookmarkStart w:name="2、母公司资产负债表" w:id="147"/>
      <w:bookmarkEnd w:id="14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347,251,537.98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257,475,205.36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9,391,759.00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8,984,346.37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1,261,155,581.68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1,103,194,269.60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113,336,601.34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18,482,666.79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395,812,835.96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348,093,743.79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292,251,611.82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228,757,308.81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84,140.30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59,923,413.22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19,870,055.92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2,479,207,481.30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1,984,857,596.64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742,669,585.18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707,829,787.28</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215,210,059.38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201,255,751.65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617,500.00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2,293,328.17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111,083,623.43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112,948,490.34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61,499,024.36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34,602,773.72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45,039,954.05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58,891,954.56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12,199,881.53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10,625,600.25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65,887,610.00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52,887,100.00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1,274,707,237.93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1,181,334,785.97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3,753,914,719.23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3,166,192,382.61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249,107,534.91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440,497,866.00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159,136,984.29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25,953,720.06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379,717,202.13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321,546,077.21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25,709,843.81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15,714,056.97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36,212,298.19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43,677,874.52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9,517,741.98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15,139,012.44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781,802.47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1,049,046.39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532,555,435.08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279,772,576.81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1,392,738,842.86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1,143,350,230.40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295,650,000.00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79" w:header="747"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14,399,759.56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11,454,981.94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24,476,384.72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34,801,128.85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334,526,144.28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46,256,110.79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1,727,264,987.14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1,189,606,341.19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696,515,650.00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278,000,000.00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867,442,988.66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1,275,759,896.06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51,551,109.35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45,340,614.54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411,139,984.08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377,485,530.82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2,026,649,732.09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1,976,586,041.42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3,753,914,719.23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3,166,192,382.61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46"/>
        <w:jc w:val="left"/>
        <w:rPr>
          <w:b w:val="0"/>
          <w:bCs w:val="0"/>
        </w:rPr>
      </w:pPr>
      <w:bookmarkStart w:name="3、合并利润表" w:id="148"/>
      <w:bookmarkEnd w:id="14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1,949,382,593.36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1,683,395,409.81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1,949,382,593.36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1,683,395,409.81</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1,975,505,339.76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1,609,117,960.44</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1,122,065,654.02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881,613,948.16</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10" w:h="16840"/>
          <w:pgMar w:footer="979" w:header="747" w:top="1060" w:bottom="1160" w:left="980" w:right="0"/>
          <w:pgNumType w:start="101"/>
        </w:sectPr>
      </w:pPr>
    </w:p>
    <w:p>
      <w:pPr>
        <w:spacing w:line="240" w:lineRule="auto" w:before="0"/>
        <w:rPr>
          <w:rFonts w:ascii="Times New Roman" w:hAnsi="Times New Roman" w:cs="Times New Roman" w:eastAsia="Times New Roman" w:hint="default"/>
          <w:sz w:val="20"/>
          <w:szCs w:val="20"/>
        </w:rPr>
      </w:pPr>
      <w:r>
        <w:rPr/>
        <w:pict>
          <v:group style="position:absolute;margin-left:212.240005pt;margin-top:521.320007pt;width:157.7pt;height:19.650pt;mso-position-horizontal-relative:page;mso-position-vertical-relative:page;z-index:-1064440" coordorigin="4245,10426" coordsize="3154,393">
            <v:shape style="position:absolute;left:4245;top:10426;width:3154;height:393" coordorigin="4245,10426" coordsize="3154,393" path="m4245,10819l7399,10819,7399,10426,4245,10426,4245,1081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2"/>
        <w:gridCol w:w="1105"/>
        <w:gridCol w:w="2105"/>
        <w:gridCol w:w="3276"/>
      </w:tblGrid>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11,477,649.69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15,837,940.74</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346,218,023.94</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297,525,742.78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53" w:right="0"/>
              <w:jc w:val="left"/>
              <w:rPr>
                <w:rFonts w:ascii="Times New Roman" w:hAnsi="Times New Roman" w:cs="Times New Roman" w:eastAsia="Times New Roman" w:hint="default"/>
                <w:sz w:val="18"/>
                <w:szCs w:val="18"/>
              </w:rPr>
            </w:pPr>
            <w:r>
              <w:rPr>
                <w:rFonts w:ascii="Times New Roman"/>
                <w:sz w:val="18"/>
              </w:rPr>
              <w:t>389,235,746.82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358,339,077.80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73,499,956.97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24,111,154.51</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33,008,308.32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31,690,096.45</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2,751,327.45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7,708,069.26</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right="11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0" w:type="dxa"/>
            <w:gridSpan w:val="2"/>
            <w:tcBorders>
              <w:top w:val="single" w:sz="4" w:space="0" w:color="000000"/>
              <w:left w:val="single" w:sz="13" w:space="0" w:color="FFFFFF"/>
              <w:bottom w:val="single" w:sz="4" w:space="0" w:color="000000"/>
              <w:right w:val="single" w:sz="4" w:space="0" w:color="000000"/>
            </w:tcBorders>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w:t>
            </w: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83" w:right="0"/>
              <w:jc w:val="left"/>
              <w:rPr>
                <w:rFonts w:ascii="Times New Roman" w:hAnsi="Times New Roman" w:cs="Times New Roman" w:eastAsia="Times New Roman" w:hint="default"/>
                <w:sz w:val="18"/>
                <w:szCs w:val="18"/>
              </w:rPr>
            </w:pPr>
            <w:r>
              <w:rPr>
                <w:rFonts w:ascii="Times New Roman"/>
                <w:sz w:val="18"/>
              </w:rPr>
              <w:t>-23,371,418.95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81,985,518.63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84,914,183.19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77,342,404.75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50,780.69</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382,700.40</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1,786,039.37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2,114,893.03</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251,042.08</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1,527,814.36</w:t>
            </w:r>
          </w:p>
        </w:tc>
      </w:tr>
      <w:tr>
        <w:trPr>
          <w:trHeight w:val="402" w:hRule="exact"/>
        </w:trPr>
        <w:tc>
          <w:tcPr>
            <w:tcW w:w="3082"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6"/>
                <w:sz w:val="18"/>
                <w:szCs w:val="18"/>
              </w:rPr>
              <w:t>四、利润总额（亏损总额以</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号填列</w:t>
            </w:r>
          </w:p>
        </w:tc>
        <w:tc>
          <w:tcPr>
            <w:tcW w:w="1105" w:type="dxa"/>
            <w:tcBorders>
              <w:top w:val="single" w:sz="4" w:space="0" w:color="000000"/>
              <w:left w:val="single" w:sz="13" w:space="0" w:color="FFFFFF"/>
              <w:bottom w:val="single" w:sz="4" w:space="0" w:color="000000"/>
              <w:right w:val="nil" w:sz="6" w:space="0" w:color="auto"/>
            </w:tcBorders>
          </w:tcPr>
          <w:p>
            <w:pPr>
              <w:pStyle w:val="TableParagraph"/>
              <w:spacing w:line="240" w:lineRule="auto" w:before="5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210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1042" w:right="0"/>
              <w:jc w:val="left"/>
              <w:rPr>
                <w:rFonts w:ascii="Times New Roman" w:hAnsi="Times New Roman" w:cs="Times New Roman" w:eastAsia="Times New Roman" w:hint="default"/>
                <w:sz w:val="18"/>
                <w:szCs w:val="18"/>
              </w:rPr>
            </w:pPr>
            <w:r>
              <w:rPr>
                <w:rFonts w:ascii="Times New Roman"/>
                <w:sz w:val="18"/>
              </w:rPr>
              <w:t>59,756,724.87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157,213,030.35</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16,491,159.40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22,141,840.57</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43,265,565.47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135,071,189.78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43,265,565.47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135,071,189.78</w:t>
            </w: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-5,569,815.86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-2,100,636.30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-5,569,815.86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-2,100,636.30</w:t>
            </w: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firstLine="343"/>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2"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2"/>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0" w:type="dxa"/>
            <w:gridSpan w:val="2"/>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059"/>
        <w:gridCol w:w="3222"/>
        <w:gridCol w:w="3276"/>
      </w:tblGrid>
      <w:tr>
        <w:trPr>
          <w:trHeight w:val="67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11" w:right="156"/>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9" w:firstLine="343"/>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-5,569,815.86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-2,100,636.30</w:t>
            </w:r>
          </w:p>
        </w:tc>
      </w:tr>
      <w:tr>
        <w:trPr>
          <w:trHeight w:val="1026"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-5,569,815.86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-2,100,636.30</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6"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37,695,749.61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132,970,553.48</w:t>
            </w:r>
          </w:p>
        </w:tc>
      </w:tr>
      <w:tr>
        <w:trPr>
          <w:trHeight w:val="714"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6"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37,695,749.61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132,970,553.48</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4" w:space="0" w:color="000000"/>
              <w:left w:val="single" w:sz="13" w:space="0" w:color="D2D2D2"/>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r>
        <w:trPr>
          <w:trHeight w:val="402" w:hRule="exact"/>
        </w:trPr>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0.49</w:t>
            </w:r>
          </w:p>
        </w:tc>
      </w:tr>
    </w:tbl>
    <w:p>
      <w:pPr>
        <w:tabs>
          <w:tab w:pos="3754" w:val="left" w:leader="none"/>
          <w:tab w:pos="7895" w:val="left" w:leader="none"/>
        </w:tabs>
        <w:spacing w:line="592" w:lineRule="auto" w:before="51"/>
        <w:ind w:left="153" w:right="1229" w:firstLine="0"/>
        <w:jc w:val="both"/>
        <w:rPr>
          <w:rFonts w:ascii="宋体" w:hAnsi="宋体" w:cs="宋体" w:eastAsia="宋体" w:hint="default"/>
          <w:sz w:val="21"/>
          <w:szCs w:val="21"/>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法定代表人：陈清州</w:t>
        <w:tab/>
        <w:t>主管会计工作负责人：张钜</w:t>
        <w:tab/>
        <w:t>会计机构负责人：张钜 </w:t>
      </w:r>
      <w:bookmarkStart w:name="4、母公司利润表" w:id="149"/>
      <w:bookmarkEnd w:id="149"/>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spacing w:before="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1,291,277,003.49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1,251,130,824.07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794,048,509.18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763,060,619.14</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7,219,988.47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12,872,737.55</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229,269,274.85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202,592,168.66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179,795,175.50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172,092,844.11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53,301,137.55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17,737,443.77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13,855,067.95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18,819,660.43</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2,721,648.09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108,153,691.32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16,509,498.08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172,109,041.73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53,569,642.99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49,867,663.83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1,536,187.17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701,300.75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171,943.64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185,156.01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68,542,953.90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221,275,404.81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6,438,005.83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11,030,344.91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62,104,948.07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210,245,059.90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62,104,948.07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43" w:right="0"/>
              <w:jc w:val="left"/>
              <w:rPr>
                <w:rFonts w:ascii="Times New Roman" w:hAnsi="Times New Roman" w:cs="Times New Roman" w:eastAsia="Times New Roman" w:hint="default"/>
                <w:sz w:val="18"/>
                <w:szCs w:val="18"/>
              </w:rPr>
            </w:pPr>
            <w:r>
              <w:rPr>
                <w:rFonts w:ascii="Times New Roman"/>
                <w:sz w:val="18"/>
              </w:rPr>
              <w:t>210,245,059.90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1"/>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46"/>
        <w:jc w:val="left"/>
        <w:rPr>
          <w:b w:val="0"/>
          <w:bCs w:val="0"/>
        </w:rPr>
      </w:pPr>
      <w:bookmarkStart w:name="5、合并现金流量表" w:id="150"/>
      <w:bookmarkEnd w:id="15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15" w:right="0"/>
              <w:jc w:val="left"/>
              <w:rPr>
                <w:rFonts w:ascii="宋体" w:hAnsi="宋体" w:cs="宋体" w:eastAsia="宋体" w:hint="default"/>
                <w:sz w:val="18"/>
                <w:szCs w:val="18"/>
              </w:rPr>
            </w:pPr>
            <w:r>
              <w:rPr>
                <w:rFonts w:ascii="宋体" w:hAnsi="宋体" w:cs="宋体" w:eastAsia="宋体" w:hint="default"/>
                <w:sz w:val="18"/>
                <w:szCs w:val="18"/>
              </w:rPr>
              <w:t>上期金额发生额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1,817,103,609.78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1,520,782,990.83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136,054,751.61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136,953,330.54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39,660,005.36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61,520,837.68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1,992,818,366.75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1,719,257,159.05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954,932,467.45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880,140,396.35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467,055,116.04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363,728,853.11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120,992,061.92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123,710,792.43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333,800,651.32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275,075,299.59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1,876,780,296.73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1,642,655,341.48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116,038,070.02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76,601,817.57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364,111,967.26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159,214,024.89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2,751,327.45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859,600.80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309,182.53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35,573,348.15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681,850.31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367,172,477.24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196,328,824.15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212,801,166.50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362,018,940.91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370,475,992.15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227,350,000.00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13,171,474.95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596,448,633.60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589,368,940.91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-229,276,156.36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-393,040,116.76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1,324,143,360.04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860,946,243.64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1,324,143,360.04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860,946,243.64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1,187,153,566.49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349,509,975.50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54,219,336.70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32,374,080.23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5,892,852.84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123,496,558.03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1,247,265,756.03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505,380,613.76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76,877,604.01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355,565,629.88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-9,993,084.34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-6,386,312.09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-46,353,566.67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32,741,018.60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487,721,088.30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454,980,069.70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441,367,521.63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487,721,088.30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46"/>
        <w:jc w:val="left"/>
        <w:rPr>
          <w:b w:val="0"/>
          <w:bCs w:val="0"/>
        </w:rPr>
      </w:pPr>
      <w:bookmarkStart w:name="6、母公司现金流量表" w:id="151"/>
      <w:bookmarkEnd w:id="15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1,093,485,476.28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893,489,514.05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100,997,580.48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117,654,467.98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974,191,469.39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28,997,409.65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2,168,674,526.15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1,040,141,391.68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713,897,405.10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688,774,647.07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214,303,305.99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190,749,322.79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64,958,720.81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90,653,696.38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931,457,437.28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227,143,206.58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1,924,616,869.18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1,197,320,872.82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244,057,656.97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-157,179,481.14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304,111,967.26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159,214,024.89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2,721,648.09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100,859,600.80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246,353.67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44,508.29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307,079,969.02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260,118,133.98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112,892,482.12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195,594,481.75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405,315,790.05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276,350,001.00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3,560,000.00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521,768,272.17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471,944,482.75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-214,688,303.15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-211,826,348.77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1,025,040,834.91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568,197,288.00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1,025,040,834.91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568,197,288.00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921,052,890.00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283,413,556.82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51,077,230.39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28,831,806.07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258,427.00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71,456.71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972,388,547.39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312,316,819.60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52,652,287.52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255,880,468.40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-52,616.18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-2,959,171.68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81,969,025.16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-116,084,533.19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235,758,661.02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351,843,194.21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317,727,686.18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235,758,661.02</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7、合并所有者权益变动表" w:id="152"/>
      <w:bookmarkEnd w:id="15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104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3"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3"/>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278,00</w:t>
            </w:r>
          </w:p>
          <w:p>
            <w:pPr>
              <w:pStyle w:val="TableParagraph"/>
              <w:spacing w:line="240" w:lineRule="auto" w:before="105"/>
              <w:ind w:left="73"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59,896.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2,669,1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77.37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693,375</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45,340,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614.54</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375,458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,969.89</w:t>
            </w:r>
          </w:p>
        </w:tc>
        <w:tc>
          <w:tcPr>
            <w:tcW w:w="665"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393"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278,00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1,275,7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59,896.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2,669,1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77.37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693,375</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45,340,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614.54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375,458</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,969.89</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418,51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5,650.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-408,31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6,907.4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-5,569,8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15.86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-222,53</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9.97</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6,210,4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94.81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14,815,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070.66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25,431,</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952.24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-5,569,8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43,265,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565.47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37,695,</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749.61</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1,515,</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650.00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092.60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17,918,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742.60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1,515,</w:t>
            </w:r>
          </w:p>
          <w:p>
            <w:pPr>
              <w:pStyle w:val="TableParagraph"/>
              <w:spacing w:line="240" w:lineRule="auto" w:before="106"/>
              <w:ind w:left="35" w:right="0"/>
              <w:jc w:val="left"/>
              <w:rPr>
                <w:rFonts w:ascii="Times New Roman" w:hAnsi="Times New Roman" w:cs="Times New Roman" w:eastAsia="Times New Roman" w:hint="default"/>
                <w:sz w:val="18"/>
                <w:szCs w:val="18"/>
              </w:rPr>
            </w:pPr>
            <w:r>
              <w:rPr>
                <w:rFonts w:ascii="Times New Roman"/>
                <w:sz w:val="18"/>
              </w:rPr>
              <w:t>650.00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16,403,</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092.60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17,918,</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742.60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6,210,4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94.81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-28,450,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494.81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-22,240,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6,210,4</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94.81</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-6,210,4</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94.81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-22,240,</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-22,240,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417,00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2"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417,00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-417,00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-222,53</w:t>
            </w:r>
          </w:p>
          <w:p>
            <w:pPr>
              <w:pStyle w:val="TableParagraph"/>
              <w:spacing w:line="240" w:lineRule="auto" w:before="105"/>
              <w:ind w:left="316" w:right="0"/>
              <w:jc w:val="left"/>
              <w:rPr>
                <w:rFonts w:ascii="Times New Roman" w:hAnsi="Times New Roman" w:cs="Times New Roman" w:eastAsia="Times New Roman" w:hint="default"/>
                <w:sz w:val="18"/>
                <w:szCs w:val="18"/>
              </w:rPr>
            </w:pPr>
            <w:r>
              <w:rPr>
                <w:rFonts w:ascii="Times New Roman"/>
                <w:sz w:val="18"/>
              </w:rPr>
              <w:t>9.97</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-222,53</w:t>
            </w:r>
          </w:p>
          <w:p>
            <w:pPr>
              <w:pStyle w:val="TableParagraph"/>
              <w:spacing w:line="240" w:lineRule="auto" w:before="105"/>
              <w:ind w:left="310" w:right="0"/>
              <w:jc w:val="left"/>
              <w:rPr>
                <w:rFonts w:ascii="Times New Roman" w:hAnsi="Times New Roman" w:cs="Times New Roman" w:eastAsia="Times New Roman" w:hint="default"/>
                <w:sz w:val="18"/>
                <w:szCs w:val="18"/>
              </w:rPr>
            </w:pPr>
            <w:r>
              <w:rPr>
                <w:rFonts w:ascii="Times New Roman"/>
                <w:sz w:val="18"/>
              </w:rPr>
              <w:t>9.97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1,423,9</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83.26</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1,423,9</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83.26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1,646,5</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23.23</w:t>
            </w: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1,646,5</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23.23</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-7,720,0</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-7,720,0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696,51</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5,650.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867,442</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,988.66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-2,900,6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38.49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470,835</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.14</w:t>
            </w: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51,551,</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109.35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390,274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,040.55</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2,003,3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53,985.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21</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427"/>
        <w:gridCol w:w="562"/>
        <w:gridCol w:w="530"/>
        <w:gridCol w:w="532"/>
        <w:gridCol w:w="530"/>
        <w:gridCol w:w="665"/>
        <w:gridCol w:w="665"/>
        <w:gridCol w:w="665"/>
        <w:gridCol w:w="665"/>
        <w:gridCol w:w="665"/>
        <w:gridCol w:w="665"/>
        <w:gridCol w:w="678"/>
        <w:gridCol w:w="652"/>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2"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2"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7"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562"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2"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2"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278,00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22,093.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4,769,8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13.67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379.40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275,312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,286.10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86,572.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2" w:type="dxa"/>
            <w:vMerge w:val="restart"/>
            <w:tcBorders>
              <w:top w:val="single" w:sz="4" w:space="0" w:color="000000"/>
              <w:left w:val="single" w:sz="9" w:space="0" w:color="D2D2D2"/>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278,00</w:t>
            </w:r>
          </w:p>
          <w:p>
            <w:pPr>
              <w:pStyle w:val="TableParagraph"/>
              <w:spacing w:line="240" w:lineRule="auto" w:before="105"/>
              <w:ind w:left="7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22,093.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4,769,8</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13.67</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26,282,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379.40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275,312</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,286.10</w:t>
            </w:r>
          </w:p>
        </w:tc>
        <w:tc>
          <w:tcPr>
            <w:tcW w:w="652" w:type="dxa"/>
            <w:vMerge w:val="restart"/>
            <w:tcBorders>
              <w:top w:val="single" w:sz="4" w:space="0" w:color="000000"/>
              <w:left w:val="single" w:sz="4" w:space="0" w:color="000000"/>
              <w:right w:val="single" w:sz="4" w:space="0" w:color="000000"/>
            </w:tcBorders>
          </w:tcPr>
          <w:p>
            <w:pP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1,857,2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86,572.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84</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2"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2,837,8</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02.39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-2,100,6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36.30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19,058,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235.14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693,375</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100,146</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,683.79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120,635</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,460.13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-2,100,6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36.30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135,071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,189.78</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132,970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,553.48</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21,024,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-34,924,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505.99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-13,900,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21,024,</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505.99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-21,024,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505.99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-13,900,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-13,900,</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2,837,8</w:t>
            </w:r>
          </w:p>
          <w:p>
            <w:pPr>
              <w:pStyle w:val="TableParagraph"/>
              <w:spacing w:line="240" w:lineRule="auto" w:before="106"/>
              <w:ind w:left="206" w:right="0"/>
              <w:jc w:val="center"/>
              <w:rPr>
                <w:rFonts w:ascii="Times New Roman" w:hAnsi="Times New Roman" w:cs="Times New Roman" w:eastAsia="Times New Roman" w:hint="default"/>
                <w:sz w:val="18"/>
                <w:szCs w:val="18"/>
              </w:rPr>
            </w:pPr>
            <w:r>
              <w:rPr>
                <w:rFonts w:ascii="Times New Roman"/>
                <w:sz w:val="18"/>
              </w:rPr>
              <w:t>02.39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-1,966,2</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70.85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693,375</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1,564,9</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06.65</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278,00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1,275,7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59,896.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2,669,1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77.37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45,340,</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614.54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693,375</w:t>
            </w:r>
          </w:p>
          <w:p>
            <w:pPr>
              <w:pStyle w:val="TableParagraph"/>
              <w:spacing w:line="240" w:lineRule="auto" w:before="106"/>
              <w:ind w:left="412" w:right="0"/>
              <w:jc w:val="left"/>
              <w:rPr>
                <w:rFonts w:ascii="Times New Roman" w:hAnsi="Times New Roman" w:cs="Times New Roman" w:eastAsia="Times New Roman" w:hint="default"/>
                <w:sz w:val="18"/>
                <w:szCs w:val="18"/>
              </w:rPr>
            </w:pPr>
            <w:r>
              <w:rPr>
                <w:rFonts w:ascii="Times New Roman"/>
                <w:spacing w:val="-3"/>
                <w:sz w:val="18"/>
              </w:rPr>
              <w:t>.11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375,458</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,969.89</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1,977,9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22,032.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1046"/>
        <w:jc w:val="left"/>
        <w:rPr>
          <w:b w:val="0"/>
          <w:bCs w:val="0"/>
        </w:rPr>
      </w:pPr>
      <w:bookmarkStart w:name="8、母公司所有者权益变动表" w:id="153"/>
      <w:bookmarkEnd w:id="15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3" w:right="1046"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8"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278,000,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1,275,759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,896.06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45,340,61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4.54</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377,485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,530.82</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1,976,586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,041.42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278,000,</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1,275,759</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,896.06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45,340,61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4.54</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377,485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,530.82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1,976,586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,041.42</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418,515,</w:t>
            </w:r>
          </w:p>
          <w:p>
            <w:pPr>
              <w:pStyle w:val="TableParagraph"/>
              <w:spacing w:line="240" w:lineRule="auto" w:before="105"/>
              <w:ind w:left="132" w:right="0"/>
              <w:jc w:val="center"/>
              <w:rPr>
                <w:rFonts w:ascii="Times New Roman" w:hAnsi="Times New Roman" w:cs="Times New Roman" w:eastAsia="Times New Roman" w:hint="default"/>
                <w:sz w:val="18"/>
                <w:szCs w:val="18"/>
              </w:rPr>
            </w:pPr>
            <w:r>
              <w:rPr>
                <w:rFonts w:ascii="Times New Roman"/>
                <w:sz w:val="18"/>
              </w:rPr>
              <w:t>650.00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-408,316,</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907.40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6,210,494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33,654,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453.26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50,063,69</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0.67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62,104,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948.07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62,104,94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8.07</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1,515,65</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16,403,09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17,918,74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2.60</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 w:right="0"/>
              <w:jc w:val="left"/>
              <w:rPr>
                <w:rFonts w:ascii="Times New Roman" w:hAnsi="Times New Roman" w:cs="Times New Roman" w:eastAsia="Times New Roman" w:hint="default"/>
                <w:sz w:val="18"/>
                <w:szCs w:val="18"/>
              </w:rPr>
            </w:pPr>
            <w:r>
              <w:rPr>
                <w:rFonts w:ascii="Times New Roman"/>
                <w:sz w:val="18"/>
              </w:rPr>
              <w:t>1,515,65</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16,403,09</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2.60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17,918,74</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6,210,494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-28,450,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494.81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-22,240,0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6,210,494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-6,210,4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94.81</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-22,240,</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-22,240,0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417,000,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-417,000,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417,000,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-417,000,</w:t>
            </w:r>
          </w:p>
          <w:p>
            <w:pPr>
              <w:pStyle w:val="TableParagraph"/>
              <w:spacing w:line="240" w:lineRule="auto" w:before="106"/>
              <w:ind w:left="248" w:right="0"/>
              <w:jc w:val="center"/>
              <w:rPr>
                <w:rFonts w:ascii="Times New Roman" w:hAnsi="Times New Roman" w:cs="Times New Roman" w:eastAsia="Times New Roman" w:hint="default"/>
                <w:sz w:val="18"/>
                <w:szCs w:val="18"/>
              </w:rPr>
            </w:pPr>
            <w:r>
              <w:rPr>
                <w:rFonts w:ascii="Times New Roman"/>
                <w:sz w:val="18"/>
              </w:rPr>
              <w:t>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-7,720,00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-7,720,00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696,515,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650.00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867,442,9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88.66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51,551,10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411,139</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,984.08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2,026,649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,732.09</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4"/>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5"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278,000,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1,280,363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,534.04</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24,316,10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8.55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202,164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,976.91</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1,784,844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,619.50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2"/>
              <w:ind w:left="8" w:right="0"/>
              <w:jc w:val="center"/>
              <w:rPr>
                <w:rFonts w:ascii="Times New Roman" w:hAnsi="Times New Roman" w:cs="Times New Roman" w:eastAsia="Times New Roman" w:hint="default"/>
                <w:sz w:val="18"/>
                <w:szCs w:val="18"/>
              </w:rPr>
            </w:pPr>
            <w:r>
              <w:rPr>
                <w:rFonts w:ascii="Times New Roman"/>
                <w:sz w:val="18"/>
              </w:rPr>
              <w:t>278,000,</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000.00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1,280,363</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,534.04</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24,316,10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8.55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202,164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,976.91</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1,784,844</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,619.50</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-4,603,63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21,024,50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175,320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,553.91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191,741,4</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21.92</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210,245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,059.90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210,245,0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59.90</w:t>
            </w:r>
          </w:p>
        </w:tc>
      </w:tr>
      <w:tr>
        <w:trPr>
          <w:trHeight w:val="715"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21,024,50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-34,924,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505.99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-13,900,0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21,024,50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5.99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-21,024,</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505.99</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-13,900,</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000.00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-13,900,0</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-4,603,63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-4,603,63</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7.98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278,000,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1,275,759</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,896.06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45,340,61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4.54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377,485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,530.82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1,976,586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,041.42</w:t>
            </w:r>
          </w:p>
        </w:tc>
      </w:tr>
    </w:tbl>
    <w:p>
      <w:pPr>
        <w:spacing w:line="240" w:lineRule="auto" w:before="2"/>
        <w:rPr>
          <w:rFonts w:ascii="宋体" w:hAnsi="宋体" w:cs="宋体" w:eastAsia="宋体" w:hint="default"/>
          <w:sz w:val="18"/>
          <w:szCs w:val="18"/>
        </w:rPr>
      </w:pPr>
    </w:p>
    <w:p>
      <w:pPr>
        <w:pStyle w:val="Heading2"/>
        <w:spacing w:line="240" w:lineRule="auto" w:before="26"/>
        <w:ind w:left="154" w:right="1046"/>
        <w:jc w:val="left"/>
        <w:rPr>
          <w:b w:val="0"/>
          <w:bCs w:val="0"/>
        </w:rPr>
      </w:pPr>
      <w:bookmarkStart w:name="三、公司基本情况" w:id="154"/>
      <w:bookmarkEnd w:id="154"/>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3" w:right="6973"/>
        <w:jc w:val="left"/>
      </w:pPr>
      <w:r>
        <w:rPr/>
        <w:t>（一）公司概况 公司名称：海能达通信股份有限公司</w:t>
      </w:r>
    </w:p>
    <w:p>
      <w:pPr>
        <w:pStyle w:val="BodyText"/>
        <w:spacing w:line="240" w:lineRule="auto"/>
        <w:ind w:left="573" w:right="1046"/>
        <w:jc w:val="left"/>
      </w:pPr>
      <w:r>
        <w:rPr/>
        <w:t>注册地址：深圳市南山区高新区北区北环路</w:t>
      </w:r>
      <w:r>
        <w:rPr>
          <w:spacing w:val="-53"/>
        </w:rPr>
        <w:t> </w:t>
      </w:r>
      <w:r>
        <w:rPr>
          <w:rFonts w:ascii="宋体" w:hAnsi="宋体" w:cs="宋体" w:eastAsia="宋体" w:hint="default"/>
        </w:rPr>
        <w:t>9108</w:t>
      </w:r>
      <w:r>
        <w:rPr>
          <w:rFonts w:ascii="宋体" w:hAnsi="宋体" w:cs="宋体" w:eastAsia="宋体" w:hint="default"/>
          <w:spacing w:val="-54"/>
        </w:rPr>
        <w:t> </w:t>
      </w:r>
      <w:r>
        <w:rPr/>
        <w:t>号海能达大厦</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6658"/>
        <w:jc w:val="left"/>
      </w:pPr>
      <w:r>
        <w:rPr/>
        <w:t>注册资本：人民币</w:t>
      </w:r>
      <w:r>
        <w:rPr>
          <w:spacing w:val="-52"/>
        </w:rPr>
        <w:t> </w:t>
      </w:r>
      <w:r>
        <w:rPr>
          <w:rFonts w:ascii="宋体" w:hAnsi="宋体" w:cs="宋体" w:eastAsia="宋体" w:hint="default"/>
        </w:rPr>
        <w:t>69,500</w:t>
      </w:r>
      <w:r>
        <w:rPr>
          <w:rFonts w:ascii="宋体" w:hAnsi="宋体" w:cs="宋体" w:eastAsia="宋体" w:hint="default"/>
          <w:spacing w:val="-53"/>
        </w:rPr>
        <w:t> </w:t>
      </w:r>
      <w:r>
        <w:rPr/>
        <w:t>万元 法人营业执照注册号：</w:t>
      </w:r>
      <w:r>
        <w:rPr>
          <w:rFonts w:ascii="宋体" w:hAnsi="宋体" w:cs="宋体" w:eastAsia="宋体" w:hint="default"/>
        </w:rPr>
        <w:t>440301103177938 </w:t>
      </w:r>
      <w:r>
        <w:rPr/>
        <w:t>法定代表人：陈清州 经营期限：永续经营 所处行业：通信设备制造业</w:t>
      </w:r>
    </w:p>
    <w:p>
      <w:pPr>
        <w:pStyle w:val="BodyText"/>
        <w:spacing w:line="408" w:lineRule="auto"/>
        <w:ind w:right="1130" w:firstLine="420"/>
        <w:jc w:val="both"/>
      </w:pPr>
      <w:r>
        <w:rPr>
          <w:spacing w:val="-1"/>
        </w:rPr>
        <w:t>主要产品：公司的产品主要分为终端产品和系统产品两大类。根据产品的技术标准的不同，主要产品</w:t>
      </w:r>
      <w:r>
        <w:rPr/>
        <w:t> </w:t>
      </w:r>
      <w:r>
        <w:rPr>
          <w:spacing w:val="-1"/>
        </w:rPr>
        <w:t>可细分为模拟终端产品、数字终端产品，模拟系统产品和数字系统产品。终端产品形态又可分为手持对讲</w:t>
      </w:r>
      <w:r>
        <w:rPr>
          <w:spacing w:val="-82"/>
        </w:rPr>
        <w:t> </w:t>
      </w:r>
      <w:r>
        <w:rPr>
          <w:spacing w:val="-82"/>
        </w:rPr>
      </w:r>
      <w:r>
        <w:rPr/>
        <w:t>机、车载台和中转台等。</w:t>
      </w:r>
    </w:p>
    <w:p>
      <w:pPr>
        <w:pStyle w:val="BodyText"/>
        <w:spacing w:line="408" w:lineRule="auto"/>
        <w:ind w:left="573" w:right="6343"/>
        <w:jc w:val="left"/>
      </w:pPr>
      <w:r>
        <w:rPr/>
        <w:t>主业变更：本年度，公司主业未发生变更。 公司类型：股份有限公司（已上市）</w:t>
      </w:r>
    </w:p>
    <w:p>
      <w:pPr>
        <w:pStyle w:val="BodyText"/>
        <w:spacing w:line="408" w:lineRule="auto"/>
        <w:ind w:left="573" w:right="1046"/>
        <w:jc w:val="left"/>
      </w:pPr>
      <w:r>
        <w:rPr/>
        <w:t>（二）经营范围 </w:t>
      </w:r>
      <w:r>
        <w:rPr>
          <w:spacing w:val="-1"/>
        </w:rPr>
        <w:t>开发、生产矿用对讲机、防爆通讯产品及配件、无线电通讯器材及配件，提供相关技术服务（不含限</w:t>
      </w:r>
    </w:p>
    <w:p>
      <w:pPr>
        <w:pStyle w:val="BodyText"/>
        <w:spacing w:line="408" w:lineRule="auto"/>
        <w:ind w:right="1046"/>
        <w:jc w:val="left"/>
      </w:pPr>
      <w:r>
        <w:rPr>
          <w:spacing w:val="-3"/>
        </w:rPr>
        <w:t>制项目）；无线电通讯器材软件的技术开发；通信工程的咨询和相关的技术服务；系统集成；计算机软件</w:t>
      </w:r>
      <w:r>
        <w:rPr>
          <w:spacing w:val="-74"/>
        </w:rPr>
        <w:t> </w:t>
      </w:r>
      <w:r>
        <w:rPr>
          <w:spacing w:val="-74"/>
        </w:rPr>
      </w:r>
      <w:r>
        <w:rPr>
          <w:spacing w:val="-3"/>
        </w:rPr>
        <w:t>和通信软件的开发；视频监控系统技术开发和销售及相关的技术咨询和服务（以上各项不含限制项目）；</w:t>
      </w:r>
      <w:r>
        <w:rPr>
          <w:spacing w:val="-72"/>
        </w:rPr>
        <w:t> </w:t>
      </w:r>
      <w:r>
        <w:rPr>
          <w:spacing w:val="-72"/>
        </w:rPr>
      </w:r>
      <w:r>
        <w:rPr>
          <w:spacing w:val="-1"/>
        </w:rPr>
        <w:t>开发、销售数码产品；经营进出口业务（法律、行政法规、国务院决定禁止的项目除外，限制的项目须取</w:t>
      </w:r>
      <w:r>
        <w:rPr>
          <w:spacing w:val="-83"/>
        </w:rPr>
        <w:t> </w:t>
      </w:r>
      <w:r>
        <w:rPr>
          <w:spacing w:val="-83"/>
        </w:rPr>
      </w:r>
      <w:r>
        <w:rPr>
          <w:spacing w:val="-9"/>
        </w:rPr>
        <w:t>得许可后方可经营）；自有物业租赁（不含限制项目）。</w:t>
      </w:r>
    </w:p>
    <w:p>
      <w:pPr>
        <w:pStyle w:val="BodyText"/>
        <w:spacing w:line="408" w:lineRule="auto"/>
        <w:ind w:left="573" w:right="1046"/>
        <w:jc w:val="left"/>
      </w:pPr>
      <w:r>
        <w:rPr/>
        <w:t>（三）公司历史沿革 </w:t>
      </w:r>
      <w:r>
        <w:rPr>
          <w:spacing w:val="-1"/>
        </w:rPr>
        <w:t>海能达通信股份有限公司（以下简称“公司”或“本公司”）是由深圳市好易通科技有限公司（以下</w:t>
      </w:r>
    </w:p>
    <w:p>
      <w:pPr>
        <w:pStyle w:val="BodyText"/>
        <w:spacing w:line="408" w:lineRule="auto"/>
        <w:ind w:right="1017"/>
        <w:jc w:val="left"/>
      </w:pPr>
      <w:r>
        <w:rPr>
          <w:spacing w:val="-6"/>
        </w:rPr>
        <w:t>简称“好易通科技”）整体变更设立，公司股票于</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5</w:t>
      </w:r>
      <w:r>
        <w:rPr>
          <w:rFonts w:ascii="宋体" w:hAnsi="宋体" w:cs="宋体" w:eastAsia="宋体" w:hint="default"/>
          <w:spacing w:val="-52"/>
        </w:rPr>
        <w:t> </w:t>
      </w:r>
      <w:r>
        <w:rPr/>
        <w:t>月</w:t>
      </w:r>
      <w:r>
        <w:rPr>
          <w:spacing w:val="-54"/>
        </w:rPr>
        <w:t> </w:t>
      </w:r>
      <w:r>
        <w:rPr>
          <w:rFonts w:ascii="宋体" w:hAnsi="宋体" w:cs="宋体" w:eastAsia="宋体" w:hint="default"/>
        </w:rPr>
        <w:t>27</w:t>
      </w:r>
      <w:r>
        <w:rPr>
          <w:rFonts w:ascii="宋体" w:hAnsi="宋体" w:cs="宋体" w:eastAsia="宋体" w:hint="default"/>
          <w:spacing w:val="-52"/>
        </w:rPr>
        <w:t> </w:t>
      </w:r>
      <w:r>
        <w:rPr/>
        <w:t>日在深圳证券交易所正式挂牌上市交易， </w:t>
      </w:r>
      <w:r>
        <w:rPr>
          <w:spacing w:val="-10"/>
        </w:rPr>
        <w:t>股票简称“海能达”，股票代码“002583”。</w:t>
      </w:r>
      <w:r>
        <w:rPr/>
      </w:r>
    </w:p>
    <w:p>
      <w:pPr>
        <w:pStyle w:val="BodyText"/>
        <w:spacing w:line="240" w:lineRule="auto"/>
        <w:ind w:left="574" w:right="1046"/>
        <w:jc w:val="left"/>
      </w:pPr>
      <w:r>
        <w:rPr>
          <w:rFonts w:ascii="宋体" w:hAnsi="宋体" w:cs="宋体" w:eastAsia="宋体" w:hint="default"/>
          <w:spacing w:val="-4"/>
        </w:rPr>
        <w:t>1</w:t>
      </w:r>
      <w:r>
        <w:rPr>
          <w:spacing w:val="-4"/>
        </w:rPr>
        <w:t>、</w:t>
      </w:r>
      <w:r>
        <w:rPr>
          <w:rFonts w:ascii="宋体" w:hAnsi="宋体" w:cs="宋体" w:eastAsia="宋体" w:hint="default"/>
          <w:spacing w:val="-4"/>
        </w:rPr>
        <w:t>1993</w:t>
      </w:r>
      <w:r>
        <w:rPr>
          <w:rFonts w:ascii="宋体" w:hAnsi="宋体" w:cs="宋体" w:eastAsia="宋体" w:hint="default"/>
          <w:spacing w:val="-65"/>
        </w:rPr>
        <w:t> </w:t>
      </w:r>
      <w:r>
        <w:rPr/>
        <w:t>年</w:t>
      </w:r>
      <w:r>
        <w:rPr>
          <w:spacing w:val="-65"/>
        </w:rPr>
        <w:t> </w:t>
      </w:r>
      <w:r>
        <w:rPr>
          <w:rFonts w:ascii="宋体" w:hAnsi="宋体" w:cs="宋体" w:eastAsia="宋体" w:hint="default"/>
        </w:rPr>
        <w:t>5</w:t>
      </w:r>
      <w:r>
        <w:rPr>
          <w:rFonts w:ascii="宋体" w:hAnsi="宋体" w:cs="宋体" w:eastAsia="宋体" w:hint="default"/>
          <w:spacing w:val="-65"/>
        </w:rPr>
        <w:t> </w:t>
      </w:r>
      <w:r>
        <w:rPr/>
        <w:t>月</w:t>
      </w:r>
      <w:r>
        <w:rPr>
          <w:spacing w:val="-65"/>
        </w:rPr>
        <w:t> </w:t>
      </w:r>
      <w:r>
        <w:rPr>
          <w:rFonts w:ascii="宋体" w:hAnsi="宋体" w:cs="宋体" w:eastAsia="宋体" w:hint="default"/>
        </w:rPr>
        <w:t>11</w:t>
      </w:r>
      <w:r>
        <w:rPr>
          <w:rFonts w:ascii="宋体" w:hAnsi="宋体" w:cs="宋体" w:eastAsia="宋体" w:hint="default"/>
          <w:spacing w:val="-64"/>
        </w:rPr>
        <w:t> </w:t>
      </w:r>
      <w:r>
        <w:rPr/>
        <w:t>日，好易通科技由陈清州、陈坚强共同出资发起设立，并领取了深圳市工商行政管</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理局颁发的注册号为</w:t>
      </w:r>
      <w:r>
        <w:rPr>
          <w:spacing w:val="-52"/>
        </w:rPr>
        <w:t> </w:t>
      </w:r>
      <w:r>
        <w:rPr>
          <w:rFonts w:ascii="宋体" w:hAnsi="宋体" w:cs="宋体" w:eastAsia="宋体" w:hint="default"/>
        </w:rPr>
        <w:t>27942218</w:t>
      </w:r>
      <w:r>
        <w:rPr>
          <w:rFonts w:ascii="宋体" w:hAnsi="宋体" w:cs="宋体" w:eastAsia="宋体" w:hint="default"/>
          <w:spacing w:val="-1"/>
        </w:rPr>
        <w:t>-</w:t>
      </w:r>
      <w:r>
        <w:rPr>
          <w:rFonts w:ascii="宋体" w:hAnsi="宋体" w:cs="宋体" w:eastAsia="宋体" w:hint="default"/>
        </w:rPr>
        <w:t>9</w:t>
      </w:r>
      <w:r>
        <w:rPr>
          <w:rFonts w:ascii="宋体" w:hAnsi="宋体" w:cs="宋体" w:eastAsia="宋体" w:hint="default"/>
          <w:spacing w:val="-52"/>
        </w:rPr>
        <w:t> </w:t>
      </w:r>
      <w:r>
        <w:rPr/>
        <w:t>的</w:t>
      </w:r>
      <w:r>
        <w:rPr>
          <w:spacing w:val="-2"/>
        </w:rPr>
        <w:t>《</w:t>
      </w:r>
      <w:r>
        <w:rPr/>
        <w:t>企业法人营业执照</w:t>
      </w:r>
      <w:r>
        <w:rPr>
          <w:spacing w:val="-105"/>
        </w:rPr>
        <w:t>》</w:t>
      </w:r>
      <w:r>
        <w:rPr/>
        <w:t>。</w:t>
      </w:r>
    </w:p>
    <w:p>
      <w:pPr>
        <w:spacing w:line="240" w:lineRule="auto" w:before="10"/>
        <w:rPr>
          <w:rFonts w:ascii="宋体" w:hAnsi="宋体" w:cs="宋体" w:eastAsia="宋体" w:hint="default"/>
          <w:sz w:val="14"/>
          <w:szCs w:val="14"/>
        </w:rPr>
      </w:pPr>
    </w:p>
    <w:p>
      <w:pPr>
        <w:pStyle w:val="BodyText"/>
        <w:spacing w:line="240" w:lineRule="auto" w:before="0"/>
        <w:ind w:left="574" w:right="0"/>
        <w:jc w:val="left"/>
      </w:pPr>
      <w:r>
        <w:rPr>
          <w:rFonts w:ascii="宋体" w:hAnsi="宋体" w:cs="宋体" w:eastAsia="宋体" w:hint="default"/>
        </w:rPr>
        <w:t>2</w:t>
      </w:r>
      <w:r>
        <w:rPr/>
        <w:t>、</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3"/>
        </w:rPr>
        <w:t> </w:t>
      </w:r>
      <w:r>
        <w:rPr/>
        <w:t>日，经好易通科技股东会决议通过，整体变更为深圳市海能达通信股份有限公司。</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好易通科技以经深圳市鹏城会计师事务所审计的截至</w:t>
      </w:r>
      <w:r>
        <w:rPr>
          <w:spacing w:val="-53"/>
        </w:rPr>
        <w:t> </w:t>
      </w:r>
      <w:r>
        <w:rPr>
          <w:rFonts w:ascii="宋体" w:hAnsi="宋体" w:cs="宋体" w:eastAsia="宋体" w:hint="default"/>
        </w:rPr>
        <w:t>2009</w:t>
      </w:r>
      <w:r>
        <w:rPr>
          <w:rFonts w:ascii="宋体" w:hAnsi="宋体" w:cs="宋体" w:eastAsia="宋体" w:hint="default"/>
          <w:spacing w:val="-55"/>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日净资产为基数折合</w:t>
      </w:r>
      <w:r>
        <w:rPr>
          <w:spacing w:val="-53"/>
        </w:rPr>
        <w:t> </w:t>
      </w:r>
      <w:r>
        <w:rPr>
          <w:rFonts w:ascii="宋体" w:hAnsi="宋体" w:cs="宋体" w:eastAsia="宋体" w:hint="default"/>
        </w:rPr>
        <w:t>16,000</w:t>
      </w:r>
      <w:r>
        <w:rPr>
          <w:rFonts w:ascii="宋体" w:hAnsi="宋体" w:cs="宋体" w:eastAsia="宋体" w:hint="default"/>
          <w:spacing w:val="-54"/>
        </w:rPr>
        <w:t> </w:t>
      </w:r>
      <w:r>
        <w:rPr/>
        <w:t>万股，</w:t>
      </w:r>
    </w:p>
    <w:p>
      <w:pPr>
        <w:spacing w:line="240" w:lineRule="auto" w:before="10"/>
        <w:rPr>
          <w:rFonts w:ascii="宋体" w:hAnsi="宋体" w:cs="宋体" w:eastAsia="宋体" w:hint="default"/>
          <w:sz w:val="14"/>
          <w:szCs w:val="14"/>
        </w:rPr>
      </w:pPr>
    </w:p>
    <w:p>
      <w:pPr>
        <w:pStyle w:val="BodyText"/>
        <w:spacing w:line="408" w:lineRule="auto" w:before="0"/>
        <w:ind w:right="1162"/>
        <w:jc w:val="both"/>
      </w:pPr>
      <w:r>
        <w:rPr/>
        <w:t>以陈清州、翁丽敏两位自然人做为发起人，整体变更为深圳市海能达通信股份有限公司。</w:t>
      </w:r>
      <w:r>
        <w:rPr>
          <w:rFonts w:ascii="宋体" w:hAnsi="宋体" w:cs="宋体" w:eastAsia="宋体" w:hint="default"/>
        </w:rPr>
        <w:t>2010</w:t>
      </w:r>
      <w:r>
        <w:rPr>
          <w:rFonts w:ascii="宋体" w:hAnsi="宋体" w:cs="宋体" w:eastAsia="宋体" w:hint="default"/>
          <w:spacing w:val="-53"/>
        </w:rPr>
        <w:t> </w:t>
      </w:r>
      <w:r>
        <w:rPr/>
        <w:t>年</w:t>
      </w:r>
      <w:r>
        <w:rPr>
          <w:spacing w:val="-54"/>
        </w:rPr>
        <w:t> </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22 </w:t>
      </w:r>
      <w:r>
        <w:rPr/>
        <w:t>日，深圳市鹏城会计师事务所对公司上述注册资本情况进行了审验，并出具了“深鹏所验字【</w:t>
      </w:r>
      <w:r>
        <w:rPr>
          <w:rFonts w:ascii="宋体" w:hAnsi="宋体" w:cs="宋体" w:eastAsia="宋体" w:hint="default"/>
        </w:rPr>
        <w:t>2010</w:t>
      </w:r>
      <w:r>
        <w:rPr/>
        <w:t>】</w:t>
      </w:r>
      <w:r>
        <w:rPr>
          <w:rFonts w:ascii="宋体" w:hAnsi="宋体" w:cs="宋体" w:eastAsia="宋体" w:hint="default"/>
        </w:rPr>
        <w:t>066 </w:t>
      </w:r>
      <w:r>
        <w:rPr>
          <w:spacing w:val="-9"/>
        </w:rPr>
        <w:t>号”《验资报告》。</w:t>
      </w:r>
      <w:r>
        <w:rPr>
          <w:rFonts w:ascii="宋体" w:hAnsi="宋体" w:cs="宋体" w:eastAsia="宋体" w:hint="default"/>
          <w:spacing w:val="-9"/>
        </w:rPr>
        <w:t>2010</w:t>
      </w:r>
      <w:r>
        <w:rPr>
          <w:rFonts w:ascii="宋体" w:hAnsi="宋体" w:cs="宋体" w:eastAsia="宋体" w:hint="default"/>
          <w:spacing w:val="-47"/>
        </w:rPr>
        <w:t> </w:t>
      </w:r>
      <w:r>
        <w:rPr/>
        <w:t>年</w:t>
      </w:r>
      <w:r>
        <w:rPr>
          <w:spacing w:val="-46"/>
        </w:rPr>
        <w:t> </w:t>
      </w:r>
      <w:r>
        <w:rPr>
          <w:rFonts w:ascii="宋体" w:hAnsi="宋体" w:cs="宋体" w:eastAsia="宋体" w:hint="default"/>
        </w:rPr>
        <w:t>3</w:t>
      </w:r>
      <w:r>
        <w:rPr>
          <w:rFonts w:ascii="宋体" w:hAnsi="宋体" w:cs="宋体" w:eastAsia="宋体" w:hint="default"/>
          <w:spacing w:val="-44"/>
        </w:rPr>
        <w:t> </w:t>
      </w:r>
      <w:r>
        <w:rPr/>
        <w:t>月</w:t>
      </w:r>
      <w:r>
        <w:rPr>
          <w:spacing w:val="-47"/>
        </w:rPr>
        <w:t> </w:t>
      </w:r>
      <w:r>
        <w:rPr>
          <w:rFonts w:ascii="宋体" w:hAnsi="宋体" w:cs="宋体" w:eastAsia="宋体" w:hint="default"/>
        </w:rPr>
        <w:t>1</w:t>
      </w:r>
      <w:r>
        <w:rPr>
          <w:rFonts w:ascii="宋体" w:hAnsi="宋体" w:cs="宋体" w:eastAsia="宋体" w:hint="default"/>
          <w:spacing w:val="-44"/>
        </w:rPr>
        <w:t> </w:t>
      </w:r>
      <w:r>
        <w:rPr>
          <w:spacing w:val="-1"/>
        </w:rPr>
        <w:t>日，股份公司在深圳市市场监督管理局完成了工商变更登记并领取了新</w:t>
      </w:r>
      <w:r>
        <w:rPr/>
        <w:t> 的企业法人营业执照。</w:t>
      </w:r>
    </w:p>
    <w:p>
      <w:pPr>
        <w:pStyle w:val="BodyText"/>
        <w:spacing w:line="240" w:lineRule="auto"/>
        <w:ind w:left="573" w:right="1046"/>
        <w:jc w:val="left"/>
      </w:pPr>
      <w:r>
        <w:rPr>
          <w:rFonts w:ascii="宋体" w:hAnsi="宋体" w:cs="宋体" w:eastAsia="宋体" w:hint="default"/>
        </w:rPr>
        <w:t>3</w:t>
      </w:r>
      <w:r>
        <w:rPr/>
        <w:t>、</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9</w:t>
      </w:r>
      <w:r>
        <w:rPr>
          <w:rFonts w:ascii="宋体" w:hAnsi="宋体" w:cs="宋体" w:eastAsia="宋体" w:hint="default"/>
          <w:spacing w:val="-53"/>
        </w:rPr>
        <w:t> </w:t>
      </w:r>
      <w:r>
        <w:rPr/>
        <w:t>日，经深圳市海能达通信股份有限公司股东大会决议：公司名称变更为海能达通信</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spacing w:val="-3"/>
        </w:rPr>
        <w:t>股份有限公司，于</w:t>
      </w:r>
      <w:r>
        <w:rPr>
          <w:spacing w:val="-53"/>
        </w:rPr>
        <w:t> </w:t>
      </w:r>
      <w:r>
        <w:rPr>
          <w:rFonts w:ascii="宋体" w:hAnsi="宋体" w:cs="宋体" w:eastAsia="宋体" w:hint="default"/>
        </w:rPr>
        <w:t>2010</w:t>
      </w:r>
      <w:r>
        <w:rPr>
          <w:rFonts w:ascii="宋体" w:hAnsi="宋体" w:cs="宋体" w:eastAsia="宋体" w:hint="default"/>
          <w:spacing w:val="-55"/>
        </w:rPr>
        <w:t> </w:t>
      </w:r>
      <w:r>
        <w:rPr/>
        <w:t>年</w:t>
      </w:r>
      <w:r>
        <w:rPr>
          <w:spacing w:val="-54"/>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日在深圳市市场监督管理局办理了工商变更登记并领取了新的企业法人</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46"/>
        <w:jc w:val="left"/>
      </w:pPr>
      <w:r>
        <w:rPr/>
        <w:t>营业执照。</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rPr>
          <w:rFonts w:ascii="宋体" w:hAnsi="宋体" w:cs="宋体" w:eastAsia="宋体" w:hint="default"/>
        </w:rPr>
      </w:pPr>
      <w:r>
        <w:rPr>
          <w:rFonts w:ascii="宋体" w:hAnsi="宋体" w:cs="宋体" w:eastAsia="宋体" w:hint="default"/>
        </w:rPr>
        <w:t>4</w:t>
      </w:r>
      <w:r>
        <w:rPr/>
        <w:t>、</w:t>
      </w:r>
      <w:r>
        <w:rPr>
          <w:rFonts w:ascii="宋体" w:hAnsi="宋体" w:cs="宋体" w:eastAsia="宋体" w:hint="default"/>
        </w:rPr>
        <w:t>2010</w:t>
      </w:r>
      <w:r>
        <w:rPr>
          <w:rFonts w:ascii="宋体" w:hAnsi="宋体" w:cs="宋体" w:eastAsia="宋体" w:hint="default"/>
          <w:spacing w:val="-57"/>
        </w:rPr>
        <w:t> </w:t>
      </w:r>
      <w:r>
        <w:rPr/>
        <w:t>年</w:t>
      </w:r>
      <w:r>
        <w:rPr>
          <w:spacing w:val="-58"/>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25</w:t>
      </w:r>
      <w:r>
        <w:rPr>
          <w:rFonts w:ascii="宋体" w:hAnsi="宋体" w:cs="宋体" w:eastAsia="宋体" w:hint="default"/>
          <w:spacing w:val="-56"/>
        </w:rPr>
        <w:t> </w:t>
      </w:r>
      <w:r>
        <w:rPr/>
        <w:t>日，根据公司股东大会决议公司增加注册资本</w:t>
      </w:r>
      <w:r>
        <w:rPr>
          <w:spacing w:val="-56"/>
        </w:rPr>
        <w:t> </w:t>
      </w:r>
      <w:r>
        <w:rPr>
          <w:rFonts w:ascii="宋体" w:hAnsi="宋体" w:cs="宋体" w:eastAsia="宋体" w:hint="default"/>
        </w:rPr>
        <w:t>4,800</w:t>
      </w:r>
      <w:r>
        <w:rPr>
          <w:rFonts w:ascii="宋体" w:hAnsi="宋体" w:cs="宋体" w:eastAsia="宋体" w:hint="default"/>
          <w:spacing w:val="-57"/>
        </w:rPr>
        <w:t> </w:t>
      </w:r>
      <w:r>
        <w:rPr/>
        <w:t>万元，注册资本由</w:t>
      </w:r>
      <w:r>
        <w:rPr>
          <w:spacing w:val="-56"/>
        </w:rPr>
        <w:t> </w:t>
      </w:r>
      <w:r>
        <w:rPr>
          <w:rFonts w:ascii="宋体" w:hAnsi="宋体" w:cs="宋体" w:eastAsia="宋体" w:hint="default"/>
        </w:rPr>
        <w:t>16,000.00</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万元增加至</w:t>
      </w:r>
      <w:r>
        <w:rPr>
          <w:spacing w:val="-59"/>
        </w:rPr>
        <w:t> </w:t>
      </w:r>
      <w:r>
        <w:rPr>
          <w:rFonts w:ascii="宋体" w:hAnsi="宋体" w:cs="宋体" w:eastAsia="宋体" w:hint="default"/>
        </w:rPr>
        <w:t>20,800.00</w:t>
      </w:r>
      <w:r>
        <w:rPr>
          <w:rFonts w:ascii="宋体" w:hAnsi="宋体" w:cs="宋体" w:eastAsia="宋体" w:hint="default"/>
          <w:spacing w:val="-59"/>
        </w:rPr>
        <w:t> </w:t>
      </w:r>
      <w:r>
        <w:rPr/>
        <w:t>万元，由陈清州等</w:t>
      </w:r>
      <w:r>
        <w:rPr>
          <w:spacing w:val="-59"/>
        </w:rPr>
        <w:t> </w:t>
      </w:r>
      <w:r>
        <w:rPr>
          <w:rFonts w:ascii="宋体" w:hAnsi="宋体" w:cs="宋体" w:eastAsia="宋体" w:hint="default"/>
        </w:rPr>
        <w:t>167</w:t>
      </w:r>
      <w:r>
        <w:rPr>
          <w:rFonts w:ascii="宋体" w:hAnsi="宋体" w:cs="宋体" w:eastAsia="宋体" w:hint="default"/>
          <w:spacing w:val="-59"/>
        </w:rPr>
        <w:t> </w:t>
      </w:r>
      <w:r>
        <w:rPr/>
        <w:t>位股东认缴。此次出资业经深圳市鹏城会计师事务所“深鹏</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所验字</w:t>
      </w:r>
      <w:r>
        <w:rPr>
          <w:rFonts w:ascii="宋体" w:hAnsi="宋体" w:cs="宋体" w:eastAsia="宋体" w:hint="default"/>
        </w:rPr>
        <w:t>[2010]103</w:t>
      </w:r>
      <w:r>
        <w:rPr>
          <w:rFonts w:ascii="宋体" w:hAnsi="宋体" w:cs="宋体" w:eastAsia="宋体" w:hint="default"/>
          <w:spacing w:val="-53"/>
        </w:rPr>
        <w:t> </w:t>
      </w:r>
      <w:r>
        <w:rPr/>
        <w:t>号”《验资报告》验证。公司于</w:t>
      </w:r>
      <w:r>
        <w:rPr>
          <w:spacing w:val="-53"/>
        </w:rPr>
        <w:t> </w:t>
      </w:r>
      <w:r>
        <w:rPr>
          <w:rFonts w:ascii="宋体" w:hAnsi="宋体" w:cs="宋体" w:eastAsia="宋体" w:hint="default"/>
        </w:rPr>
        <w:t>2010</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25</w:t>
      </w:r>
      <w:r>
        <w:rPr>
          <w:rFonts w:ascii="宋体" w:hAnsi="宋体" w:cs="宋体" w:eastAsia="宋体" w:hint="default"/>
          <w:spacing w:val="-53"/>
        </w:rPr>
        <w:t> </w:t>
      </w:r>
      <w:r>
        <w:rPr/>
        <w:t>日完成工商变更登记手续。</w:t>
      </w:r>
    </w:p>
    <w:p>
      <w:pPr>
        <w:spacing w:line="240" w:lineRule="auto" w:before="10"/>
        <w:rPr>
          <w:rFonts w:ascii="宋体" w:hAnsi="宋体" w:cs="宋体" w:eastAsia="宋体" w:hint="default"/>
          <w:sz w:val="14"/>
          <w:szCs w:val="14"/>
        </w:rPr>
      </w:pPr>
    </w:p>
    <w:p>
      <w:pPr>
        <w:pStyle w:val="BodyText"/>
        <w:spacing w:line="408" w:lineRule="auto" w:before="0"/>
        <w:ind w:right="1130" w:firstLine="420"/>
        <w:jc w:val="both"/>
      </w:pPr>
      <w:r>
        <w:rPr>
          <w:rFonts w:ascii="宋体" w:hAnsi="宋体" w:cs="宋体" w:eastAsia="宋体" w:hint="default"/>
        </w:rPr>
        <w:t>5</w:t>
      </w:r>
      <w:r>
        <w:rPr/>
        <w:t>、</w:t>
      </w:r>
      <w:r>
        <w:rPr>
          <w:rFonts w:ascii="宋体" w:hAnsi="宋体" w:cs="宋体" w:eastAsia="宋体" w:hint="default"/>
        </w:rPr>
        <w:t>2011</w:t>
      </w:r>
      <w:r>
        <w:rPr>
          <w:rFonts w:ascii="宋体" w:hAnsi="宋体" w:cs="宋体" w:eastAsia="宋体" w:hint="default"/>
          <w:spacing w:val="-58"/>
        </w:rPr>
        <w:t> </w:t>
      </w:r>
      <w:r>
        <w:rPr/>
        <w:t>年</w:t>
      </w:r>
      <w:r>
        <w:rPr>
          <w:spacing w:val="-58"/>
        </w:rPr>
        <w:t> </w:t>
      </w:r>
      <w:r>
        <w:rPr>
          <w:rFonts w:ascii="宋体" w:hAnsi="宋体" w:cs="宋体" w:eastAsia="宋体" w:hint="default"/>
        </w:rPr>
        <w:t>5</w:t>
      </w:r>
      <w:r>
        <w:rPr>
          <w:rFonts w:ascii="宋体" w:hAnsi="宋体" w:cs="宋体" w:eastAsia="宋体" w:hint="default"/>
          <w:spacing w:val="-58"/>
        </w:rPr>
        <w:t> </w:t>
      </w:r>
      <w:r>
        <w:rPr/>
        <w:t>月</w:t>
      </w:r>
      <w:r>
        <w:rPr>
          <w:spacing w:val="-58"/>
        </w:rPr>
        <w:t> </w:t>
      </w:r>
      <w:r>
        <w:rPr>
          <w:rFonts w:ascii="宋体" w:hAnsi="宋体" w:cs="宋体" w:eastAsia="宋体" w:hint="default"/>
        </w:rPr>
        <w:t>18</w:t>
      </w:r>
      <w:r>
        <w:rPr>
          <w:rFonts w:ascii="宋体" w:hAnsi="宋体" w:cs="宋体" w:eastAsia="宋体" w:hint="default"/>
          <w:spacing w:val="-57"/>
        </w:rPr>
        <w:t> </w:t>
      </w:r>
      <w:r>
        <w:rPr/>
        <w:t>日，依据中国证券监督管理委员会证监许可（</w:t>
      </w:r>
      <w:r>
        <w:rPr>
          <w:rFonts w:ascii="宋体" w:hAnsi="宋体" w:cs="宋体" w:eastAsia="宋体" w:hint="default"/>
        </w:rPr>
        <w:t>2011</w:t>
      </w:r>
      <w:r>
        <w:rPr/>
        <w:t>）</w:t>
      </w:r>
      <w:r>
        <w:rPr>
          <w:rFonts w:ascii="宋体" w:hAnsi="宋体" w:cs="宋体" w:eastAsia="宋体" w:hint="default"/>
        </w:rPr>
        <w:t>651</w:t>
      </w:r>
      <w:r>
        <w:rPr>
          <w:rFonts w:ascii="宋体" w:hAnsi="宋体" w:cs="宋体" w:eastAsia="宋体" w:hint="default"/>
          <w:spacing w:val="-57"/>
        </w:rPr>
        <w:t> </w:t>
      </w:r>
      <w:r>
        <w:rPr/>
        <w:t>号文《关于核准海能达通 </w:t>
      </w:r>
      <w:r>
        <w:rPr>
          <w:spacing w:val="-4"/>
        </w:rPr>
        <w:t>信股份有限公司首次公开发行股票的批复》，公司向社会公开发行人民币普通股（</w:t>
      </w:r>
      <w:r>
        <w:rPr>
          <w:rFonts w:ascii="宋体" w:hAnsi="宋体" w:cs="宋体" w:eastAsia="宋体" w:hint="default"/>
          <w:spacing w:val="-4"/>
        </w:rPr>
        <w:t>A</w:t>
      </w:r>
      <w:r>
        <w:rPr>
          <w:rFonts w:ascii="宋体" w:hAnsi="宋体" w:cs="宋体" w:eastAsia="宋体" w:hint="default"/>
          <w:spacing w:val="-38"/>
        </w:rPr>
        <w:t> </w:t>
      </w:r>
      <w:r>
        <w:rPr>
          <w:spacing w:val="-1"/>
        </w:rPr>
        <w:t>股）</w:t>
      </w:r>
      <w:r>
        <w:rPr>
          <w:rFonts w:ascii="宋体" w:hAnsi="宋体" w:cs="宋体" w:eastAsia="宋体" w:hint="default"/>
          <w:spacing w:val="-1"/>
        </w:rPr>
        <w:t>7,000</w:t>
      </w:r>
      <w:r>
        <w:rPr>
          <w:rFonts w:ascii="宋体" w:hAnsi="宋体" w:cs="宋体" w:eastAsia="宋体" w:hint="default"/>
          <w:spacing w:val="-38"/>
        </w:rPr>
        <w:t> </w:t>
      </w:r>
      <w:r>
        <w:rPr>
          <w:spacing w:val="-2"/>
        </w:rPr>
        <w:t>万股，此次</w:t>
      </w:r>
      <w:r>
        <w:rPr>
          <w:spacing w:val="-102"/>
        </w:rPr>
        <w:t> </w:t>
      </w:r>
      <w:r>
        <w:rPr>
          <w:spacing w:val="-102"/>
        </w:rPr>
      </w:r>
      <w:r>
        <w:rPr/>
        <w:t>公开发行股票业经深圳市鹏城会计师事务所有限公司审验，并于</w:t>
      </w:r>
      <w:r>
        <w:rPr>
          <w:spacing w:val="-53"/>
        </w:rPr>
        <w:t> </w:t>
      </w:r>
      <w:r>
        <w:rPr>
          <w:rFonts w:ascii="宋体" w:hAnsi="宋体" w:cs="宋体" w:eastAsia="宋体" w:hint="default"/>
        </w:rPr>
        <w:t>2011</w:t>
      </w:r>
      <w:r>
        <w:rPr>
          <w:rFonts w:ascii="宋体" w:hAnsi="宋体" w:cs="宋体" w:eastAsia="宋体" w:hint="default"/>
          <w:spacing w:val="-55"/>
        </w:rPr>
        <w:t> </w:t>
      </w:r>
      <w:r>
        <w:rPr/>
        <w:t>年</w:t>
      </w:r>
      <w:r>
        <w:rPr>
          <w:spacing w:val="-54"/>
        </w:rPr>
        <w:t> </w:t>
      </w:r>
      <w:r>
        <w:rPr>
          <w:rFonts w:ascii="宋体" w:hAnsi="宋体" w:cs="宋体" w:eastAsia="宋体" w:hint="default"/>
        </w:rPr>
        <w:t>5</w:t>
      </w:r>
      <w:r>
        <w:rPr>
          <w:rFonts w:ascii="宋体" w:hAnsi="宋体" w:cs="宋体" w:eastAsia="宋体" w:hint="default"/>
          <w:spacing w:val="-53"/>
        </w:rPr>
        <w:t> </w:t>
      </w:r>
      <w:r>
        <w:rPr/>
        <w:t>月</w:t>
      </w:r>
      <w:r>
        <w:rPr>
          <w:spacing w:val="-54"/>
        </w:rPr>
        <w:t> </w:t>
      </w:r>
      <w:r>
        <w:rPr>
          <w:rFonts w:ascii="宋体" w:hAnsi="宋体" w:cs="宋体" w:eastAsia="宋体" w:hint="default"/>
        </w:rPr>
        <w:t>23</w:t>
      </w:r>
      <w:r>
        <w:rPr>
          <w:rFonts w:ascii="宋体" w:hAnsi="宋体" w:cs="宋体" w:eastAsia="宋体" w:hint="default"/>
          <w:spacing w:val="-53"/>
        </w:rPr>
        <w:t> </w:t>
      </w:r>
      <w:r>
        <w:rPr/>
        <w:t>日出具深鹏所验字</w:t>
      </w:r>
    </w:p>
    <w:p>
      <w:pPr>
        <w:pStyle w:val="BodyText"/>
        <w:spacing w:line="240" w:lineRule="auto"/>
        <w:ind w:right="1046"/>
        <w:jc w:val="left"/>
      </w:pPr>
      <w:r>
        <w:rPr>
          <w:rFonts w:ascii="宋体" w:hAnsi="宋体" w:cs="宋体" w:eastAsia="宋体" w:hint="default"/>
        </w:rPr>
        <w:t>[2011]156</w:t>
      </w:r>
      <w:r>
        <w:rPr>
          <w:rFonts w:ascii="宋体" w:hAnsi="宋体" w:cs="宋体" w:eastAsia="宋体" w:hint="default"/>
          <w:spacing w:val="-53"/>
        </w:rPr>
        <w:t> </w:t>
      </w:r>
      <w:r>
        <w:rPr/>
        <w:t>号验资报告。</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27</w:t>
      </w:r>
      <w:r>
        <w:rPr>
          <w:rFonts w:ascii="宋体" w:hAnsi="宋体" w:cs="宋体" w:eastAsia="宋体" w:hint="default"/>
          <w:spacing w:val="-53"/>
        </w:rPr>
        <w:t> </w:t>
      </w:r>
      <w:r>
        <w:rPr/>
        <w:t>日，公司股票在深圳证券交易所上市。本次发行后公司总股本变</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更为</w:t>
      </w:r>
      <w:r>
        <w:rPr>
          <w:spacing w:val="-53"/>
        </w:rPr>
        <w:t> </w:t>
      </w:r>
      <w:r>
        <w:rPr>
          <w:rFonts w:ascii="宋体" w:hAnsi="宋体" w:cs="宋体" w:eastAsia="宋体" w:hint="default"/>
        </w:rPr>
        <w:t>27,800.00</w:t>
      </w:r>
      <w:r>
        <w:rPr>
          <w:rFonts w:ascii="宋体" w:hAnsi="宋体" w:cs="宋体" w:eastAsia="宋体" w:hint="default"/>
          <w:spacing w:val="-52"/>
        </w:rPr>
        <w:t> </w:t>
      </w:r>
      <w:r>
        <w:rPr/>
        <w:t>万股（</w:t>
      </w:r>
      <w:r>
        <w:rPr>
          <w:spacing w:val="-2"/>
        </w:rPr>
        <w:t>每</w:t>
      </w:r>
      <w:r>
        <w:rPr/>
        <w:t>股面值</w:t>
      </w:r>
      <w:r>
        <w:rPr>
          <w:spacing w:val="-53"/>
        </w:rPr>
        <w:t> </w:t>
      </w:r>
      <w:r>
        <w:rPr>
          <w:rFonts w:ascii="宋体" w:hAnsi="宋体" w:cs="宋体" w:eastAsia="宋体" w:hint="default"/>
        </w:rPr>
        <w:t>1</w:t>
      </w:r>
      <w:r>
        <w:rPr>
          <w:rFonts w:ascii="宋体" w:hAnsi="宋体" w:cs="宋体" w:eastAsia="宋体" w:hint="default"/>
          <w:spacing w:val="-52"/>
        </w:rPr>
        <w:t> </w:t>
      </w:r>
      <w:r>
        <w:rPr>
          <w:spacing w:val="-2"/>
        </w:rPr>
        <w:t>元</w:t>
      </w:r>
      <w:r>
        <w:rPr>
          <w:spacing w:val="-106"/>
        </w:rPr>
        <w:t>）</w:t>
      </w:r>
      <w:r>
        <w:rPr/>
        <w:t>，公司于</w:t>
      </w:r>
      <w:r>
        <w:rPr>
          <w:spacing w:val="-52"/>
        </w:rPr>
        <w:t> </w:t>
      </w:r>
      <w:r>
        <w:rPr>
          <w:rFonts w:ascii="宋体" w:hAnsi="宋体" w:cs="宋体" w:eastAsia="宋体" w:hint="default"/>
        </w:rPr>
        <w:t>2011</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2"/>
        </w:rPr>
        <w:t> </w:t>
      </w:r>
      <w:r>
        <w:rPr/>
        <w:t>月</w:t>
      </w:r>
      <w:r>
        <w:rPr>
          <w:spacing w:val="-54"/>
        </w:rPr>
        <w:t> </w:t>
      </w:r>
      <w:r>
        <w:rPr>
          <w:rFonts w:ascii="宋体" w:hAnsi="宋体" w:cs="宋体" w:eastAsia="宋体" w:hint="default"/>
        </w:rPr>
        <w:t>13</w:t>
      </w:r>
      <w:r>
        <w:rPr>
          <w:rFonts w:ascii="宋体" w:hAnsi="宋体" w:cs="宋体" w:eastAsia="宋体" w:hint="default"/>
          <w:spacing w:val="-53"/>
        </w:rPr>
        <w:t> </w:t>
      </w:r>
      <w:r>
        <w:rPr/>
        <w:t>日完成工商变更登记手续。</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rFonts w:ascii="宋体" w:hAnsi="宋体" w:cs="宋体" w:eastAsia="宋体" w:hint="default"/>
        </w:rPr>
        <w:t>6</w:t>
      </w:r>
      <w:r>
        <w:rPr/>
        <w:t>、公司</w:t>
      </w:r>
      <w:r>
        <w:rPr>
          <w:spacing w:val="-54"/>
        </w:rPr>
        <w:t> </w:t>
      </w:r>
      <w:r>
        <w:rPr>
          <w:rFonts w:ascii="宋体" w:hAnsi="宋体" w:cs="宋体" w:eastAsia="宋体" w:hint="default"/>
        </w:rPr>
        <w:t>2014</w:t>
      </w:r>
      <w:r>
        <w:rPr>
          <w:rFonts w:ascii="宋体" w:hAnsi="宋体" w:cs="宋体" w:eastAsia="宋体" w:hint="default"/>
          <w:spacing w:val="-54"/>
        </w:rPr>
        <w:t> </w:t>
      </w:r>
      <w:r>
        <w:rPr/>
        <w:t>年第一次临时股东大会决议通过</w:t>
      </w:r>
      <w:r>
        <w:rPr>
          <w:spacing w:val="-53"/>
        </w:rPr>
        <w:t> </w:t>
      </w:r>
      <w:r>
        <w:rPr>
          <w:rFonts w:ascii="宋体" w:hAnsi="宋体" w:cs="宋体" w:eastAsia="宋体" w:hint="default"/>
        </w:rPr>
        <w:t>2014</w:t>
      </w:r>
      <w:r>
        <w:rPr>
          <w:rFonts w:ascii="宋体" w:hAnsi="宋体" w:cs="宋体" w:eastAsia="宋体" w:hint="default"/>
          <w:spacing w:val="-54"/>
        </w:rPr>
        <w:t> </w:t>
      </w:r>
      <w:r>
        <w:rPr/>
        <w:t>年半年度权益分派方案，按每</w:t>
      </w:r>
      <w:r>
        <w:rPr>
          <w:spacing w:val="-53"/>
        </w:rPr>
        <w:t> </w:t>
      </w:r>
      <w:r>
        <w:rPr>
          <w:rFonts w:ascii="宋体" w:hAnsi="宋体" w:cs="宋体" w:eastAsia="宋体" w:hint="default"/>
        </w:rPr>
        <w:t>10</w:t>
      </w:r>
      <w:r>
        <w:rPr>
          <w:rFonts w:ascii="宋体" w:hAnsi="宋体" w:cs="宋体" w:eastAsia="宋体" w:hint="default"/>
          <w:spacing w:val="-53"/>
        </w:rPr>
        <w:t> </w:t>
      </w:r>
      <w:r>
        <w:rPr/>
        <w:t>股转增</w:t>
      </w:r>
      <w:r>
        <w:rPr>
          <w:spacing w:val="-54"/>
        </w:rPr>
        <w:t> </w:t>
      </w:r>
      <w:r>
        <w:rPr>
          <w:rFonts w:ascii="宋体" w:hAnsi="宋体" w:cs="宋体" w:eastAsia="宋体" w:hint="default"/>
        </w:rPr>
        <w:t>15</w:t>
      </w:r>
      <w:r>
        <w:rPr>
          <w:rFonts w:ascii="宋体" w:hAnsi="宋体" w:cs="宋体" w:eastAsia="宋体" w:hint="default"/>
          <w:spacing w:val="-53"/>
        </w:rPr>
        <w:t> </w:t>
      </w:r>
      <w:r>
        <w:rPr/>
        <w:t>股的</w:t>
      </w:r>
    </w:p>
    <w:p>
      <w:pPr>
        <w:spacing w:line="240" w:lineRule="auto" w:before="10"/>
        <w:rPr>
          <w:rFonts w:ascii="宋体" w:hAnsi="宋体" w:cs="宋体" w:eastAsia="宋体" w:hint="default"/>
          <w:sz w:val="14"/>
          <w:szCs w:val="14"/>
        </w:rPr>
      </w:pPr>
    </w:p>
    <w:p>
      <w:pPr>
        <w:pStyle w:val="BodyText"/>
        <w:spacing w:line="240" w:lineRule="auto" w:before="0"/>
        <w:ind w:right="0"/>
        <w:jc w:val="left"/>
      </w:pPr>
      <w:r>
        <w:rPr>
          <w:spacing w:val="-3"/>
        </w:rPr>
        <w:t>比例，以资本公积向全体股东转增股份总额</w:t>
      </w:r>
      <w:r>
        <w:rPr>
          <w:spacing w:val="-48"/>
        </w:rPr>
        <w:t> </w:t>
      </w:r>
      <w:r>
        <w:rPr>
          <w:rFonts w:ascii="宋体" w:hAnsi="宋体" w:cs="宋体" w:eastAsia="宋体" w:hint="default"/>
        </w:rPr>
        <w:t>41,700</w:t>
      </w:r>
      <w:r>
        <w:rPr>
          <w:rFonts w:ascii="宋体" w:hAnsi="宋体" w:cs="宋体" w:eastAsia="宋体" w:hint="default"/>
          <w:spacing w:val="-49"/>
        </w:rPr>
        <w:t> </w:t>
      </w:r>
      <w:r>
        <w:rPr>
          <w:spacing w:val="-7"/>
        </w:rPr>
        <w:t>万股，每股面值</w:t>
      </w:r>
      <w:r>
        <w:rPr>
          <w:spacing w:val="-49"/>
        </w:rPr>
        <w:t> </w:t>
      </w:r>
      <w:r>
        <w:rPr>
          <w:rFonts w:ascii="宋体" w:hAnsi="宋体" w:cs="宋体" w:eastAsia="宋体" w:hint="default"/>
        </w:rPr>
        <w:t>1</w:t>
      </w:r>
      <w:r>
        <w:rPr>
          <w:rFonts w:ascii="宋体" w:hAnsi="宋体" w:cs="宋体" w:eastAsia="宋体" w:hint="default"/>
          <w:spacing w:val="-48"/>
        </w:rPr>
        <w:t> </w:t>
      </w:r>
      <w:r>
        <w:rPr>
          <w:spacing w:val="-5"/>
        </w:rPr>
        <w:t>元，计增加股本人民币</w:t>
      </w:r>
      <w:r>
        <w:rPr>
          <w:spacing w:val="-48"/>
        </w:rPr>
        <w:t> </w:t>
      </w:r>
      <w:r>
        <w:rPr>
          <w:rFonts w:ascii="宋体" w:hAnsi="宋体" w:cs="宋体" w:eastAsia="宋体" w:hint="default"/>
        </w:rPr>
        <w:t>41,700</w:t>
      </w:r>
      <w:r>
        <w:rPr>
          <w:rFonts w:ascii="宋体" w:hAnsi="宋体" w:cs="宋体" w:eastAsia="宋体" w:hint="default"/>
          <w:spacing w:val="-50"/>
        </w:rPr>
        <w:t> </w:t>
      </w:r>
      <w:r>
        <w:rPr/>
        <w:t>万元，</w:t>
      </w:r>
    </w:p>
    <w:p>
      <w:pPr>
        <w:spacing w:line="240" w:lineRule="auto" w:before="10"/>
        <w:rPr>
          <w:rFonts w:ascii="宋体" w:hAnsi="宋体" w:cs="宋体" w:eastAsia="宋体" w:hint="default"/>
          <w:sz w:val="14"/>
          <w:szCs w:val="14"/>
        </w:rPr>
      </w:pPr>
    </w:p>
    <w:p>
      <w:pPr>
        <w:pStyle w:val="BodyText"/>
        <w:spacing w:line="408" w:lineRule="auto" w:before="0"/>
        <w:ind w:left="154" w:right="1122"/>
        <w:jc w:val="left"/>
      </w:pPr>
      <w:r>
        <w:rPr/>
        <w:t>转增基准日期为</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9</w:t>
      </w:r>
      <w:r>
        <w:rPr>
          <w:rFonts w:ascii="宋体" w:hAnsi="宋体" w:cs="宋体" w:eastAsia="宋体" w:hint="default"/>
          <w:spacing w:val="-56"/>
        </w:rPr>
        <w:t> </w:t>
      </w:r>
      <w:r>
        <w:rPr/>
        <w:t>月</w:t>
      </w:r>
      <w:r>
        <w:rPr>
          <w:spacing w:val="-57"/>
        </w:rPr>
        <w:t> </w:t>
      </w:r>
      <w:r>
        <w:rPr>
          <w:rFonts w:ascii="宋体" w:hAnsi="宋体" w:cs="宋体" w:eastAsia="宋体" w:hint="default"/>
        </w:rPr>
        <w:t>15</w:t>
      </w:r>
      <w:r>
        <w:rPr>
          <w:rFonts w:ascii="宋体" w:hAnsi="宋体" w:cs="宋体" w:eastAsia="宋体" w:hint="default"/>
          <w:spacing w:val="-56"/>
        </w:rPr>
        <w:t> </w:t>
      </w:r>
      <w:r>
        <w:rPr/>
        <w:t>日，变更后注册资本为人民币</w:t>
      </w:r>
      <w:r>
        <w:rPr>
          <w:spacing w:val="-56"/>
        </w:rPr>
        <w:t> </w:t>
      </w:r>
      <w:r>
        <w:rPr>
          <w:rFonts w:ascii="宋体" w:hAnsi="宋体" w:cs="宋体" w:eastAsia="宋体" w:hint="default"/>
        </w:rPr>
        <w:t>695,000,000</w:t>
      </w:r>
      <w:r>
        <w:rPr>
          <w:rFonts w:ascii="宋体" w:hAnsi="宋体" w:cs="宋体" w:eastAsia="宋体" w:hint="default"/>
          <w:spacing w:val="-56"/>
        </w:rPr>
        <w:t> </w:t>
      </w:r>
      <w:r>
        <w:rPr/>
        <w:t>元。此次转增股份业经瑞华会 计师事务所审验，并出具瑞华验字</w:t>
      </w:r>
      <w:r>
        <w:rPr>
          <w:rFonts w:ascii="宋体" w:hAnsi="宋体" w:cs="宋体" w:eastAsia="宋体" w:hint="default"/>
        </w:rPr>
        <w:t>[2015]48110001</w:t>
      </w:r>
      <w:r>
        <w:rPr>
          <w:rFonts w:ascii="宋体" w:hAnsi="宋体" w:cs="宋体" w:eastAsia="宋体" w:hint="default"/>
          <w:spacing w:val="-55"/>
        </w:rPr>
        <w:t> </w:t>
      </w:r>
      <w:r>
        <w:rPr/>
        <w:t>号验资报告。</w:t>
      </w:r>
    </w:p>
    <w:p>
      <w:pPr>
        <w:pStyle w:val="BodyText"/>
        <w:spacing w:line="408" w:lineRule="auto"/>
        <w:ind w:left="154" w:right="1132" w:firstLine="420"/>
        <w:jc w:val="both"/>
      </w:pPr>
      <w:r>
        <w:rPr>
          <w:rFonts w:ascii="宋体" w:hAnsi="宋体" w:cs="宋体" w:eastAsia="宋体" w:hint="default"/>
        </w:rPr>
        <w:t>7</w:t>
      </w:r>
      <w:r>
        <w:rPr/>
        <w:t>、</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日，公司第二届董事会第十一次会议审议通过了《关于股票期权激励计划首次授 </w:t>
      </w:r>
      <w:r>
        <w:rPr>
          <w:spacing w:val="-3"/>
        </w:rPr>
        <w:t>予第一个行权期可行权的议案》，公司股票期权激励计划第一个行权期采用自主行权的方式行权，公司自</w:t>
      </w:r>
      <w:r>
        <w:rPr>
          <w:spacing w:val="-74"/>
        </w:rPr>
        <w:t> </w:t>
      </w:r>
      <w:r>
        <w:rPr>
          <w:spacing w:val="-74"/>
        </w:rPr>
      </w:r>
      <w:r>
        <w:rPr/>
        <w:t>主行权第一个行权期为：</w:t>
      </w:r>
      <w:r>
        <w:rPr>
          <w:rFonts w:ascii="宋体" w:hAnsi="宋体" w:cs="宋体" w:eastAsia="宋体" w:hint="default"/>
        </w:rPr>
        <w:t>2014</w:t>
      </w:r>
      <w:r>
        <w:rPr>
          <w:rFonts w:ascii="宋体" w:hAnsi="宋体" w:cs="宋体" w:eastAsia="宋体" w:hint="default"/>
          <w:spacing w:val="-55"/>
        </w:rPr>
        <w:t> </w:t>
      </w:r>
      <w:r>
        <w:rPr/>
        <w:t>年</w:t>
      </w:r>
      <w:r>
        <w:rPr>
          <w:spacing w:val="-56"/>
        </w:rPr>
        <w:t> </w:t>
      </w:r>
      <w:r>
        <w:rPr>
          <w:rFonts w:ascii="宋体" w:hAnsi="宋体" w:cs="宋体" w:eastAsia="宋体" w:hint="default"/>
        </w:rPr>
        <w:t>9</w:t>
      </w:r>
      <w:r>
        <w:rPr>
          <w:rFonts w:ascii="宋体" w:hAnsi="宋体" w:cs="宋体" w:eastAsia="宋体" w:hint="default"/>
          <w:spacing w:val="-55"/>
        </w:rPr>
        <w:t> </w:t>
      </w:r>
      <w:r>
        <w:rPr/>
        <w:t>月</w:t>
      </w:r>
      <w:r>
        <w:rPr>
          <w:spacing w:val="-55"/>
        </w:rPr>
        <w:t> </w:t>
      </w:r>
      <w:r>
        <w:rPr>
          <w:rFonts w:ascii="宋体" w:hAnsi="宋体" w:cs="宋体" w:eastAsia="宋体" w:hint="default"/>
        </w:rPr>
        <w:t>5</w:t>
      </w:r>
      <w:r>
        <w:rPr>
          <w:rFonts w:ascii="宋体" w:hAnsi="宋体" w:cs="宋体" w:eastAsia="宋体" w:hint="default"/>
          <w:spacing w:val="-54"/>
        </w:rPr>
        <w:t> </w:t>
      </w:r>
      <w:r>
        <w:rPr/>
        <w:t>日至</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w:t>
      </w:r>
      <w:r>
        <w:rPr>
          <w:spacing w:val="-56"/>
        </w:rPr>
        <w:t> </w:t>
      </w:r>
      <w:r>
        <w:rPr>
          <w:rFonts w:ascii="宋体" w:hAnsi="宋体" w:cs="宋体" w:eastAsia="宋体" w:hint="default"/>
        </w:rPr>
        <w:t>4</w:t>
      </w:r>
      <w:r>
        <w:rPr>
          <w:rFonts w:ascii="宋体" w:hAnsi="宋体" w:cs="宋体" w:eastAsia="宋体" w:hint="default"/>
          <w:spacing w:val="-54"/>
        </w:rPr>
        <w:t> </w:t>
      </w:r>
      <w:r>
        <w:rPr>
          <w:spacing w:val="-7"/>
        </w:rPr>
        <w:t>日。截至</w:t>
      </w:r>
      <w:r>
        <w:rPr>
          <w:spacing w:val="-55"/>
        </w:rPr>
        <w:t> </w:t>
      </w:r>
      <w:r>
        <w:rPr>
          <w:rFonts w:ascii="宋体" w:hAnsi="宋体" w:cs="宋体" w:eastAsia="宋体" w:hint="default"/>
        </w:rPr>
        <w:t>2014</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5"/>
        </w:rPr>
        <w:t> </w:t>
      </w:r>
      <w:r>
        <w:rPr>
          <w:spacing w:val="-3"/>
        </w:rPr>
        <w:t>日，已发生自主行权</w:t>
      </w:r>
    </w:p>
    <w:p>
      <w:pPr>
        <w:pStyle w:val="BodyText"/>
        <w:spacing w:line="240" w:lineRule="auto"/>
        <w:ind w:right="1046"/>
        <w:jc w:val="left"/>
      </w:pPr>
      <w:r>
        <w:rPr>
          <w:rFonts w:ascii="宋体" w:hAnsi="宋体" w:cs="宋体" w:eastAsia="宋体" w:hint="default"/>
        </w:rPr>
        <w:t>1,515,650</w:t>
      </w:r>
      <w:r>
        <w:rPr>
          <w:rFonts w:ascii="宋体" w:hAnsi="宋体" w:cs="宋体" w:eastAsia="宋体" w:hint="default"/>
          <w:spacing w:val="-56"/>
        </w:rPr>
        <w:t> </w:t>
      </w:r>
      <w:r>
        <w:rPr/>
        <w:t>股。</w:t>
      </w:r>
    </w:p>
    <w:p>
      <w:pPr>
        <w:spacing w:line="240" w:lineRule="auto" w:before="10"/>
        <w:rPr>
          <w:rFonts w:ascii="宋体" w:hAnsi="宋体" w:cs="宋体" w:eastAsia="宋体" w:hint="default"/>
          <w:sz w:val="14"/>
          <w:szCs w:val="14"/>
        </w:rPr>
      </w:pPr>
    </w:p>
    <w:p>
      <w:pPr>
        <w:pStyle w:val="BodyText"/>
        <w:spacing w:line="408" w:lineRule="auto" w:before="0"/>
        <w:ind w:right="1132" w:firstLine="420"/>
        <w:jc w:val="both"/>
      </w:pPr>
      <w:r>
        <w:rPr/>
        <w:t>本财务报表业经本公司第二届董事会第十五次会议于</w:t>
      </w:r>
      <w:r>
        <w:rPr>
          <w:spacing w:val="-57"/>
        </w:rPr>
        <w:t> </w:t>
      </w:r>
      <w:r>
        <w:rPr>
          <w:rFonts w:ascii="宋体" w:hAnsi="宋体" w:cs="宋体" w:eastAsia="宋体" w:hint="default"/>
        </w:rPr>
        <w:t>2015</w:t>
      </w:r>
      <w:r>
        <w:rPr>
          <w:rFonts w:ascii="宋体" w:hAnsi="宋体" w:cs="宋体" w:eastAsia="宋体" w:hint="default"/>
          <w:spacing w:val="-58"/>
        </w:rPr>
        <w:t> </w:t>
      </w:r>
      <w:r>
        <w:rPr/>
        <w:t>年</w:t>
      </w:r>
      <w:r>
        <w:rPr>
          <w:spacing w:val="-57"/>
        </w:rPr>
        <w:t> </w:t>
      </w:r>
      <w:r>
        <w:rPr>
          <w:rFonts w:ascii="宋体" w:hAnsi="宋体" w:cs="宋体" w:eastAsia="宋体" w:hint="default"/>
        </w:rPr>
        <w:t>3</w:t>
      </w:r>
      <w:r>
        <w:rPr>
          <w:rFonts w:ascii="宋体" w:hAnsi="宋体" w:cs="宋体" w:eastAsia="宋体" w:hint="default"/>
          <w:spacing w:val="-57"/>
        </w:rPr>
        <w:t> </w:t>
      </w:r>
      <w:r>
        <w:rPr/>
        <w:t>月</w:t>
      </w:r>
      <w:r>
        <w:rPr>
          <w:spacing w:val="-58"/>
        </w:rPr>
        <w:t> </w:t>
      </w:r>
      <w:r>
        <w:rPr>
          <w:rFonts w:ascii="宋体" w:hAnsi="宋体" w:cs="宋体" w:eastAsia="宋体" w:hint="default"/>
        </w:rPr>
        <w:t>26</w:t>
      </w:r>
      <w:r>
        <w:rPr>
          <w:rFonts w:ascii="宋体" w:hAnsi="宋体" w:cs="宋体" w:eastAsia="宋体" w:hint="default"/>
          <w:spacing w:val="-57"/>
        </w:rPr>
        <w:t> </w:t>
      </w:r>
      <w:r>
        <w:rPr/>
        <w:t>日决议批准报出。根据本公司章 程，本财务报表将提交股东大会审议。</w:t>
      </w:r>
    </w:p>
    <w:p>
      <w:pPr>
        <w:pStyle w:val="BodyText"/>
        <w:spacing w:line="240" w:lineRule="auto"/>
        <w:ind w:left="573" w:right="1046"/>
        <w:jc w:val="left"/>
      </w:pPr>
      <w:r>
        <w:rPr/>
        <w:t>本公司</w:t>
      </w:r>
      <w:r>
        <w:rPr>
          <w:spacing w:val="-59"/>
        </w:rPr>
        <w:t> </w:t>
      </w:r>
      <w:r>
        <w:rPr>
          <w:rFonts w:ascii="宋体" w:hAnsi="宋体" w:cs="宋体" w:eastAsia="宋体" w:hint="default"/>
        </w:rPr>
        <w:t>2014</w:t>
      </w:r>
      <w:r>
        <w:rPr>
          <w:rFonts w:ascii="宋体" w:hAnsi="宋体" w:cs="宋体" w:eastAsia="宋体" w:hint="default"/>
          <w:spacing w:val="-61"/>
        </w:rPr>
        <w:t> </w:t>
      </w:r>
      <w:r>
        <w:rPr/>
        <w:t>年度纳入合并范围的子公司共</w:t>
      </w:r>
      <w:r>
        <w:rPr>
          <w:spacing w:val="-59"/>
        </w:rPr>
        <w:t> </w:t>
      </w:r>
      <w:r>
        <w:rPr>
          <w:rFonts w:ascii="宋体" w:hAnsi="宋体" w:cs="宋体" w:eastAsia="宋体" w:hint="default"/>
        </w:rPr>
        <w:t>18</w:t>
      </w:r>
      <w:r>
        <w:rPr>
          <w:rFonts w:ascii="宋体" w:hAnsi="宋体" w:cs="宋体" w:eastAsia="宋体" w:hint="default"/>
          <w:spacing w:val="-59"/>
        </w:rPr>
        <w:t> </w:t>
      </w:r>
      <w:r>
        <w:rPr/>
        <w:t>户，详见本附注八“在其他主体中的权益”。本公司本</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年度合并范围比上年度增加</w:t>
      </w:r>
      <w:r>
        <w:rPr>
          <w:spacing w:val="-53"/>
        </w:rPr>
        <w:t> </w:t>
      </w:r>
      <w:r>
        <w:rPr>
          <w:rFonts w:ascii="宋体" w:hAnsi="宋体" w:cs="宋体" w:eastAsia="宋体" w:hint="default"/>
        </w:rPr>
        <w:t>4</w:t>
      </w:r>
      <w:r>
        <w:rPr>
          <w:rFonts w:ascii="宋体" w:hAnsi="宋体" w:cs="宋体" w:eastAsia="宋体" w:hint="default"/>
          <w:spacing w:val="-53"/>
        </w:rPr>
        <w:t> </w:t>
      </w:r>
      <w:r>
        <w:rPr/>
        <w:t>户，详见本附注七“合并范围的变更”。</w:t>
      </w:r>
    </w:p>
    <w:p>
      <w:pPr>
        <w:spacing w:line="240" w:lineRule="auto" w:before="0"/>
        <w:rPr>
          <w:rFonts w:ascii="宋体" w:hAnsi="宋体" w:cs="宋体" w:eastAsia="宋体" w:hint="default"/>
          <w:sz w:val="20"/>
          <w:szCs w:val="20"/>
        </w:rPr>
      </w:pPr>
    </w:p>
    <w:p>
      <w:pPr>
        <w:pStyle w:val="Heading2"/>
        <w:spacing w:line="240" w:lineRule="auto" w:before="131"/>
        <w:ind w:right="1046"/>
        <w:jc w:val="left"/>
        <w:rPr>
          <w:b w:val="0"/>
          <w:bCs w:val="0"/>
        </w:rPr>
      </w:pPr>
      <w:bookmarkStart w:name="四、财务报表的编制基础" w:id="155"/>
      <w:bookmarkEnd w:id="15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编制基础" w:id="156"/>
      <w:bookmarkEnd w:id="15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本公司财务报表以持续经营假设为基础，根据实际发生的交易和事项，按照财政部发布的《企业会计</w:t>
      </w:r>
      <w:r>
        <w:rPr/>
        <w:t> </w:t>
      </w:r>
      <w:r>
        <w:rPr>
          <w:spacing w:val="-8"/>
        </w:rPr>
        <w:t>准则——基本准则》（财政部令第</w:t>
      </w:r>
      <w:r>
        <w:rPr>
          <w:spacing w:val="-52"/>
        </w:rPr>
        <w:t> </w:t>
      </w:r>
      <w:r>
        <w:rPr>
          <w:rFonts w:ascii="宋体" w:hAnsi="宋体" w:cs="宋体" w:eastAsia="宋体" w:hint="default"/>
          <w:spacing w:val="-1"/>
        </w:rPr>
        <w:t>33</w:t>
      </w:r>
      <w:r>
        <w:rPr>
          <w:rFonts w:ascii="宋体" w:hAnsi="宋体" w:cs="宋体" w:eastAsia="宋体" w:hint="default"/>
          <w:spacing w:val="-52"/>
        </w:rPr>
        <w:t> </w:t>
      </w:r>
      <w:r>
        <w:rPr>
          <w:spacing w:val="-1"/>
        </w:rPr>
        <w:t>号发布、财政部令第</w:t>
      </w:r>
      <w:r>
        <w:rPr>
          <w:spacing w:val="-51"/>
        </w:rPr>
        <w:t> </w:t>
      </w:r>
      <w:r>
        <w:rPr>
          <w:rFonts w:ascii="宋体" w:hAnsi="宋体" w:cs="宋体" w:eastAsia="宋体" w:hint="default"/>
          <w:spacing w:val="-1"/>
        </w:rPr>
        <w:t>76</w:t>
      </w:r>
      <w:r>
        <w:rPr>
          <w:rFonts w:ascii="宋体" w:hAnsi="宋体" w:cs="宋体" w:eastAsia="宋体" w:hint="default"/>
          <w:spacing w:val="-52"/>
        </w:rPr>
        <w:t> </w:t>
      </w:r>
      <w:r>
        <w:rPr>
          <w:spacing w:val="-19"/>
        </w:rPr>
        <w:t>号修订）、于</w:t>
      </w:r>
      <w:r>
        <w:rPr>
          <w:spacing w:val="-53"/>
        </w:rPr>
        <w:t> </w:t>
      </w:r>
      <w:r>
        <w:rPr>
          <w:rFonts w:ascii="宋体" w:hAnsi="宋体" w:cs="宋体" w:eastAsia="宋体" w:hint="default"/>
        </w:rPr>
        <w:t>2006</w:t>
      </w:r>
      <w:r>
        <w:rPr>
          <w:rFonts w:ascii="宋体" w:hAnsi="宋体" w:cs="宋体" w:eastAsia="宋体" w:hint="default"/>
          <w:spacing w:val="-51"/>
        </w:rPr>
        <w:t> </w:t>
      </w:r>
      <w:r>
        <w:rPr/>
        <w:t>年</w:t>
      </w:r>
      <w:r>
        <w:rPr>
          <w:spacing w:val="-52"/>
        </w:rPr>
        <w:t> </w:t>
      </w:r>
      <w:r>
        <w:rPr>
          <w:rFonts w:ascii="宋体" w:hAnsi="宋体" w:cs="宋体" w:eastAsia="宋体" w:hint="default"/>
        </w:rPr>
        <w:t>2</w:t>
      </w:r>
      <w:r>
        <w:rPr>
          <w:rFonts w:ascii="宋体" w:hAnsi="宋体" w:cs="宋体" w:eastAsia="宋体" w:hint="default"/>
          <w:spacing w:val="-52"/>
        </w:rPr>
        <w:t> </w:t>
      </w:r>
      <w:r>
        <w:rPr/>
        <w:t>月</w:t>
      </w:r>
      <w:r>
        <w:rPr>
          <w:spacing w:val="-53"/>
        </w:rPr>
        <w:t> </w:t>
      </w:r>
      <w:r>
        <w:rPr>
          <w:rFonts w:ascii="宋体" w:hAnsi="宋体" w:cs="宋体" w:eastAsia="宋体" w:hint="default"/>
        </w:rPr>
        <w:t>15</w:t>
      </w:r>
      <w:r>
        <w:rPr>
          <w:rFonts w:ascii="宋体" w:hAnsi="宋体" w:cs="宋体" w:eastAsia="宋体" w:hint="default"/>
          <w:spacing w:val="-51"/>
        </w:rPr>
        <w:t> </w:t>
      </w:r>
      <w:r>
        <w:rPr>
          <w:spacing w:val="-1"/>
        </w:rPr>
        <w:t>日及其后颁布和</w:t>
      </w:r>
    </w:p>
    <w:p>
      <w:pPr>
        <w:pStyle w:val="BodyText"/>
        <w:spacing w:line="240" w:lineRule="auto"/>
        <w:ind w:right="1046"/>
        <w:jc w:val="left"/>
      </w:pPr>
      <w:r>
        <w:rPr/>
        <w:t>修订的</w:t>
      </w:r>
      <w:r>
        <w:rPr>
          <w:spacing w:val="-54"/>
        </w:rPr>
        <w:t> </w:t>
      </w:r>
      <w:r>
        <w:rPr>
          <w:rFonts w:ascii="宋体" w:hAnsi="宋体" w:cs="宋体" w:eastAsia="宋体" w:hint="default"/>
        </w:rPr>
        <w:t>41</w:t>
      </w:r>
      <w:r>
        <w:rPr>
          <w:rFonts w:ascii="宋体" w:hAnsi="宋体" w:cs="宋体" w:eastAsia="宋体" w:hint="default"/>
          <w:spacing w:val="-54"/>
        </w:rPr>
        <w:t> </w:t>
      </w:r>
      <w:r>
        <w:rPr/>
        <w:t>项具体会计准则、企业会计准则应用指南、企业会计准则解释及其他相关规定（以下合称“企</w:t>
      </w:r>
    </w:p>
    <w:p>
      <w:pPr>
        <w:spacing w:line="240" w:lineRule="auto" w:before="10"/>
        <w:rPr>
          <w:rFonts w:ascii="宋体" w:hAnsi="宋体" w:cs="宋体" w:eastAsia="宋体" w:hint="default"/>
          <w:sz w:val="14"/>
          <w:szCs w:val="14"/>
        </w:rPr>
      </w:pPr>
    </w:p>
    <w:p>
      <w:pPr>
        <w:pStyle w:val="BodyText"/>
        <w:spacing w:line="408" w:lineRule="auto" w:before="0"/>
        <w:ind w:right="1118"/>
        <w:jc w:val="left"/>
      </w:pPr>
      <w:r>
        <w:rPr/>
        <w:t>业会计准则”</w:t>
      </w:r>
      <w:r>
        <w:rPr>
          <w:spacing w:val="-105"/>
        </w:rPr>
        <w:t>）</w:t>
      </w:r>
      <w:r>
        <w:rPr>
          <w:spacing w:val="-11"/>
        </w:rPr>
        <w:t>，</w:t>
      </w:r>
      <w:r>
        <w:rPr/>
        <w:t>以及</w:t>
      </w:r>
      <w:r>
        <w:rPr>
          <w:spacing w:val="-2"/>
        </w:rPr>
        <w:t>中</w:t>
      </w:r>
      <w:r>
        <w:rPr/>
        <w:t>国证券监督管理委员</w:t>
      </w:r>
      <w:r>
        <w:rPr>
          <w:spacing w:val="-11"/>
        </w:rPr>
        <w:t>会</w:t>
      </w:r>
      <w:r>
        <w:rPr/>
        <w:t>《公开发行证券的公司信息披露编报规则第</w:t>
      </w:r>
      <w:r>
        <w:rPr>
          <w:spacing w:val="-52"/>
        </w:rPr>
        <w:t> </w:t>
      </w:r>
      <w:r>
        <w:rPr>
          <w:rFonts w:ascii="宋体" w:hAnsi="宋体" w:cs="宋体" w:eastAsia="宋体" w:hint="default"/>
          <w:spacing w:val="-1"/>
        </w:rPr>
        <w:t>1</w:t>
      </w:r>
      <w:r>
        <w:rPr>
          <w:rFonts w:ascii="宋体" w:hAnsi="宋体" w:cs="宋体" w:eastAsia="宋体" w:hint="default"/>
        </w:rPr>
        <w:t>5</w:t>
      </w:r>
      <w:r>
        <w:rPr>
          <w:rFonts w:ascii="宋体" w:hAnsi="宋体" w:cs="宋体" w:eastAsia="宋体" w:hint="default"/>
          <w:spacing w:val="-53"/>
        </w:rPr>
        <w:t> </w:t>
      </w:r>
      <w:r>
        <w:rPr/>
        <w:t>号——财务 报告的一般规定</w:t>
      </w:r>
      <w:r>
        <w:rPr>
          <w:spacing w:val="-105"/>
        </w:rPr>
        <w:t>》</w:t>
      </w:r>
      <w:r>
        <w:rPr/>
        <w:t>（</w:t>
      </w:r>
      <w:r>
        <w:rPr>
          <w:rFonts w:ascii="宋体" w:hAnsi="宋体" w:cs="宋体" w:eastAsia="宋体" w:hint="default"/>
        </w:rPr>
        <w:t>2014</w:t>
      </w:r>
      <w:r>
        <w:rPr>
          <w:rFonts w:ascii="宋体" w:hAnsi="宋体" w:cs="宋体" w:eastAsia="宋体" w:hint="default"/>
          <w:spacing w:val="-54"/>
        </w:rPr>
        <w:t> </w:t>
      </w:r>
      <w:r>
        <w:rPr/>
        <w:t>年修订）的披露规定编制。</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根据企业会计准则的相关规定，本公司会计核算以权责发生制为基础。除某些金融工具外，本财务报</w:t>
      </w:r>
      <w:r>
        <w:rPr/>
        <w:t> 表均以历史成本为计量基础。资产如果发生减值，则按照相关规定计提相应的减值准备。</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2、持续经营" w:id="157"/>
      <w:bookmarkEnd w:id="15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215" w:firstLine="420"/>
        <w:jc w:val="both"/>
      </w:pPr>
      <w:r>
        <w:rPr/>
        <w:t>经本公司评估，自本报告期末起的</w:t>
      </w:r>
      <w:r>
        <w:rPr>
          <w:spacing w:val="-55"/>
        </w:rPr>
        <w:t> </w:t>
      </w:r>
      <w:r>
        <w:rPr>
          <w:rFonts w:ascii="宋体" w:hAnsi="宋体" w:cs="宋体" w:eastAsia="宋体" w:hint="default"/>
        </w:rPr>
        <w:t>12</w:t>
      </w:r>
      <w:r>
        <w:rPr>
          <w:rFonts w:ascii="宋体" w:hAnsi="宋体" w:cs="宋体" w:eastAsia="宋体" w:hint="default"/>
          <w:spacing w:val="-54"/>
        </w:rPr>
        <w:t> </w:t>
      </w:r>
      <w:r>
        <w:rPr/>
        <w:t>个月内，本公司持续经营能力良好，不存在导致对本公司持续 经营能力产生重大怀疑的因素。</w:t>
      </w:r>
    </w:p>
    <w:p>
      <w:pPr>
        <w:spacing w:line="240" w:lineRule="auto" w:before="11"/>
        <w:rPr>
          <w:rFonts w:ascii="宋体" w:hAnsi="宋体" w:cs="宋体" w:eastAsia="宋体" w:hint="default"/>
          <w:sz w:val="18"/>
          <w:szCs w:val="18"/>
        </w:rPr>
      </w:pPr>
    </w:p>
    <w:p>
      <w:pPr>
        <w:pStyle w:val="Heading2"/>
        <w:spacing w:line="240" w:lineRule="auto"/>
        <w:ind w:right="1046"/>
        <w:jc w:val="left"/>
        <w:rPr>
          <w:b w:val="0"/>
          <w:bCs w:val="0"/>
        </w:rPr>
      </w:pPr>
      <w:bookmarkStart w:name="五、重要会计政策及会计估计" w:id="158"/>
      <w:bookmarkEnd w:id="15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0"/>
        <w:rPr>
          <w:rFonts w:ascii="宋体" w:hAnsi="宋体" w:cs="宋体" w:eastAsia="宋体" w:hint="default"/>
          <w:sz w:val="12"/>
          <w:szCs w:val="12"/>
        </w:rPr>
      </w:pPr>
    </w:p>
    <w:p>
      <w:pPr>
        <w:pStyle w:val="BodyText"/>
        <w:spacing w:line="240" w:lineRule="auto" w:before="0"/>
        <w:ind w:left="573" w:right="1046"/>
        <w:jc w:val="left"/>
      </w:pPr>
      <w:r>
        <w:rPr/>
        <w:t>以下披露内容已涵盖了本公司根据实际生产经营特点制定的具体会计政策和会计估计。</w:t>
      </w:r>
    </w:p>
    <w:p>
      <w:pPr>
        <w:spacing w:line="240" w:lineRule="auto" w:before="0"/>
        <w:rPr>
          <w:rFonts w:ascii="宋体" w:hAnsi="宋体" w:cs="宋体" w:eastAsia="宋体" w:hint="default"/>
          <w:sz w:val="20"/>
          <w:szCs w:val="20"/>
        </w:rPr>
      </w:pPr>
    </w:p>
    <w:p>
      <w:pPr>
        <w:pStyle w:val="Heading3"/>
        <w:spacing w:line="240" w:lineRule="auto" w:before="154"/>
        <w:ind w:left="153" w:right="1046"/>
        <w:jc w:val="left"/>
        <w:rPr>
          <w:b w:val="0"/>
          <w:bCs w:val="0"/>
        </w:rPr>
      </w:pPr>
      <w:bookmarkStart w:name="1、遵循企业会计准则的声明" w:id="159"/>
      <w:bookmarkEnd w:id="15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995" w:right="1046"/>
        <w:jc w:val="left"/>
        <w:rPr>
          <w:rFonts w:ascii="宋体" w:hAnsi="宋体" w:cs="宋体" w:eastAsia="宋体" w:hint="default"/>
        </w:rPr>
      </w:pPr>
      <w:r>
        <w:rPr/>
        <w:t>本公司编制的财务报表符合企业会计准则的要求，真实、完整地反映了本公司</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日的财务状况及</w:t>
      </w:r>
      <w:r>
        <w:rPr>
          <w:spacing w:val="-53"/>
        </w:rPr>
        <w:t> </w:t>
      </w:r>
      <w:r>
        <w:rPr>
          <w:rFonts w:ascii="宋体" w:hAnsi="宋体" w:cs="宋体" w:eastAsia="宋体" w:hint="default"/>
        </w:rPr>
        <w:t>2014</w:t>
      </w:r>
      <w:r>
        <w:rPr>
          <w:rFonts w:ascii="宋体" w:hAnsi="宋体" w:cs="宋体" w:eastAsia="宋体" w:hint="default"/>
          <w:spacing w:val="-54"/>
        </w:rPr>
        <w:t> </w:t>
      </w:r>
      <w:r>
        <w:rPr/>
        <w:t>年度的经营成果和现金流量等有关信息。此外，本公司的财务报表在所有重大方面</w:t>
      </w:r>
    </w:p>
    <w:p>
      <w:pPr>
        <w:spacing w:line="240" w:lineRule="auto" w:before="10"/>
        <w:rPr>
          <w:rFonts w:ascii="宋体" w:hAnsi="宋体" w:cs="宋体" w:eastAsia="宋体" w:hint="default"/>
          <w:sz w:val="14"/>
          <w:szCs w:val="14"/>
        </w:rPr>
      </w:pPr>
    </w:p>
    <w:p>
      <w:pPr>
        <w:pStyle w:val="BodyText"/>
        <w:spacing w:line="408" w:lineRule="auto" w:before="0"/>
        <w:ind w:right="1117"/>
        <w:jc w:val="left"/>
      </w:pPr>
      <w:r>
        <w:rPr/>
        <w:t>符合中国证券监督管理委员会</w:t>
      </w:r>
      <w:r>
        <w:rPr>
          <w:spacing w:val="-58"/>
        </w:rPr>
        <w:t> </w:t>
      </w:r>
      <w:r>
        <w:rPr>
          <w:rFonts w:ascii="宋体" w:hAnsi="宋体" w:cs="宋体" w:eastAsia="宋体" w:hint="default"/>
        </w:rPr>
        <w:t>2014</w:t>
      </w:r>
      <w:r>
        <w:rPr>
          <w:rFonts w:ascii="宋体" w:hAnsi="宋体" w:cs="宋体" w:eastAsia="宋体" w:hint="default"/>
          <w:spacing w:val="-60"/>
        </w:rPr>
        <w:t> </w:t>
      </w:r>
      <w:r>
        <w:rPr/>
        <w:t>年修订的《公开发行证券的公司信息披露编报规则第</w:t>
      </w:r>
      <w:r>
        <w:rPr>
          <w:spacing w:val="-58"/>
        </w:rPr>
        <w:t> </w:t>
      </w:r>
      <w:r>
        <w:rPr>
          <w:rFonts w:ascii="宋体" w:hAnsi="宋体" w:cs="宋体" w:eastAsia="宋体" w:hint="default"/>
        </w:rPr>
        <w:t>15</w:t>
      </w:r>
      <w:r>
        <w:rPr>
          <w:rFonts w:ascii="宋体" w:hAnsi="宋体" w:cs="宋体" w:eastAsia="宋体" w:hint="default"/>
          <w:spacing w:val="-58"/>
        </w:rPr>
        <w:t> </w:t>
      </w:r>
      <w:r>
        <w:rPr/>
        <w:t>号－财务报告 的一般规定》有关财务报表及其附注的披露要求。</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2、会计期间" w:id="160"/>
      <w:bookmarkEnd w:id="16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本公司的会计期间分为年度和中期，会计中期指短于一个完整的会计年度的报告期间。本公司会计年</w:t>
      </w:r>
      <w:r>
        <w:rPr/>
        <w:t> 度采用公历年度，即每年自</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日起至</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3、营业周期" w:id="161"/>
      <w:bookmarkEnd w:id="16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213" w:firstLine="420"/>
        <w:jc w:val="both"/>
      </w:pPr>
      <w:r>
        <w:rPr/>
        <w:t>正常营业周期是指本公司从购买用于加工的资产起至实现现金或现金等价物的期间。本公司以</w:t>
      </w:r>
      <w:r>
        <w:rPr>
          <w:spacing w:val="-52"/>
        </w:rPr>
        <w:t> </w:t>
      </w:r>
      <w:r>
        <w:rPr>
          <w:rFonts w:ascii="宋体" w:hAnsi="宋体" w:cs="宋体" w:eastAsia="宋体" w:hint="default"/>
        </w:rPr>
        <w:t>12</w:t>
      </w:r>
      <w:r>
        <w:rPr>
          <w:rFonts w:ascii="宋体" w:hAnsi="宋体" w:cs="宋体" w:eastAsia="宋体" w:hint="default"/>
          <w:spacing w:val="-53"/>
        </w:rPr>
        <w:t> </w:t>
      </w:r>
      <w:r>
        <w:rPr/>
        <w:t>个 月作为一个营业周期，并以其作为资产和负债的流动性划分标准。</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4、记账本位币" w:id="162"/>
      <w:bookmarkEnd w:id="16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人民币为本公司及境内子公司经营所处的主要经济环境中的货币，本公司及境内子公司以人民币为记</w:t>
      </w:r>
      <w:r>
        <w:rPr/>
        <w:t> </w:t>
      </w:r>
      <w:r>
        <w:rPr>
          <w:spacing w:val="-1"/>
        </w:rPr>
        <w:t>账本位币。本公司之境外子公司根据其经营所处的主要经济环境中的货币确定为其记账本位币。本公司编</w:t>
      </w:r>
      <w:r>
        <w:rPr>
          <w:spacing w:val="-81"/>
        </w:rPr>
        <w:t> </w:t>
      </w:r>
      <w:r>
        <w:rPr>
          <w:spacing w:val="-81"/>
        </w:rPr>
      </w:r>
      <w:r>
        <w:rPr/>
        <w:t>制本财务报表时所采用的货币为人民币。</w:t>
      </w:r>
    </w:p>
    <w:p>
      <w:pPr>
        <w:spacing w:after="0" w:line="408"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5、同一控制下和非同一控制下企业合并的会计处理方法" w:id="163"/>
      <w:bookmarkEnd w:id="16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046" w:firstLine="420"/>
        <w:jc w:val="left"/>
      </w:pPr>
      <w:r>
        <w:rPr>
          <w:spacing w:val="-1"/>
        </w:rPr>
        <w:t>企业合并，是指将两个或两个以上单独的企业合并形成一个报告主体的交易或事项。企业合并分为同</w:t>
      </w:r>
      <w:r>
        <w:rPr/>
        <w:t> 一控制下企业合并和非同一控制下企业合并。</w:t>
      </w:r>
    </w:p>
    <w:p>
      <w:pPr>
        <w:pStyle w:val="BodyText"/>
        <w:spacing w:line="408" w:lineRule="auto"/>
        <w:ind w:left="573" w:right="1046"/>
        <w:jc w:val="left"/>
      </w:pPr>
      <w:r>
        <w:rPr/>
        <w:t>（</w:t>
      </w:r>
      <w:r>
        <w:rPr>
          <w:rFonts w:ascii="宋体" w:hAnsi="宋体" w:cs="宋体" w:eastAsia="宋体" w:hint="default"/>
        </w:rPr>
        <w:t>1</w:t>
      </w:r>
      <w:r>
        <w:rPr/>
        <w:t>）同一控制下企业合并 </w:t>
      </w:r>
      <w:r>
        <w:rPr>
          <w:spacing w:val="-1"/>
        </w:rPr>
        <w:t>参与合并的企业在合并前后均受同一方或相同的多方最终控制，且该控制并非暂时性的，为同一控制</w:t>
      </w:r>
    </w:p>
    <w:p>
      <w:pPr>
        <w:pStyle w:val="BodyText"/>
        <w:spacing w:line="408" w:lineRule="auto"/>
        <w:ind w:right="1046"/>
        <w:jc w:val="left"/>
      </w:pPr>
      <w:r>
        <w:rPr>
          <w:spacing w:val="-1"/>
        </w:rPr>
        <w:t>下的企业合并。同一控制下的企业合并，在合并日取得对其他参与合并企业控制权的一方为合并方，参与</w:t>
      </w:r>
      <w:r>
        <w:rPr>
          <w:spacing w:val="-83"/>
        </w:rPr>
        <w:t> </w:t>
      </w:r>
      <w:r>
        <w:rPr>
          <w:spacing w:val="-83"/>
        </w:rPr>
      </w:r>
      <w:r>
        <w:rPr/>
        <w:t>合并的其他企业为被合并方。合并日，是指合并方实际取得对被合并方控制权的日期。</w:t>
      </w:r>
    </w:p>
    <w:p>
      <w:pPr>
        <w:pStyle w:val="BodyText"/>
        <w:spacing w:line="408" w:lineRule="auto"/>
        <w:ind w:right="1046" w:firstLine="420"/>
        <w:jc w:val="left"/>
      </w:pPr>
      <w:r>
        <w:rPr>
          <w:spacing w:val="-1"/>
        </w:rPr>
        <w:t>合并方取得的资产和负债均按合并日在被合并方的账面价值计量。合并方取得的净资产账面价值与支</w:t>
      </w:r>
      <w:r>
        <w:rPr/>
        <w:t> </w:t>
      </w:r>
      <w:r>
        <w:rPr>
          <w:spacing w:val="-3"/>
        </w:rPr>
        <w:t>付的合并对价账面价值（或发行股份面值总额）的差额，调整资本公积（股本溢价）；资本公积（股本溢</w:t>
      </w:r>
      <w:r>
        <w:rPr>
          <w:spacing w:val="-74"/>
        </w:rPr>
        <w:t> </w:t>
      </w:r>
      <w:r>
        <w:rPr>
          <w:spacing w:val="-74"/>
        </w:rPr>
      </w:r>
      <w:r>
        <w:rPr/>
        <w:t>价）不足以冲减的，调整留存收益。</w:t>
      </w:r>
    </w:p>
    <w:p>
      <w:pPr>
        <w:pStyle w:val="BodyText"/>
        <w:spacing w:line="240" w:lineRule="auto"/>
        <w:ind w:left="573" w:right="1046"/>
        <w:jc w:val="left"/>
      </w:pPr>
      <w:r>
        <w:rPr/>
        <w:t>合并方为进行企业合并发生的各项直接费用，于发生时计入当期损益。</w:t>
      </w:r>
    </w:p>
    <w:p>
      <w:pPr>
        <w:spacing w:line="240" w:lineRule="auto" w:before="10"/>
        <w:rPr>
          <w:rFonts w:ascii="宋体" w:hAnsi="宋体" w:cs="宋体" w:eastAsia="宋体" w:hint="default"/>
          <w:sz w:val="14"/>
          <w:szCs w:val="14"/>
        </w:rPr>
      </w:pPr>
    </w:p>
    <w:p>
      <w:pPr>
        <w:pStyle w:val="BodyText"/>
        <w:spacing w:line="408" w:lineRule="auto" w:before="0"/>
        <w:ind w:left="573" w:right="1046"/>
        <w:jc w:val="left"/>
      </w:pPr>
      <w:r>
        <w:rPr/>
        <w:t>（</w:t>
      </w:r>
      <w:r>
        <w:rPr>
          <w:rFonts w:ascii="宋体" w:hAnsi="宋体" w:cs="宋体" w:eastAsia="宋体" w:hint="default"/>
        </w:rPr>
        <w:t>2</w:t>
      </w:r>
      <w:r>
        <w:rPr/>
        <w:t>）非同一控制下企业合并 </w:t>
      </w:r>
      <w:r>
        <w:rPr>
          <w:spacing w:val="-1"/>
        </w:rPr>
        <w:t>参与合并的企业在合并前后不受同一方或相同的多方最终控制的，为非同一控制下的企业合并。非同</w:t>
      </w:r>
    </w:p>
    <w:p>
      <w:pPr>
        <w:pStyle w:val="BodyText"/>
        <w:spacing w:line="408" w:lineRule="auto"/>
        <w:ind w:right="1046"/>
        <w:jc w:val="left"/>
      </w:pPr>
      <w:r>
        <w:rPr>
          <w:spacing w:val="-1"/>
        </w:rPr>
        <w:t>一控制下的企业合并，在购买日取得对其他参与合并企业控制权的一方为购买方，参与合并的其他企业为</w:t>
      </w:r>
      <w:r>
        <w:rPr>
          <w:spacing w:val="-81"/>
        </w:rPr>
        <w:t> </w:t>
      </w:r>
      <w:r>
        <w:rPr>
          <w:spacing w:val="-81"/>
        </w:rPr>
      </w:r>
      <w:r>
        <w:rPr/>
        <w:t>被购买方。购买日，是指为购买方实际取得对被购买方控制权的日期。</w:t>
      </w:r>
    </w:p>
    <w:p>
      <w:pPr>
        <w:pStyle w:val="BodyText"/>
        <w:spacing w:line="408" w:lineRule="auto"/>
        <w:ind w:right="1024" w:firstLine="420"/>
        <w:jc w:val="left"/>
      </w:pPr>
      <w:r>
        <w:rPr/>
        <w:t>对于非同一控制下的企业合并，合并成本包含购买日购买方为取得对被购买方的控制权而付出的资 产、发生或承担的负债以及发行的权益性证券的公允价值，为企业合并发生的审计、法律服务、评估咨询 等中介费用以及其他管理费用于发生时计入当期损益。购买方作为合并对价发行的权益性证券或债务性证 券的交易费用，计入权益性证券或债务性证券的初始确认金额。所涉及的或有对价按其在购买日的公允价 值计入合并成本，购买日后</w:t>
      </w:r>
      <w:r>
        <w:rPr>
          <w:spacing w:val="-53"/>
        </w:rPr>
        <w:t> </w:t>
      </w:r>
      <w:r>
        <w:rPr>
          <w:rFonts w:ascii="宋体" w:hAnsi="宋体" w:cs="宋体" w:eastAsia="宋体" w:hint="default"/>
        </w:rPr>
        <w:t>12</w:t>
      </w:r>
      <w:r>
        <w:rPr>
          <w:rFonts w:ascii="宋体" w:hAnsi="宋体" w:cs="宋体" w:eastAsia="宋体" w:hint="default"/>
          <w:spacing w:val="-53"/>
        </w:rPr>
        <w:t> </w:t>
      </w:r>
      <w:r>
        <w:rPr/>
        <w:t>个月内出现对购买日已存在情况的新的或进一步证据而需要调整或有对价 </w:t>
      </w:r>
      <w:r>
        <w:rPr>
          <w:spacing w:val="-3"/>
        </w:rPr>
        <w:t>的，相应调整合并商誉。购买方发生的合并成本及在合并中取得的可辨认净资产按购买日的公允价值计量。</w:t>
      </w:r>
      <w:r>
        <w:rPr>
          <w:spacing w:val="-92"/>
        </w:rPr>
        <w:t> </w:t>
      </w:r>
      <w:r>
        <w:rPr>
          <w:spacing w:val="-92"/>
        </w:rPr>
      </w:r>
      <w:r>
        <w:rPr/>
        <w:t>合并成本大于合并中取得的被购买方于购买日可辨认净资产公允价值份额的差额，确认为商誉。合并成本</w:t>
      </w:r>
      <w:r>
        <w:rPr/>
        <w:t> 小于合并中取得的被购买方可辨认净资产公允价值份额的，首先对取得的被购买方各项可辨认资产、负债 及或有负债的公允价值以及合并成本的计量进行复核，复核后合并成本仍小于合并中取得的被购买方可辨 认净资产公允价值份额的，其差额计入当期损益。</w:t>
      </w:r>
    </w:p>
    <w:p>
      <w:pPr>
        <w:pStyle w:val="BodyText"/>
        <w:spacing w:line="408" w:lineRule="auto"/>
        <w:ind w:left="154" w:right="1023" w:firstLine="420"/>
        <w:jc w:val="left"/>
      </w:pPr>
      <w:r>
        <w:rPr/>
        <w:t>购买方取得被购买方的可抵扣暂时性差异，在购买日因不符合递延所得税资产确认条件而未予确认 的，在购买日后</w:t>
      </w:r>
      <w:r>
        <w:rPr>
          <w:spacing w:val="-53"/>
        </w:rPr>
        <w:t> </w:t>
      </w:r>
      <w:r>
        <w:rPr>
          <w:rFonts w:ascii="宋体" w:hAnsi="宋体" w:cs="宋体" w:eastAsia="宋体" w:hint="default"/>
        </w:rPr>
        <w:t>12</w:t>
      </w:r>
      <w:r>
        <w:rPr>
          <w:rFonts w:ascii="宋体" w:hAnsi="宋体" w:cs="宋体" w:eastAsia="宋体" w:hint="default"/>
          <w:spacing w:val="-53"/>
        </w:rPr>
        <w:t> </w:t>
      </w:r>
      <w:r>
        <w:rPr/>
        <w:t>个月内，如取得新的或进一步的信息表明购买日的相关情况已经存在，预期被购买方 在购买日可抵扣暂时性差异带来的经济利益能够实现的，则确认相关的递延所得税资产，同时减少商誉， </w:t>
      </w:r>
      <w:r>
        <w:rPr>
          <w:spacing w:val="-3"/>
        </w:rPr>
        <w:t>商誉不足冲减的，差额部分确认为当期损益；除上述情况以外，确认与企业合并相关的递延所得税资产的，</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114" w:hanging="420"/>
        <w:jc w:val="left"/>
      </w:pPr>
      <w:r>
        <w:rPr/>
        <w:t>计入当期损益。 通过多次交易分步实现的非同一控制下企业合并，根据《财政部关于印发企业会计准则解释第</w:t>
      </w:r>
      <w:r>
        <w:rPr>
          <w:spacing w:val="-63"/>
        </w:rPr>
        <w:t> </w:t>
      </w:r>
      <w:r>
        <w:rPr>
          <w:rFonts w:ascii="宋体" w:hAnsi="宋体" w:cs="宋体" w:eastAsia="宋体" w:hint="default"/>
        </w:rPr>
        <w:t>5</w:t>
      </w:r>
      <w:r>
        <w:rPr>
          <w:rFonts w:ascii="宋体" w:hAnsi="宋体" w:cs="宋体" w:eastAsia="宋体" w:hint="default"/>
          <w:spacing w:val="-63"/>
        </w:rPr>
        <w:t> </w:t>
      </w:r>
      <w:r>
        <w:rPr/>
        <w:t>号的</w:t>
      </w:r>
    </w:p>
    <w:p>
      <w:pPr>
        <w:pStyle w:val="BodyText"/>
        <w:spacing w:line="408" w:lineRule="auto"/>
        <w:ind w:right="1132"/>
        <w:jc w:val="both"/>
      </w:pPr>
      <w:r>
        <w:rPr>
          <w:spacing w:val="-18"/>
        </w:rPr>
        <w:t>通知》（财会〔</w:t>
      </w:r>
      <w:r>
        <w:rPr>
          <w:rFonts w:ascii="宋体" w:hAnsi="宋体" w:cs="宋体" w:eastAsia="宋体" w:hint="default"/>
          <w:spacing w:val="-18"/>
        </w:rPr>
        <w:t>2012</w:t>
      </w:r>
      <w:r>
        <w:rPr>
          <w:spacing w:val="-18"/>
        </w:rPr>
        <w:t>〕</w:t>
      </w:r>
      <w:r>
        <w:rPr>
          <w:rFonts w:ascii="宋体" w:hAnsi="宋体" w:cs="宋体" w:eastAsia="宋体" w:hint="default"/>
          <w:spacing w:val="-18"/>
        </w:rPr>
        <w:t>19</w:t>
      </w:r>
      <w:r>
        <w:rPr>
          <w:rFonts w:ascii="宋体" w:hAnsi="宋体" w:cs="宋体" w:eastAsia="宋体" w:hint="default"/>
          <w:spacing w:val="-44"/>
        </w:rPr>
        <w:t> </w:t>
      </w:r>
      <w:r>
        <w:rPr>
          <w:spacing w:val="-9"/>
        </w:rPr>
        <w:t>号）和《企业会计准则第</w:t>
      </w:r>
      <w:r>
        <w:rPr>
          <w:spacing w:val="-44"/>
        </w:rPr>
        <w:t> </w:t>
      </w:r>
      <w:r>
        <w:rPr>
          <w:rFonts w:ascii="宋体" w:hAnsi="宋体" w:cs="宋体" w:eastAsia="宋体" w:hint="default"/>
          <w:spacing w:val="-1"/>
        </w:rPr>
        <w:t>33</w:t>
      </w:r>
      <w:r>
        <w:rPr>
          <w:rFonts w:ascii="宋体" w:hAnsi="宋体" w:cs="宋体" w:eastAsia="宋体" w:hint="default"/>
          <w:spacing w:val="-45"/>
        </w:rPr>
        <w:t> </w:t>
      </w:r>
      <w:r>
        <w:rPr>
          <w:spacing w:val="-3"/>
        </w:rPr>
        <w:t>号——合并财务报表》第五十一条关于“一揽子交易”</w:t>
      </w:r>
      <w:r>
        <w:rPr>
          <w:spacing w:val="-103"/>
        </w:rPr>
        <w:t> </w:t>
      </w:r>
      <w:r>
        <w:rPr>
          <w:spacing w:val="-103"/>
        </w:rPr>
      </w:r>
      <w:r>
        <w:rPr>
          <w:spacing w:val="-3"/>
        </w:rPr>
        <w:t>的判断标准（参见本附注五、</w:t>
      </w:r>
      <w:r>
        <w:rPr>
          <w:rFonts w:ascii="宋体" w:hAnsi="宋体" w:cs="宋体" w:eastAsia="宋体" w:hint="default"/>
          <w:spacing w:val="-3"/>
        </w:rPr>
        <w:t>5</w:t>
      </w:r>
      <w:r>
        <w:rPr>
          <w:spacing w:val="-3"/>
        </w:rPr>
        <w:t>），判断该多次交易是否属于“一揽子交易”。属于“一揽子交易”的，参</w:t>
      </w:r>
      <w:r>
        <w:rPr>
          <w:spacing w:val="-94"/>
        </w:rPr>
        <w:t> </w:t>
      </w:r>
      <w:r>
        <w:rPr>
          <w:spacing w:val="-94"/>
        </w:rPr>
      </w:r>
      <w:r>
        <w:rPr>
          <w:spacing w:val="-2"/>
        </w:rPr>
        <w:t>考本部分前面各段描述及本附注五、</w:t>
      </w:r>
      <w:r>
        <w:rPr>
          <w:rFonts w:ascii="宋体" w:hAnsi="宋体" w:cs="宋体" w:eastAsia="宋体" w:hint="default"/>
          <w:spacing w:val="-2"/>
        </w:rPr>
        <w:t>14</w:t>
      </w:r>
      <w:r>
        <w:rPr>
          <w:rFonts w:ascii="宋体" w:hAnsi="宋体" w:cs="宋体" w:eastAsia="宋体" w:hint="default"/>
          <w:spacing w:val="-40"/>
        </w:rPr>
        <w:t> </w:t>
      </w:r>
      <w:r>
        <w:rPr>
          <w:spacing w:val="-2"/>
        </w:rPr>
        <w:t>长期股权投资”进行会计处理；不属于“一揽子交易”的，区分个</w:t>
      </w:r>
      <w:r>
        <w:rPr>
          <w:spacing w:val="-103"/>
        </w:rPr>
        <w:t> </w:t>
      </w:r>
      <w:r>
        <w:rPr>
          <w:spacing w:val="-103"/>
        </w:rPr>
      </w:r>
      <w:r>
        <w:rPr/>
        <w:t>别财务报表和合并财务报表进行相关会计处理：</w:t>
      </w:r>
    </w:p>
    <w:p>
      <w:pPr>
        <w:pStyle w:val="BodyText"/>
        <w:spacing w:line="408" w:lineRule="auto"/>
        <w:ind w:left="154" w:right="1110" w:firstLine="420"/>
        <w:jc w:val="both"/>
      </w:pPr>
      <w:r>
        <w:rPr/>
        <w:t>在个别财务报表中，以购买日之前所持被购买方的股权投资的账面价值与购买日新增投资成本之和， </w:t>
      </w:r>
      <w:r>
        <w:rPr>
          <w:spacing w:val="-1"/>
        </w:rPr>
        <w:t>作为该项投资的初始投资成本；购买日之前持有的被购买方的股权涉及其他综合收益的，在处置该项投资</w:t>
      </w:r>
      <w:r>
        <w:rPr>
          <w:spacing w:val="-81"/>
        </w:rPr>
        <w:t> </w:t>
      </w:r>
      <w:r>
        <w:rPr>
          <w:spacing w:val="-81"/>
        </w:rPr>
      </w:r>
      <w:r>
        <w:rPr>
          <w:spacing w:val="-1"/>
        </w:rPr>
        <w:t>时将与其相关的其他综合收益采用与被购买方直接处置相关资产或负债相同的基础进行会计处理（即，除</w:t>
      </w:r>
      <w:r>
        <w:rPr>
          <w:spacing w:val="-80"/>
        </w:rPr>
        <w:t> </w:t>
      </w:r>
      <w:r>
        <w:rPr>
          <w:spacing w:val="-80"/>
        </w:rPr>
      </w:r>
      <w:r>
        <w:rPr>
          <w:spacing w:val="-1"/>
        </w:rPr>
        <w:t>了按照权益法核算的在被购买方重新计量设定受益计划净负债或净资产导致的变动中的相应份额以外，其</w:t>
      </w:r>
      <w:r>
        <w:rPr>
          <w:spacing w:val="-81"/>
        </w:rPr>
        <w:t> </w:t>
      </w:r>
      <w:r>
        <w:rPr>
          <w:spacing w:val="-81"/>
        </w:rPr>
      </w:r>
      <w:r>
        <w:rPr>
          <w:spacing w:val="-10"/>
        </w:rPr>
        <w:t>余转入当期投资收益）。</w:t>
      </w:r>
    </w:p>
    <w:p>
      <w:pPr>
        <w:pStyle w:val="BodyText"/>
        <w:spacing w:line="408" w:lineRule="auto"/>
        <w:ind w:left="154" w:right="1131" w:firstLine="420"/>
        <w:jc w:val="both"/>
      </w:pPr>
      <w:r>
        <w:rPr>
          <w:spacing w:val="-1"/>
        </w:rPr>
        <w:t>在合并财务报表中，对于购买日之前持有的被购买方的股权，按照该股权在购买日的公允价值进行重</w:t>
      </w:r>
      <w:r>
        <w:rPr/>
        <w:t> </w:t>
      </w:r>
      <w:r>
        <w:rPr>
          <w:spacing w:val="-1"/>
        </w:rPr>
        <w:t>新计量，公允价值与其账面价值的差额计入当期投资收益；购买日之前持有的被购买方的股权涉及其他综</w:t>
      </w:r>
      <w:r>
        <w:rPr>
          <w:spacing w:val="-81"/>
        </w:rPr>
        <w:t> </w:t>
      </w:r>
      <w:r>
        <w:rPr>
          <w:spacing w:val="-81"/>
        </w:rPr>
      </w:r>
      <w:r>
        <w:rPr>
          <w:spacing w:val="-1"/>
        </w:rPr>
        <w:t>合收益的，与其相关的其他综合收益应当采用与被购买方直接处置相关资产或负债相同的基础进行会计处</w:t>
      </w:r>
      <w:r>
        <w:rPr>
          <w:spacing w:val="-81"/>
        </w:rPr>
        <w:t> </w:t>
      </w:r>
      <w:r>
        <w:rPr>
          <w:spacing w:val="-81"/>
        </w:rPr>
      </w:r>
      <w:r>
        <w:rPr>
          <w:spacing w:val="-1"/>
        </w:rPr>
        <w:t>理（即，除了按照权益法核算的在被购买方重新计量设定受益计划净负债或净资产导致的变动中的相应份</w:t>
      </w:r>
      <w:r>
        <w:rPr>
          <w:spacing w:val="-81"/>
        </w:rPr>
        <w:t> </w:t>
      </w:r>
      <w:r>
        <w:rPr>
          <w:spacing w:val="-81"/>
        </w:rPr>
      </w:r>
      <w:r>
        <w:rPr>
          <w:spacing w:val="-5"/>
        </w:rPr>
        <w:t>额以外，其余转为购买日所属当期投资收益）。</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6、合并财务报表的编制方法" w:id="164"/>
      <w:bookmarkEnd w:id="16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3" w:right="1046"/>
        <w:jc w:val="left"/>
      </w:pPr>
      <w:r>
        <w:rPr/>
        <w:t>（</w:t>
      </w:r>
      <w:r>
        <w:rPr>
          <w:rFonts w:ascii="宋体" w:hAnsi="宋体" w:cs="宋体" w:eastAsia="宋体" w:hint="default"/>
        </w:rPr>
        <w:t>1</w:t>
      </w:r>
      <w:r>
        <w:rPr/>
        <w:t>）合并财务报表范围的确定原则 </w:t>
      </w:r>
      <w:r>
        <w:rPr>
          <w:spacing w:val="-1"/>
        </w:rPr>
        <w:t>合并财务报表的合并范围以控制为基础予以确定。控制是指本公司拥有对被投资方的权力，通过参与</w:t>
      </w:r>
    </w:p>
    <w:p>
      <w:pPr>
        <w:pStyle w:val="BodyText"/>
        <w:spacing w:line="408" w:lineRule="auto"/>
        <w:ind w:right="1131"/>
        <w:jc w:val="both"/>
      </w:pPr>
      <w:r>
        <w:rPr>
          <w:spacing w:val="-1"/>
        </w:rPr>
        <w:t>被投资方的相关活动而享有可变回报，并且有能力运用对被投资方的权力影响该回报金额。合并范围包括</w:t>
      </w:r>
      <w:r>
        <w:rPr>
          <w:spacing w:val="-81"/>
        </w:rPr>
        <w:t> </w:t>
      </w:r>
      <w:r>
        <w:rPr>
          <w:spacing w:val="-81"/>
        </w:rPr>
      </w:r>
      <w:r>
        <w:rPr/>
        <w:t>本公司及全部子公司。子公司，是指被本公司控制的主体。</w:t>
      </w:r>
    </w:p>
    <w:p>
      <w:pPr>
        <w:pStyle w:val="BodyText"/>
        <w:spacing w:line="240" w:lineRule="auto"/>
        <w:ind w:left="574" w:right="1046"/>
        <w:jc w:val="left"/>
      </w:pPr>
      <w:r>
        <w:rPr/>
        <w:t>一旦相关事实和情况的变化导致上述控制定义涉及的相关要素发生了变化，本公司将进行重新评估。</w:t>
      </w:r>
    </w:p>
    <w:p>
      <w:pPr>
        <w:spacing w:line="240" w:lineRule="auto" w:before="10"/>
        <w:rPr>
          <w:rFonts w:ascii="宋体" w:hAnsi="宋体" w:cs="宋体" w:eastAsia="宋体" w:hint="default"/>
          <w:sz w:val="14"/>
          <w:szCs w:val="14"/>
        </w:rPr>
      </w:pPr>
    </w:p>
    <w:p>
      <w:pPr>
        <w:pStyle w:val="BodyText"/>
        <w:spacing w:line="408" w:lineRule="auto" w:before="0"/>
        <w:ind w:left="574" w:right="1046"/>
        <w:jc w:val="left"/>
      </w:pPr>
      <w:r>
        <w:rPr/>
        <w:t>（</w:t>
      </w:r>
      <w:r>
        <w:rPr>
          <w:rFonts w:ascii="宋体" w:hAnsi="宋体" w:cs="宋体" w:eastAsia="宋体" w:hint="default"/>
        </w:rPr>
        <w:t>2</w:t>
      </w:r>
      <w:r>
        <w:rPr/>
        <w:t>）合并财务报表编制的方法 </w:t>
      </w:r>
      <w:r>
        <w:rPr>
          <w:spacing w:val="-1"/>
        </w:rPr>
        <w:t>从取得子公司的净资产和生产经营决策的实际控制权之日起，本公司开始将其纳入合并范围；从丧失</w:t>
      </w:r>
    </w:p>
    <w:p>
      <w:pPr>
        <w:pStyle w:val="BodyText"/>
        <w:spacing w:line="408" w:lineRule="auto"/>
        <w:ind w:left="154" w:right="1131"/>
        <w:jc w:val="both"/>
      </w:pPr>
      <w:r>
        <w:rPr>
          <w:spacing w:val="-1"/>
        </w:rPr>
        <w:t>实际控制权之日起停止纳入合并范围。对于处置的子公司，处置日前的经营成果和现金流量已经适当地包</w:t>
      </w:r>
      <w:r>
        <w:rPr>
          <w:spacing w:val="-81"/>
        </w:rPr>
        <w:t> </w:t>
      </w:r>
      <w:r>
        <w:rPr>
          <w:spacing w:val="-81"/>
        </w:rPr>
      </w:r>
      <w:r>
        <w:rPr>
          <w:spacing w:val="-1"/>
        </w:rPr>
        <w:t>括在合并利润表和合并现金流量表中；当期处置的子公司，不调整合并资产负债表的期初数。非同一控制</w:t>
      </w:r>
      <w:r>
        <w:rPr>
          <w:spacing w:val="-83"/>
        </w:rPr>
        <w:t> </w:t>
      </w:r>
      <w:r>
        <w:rPr>
          <w:spacing w:val="-83"/>
        </w:rPr>
      </w:r>
      <w:r>
        <w:rPr>
          <w:spacing w:val="-1"/>
        </w:rPr>
        <w:t>下企业合并增加的子公司，其购买日后的经营成果及现金流量已经适当地包括在合并利润表和合并现金流</w:t>
      </w:r>
      <w:r>
        <w:rPr>
          <w:spacing w:val="-81"/>
        </w:rPr>
        <w:t> </w:t>
      </w:r>
      <w:r>
        <w:rPr>
          <w:spacing w:val="-81"/>
        </w:rPr>
      </w:r>
      <w:r>
        <w:rPr>
          <w:spacing w:val="-1"/>
        </w:rPr>
        <w:t>量表中，且不调整合并财务报表的期初数和对比数。同一控制下企业合并增加的子公司及吸收合并下的被</w:t>
      </w:r>
      <w:r>
        <w:rPr>
          <w:spacing w:val="-81"/>
        </w:rPr>
        <w:t> </w:t>
      </w:r>
      <w:r>
        <w:rPr>
          <w:spacing w:val="-81"/>
        </w:rPr>
      </w:r>
      <w:r>
        <w:rPr>
          <w:spacing w:val="-1"/>
        </w:rPr>
        <w:t>合并方，其自合并当期期初至合并日的经营成果和现金流量已经适当地包括在合并利润表和合并现金流量</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046" w:hanging="420"/>
        <w:jc w:val="left"/>
      </w:pPr>
      <w:r>
        <w:rPr/>
        <w:t>表中，并且同时调整合并财务报表的对比数。 </w:t>
      </w:r>
      <w:r>
        <w:rPr>
          <w:spacing w:val="-1"/>
        </w:rPr>
        <w:t>在编制合并财务报表时，子公司与本公司采用的会计政策或会计期间不一致的，按照本公司的会计政</w:t>
      </w:r>
    </w:p>
    <w:p>
      <w:pPr>
        <w:pStyle w:val="BodyText"/>
        <w:spacing w:line="408" w:lineRule="auto"/>
        <w:ind w:right="1131"/>
        <w:jc w:val="both"/>
      </w:pPr>
      <w:r>
        <w:rPr>
          <w:spacing w:val="-1"/>
        </w:rPr>
        <w:t>策和会计期间对子公司财务报表进行必要的调整。对于非同一控制下企业合并取得的子公司，以购买日可</w:t>
      </w:r>
      <w:r>
        <w:rPr>
          <w:spacing w:val="-81"/>
        </w:rPr>
        <w:t> </w:t>
      </w:r>
      <w:r>
        <w:rPr>
          <w:spacing w:val="-81"/>
        </w:rPr>
      </w:r>
      <w:r>
        <w:rPr/>
        <w:t>辨认净资产公允价值为基础对其财务报表进行调整。</w:t>
      </w:r>
    </w:p>
    <w:p>
      <w:pPr>
        <w:pStyle w:val="BodyText"/>
        <w:spacing w:line="408" w:lineRule="auto"/>
        <w:ind w:left="573" w:right="1303"/>
        <w:jc w:val="left"/>
      </w:pPr>
      <w:r>
        <w:rPr/>
        <w:t>公司内所有重大往来余额、交易及未实现利润在合并财务报表编制时予以抵销。 子公司的股东权益及当期净损益中不属于本公司所拥有的部分分别作为少数股东权益及少数股东损</w:t>
      </w:r>
    </w:p>
    <w:p>
      <w:pPr>
        <w:pStyle w:val="BodyText"/>
        <w:spacing w:line="408" w:lineRule="auto"/>
        <w:ind w:right="1131"/>
        <w:jc w:val="both"/>
      </w:pPr>
      <w:r>
        <w:rPr>
          <w:spacing w:val="-1"/>
        </w:rPr>
        <w:t>益在合并财务报表中股东权益及净利润项下单独列示。子公司当期净损益中属于少数股东权益的份额，在</w:t>
      </w:r>
      <w:r>
        <w:rPr>
          <w:spacing w:val="-81"/>
        </w:rPr>
        <w:t> </w:t>
      </w:r>
      <w:r>
        <w:rPr>
          <w:spacing w:val="-81"/>
        </w:rPr>
      </w:r>
      <w:r>
        <w:rPr>
          <w:spacing w:val="-1"/>
        </w:rPr>
        <w:t>合并利润表中净利润项目下以“少数股东损益”项目列示。少数股东分担的子公司的亏损超过了少数股东</w:t>
      </w:r>
      <w:r>
        <w:rPr>
          <w:spacing w:val="-81"/>
        </w:rPr>
        <w:t> </w:t>
      </w:r>
      <w:r>
        <w:rPr>
          <w:spacing w:val="-81"/>
        </w:rPr>
      </w:r>
      <w:r>
        <w:rPr/>
        <w:t>在该子公司期初股东权益中所享有的份额，仍冲减少数股东权益。</w:t>
      </w:r>
    </w:p>
    <w:p>
      <w:pPr>
        <w:pStyle w:val="BodyText"/>
        <w:spacing w:line="408" w:lineRule="auto"/>
        <w:ind w:right="1024" w:firstLine="420"/>
        <w:jc w:val="left"/>
      </w:pPr>
      <w:r>
        <w:rPr/>
        <w:t>当因处置部分股权投资或其他原因丧失了对原有子公司的控制权时，对于剩余股权，按照其在丧失控 制权日的公允价值进行重新计量。处置股权取得的对价与剩余股权公允价值之和，减去按原持股比例计算 应享有原有子公司自购买日开始持续计算的净资产的份额之间的差额，计入丧失控制权当期的投资收益。 与原有子公司股权投资相关的其他综合收益，在丧失控制权时采用与被购买方直接处置相关资产或负债相 </w:t>
      </w:r>
      <w:r>
        <w:rPr>
          <w:spacing w:val="-3"/>
        </w:rPr>
        <w:t>同的基础进行会计处理（即，除了在该原有子公司重新计量设定受益计划净负债或净资产导致的变动以外，</w:t>
      </w:r>
      <w:r>
        <w:rPr>
          <w:spacing w:val="-92"/>
        </w:rPr>
        <w:t> </w:t>
      </w:r>
      <w:r>
        <w:rPr>
          <w:spacing w:val="-92"/>
        </w:rPr>
      </w:r>
      <w:r>
        <w:rPr>
          <w:spacing w:val="-4"/>
        </w:rPr>
        <w:t>其余一并转为当期投资收益）。其后，对该部分剩余股权按照《企业会计准则第</w:t>
      </w:r>
      <w:r>
        <w:rPr/>
        <w:t> </w:t>
      </w:r>
      <w:r>
        <w:rPr>
          <w:rFonts w:ascii="宋体" w:hAnsi="宋体" w:cs="宋体" w:eastAsia="宋体" w:hint="default"/>
        </w:rPr>
        <w:t>2</w:t>
      </w:r>
      <w:r>
        <w:rPr>
          <w:rFonts w:ascii="宋体" w:hAnsi="宋体" w:cs="宋体" w:eastAsia="宋体" w:hint="default"/>
          <w:spacing w:val="-71"/>
        </w:rPr>
        <w:t> </w:t>
      </w:r>
      <w:r>
        <w:rPr/>
        <w:t>号——长期股权投资》</w:t>
      </w:r>
    </w:p>
    <w:p>
      <w:pPr>
        <w:pStyle w:val="BodyText"/>
        <w:spacing w:line="408" w:lineRule="auto"/>
        <w:ind w:right="1213"/>
        <w:jc w:val="both"/>
      </w:pPr>
      <w:r>
        <w:rPr/>
        <w:t>或《企业会计准则第</w:t>
      </w:r>
      <w:r>
        <w:rPr>
          <w:spacing w:val="-53"/>
        </w:rPr>
        <w:t> </w:t>
      </w:r>
      <w:r>
        <w:rPr>
          <w:rFonts w:ascii="宋体" w:hAnsi="宋体" w:cs="宋体" w:eastAsia="宋体" w:hint="default"/>
        </w:rPr>
        <w:t>22</w:t>
      </w:r>
      <w:r>
        <w:rPr>
          <w:rFonts w:ascii="宋体" w:hAnsi="宋体" w:cs="宋体" w:eastAsia="宋体" w:hint="default"/>
          <w:spacing w:val="-54"/>
        </w:rPr>
        <w:t> </w:t>
      </w:r>
      <w:r>
        <w:rPr/>
        <w:t>号——金融工具确认和计量》等相关规定进行后续计量，详见本附注五、</w:t>
      </w:r>
      <w:r>
        <w:rPr>
          <w:rFonts w:ascii="宋体" w:hAnsi="宋体" w:cs="宋体" w:eastAsia="宋体" w:hint="default"/>
        </w:rPr>
        <w:t>14</w:t>
      </w:r>
      <w:r>
        <w:rPr/>
        <w:t>“长 期股权投资”或本附注五、</w:t>
      </w:r>
      <w:r>
        <w:rPr>
          <w:rFonts w:ascii="宋体" w:hAnsi="宋体" w:cs="宋体" w:eastAsia="宋体" w:hint="default"/>
        </w:rPr>
        <w:t>10</w:t>
      </w:r>
      <w:r>
        <w:rPr/>
        <w:t>“金融工具”。</w:t>
      </w:r>
    </w:p>
    <w:p>
      <w:pPr>
        <w:pStyle w:val="BodyText"/>
        <w:spacing w:line="408" w:lineRule="auto"/>
        <w:ind w:left="154" w:right="1130" w:firstLine="420"/>
        <w:jc w:val="both"/>
      </w:pPr>
      <w:r>
        <w:rPr>
          <w:spacing w:val="-1"/>
        </w:rPr>
        <w:t>本公司通过多次交易分步处置对子公司股权投资直至丧失控制权的，需区分处置对子公司股权投资直</w:t>
      </w:r>
      <w:r>
        <w:rPr/>
        <w:t> </w:t>
      </w:r>
      <w:r>
        <w:rPr>
          <w:spacing w:val="-1"/>
        </w:rPr>
        <w:t>至丧失控制权的各项交易是否属于一揽子交易。处置对子公司股权投资的各项交易的条款、条件以及经济</w:t>
      </w:r>
      <w:r>
        <w:rPr>
          <w:spacing w:val="-81"/>
        </w:rPr>
        <w:t> </w:t>
      </w:r>
      <w:r>
        <w:rPr>
          <w:spacing w:val="-81"/>
        </w:rPr>
      </w:r>
      <w:r>
        <w:rPr>
          <w:spacing w:val="-1"/>
        </w:rPr>
        <w:t>影响符合以下一种或多种情况，通常表明应将多次交易事项作为一揽子交易进行会计处理：①这些交易是</w:t>
      </w:r>
      <w:r>
        <w:rPr>
          <w:spacing w:val="-81"/>
        </w:rPr>
        <w:t> </w:t>
      </w:r>
      <w:r>
        <w:rPr>
          <w:spacing w:val="-81"/>
        </w:rPr>
      </w:r>
      <w:r>
        <w:rPr>
          <w:spacing w:val="-1"/>
        </w:rPr>
        <w:t>同时或者在考虑了彼此影响的情况下订立的；②这些交易整体才能达成一项完整的商业结果；③一项交易</w:t>
      </w:r>
      <w:r>
        <w:rPr>
          <w:spacing w:val="-81"/>
        </w:rPr>
        <w:t> </w:t>
      </w:r>
      <w:r>
        <w:rPr>
          <w:spacing w:val="-81"/>
        </w:rPr>
      </w:r>
      <w:r>
        <w:rPr>
          <w:spacing w:val="-1"/>
        </w:rPr>
        <w:t>的发生取决于其他至少一项交易的发生；④一项交易单独看是不经济的，但是和其他交易一并考虑时是经</w:t>
      </w:r>
      <w:r>
        <w:rPr>
          <w:spacing w:val="-81"/>
        </w:rPr>
        <w:t> </w:t>
      </w:r>
      <w:r>
        <w:rPr>
          <w:spacing w:val="-81"/>
        </w:rPr>
      </w:r>
      <w:r>
        <w:rPr>
          <w:spacing w:val="-1"/>
        </w:rPr>
        <w:t>济的。不属于一揽子交易的，对其中的每一项交易视情况分别按照“不丧失控制权的情况下部分处置对子</w:t>
      </w:r>
      <w:r>
        <w:rPr>
          <w:spacing w:val="-81"/>
        </w:rPr>
        <w:t> </w:t>
      </w:r>
      <w:r>
        <w:rPr>
          <w:spacing w:val="-81"/>
        </w:rPr>
      </w:r>
      <w:r>
        <w:rPr>
          <w:spacing w:val="-1"/>
        </w:rPr>
        <w:t>公司的长期股权投资”（详见本附注五、</w:t>
      </w:r>
      <w:r>
        <w:rPr>
          <w:rFonts w:ascii="宋体" w:hAnsi="宋体" w:cs="宋体" w:eastAsia="宋体" w:hint="default"/>
          <w:spacing w:val="-1"/>
        </w:rPr>
        <w:t>14</w:t>
      </w:r>
      <w:r>
        <w:rPr>
          <w:spacing w:val="-1"/>
        </w:rPr>
        <w:t>）和“因处置部分股权投资或其他原因丧失了对原有子公司的</w:t>
      </w:r>
      <w:r>
        <w:rPr>
          <w:spacing w:val="-82"/>
        </w:rPr>
        <w:t> </w:t>
      </w:r>
      <w:r>
        <w:rPr>
          <w:spacing w:val="-82"/>
        </w:rPr>
      </w:r>
      <w:r>
        <w:rPr>
          <w:spacing w:val="-1"/>
        </w:rPr>
        <w:t>控制权”（详见前段）适用的原则进行会计处理。处置对子公司股权投资直至丧失控制权的各项交易属于</w:t>
      </w:r>
      <w:r>
        <w:rPr>
          <w:spacing w:val="-83"/>
        </w:rPr>
        <w:t> </w:t>
      </w:r>
      <w:r>
        <w:rPr>
          <w:spacing w:val="-83"/>
        </w:rPr>
      </w:r>
      <w:r>
        <w:rPr>
          <w:spacing w:val="-1"/>
        </w:rPr>
        <w:t>一揽子交易的，将各项交易作为一项处置子公司并丧失控制权的交易进行会计处理；但是，在丧失控制权</w:t>
      </w:r>
      <w:r>
        <w:rPr>
          <w:spacing w:val="-83"/>
        </w:rPr>
        <w:t> </w:t>
      </w:r>
      <w:r>
        <w:rPr>
          <w:spacing w:val="-83"/>
        </w:rPr>
      </w:r>
      <w:r>
        <w:rPr>
          <w:spacing w:val="-1"/>
        </w:rPr>
        <w:t>之前每一次处置价款与处置投资对应的享有该子公司净资产份额的差额，在合并财务报表中确认为其他综</w:t>
      </w:r>
      <w:r>
        <w:rPr>
          <w:spacing w:val="-81"/>
        </w:rPr>
        <w:t> </w:t>
      </w:r>
      <w:r>
        <w:rPr>
          <w:spacing w:val="-81"/>
        </w:rPr>
      </w:r>
      <w:r>
        <w:rPr/>
        <w:t>合收益，在丧失控制权时一并转入丧失控制权当期的损益。</w:t>
      </w:r>
    </w:p>
    <w:p>
      <w:pPr>
        <w:spacing w:after="0" w:line="408"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7、合营安排分类及共同经营会计处理方法" w:id="165"/>
      <w:bookmarkEnd w:id="16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合营安排，是指一项由两个或两个以上的参与方共同控制的安排。本公司根据在合营安排中享有的权</w:t>
      </w:r>
      <w:r>
        <w:rPr/>
        <w:t> </w:t>
      </w:r>
      <w:r>
        <w:rPr>
          <w:spacing w:val="-1"/>
        </w:rPr>
        <w:t>利和承担的义务，将合营安排分为共同经营和合营企业。共同经营，是指本公司享有该安排相关资产且承</w:t>
      </w:r>
      <w:r>
        <w:rPr>
          <w:spacing w:val="-83"/>
        </w:rPr>
        <w:t> </w:t>
      </w:r>
      <w:r>
        <w:rPr>
          <w:spacing w:val="-83"/>
        </w:rPr>
      </w:r>
      <w:r>
        <w:rPr/>
        <w:t>担该安排相关负债的合营安排。合营企业，是指本公司仅对该安排的净资产享有权利的合营安排。</w:t>
      </w:r>
    </w:p>
    <w:p>
      <w:pPr>
        <w:pStyle w:val="BodyText"/>
        <w:spacing w:line="408" w:lineRule="auto"/>
        <w:ind w:right="1130" w:firstLine="420"/>
        <w:jc w:val="both"/>
      </w:pPr>
      <w:r>
        <w:rPr>
          <w:spacing w:val="-1"/>
        </w:rPr>
        <w:t>本公司对合营企业的投资采用权益法核算，按照本附注五、</w:t>
      </w:r>
      <w:r>
        <w:rPr>
          <w:rFonts w:ascii="宋体" w:hAnsi="宋体" w:cs="宋体" w:eastAsia="宋体" w:hint="default"/>
          <w:spacing w:val="-1"/>
        </w:rPr>
        <w:t>14</w:t>
      </w:r>
      <w:r>
        <w:rPr>
          <w:spacing w:val="-1"/>
        </w:rPr>
        <w:t>“权益法核算的长期股权投资”中所述</w:t>
      </w:r>
      <w:r>
        <w:rPr/>
        <w:t> 的会计政策处理。</w:t>
      </w:r>
    </w:p>
    <w:p>
      <w:pPr>
        <w:pStyle w:val="BodyText"/>
        <w:spacing w:line="408" w:lineRule="auto"/>
        <w:ind w:right="1131" w:firstLine="420"/>
        <w:jc w:val="both"/>
      </w:pPr>
      <w:r>
        <w:rPr>
          <w:spacing w:val="-1"/>
        </w:rPr>
        <w:t>本公司作为合营方对共同经营，确认本公司单独持有的资产、单独所承担的负债，以及按本公司份额</w:t>
      </w:r>
      <w:r>
        <w:rPr/>
        <w:t> </w:t>
      </w:r>
      <w:r>
        <w:rPr>
          <w:spacing w:val="-1"/>
        </w:rPr>
        <w:t>确认共同持有的资产和共同承担的负债；确认出售本公司享有的共同经营产出份额所产生的收入；按本公</w:t>
      </w:r>
      <w:r>
        <w:rPr>
          <w:spacing w:val="-81"/>
        </w:rPr>
        <w:t> </w:t>
      </w:r>
      <w:r>
        <w:rPr>
          <w:spacing w:val="-81"/>
        </w:rPr>
      </w:r>
      <w:r>
        <w:rPr>
          <w:spacing w:val="-1"/>
        </w:rPr>
        <w:t>司份额确认共同经营因出售产出所产生的收入；确认本公司单独所发生的费用，以及按本公司份额确认共</w:t>
      </w:r>
      <w:r>
        <w:rPr>
          <w:spacing w:val="-81"/>
        </w:rPr>
        <w:t> </w:t>
      </w:r>
      <w:r>
        <w:rPr>
          <w:spacing w:val="-81"/>
        </w:rPr>
      </w:r>
      <w:r>
        <w:rPr/>
        <w:t>同经营发生的费用。</w:t>
      </w:r>
    </w:p>
    <w:p>
      <w:pPr>
        <w:pStyle w:val="BodyText"/>
        <w:spacing w:line="408" w:lineRule="auto"/>
        <w:ind w:right="1093" w:firstLine="420"/>
        <w:jc w:val="left"/>
      </w:pPr>
      <w:r>
        <w:rPr>
          <w:spacing w:val="-3"/>
        </w:rPr>
        <w:t>当本公司作为合营方向共同经营投出或出售资产（该资产不构成业务，下同）、或者自共同经营购买</w:t>
      </w:r>
      <w:r>
        <w:rPr/>
        <w:t> </w:t>
      </w:r>
      <w:r>
        <w:rPr>
          <w:spacing w:val="-1"/>
        </w:rPr>
        <w:t>资产时，在该等资产出售给第三方之前，本公司仅确认因该交易产生的损益中归属于共同经营其他参与方</w:t>
      </w:r>
      <w:r>
        <w:rPr>
          <w:spacing w:val="-81"/>
        </w:rPr>
        <w:t> </w:t>
      </w:r>
      <w:r>
        <w:rPr>
          <w:spacing w:val="-81"/>
        </w:rPr>
      </w:r>
      <w:r>
        <w:rPr/>
        <w:t>的部分。该等资产发生符合《企业会计准则第</w:t>
      </w:r>
      <w:r>
        <w:rPr>
          <w:spacing w:val="-63"/>
        </w:rPr>
        <w:t> </w:t>
      </w:r>
      <w:r>
        <w:rPr>
          <w:rFonts w:ascii="宋体" w:hAnsi="宋体" w:cs="宋体" w:eastAsia="宋体" w:hint="default"/>
        </w:rPr>
        <w:t>8</w:t>
      </w:r>
      <w:r>
        <w:rPr>
          <w:rFonts w:ascii="宋体" w:hAnsi="宋体" w:cs="宋体" w:eastAsia="宋体" w:hint="default"/>
          <w:spacing w:val="-63"/>
        </w:rPr>
        <w:t> </w:t>
      </w:r>
      <w:r>
        <w:rPr/>
        <w:t>号——资产减值》等规定的资产减值损失的，对于由本公 司向共同经营投出或出售资产的情况，本公司全额确认该损失；对于本公司自共同经营购买资产的情况， 本公司按承担的份额确认该损失。</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8、现金及现金等价物的确定标准" w:id="166"/>
      <w:bookmarkEnd w:id="16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本公司现金及现金等价物包括库存现金、可以随时用于支付的存款以及本公司持有的期限短（一般为</w:t>
      </w:r>
      <w:r>
        <w:rPr/>
        <w:t> </w:t>
      </w:r>
      <w:r>
        <w:rPr>
          <w:spacing w:val="-3"/>
        </w:rPr>
        <w:t>从购买日起，三个月内到期）、流动性强、易于转换为已知金额的现金、价值变动风险很小的投资。</w:t>
      </w:r>
    </w:p>
    <w:p>
      <w:pPr>
        <w:spacing w:line="240" w:lineRule="auto" w:before="8"/>
        <w:rPr>
          <w:rFonts w:ascii="宋体" w:hAnsi="宋体" w:cs="宋体" w:eastAsia="宋体" w:hint="default"/>
          <w:sz w:val="20"/>
          <w:szCs w:val="20"/>
        </w:rPr>
      </w:pPr>
    </w:p>
    <w:p>
      <w:pPr>
        <w:pStyle w:val="Heading3"/>
        <w:spacing w:line="240" w:lineRule="auto"/>
        <w:ind w:right="1046"/>
        <w:jc w:val="left"/>
        <w:rPr>
          <w:b w:val="0"/>
          <w:bCs w:val="0"/>
        </w:rPr>
      </w:pPr>
      <w:bookmarkStart w:name="9、外币业务和外币报表折算" w:id="167"/>
      <w:bookmarkEnd w:id="16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1046"/>
        <w:jc w:val="left"/>
      </w:pPr>
      <w:r>
        <w:rPr/>
        <w:t>（</w:t>
      </w:r>
      <w:r>
        <w:rPr>
          <w:rFonts w:ascii="宋体" w:hAnsi="宋体" w:cs="宋体" w:eastAsia="宋体" w:hint="default"/>
        </w:rPr>
        <w:t>1</w:t>
      </w:r>
      <w:r>
        <w:rPr/>
        <w:t>）外币交易的折算方法 </w:t>
      </w:r>
      <w:r>
        <w:rPr>
          <w:spacing w:val="-1"/>
        </w:rPr>
        <w:t>本公司发生的外币交易在初始确认时，按交易日的即期近似汇率折算为记账本位币金额。该即期近似</w:t>
      </w:r>
    </w:p>
    <w:p>
      <w:pPr>
        <w:pStyle w:val="BodyText"/>
        <w:spacing w:line="408" w:lineRule="auto"/>
        <w:ind w:left="154" w:right="1046"/>
        <w:jc w:val="left"/>
      </w:pPr>
      <w:r>
        <w:rPr>
          <w:spacing w:val="-1"/>
        </w:rPr>
        <w:t>汇率指交易发生日当月月初的汇率。但公司发生的外币兑换业务或涉及外币兑换的交易事项，按照实际采</w:t>
      </w:r>
      <w:r>
        <w:rPr>
          <w:spacing w:val="-81"/>
        </w:rPr>
        <w:t> </w:t>
      </w:r>
      <w:r>
        <w:rPr>
          <w:spacing w:val="-81"/>
        </w:rPr>
      </w:r>
      <w:r>
        <w:rPr/>
        <w:t>用的汇率折算为记账本位币金额。</w:t>
      </w:r>
    </w:p>
    <w:p>
      <w:pPr>
        <w:pStyle w:val="BodyText"/>
        <w:spacing w:line="408" w:lineRule="auto"/>
        <w:ind w:left="574" w:right="1046"/>
        <w:jc w:val="left"/>
      </w:pPr>
      <w:r>
        <w:rPr/>
        <w:t>（</w:t>
      </w:r>
      <w:r>
        <w:rPr>
          <w:rFonts w:ascii="宋体" w:hAnsi="宋体" w:cs="宋体" w:eastAsia="宋体" w:hint="default"/>
        </w:rPr>
        <w:t>2</w:t>
      </w:r>
      <w:r>
        <w:rPr/>
        <w:t>）对于外币货币性项目和外币非货币性项目的折算方法 </w:t>
      </w:r>
      <w:r>
        <w:rPr>
          <w:spacing w:val="-1"/>
        </w:rPr>
        <w:t>资产负债表日，对于外币货币性项目采用资产负债表日即期汇率折算，由此产生的汇兑差额，除：①</w:t>
      </w:r>
    </w:p>
    <w:p>
      <w:pPr>
        <w:pStyle w:val="BodyText"/>
        <w:spacing w:line="408" w:lineRule="auto"/>
        <w:ind w:left="154" w:right="1092"/>
        <w:jc w:val="left"/>
      </w:pPr>
      <w:r>
        <w:rPr/>
        <w:t>属于与购建符合资本化条件的资产相关的外币专门借款产生的汇兑差额按照借款费用资本化的原则处理； 以及②可供出售的外币货币性项目除摊余成本之外的其他账面余额变动产生的汇兑差额计入其他综合收</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046" w:hanging="420"/>
        <w:jc w:val="left"/>
      </w:pPr>
      <w:r>
        <w:rPr/>
        <w:t>益之外，均计入当期损益。 </w:t>
      </w:r>
      <w:r>
        <w:rPr>
          <w:spacing w:val="-1"/>
        </w:rPr>
        <w:t>以历史成本计量的外币非货币性项目，仍采用交易发生日的即期汇率折算的记账本位币金额计量。以</w:t>
      </w:r>
    </w:p>
    <w:p>
      <w:pPr>
        <w:pStyle w:val="BodyText"/>
        <w:spacing w:line="408" w:lineRule="auto"/>
        <w:ind w:right="1093"/>
        <w:jc w:val="left"/>
      </w:pPr>
      <w:r>
        <w:rPr>
          <w:spacing w:val="-1"/>
        </w:rPr>
        <w:t>公允价值计量的外币非货币性项目，采用公允价值确定日的即期汇率折算，折算后的记账本位币金额与原</w:t>
      </w:r>
      <w:r>
        <w:rPr>
          <w:spacing w:val="-81"/>
        </w:rPr>
        <w:t> </w:t>
      </w:r>
      <w:r>
        <w:rPr>
          <w:spacing w:val="-81"/>
        </w:rPr>
      </w:r>
      <w:r>
        <w:rPr/>
        <w:t>记账本位币金额的差额，作为公允价值变动（含汇率变动）处理，计入当期损益或确认为其他综合收益。</w:t>
      </w:r>
    </w:p>
    <w:p>
      <w:pPr>
        <w:pStyle w:val="BodyText"/>
        <w:spacing w:line="408" w:lineRule="auto"/>
        <w:ind w:left="573" w:right="1046"/>
        <w:jc w:val="left"/>
      </w:pPr>
      <w:r>
        <w:rPr/>
        <w:t>（</w:t>
      </w:r>
      <w:r>
        <w:rPr>
          <w:rFonts w:ascii="宋体" w:hAnsi="宋体" w:cs="宋体" w:eastAsia="宋体" w:hint="default"/>
        </w:rPr>
        <w:t>3</w:t>
      </w:r>
      <w:r>
        <w:rPr/>
        <w:t>）外币财务报表的折算方法 </w:t>
      </w:r>
      <w:r>
        <w:rPr>
          <w:spacing w:val="-1"/>
        </w:rPr>
        <w:t>编制合并财务报表涉及境外经营的，如有实质上构成对境外经营净投资的外币货币性项目，因汇率变</w:t>
      </w:r>
    </w:p>
    <w:p>
      <w:pPr>
        <w:pStyle w:val="BodyText"/>
        <w:spacing w:line="408" w:lineRule="auto"/>
        <w:ind w:right="1046"/>
        <w:jc w:val="left"/>
      </w:pPr>
      <w:r>
        <w:rPr>
          <w:spacing w:val="-1"/>
        </w:rPr>
        <w:t>动而产生的汇兑差额，作为“外币报表折算差额”确认为其他综合收益；处置境外经营时，计入处置当期</w:t>
      </w:r>
      <w:r>
        <w:rPr>
          <w:spacing w:val="-83"/>
        </w:rPr>
        <w:t> </w:t>
      </w:r>
      <w:r>
        <w:rPr>
          <w:spacing w:val="-83"/>
        </w:rPr>
      </w:r>
      <w:r>
        <w:rPr/>
        <w:t>损益。</w:t>
      </w:r>
    </w:p>
    <w:p>
      <w:pPr>
        <w:pStyle w:val="BodyText"/>
        <w:spacing w:line="408" w:lineRule="auto"/>
        <w:ind w:right="1131" w:firstLine="420"/>
        <w:jc w:val="both"/>
      </w:pPr>
      <w:r>
        <w:rPr>
          <w:spacing w:val="-1"/>
        </w:rPr>
        <w:t>境外经营的外币财务报表按以下方法折算为人民币报表：资产负债表中的资产和负债项目，采用资产</w:t>
      </w:r>
      <w:r>
        <w:rPr/>
        <w:t> </w:t>
      </w:r>
      <w:r>
        <w:rPr>
          <w:spacing w:val="-1"/>
        </w:rPr>
        <w:t>负债表日的即期汇率折算；股东权益类项目除“未分配利润”项目外，其他项目采用发生时的即期汇率折</w:t>
      </w:r>
      <w:r>
        <w:rPr>
          <w:spacing w:val="-81"/>
        </w:rPr>
        <w:t> </w:t>
      </w:r>
      <w:r>
        <w:rPr>
          <w:spacing w:val="-81"/>
        </w:rPr>
      </w:r>
      <w:r>
        <w:rPr>
          <w:spacing w:val="-1"/>
        </w:rPr>
        <w:t>算。利润表中的收入和费用项目，采用交易发生日的即期近似汇率折算。年初未分配利润为上一年折算后</w:t>
      </w:r>
      <w:r>
        <w:rPr>
          <w:spacing w:val="-83"/>
        </w:rPr>
        <w:t> </w:t>
      </w:r>
      <w:r>
        <w:rPr>
          <w:spacing w:val="-83"/>
        </w:rPr>
      </w:r>
      <w:r>
        <w:rPr>
          <w:spacing w:val="-1"/>
        </w:rPr>
        <w:t>的年末未分配利润；年末未分配利润按折算后的利润分配各项目计算列示；折算后资产类项目与负债类项</w:t>
      </w:r>
      <w:r>
        <w:rPr>
          <w:spacing w:val="-81"/>
        </w:rPr>
        <w:t> </w:t>
      </w:r>
      <w:r>
        <w:rPr>
          <w:spacing w:val="-81"/>
        </w:rPr>
      </w:r>
      <w:r>
        <w:rPr>
          <w:spacing w:val="-1"/>
        </w:rPr>
        <w:t>目和股东权益类项目合计数的差额，作为外币报表折算差额，确认为其他综合收益。处置境外经营并丧失</w:t>
      </w:r>
      <w:r>
        <w:rPr>
          <w:spacing w:val="-83"/>
        </w:rPr>
        <w:t> </w:t>
      </w:r>
      <w:r>
        <w:rPr>
          <w:spacing w:val="-83"/>
        </w:rPr>
      </w:r>
      <w:r>
        <w:rPr>
          <w:spacing w:val="-1"/>
        </w:rPr>
        <w:t>控制权时，将资产负债表中股东权益项目下列示的、与该境外经营相关的外币报表折算差额，全部或按处</w:t>
      </w:r>
      <w:r>
        <w:rPr>
          <w:spacing w:val="-83"/>
        </w:rPr>
        <w:t> </w:t>
      </w:r>
      <w:r>
        <w:rPr>
          <w:spacing w:val="-83"/>
        </w:rPr>
      </w:r>
      <w:r>
        <w:rPr/>
        <w:t>置该境外经营的比例转入处置当期损益。</w:t>
      </w:r>
    </w:p>
    <w:p>
      <w:pPr>
        <w:pStyle w:val="BodyText"/>
        <w:spacing w:line="408" w:lineRule="auto"/>
        <w:ind w:right="1131" w:firstLine="420"/>
        <w:jc w:val="both"/>
      </w:pPr>
      <w:r>
        <w:rPr>
          <w:spacing w:val="-1"/>
        </w:rPr>
        <w:t>外币现金流量以及境外子公司的现金流量，采用现金流量发生日的即期近似汇率折算。汇率变动对现</w:t>
      </w:r>
      <w:r>
        <w:rPr/>
        <w:t> 金的影响额作为调节项目，在现金流量表中单独列报。</w:t>
      </w:r>
    </w:p>
    <w:p>
      <w:pPr>
        <w:pStyle w:val="BodyText"/>
        <w:spacing w:line="408" w:lineRule="auto"/>
        <w:ind w:left="573" w:right="1303"/>
        <w:jc w:val="left"/>
      </w:pPr>
      <w:r>
        <w:rPr/>
        <w:t>年初数和上年实际数按照上年财务报表折算后的数额列示。 在处置本公司在境外经营的全部所有者权益或因处置部分股权投资或其他原因丧失了对境外经营控</w:t>
      </w:r>
    </w:p>
    <w:p>
      <w:pPr>
        <w:pStyle w:val="BodyText"/>
        <w:spacing w:line="408" w:lineRule="auto"/>
        <w:ind w:right="1046"/>
        <w:jc w:val="left"/>
      </w:pPr>
      <w:r>
        <w:rPr>
          <w:spacing w:val="-1"/>
        </w:rPr>
        <w:t>制权时，将资产负债表中股东权益项目下列示的、与该境外经营相关的归属于母公司所有者权益的外币报</w:t>
      </w:r>
      <w:r>
        <w:rPr>
          <w:spacing w:val="-81"/>
        </w:rPr>
        <w:t> </w:t>
      </w:r>
      <w:r>
        <w:rPr>
          <w:spacing w:val="-81"/>
        </w:rPr>
      </w:r>
      <w:r>
        <w:rPr/>
        <w:t>表折算差额，全部转入处置当期损益。</w:t>
      </w:r>
    </w:p>
    <w:p>
      <w:pPr>
        <w:pStyle w:val="BodyText"/>
        <w:spacing w:line="408" w:lineRule="auto"/>
        <w:ind w:right="1131" w:firstLine="420"/>
        <w:jc w:val="both"/>
      </w:pPr>
      <w:r>
        <w:rPr>
          <w:spacing w:val="-1"/>
        </w:rPr>
        <w:t>在处置部分股权投资或其他原因导致持有境外经营权益比例降低但不丧失对境外经营控制权时，与该</w:t>
      </w:r>
      <w:r>
        <w:rPr/>
        <w:t> </w:t>
      </w:r>
      <w:r>
        <w:rPr>
          <w:spacing w:val="-1"/>
        </w:rPr>
        <w:t>境外经营处置部分相关的外币报表折算差额将归属于少数股东权益，不转入当期损益。在处置境外经营为</w:t>
      </w:r>
      <w:r>
        <w:rPr>
          <w:spacing w:val="-81"/>
        </w:rPr>
        <w:t> </w:t>
      </w:r>
      <w:r>
        <w:rPr>
          <w:spacing w:val="-81"/>
        </w:rPr>
      </w:r>
      <w:r>
        <w:rPr>
          <w:spacing w:val="-1"/>
        </w:rPr>
        <w:t>联营企业或合营企业的部分股权时，与该境外经营相关的外币报表折算差额，按处置该境外经营的比例转</w:t>
      </w:r>
      <w:r>
        <w:rPr>
          <w:spacing w:val="-81"/>
        </w:rPr>
        <w:t> </w:t>
      </w:r>
      <w:r>
        <w:rPr>
          <w:spacing w:val="-81"/>
        </w:rPr>
      </w:r>
      <w:r>
        <w:rPr/>
        <w:t>入处置当期损益。</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10、金融工具" w:id="168"/>
      <w:bookmarkEnd w:id="16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131" w:firstLine="420"/>
        <w:jc w:val="both"/>
      </w:pPr>
      <w:r>
        <w:rPr>
          <w:spacing w:val="-1"/>
        </w:rPr>
        <w:t>在本公司成为金融工具合同的一方时确认一项金融资产或金融负债。金融资产和金融负债在初始确认</w:t>
      </w:r>
      <w:r>
        <w:rPr/>
        <w:t> </w:t>
      </w:r>
      <w:r>
        <w:rPr>
          <w:spacing w:val="-1"/>
        </w:rPr>
        <w:t>时以公允价值计量。对于以公允价值计量且其变动计入当期损益的金融资产和金融负债，相关的交易费用</w:t>
      </w:r>
      <w:r>
        <w:rPr>
          <w:spacing w:val="-81"/>
        </w:rPr>
        <w:t> </w:t>
      </w:r>
      <w:r>
        <w:rPr>
          <w:spacing w:val="-81"/>
        </w:rPr>
      </w:r>
      <w:r>
        <w:rPr/>
        <w:t>直接计入损益，对于其他类别的金融资产和金融负债，相关交易费用计入初始确认金额。</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046"/>
        <w:jc w:val="left"/>
      </w:pPr>
      <w:r>
        <w:rPr/>
        <w:t>（</w:t>
      </w:r>
      <w:r>
        <w:rPr>
          <w:rFonts w:ascii="宋体" w:hAnsi="宋体" w:cs="宋体" w:eastAsia="宋体" w:hint="default"/>
        </w:rPr>
        <w:t>1</w:t>
      </w:r>
      <w:r>
        <w:rPr/>
        <w:t>）金融资产和金融负债的公允价值确定方法 </w:t>
      </w:r>
      <w:r>
        <w:rPr>
          <w:spacing w:val="-1"/>
        </w:rPr>
        <w:t>公允价值，是指市场参与者在计量日发生的有序交易中，出售一项资产所能收到或者转移一项负债所</w:t>
      </w:r>
    </w:p>
    <w:p>
      <w:pPr>
        <w:pStyle w:val="BodyText"/>
        <w:spacing w:line="408" w:lineRule="auto"/>
        <w:ind w:right="1130"/>
        <w:jc w:val="both"/>
      </w:pPr>
      <w:r>
        <w:rPr>
          <w:spacing w:val="-1"/>
        </w:rPr>
        <w:t>需支付的价格。金融工具存在活跃市场的，本公司采用活跃市场中的报价确定其公允价值。活跃市场中的</w:t>
      </w:r>
      <w:r>
        <w:rPr>
          <w:spacing w:val="-83"/>
        </w:rPr>
        <w:t> </w:t>
      </w:r>
      <w:r>
        <w:rPr>
          <w:spacing w:val="-83"/>
        </w:rPr>
      </w:r>
      <w:r>
        <w:rPr>
          <w:spacing w:val="-1"/>
        </w:rPr>
        <w:t>报价是指易于定期从交易所、经纪商、行业协会、定价服务机构等获得的价格，且代表了在公平交易中实</w:t>
      </w:r>
      <w:r>
        <w:rPr>
          <w:spacing w:val="-86"/>
        </w:rPr>
        <w:t> </w:t>
      </w:r>
      <w:r>
        <w:rPr>
          <w:spacing w:val="-86"/>
        </w:rPr>
      </w:r>
      <w:r>
        <w:rPr>
          <w:spacing w:val="-1"/>
        </w:rPr>
        <w:t>际发生的市场交易的价格。金融工具不存在活跃市场的，本公司采用估值技术确定其公允价值。估值技术</w:t>
      </w:r>
      <w:r>
        <w:rPr>
          <w:spacing w:val="-82"/>
        </w:rPr>
        <w:t> </w:t>
      </w:r>
      <w:r>
        <w:rPr>
          <w:spacing w:val="-82"/>
        </w:rPr>
      </w:r>
      <w:r>
        <w:rPr>
          <w:spacing w:val="-1"/>
        </w:rPr>
        <w:t>包括参考熟悉情况并自愿交易的各方最近进行的市场交易中使用的价格、参照实质上相同的其他金融工具</w:t>
      </w:r>
      <w:r>
        <w:rPr>
          <w:spacing w:val="-81"/>
        </w:rPr>
        <w:t> </w:t>
      </w:r>
      <w:r>
        <w:rPr>
          <w:spacing w:val="-81"/>
        </w:rPr>
      </w:r>
      <w:r>
        <w:rPr/>
        <w:t>当前的公允价值、现金流量折现法和期权定价模型等。</w:t>
      </w:r>
    </w:p>
    <w:p>
      <w:pPr>
        <w:pStyle w:val="BodyText"/>
        <w:spacing w:line="408" w:lineRule="auto"/>
        <w:ind w:left="573" w:right="1046"/>
        <w:jc w:val="left"/>
      </w:pPr>
      <w:r>
        <w:rPr/>
        <w:t>（</w:t>
      </w:r>
      <w:r>
        <w:rPr>
          <w:rFonts w:ascii="宋体" w:hAnsi="宋体" w:cs="宋体" w:eastAsia="宋体" w:hint="default"/>
        </w:rPr>
        <w:t>2</w:t>
      </w:r>
      <w:r>
        <w:rPr/>
        <w:t>）金融资产的分类、确认和计量 </w:t>
      </w:r>
      <w:r>
        <w:rPr>
          <w:spacing w:val="-1"/>
        </w:rPr>
        <w:t>以常规方式买卖金融资产，按交易日进行会计确认和终止确认。金融资产在初始确认时划分为以公允</w:t>
      </w:r>
    </w:p>
    <w:p>
      <w:pPr>
        <w:pStyle w:val="BodyText"/>
        <w:spacing w:line="240" w:lineRule="auto"/>
        <w:ind w:right="0"/>
        <w:jc w:val="both"/>
      </w:pPr>
      <w:r>
        <w:rPr/>
        <w:t>价值计量且其变动计入当期损益的金融资产、持有至到期投资、贷款和应收款项以及可供出售金融资产。</w:t>
      </w:r>
    </w:p>
    <w:p>
      <w:pPr>
        <w:spacing w:line="240" w:lineRule="auto" w:before="10"/>
        <w:rPr>
          <w:rFonts w:ascii="宋体" w:hAnsi="宋体" w:cs="宋体" w:eastAsia="宋体" w:hint="default"/>
          <w:sz w:val="14"/>
          <w:szCs w:val="14"/>
        </w:rPr>
      </w:pPr>
    </w:p>
    <w:p>
      <w:pPr>
        <w:pStyle w:val="BodyText"/>
        <w:spacing w:line="408" w:lineRule="auto" w:before="0"/>
        <w:ind w:left="573" w:right="1046"/>
        <w:jc w:val="left"/>
      </w:pPr>
      <w:r>
        <w:rPr/>
        <w:t>① 以公允价值计量且其变动计入当期损益的金融资产 包括交易性金融资产和指定为以公允价值计量且其变动计入当期损益的金融资产。 </w:t>
      </w:r>
      <w:r>
        <w:rPr>
          <w:spacing w:val="-1"/>
        </w:rPr>
        <w:t>交易性金融资产是指满足下列条件之一的金融资产：</w:t>
      </w:r>
      <w:r>
        <w:rPr>
          <w:rFonts w:ascii="宋体" w:hAnsi="宋体" w:cs="宋体" w:eastAsia="宋体" w:hint="default"/>
          <w:spacing w:val="-1"/>
        </w:rPr>
        <w:t>A.</w:t>
      </w:r>
      <w:r>
        <w:rPr>
          <w:spacing w:val="-1"/>
        </w:rPr>
        <w:t>取得该金融资产的目的，主要是为了近期内出</w:t>
      </w:r>
    </w:p>
    <w:p>
      <w:pPr>
        <w:pStyle w:val="BodyText"/>
        <w:spacing w:line="408" w:lineRule="auto"/>
        <w:ind w:right="1131"/>
        <w:jc w:val="both"/>
      </w:pPr>
      <w:r>
        <w:rPr>
          <w:spacing w:val="-1"/>
        </w:rPr>
        <w:t>售；</w:t>
      </w:r>
      <w:r>
        <w:rPr>
          <w:rFonts w:ascii="宋体" w:hAnsi="宋体" w:cs="宋体" w:eastAsia="宋体" w:hint="default"/>
          <w:spacing w:val="-1"/>
        </w:rPr>
        <w:t>B.</w:t>
      </w:r>
      <w:r>
        <w:rPr>
          <w:spacing w:val="-1"/>
        </w:rPr>
        <w:t>属于进行集中管理的可辨认金融工具组合的一部分，且有客观证据表明本公司近期采用短期获利方</w:t>
      </w:r>
      <w:r>
        <w:rPr>
          <w:spacing w:val="-81"/>
        </w:rPr>
        <w:t> </w:t>
      </w:r>
      <w:r>
        <w:rPr>
          <w:spacing w:val="-81"/>
        </w:rPr>
      </w:r>
      <w:r>
        <w:rPr>
          <w:spacing w:val="-1"/>
        </w:rPr>
        <w:t>式对该组合进行管理；</w:t>
      </w:r>
      <w:r>
        <w:rPr>
          <w:rFonts w:ascii="宋体" w:hAnsi="宋体" w:cs="宋体" w:eastAsia="宋体" w:hint="default"/>
          <w:spacing w:val="-1"/>
        </w:rPr>
        <w:t>C.</w:t>
      </w:r>
      <w:r>
        <w:rPr>
          <w:spacing w:val="-1"/>
        </w:rPr>
        <w:t>属于衍生工具，但是，被指定且为有效套期工具的衍生工具、属于财务担保合同</w:t>
      </w:r>
      <w:r>
        <w:rPr>
          <w:spacing w:val="-85"/>
        </w:rPr>
        <w:t> </w:t>
      </w:r>
      <w:r>
        <w:rPr>
          <w:spacing w:val="-85"/>
        </w:rPr>
      </w:r>
      <w:r>
        <w:rPr>
          <w:spacing w:val="-1"/>
        </w:rPr>
        <w:t>的衍生工具、与在活跃市场中没有报价且其公允价值不能可靠计量的权益工具投资挂钩并须通过交付该权</w:t>
      </w:r>
      <w:r>
        <w:rPr>
          <w:spacing w:val="-81"/>
        </w:rPr>
        <w:t> </w:t>
      </w:r>
      <w:r>
        <w:rPr>
          <w:spacing w:val="-81"/>
        </w:rPr>
      </w:r>
      <w:r>
        <w:rPr/>
        <w:t>益工具结算的衍生工具除外。</w:t>
      </w:r>
    </w:p>
    <w:p>
      <w:pPr>
        <w:pStyle w:val="BodyText"/>
        <w:spacing w:line="408" w:lineRule="auto"/>
        <w:ind w:left="154" w:right="1131" w:firstLine="420"/>
        <w:jc w:val="both"/>
      </w:pPr>
      <w:r>
        <w:rPr>
          <w:spacing w:val="-1"/>
        </w:rPr>
        <w:t>符合下述条件之一的金融资产，在初始确认时可指定为以公允价值计量且其变动计入当期损益的金融</w:t>
      </w:r>
      <w:r>
        <w:rPr/>
        <w:t> </w:t>
      </w:r>
      <w:r>
        <w:rPr>
          <w:spacing w:val="-1"/>
        </w:rPr>
        <w:t>资产：</w:t>
      </w:r>
      <w:r>
        <w:rPr>
          <w:rFonts w:ascii="宋体" w:hAnsi="宋体" w:cs="宋体" w:eastAsia="宋体" w:hint="default"/>
          <w:spacing w:val="-1"/>
        </w:rPr>
        <w:t>A.</w:t>
      </w:r>
      <w:r>
        <w:rPr>
          <w:spacing w:val="-1"/>
        </w:rPr>
        <w:t>该指定可以消除或明显减少由于该金融资产的计量基础不同所导致的相关利得或损失在确认或计</w:t>
      </w:r>
      <w:r>
        <w:rPr>
          <w:spacing w:val="-82"/>
        </w:rPr>
        <w:t> </w:t>
      </w:r>
      <w:r>
        <w:rPr>
          <w:spacing w:val="-82"/>
        </w:rPr>
      </w:r>
      <w:r>
        <w:rPr>
          <w:spacing w:val="-1"/>
        </w:rPr>
        <w:t>量方面不一致的情况；</w:t>
      </w:r>
      <w:r>
        <w:rPr>
          <w:rFonts w:ascii="宋体" w:hAnsi="宋体" w:cs="宋体" w:eastAsia="宋体" w:hint="default"/>
          <w:spacing w:val="-1"/>
        </w:rPr>
        <w:t>B.</w:t>
      </w:r>
      <w:r>
        <w:rPr>
          <w:spacing w:val="-1"/>
        </w:rPr>
        <w:t>本公司风险管理或投资策略的正式书面文件已载明，对该金融资产所在的金融资</w:t>
      </w:r>
      <w:r>
        <w:rPr>
          <w:spacing w:val="-83"/>
        </w:rPr>
        <w:t> </w:t>
      </w:r>
      <w:r>
        <w:rPr>
          <w:spacing w:val="-83"/>
        </w:rPr>
      </w:r>
      <w:r>
        <w:rPr/>
        <w:t>产组合或金融资产和金融负债组合以公允价值为基础进行管理、评价并向关键管理人员报告。</w:t>
      </w:r>
    </w:p>
    <w:p>
      <w:pPr>
        <w:pStyle w:val="BodyText"/>
        <w:spacing w:line="408" w:lineRule="auto"/>
        <w:ind w:right="1132" w:firstLine="420"/>
        <w:jc w:val="both"/>
      </w:pPr>
      <w:r>
        <w:rPr>
          <w:spacing w:val="-1"/>
        </w:rPr>
        <w:t>以公允价值计量且其变动计入当期损益的金融资产采用公允价值进行后续计量，公允价值变动形成的</w:t>
      </w:r>
      <w:r>
        <w:rPr/>
        <w:t> 利得或损失以及与该等金融资产相关的股利和利息收入计入当期损益。</w:t>
      </w:r>
    </w:p>
    <w:p>
      <w:pPr>
        <w:pStyle w:val="BodyText"/>
        <w:spacing w:line="408" w:lineRule="auto"/>
        <w:ind w:left="573" w:right="1018"/>
        <w:jc w:val="left"/>
      </w:pPr>
      <w:r>
        <w:rPr/>
        <w:t>② 持有至到期投资 </w:t>
      </w:r>
      <w:r>
        <w:rPr>
          <w:spacing w:val="-3"/>
        </w:rPr>
        <w:t>是指到期日固定、回收金额固定或可确定，且本公司有明确意图和能力持有至到期的非衍生金融资产。</w:t>
      </w:r>
      <w:r>
        <w:rPr>
          <w:spacing w:val="-98"/>
        </w:rPr>
        <w:t> </w:t>
      </w:r>
      <w:r>
        <w:rPr>
          <w:spacing w:val="-98"/>
        </w:rPr>
      </w:r>
      <w:r>
        <w:rPr/>
        <w:t>持有至到期投资采用实际利率法，按摊余成本进行后续计量，在终止确认、发生减值或摊销时产生的</w:t>
      </w:r>
    </w:p>
    <w:p>
      <w:pPr>
        <w:pStyle w:val="BodyText"/>
        <w:spacing w:line="408" w:lineRule="auto"/>
        <w:ind w:left="574" w:right="1046" w:hanging="420"/>
        <w:jc w:val="left"/>
      </w:pPr>
      <w:r>
        <w:rPr/>
        <w:t>利得或损失，计入当期损益。 </w:t>
      </w:r>
      <w:r>
        <w:rPr>
          <w:spacing w:val="-1"/>
        </w:rPr>
        <w:t>实际利率法是指按照金融资产或金融负债（含一组金融资产或金融负债）的实际利率计算其摊余成本</w:t>
      </w:r>
    </w:p>
    <w:p>
      <w:pPr>
        <w:pStyle w:val="BodyText"/>
        <w:spacing w:line="408" w:lineRule="auto"/>
        <w:ind w:left="154" w:right="1132"/>
        <w:jc w:val="both"/>
      </w:pPr>
      <w:r>
        <w:rPr>
          <w:spacing w:val="-1"/>
        </w:rPr>
        <w:t>及各期利息收入或支出的方法。实际利率是指将金融资产或金融负债在预期存续期间或适用的更短期间内</w:t>
      </w:r>
      <w:r>
        <w:rPr>
          <w:spacing w:val="-81"/>
        </w:rPr>
        <w:t> </w:t>
      </w:r>
      <w:r>
        <w:rPr>
          <w:spacing w:val="-81"/>
        </w:rPr>
      </w:r>
      <w:r>
        <w:rPr/>
        <w:t>的未来现金流量，折现为该金融资产或金融负债当前账面价值所使用的利率。</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1046"/>
        <w:jc w:val="left"/>
      </w:pPr>
      <w:r>
        <w:rPr/>
        <w:t>在计算实际利率时，本公司将在考虑金融资产或金融负债所有合同条款的基础上预计未来现金流量</w:t>
      </w:r>
    </w:p>
    <w:p>
      <w:pPr>
        <w:spacing w:line="240" w:lineRule="auto" w:before="10"/>
        <w:rPr>
          <w:rFonts w:ascii="宋体" w:hAnsi="宋体" w:cs="宋体" w:eastAsia="宋体" w:hint="default"/>
          <w:sz w:val="14"/>
          <w:szCs w:val="14"/>
        </w:rPr>
      </w:pPr>
    </w:p>
    <w:p>
      <w:pPr>
        <w:pStyle w:val="BodyText"/>
        <w:spacing w:line="408" w:lineRule="auto" w:before="0"/>
        <w:ind w:right="1046"/>
        <w:jc w:val="left"/>
      </w:pPr>
      <w:r>
        <w:rPr>
          <w:spacing w:val="-3"/>
        </w:rPr>
        <w:t>（不考虑未来的信用损失），同时还将考虑金融资产或金融负债合同各方之间支付或收取的、属于实际利</w:t>
      </w:r>
      <w:r>
        <w:rPr>
          <w:spacing w:val="-73"/>
        </w:rPr>
        <w:t> </w:t>
      </w:r>
      <w:r>
        <w:rPr>
          <w:spacing w:val="-73"/>
        </w:rPr>
      </w:r>
      <w:r>
        <w:rPr/>
        <w:t>率组成部分的各项收费、交易费用及折价或溢价等。</w:t>
      </w:r>
    </w:p>
    <w:p>
      <w:pPr>
        <w:pStyle w:val="BodyText"/>
        <w:spacing w:line="408" w:lineRule="auto"/>
        <w:ind w:left="573" w:right="1046"/>
        <w:jc w:val="left"/>
      </w:pPr>
      <w:r>
        <w:rPr/>
        <w:t>③ 贷款和应收款项 </w:t>
      </w:r>
      <w:r>
        <w:rPr>
          <w:spacing w:val="-1"/>
        </w:rPr>
        <w:t>是指在活跃市场中没有报价、回收金额固定或可确定的非衍生金融资产。本公司划分为贷款和应收款</w:t>
      </w:r>
    </w:p>
    <w:p>
      <w:pPr>
        <w:pStyle w:val="BodyText"/>
        <w:spacing w:line="408" w:lineRule="auto"/>
        <w:ind w:left="573" w:right="1046" w:hanging="420"/>
        <w:jc w:val="left"/>
      </w:pPr>
      <w:r>
        <w:rPr/>
        <w:t>的金融资产包括应收票据、应收账款、应收利息、应收股利及其他应收款等。 </w:t>
      </w:r>
      <w:r>
        <w:rPr>
          <w:spacing w:val="-1"/>
        </w:rPr>
        <w:t>贷款和应收款项采用实际利率法，按摊余成本进行后续计量，在终止确认、发生减值或摊销时产生的</w:t>
      </w:r>
    </w:p>
    <w:p>
      <w:pPr>
        <w:pStyle w:val="BodyText"/>
        <w:spacing w:line="240" w:lineRule="auto"/>
        <w:ind w:right="1046"/>
        <w:jc w:val="left"/>
      </w:pPr>
      <w:r>
        <w:rPr/>
        <w:t>利得或损失，计入当期损益。</w:t>
      </w:r>
    </w:p>
    <w:p>
      <w:pPr>
        <w:spacing w:line="240" w:lineRule="auto" w:before="10"/>
        <w:rPr>
          <w:rFonts w:ascii="宋体" w:hAnsi="宋体" w:cs="宋体" w:eastAsia="宋体" w:hint="default"/>
          <w:sz w:val="14"/>
          <w:szCs w:val="14"/>
        </w:rPr>
      </w:pPr>
    </w:p>
    <w:p>
      <w:pPr>
        <w:pStyle w:val="BodyText"/>
        <w:spacing w:line="408" w:lineRule="auto" w:before="0"/>
        <w:ind w:left="573" w:right="1046"/>
        <w:jc w:val="left"/>
      </w:pPr>
      <w:r>
        <w:rPr/>
        <w:t>④ 可供出售金融资产 </w:t>
      </w:r>
      <w:r>
        <w:rPr>
          <w:spacing w:val="-1"/>
        </w:rPr>
        <w:t>包括初始确认时即被指定为可供出售的非衍生金融资产，以及除了以公允价值计量且其变动计入当期</w:t>
      </w:r>
    </w:p>
    <w:p>
      <w:pPr>
        <w:pStyle w:val="BodyText"/>
        <w:spacing w:line="408" w:lineRule="auto"/>
        <w:ind w:left="573" w:right="1046" w:hanging="420"/>
        <w:jc w:val="left"/>
      </w:pPr>
      <w:r>
        <w:rPr/>
        <w:t>损益的金融资产、贷款和应收款项、持有至到期投资以外的金融资产。 </w:t>
      </w:r>
      <w:r>
        <w:rPr>
          <w:spacing w:val="-1"/>
        </w:rPr>
        <w:t>可供出售债务工具投资的期末成本按照其摊余成本法确定，即初始确认金额扣除已偿还的本金，加上</w:t>
      </w:r>
    </w:p>
    <w:p>
      <w:pPr>
        <w:pStyle w:val="BodyText"/>
        <w:spacing w:line="408" w:lineRule="auto"/>
        <w:ind w:right="1046"/>
        <w:jc w:val="left"/>
      </w:pPr>
      <w:r>
        <w:rPr>
          <w:spacing w:val="-1"/>
        </w:rPr>
        <w:t>或减去采用实际利率法将该初始确认金额与到期日金额之间的差额进行摊销形成的累计摊销额，并扣除已</w:t>
      </w:r>
      <w:r>
        <w:rPr>
          <w:spacing w:val="-81"/>
        </w:rPr>
        <w:t> </w:t>
      </w:r>
      <w:r>
        <w:rPr>
          <w:spacing w:val="-81"/>
        </w:rPr>
      </w:r>
      <w:r>
        <w:rPr/>
        <w:t>发生的减值损失后的金额。可供出售权益工具投资的期末成本为其初始取得成本。</w:t>
      </w:r>
    </w:p>
    <w:p>
      <w:pPr>
        <w:pStyle w:val="BodyText"/>
        <w:spacing w:line="408" w:lineRule="auto"/>
        <w:ind w:right="1131" w:firstLine="420"/>
        <w:jc w:val="both"/>
      </w:pPr>
      <w:r>
        <w:rPr>
          <w:spacing w:val="-1"/>
        </w:rPr>
        <w:t>可供出售金融资产采用公允价值进行后续计量，公允价值变动形成的利得或损失，除减值损失和外币</w:t>
      </w:r>
      <w:r>
        <w:rPr/>
        <w:t> </w:t>
      </w:r>
      <w:r>
        <w:rPr>
          <w:spacing w:val="-1"/>
        </w:rPr>
        <w:t>货币性金融资产与摊余成本相关的汇兑差额计入当期损益外，确认为其他综合收益，在该金融资产终止确</w:t>
      </w:r>
      <w:r>
        <w:rPr>
          <w:spacing w:val="-81"/>
        </w:rPr>
        <w:t> </w:t>
      </w:r>
      <w:r>
        <w:rPr>
          <w:spacing w:val="-81"/>
        </w:rPr>
      </w:r>
      <w:r>
        <w:rPr>
          <w:spacing w:val="-1"/>
        </w:rPr>
        <w:t>认时转出，计入当期损益。但是，在活跃市场中没有报价且其公允价值不能可靠计量的权益工具投资，以</w:t>
      </w:r>
      <w:r>
        <w:rPr>
          <w:spacing w:val="-84"/>
        </w:rPr>
        <w:t> </w:t>
      </w:r>
      <w:r>
        <w:rPr>
          <w:spacing w:val="-84"/>
        </w:rPr>
      </w:r>
      <w:r>
        <w:rPr/>
        <w:t>及与该权益工具挂钩并须通过交付该权益工具结算的衍生金融资产，按照成本进行后续计量。</w:t>
      </w:r>
    </w:p>
    <w:p>
      <w:pPr>
        <w:pStyle w:val="BodyText"/>
        <w:spacing w:line="240" w:lineRule="auto"/>
        <w:ind w:left="573" w:right="1046"/>
        <w:jc w:val="left"/>
      </w:pPr>
      <w:r>
        <w:rPr/>
        <w:t>可供出售金融资产持有期间取得的利息及被投资单位宣告发放的现金股利，计入投资收益。</w:t>
      </w:r>
    </w:p>
    <w:p>
      <w:pPr>
        <w:spacing w:line="240" w:lineRule="auto" w:before="10"/>
        <w:rPr>
          <w:rFonts w:ascii="宋体" w:hAnsi="宋体" w:cs="宋体" w:eastAsia="宋体" w:hint="default"/>
          <w:sz w:val="14"/>
          <w:szCs w:val="14"/>
        </w:rPr>
      </w:pPr>
    </w:p>
    <w:p>
      <w:pPr>
        <w:pStyle w:val="BodyText"/>
        <w:spacing w:line="408" w:lineRule="auto" w:before="0"/>
        <w:ind w:left="573" w:right="1046"/>
        <w:jc w:val="left"/>
      </w:pPr>
      <w:r>
        <w:rPr/>
        <w:t>（</w:t>
      </w:r>
      <w:r>
        <w:rPr>
          <w:rFonts w:ascii="宋体" w:hAnsi="宋体" w:cs="宋体" w:eastAsia="宋体" w:hint="default"/>
        </w:rPr>
        <w:t>3</w:t>
      </w:r>
      <w:r>
        <w:rPr/>
        <w:t>）金融资产减值 </w:t>
      </w:r>
      <w:r>
        <w:rPr>
          <w:spacing w:val="-1"/>
        </w:rPr>
        <w:t>除了以公允价值计量且其变动计入当期损益的金融资产外，本公司在每个资产负债表日对其他金融资</w:t>
      </w:r>
    </w:p>
    <w:p>
      <w:pPr>
        <w:pStyle w:val="BodyText"/>
        <w:spacing w:line="408" w:lineRule="auto"/>
        <w:ind w:left="573" w:right="1046" w:hanging="420"/>
        <w:jc w:val="left"/>
      </w:pPr>
      <w:r>
        <w:rPr/>
        <w:t>产的账面价值进行检查，有客观证据表明金融资产发生减值的，计提减值准备。 </w:t>
      </w:r>
      <w:r>
        <w:rPr>
          <w:spacing w:val="-1"/>
        </w:rPr>
        <w:t>本公司对单项金额重大的金融资产单独进行减值测试；对单项金额不重大的金融资产，单独进行减值</w:t>
      </w:r>
    </w:p>
    <w:p>
      <w:pPr>
        <w:pStyle w:val="BodyText"/>
        <w:spacing w:line="240" w:lineRule="auto"/>
        <w:ind w:right="1046"/>
        <w:jc w:val="left"/>
      </w:pPr>
      <w:r>
        <w:rPr/>
        <w:t>测试或包括在具有类似信用风险特征的金融资产组合中进行减值测试。单独测试未发生减值的金融资产</w:t>
      </w:r>
    </w:p>
    <w:p>
      <w:pPr>
        <w:spacing w:line="240" w:lineRule="auto" w:before="10"/>
        <w:rPr>
          <w:rFonts w:ascii="宋体" w:hAnsi="宋体" w:cs="宋体" w:eastAsia="宋体" w:hint="default"/>
          <w:sz w:val="14"/>
          <w:szCs w:val="14"/>
        </w:rPr>
      </w:pPr>
    </w:p>
    <w:p>
      <w:pPr>
        <w:pStyle w:val="BodyText"/>
        <w:spacing w:line="408" w:lineRule="auto" w:before="0"/>
        <w:ind w:right="1024"/>
        <w:jc w:val="left"/>
      </w:pPr>
      <w:r>
        <w:rPr>
          <w:spacing w:val="-3"/>
        </w:rPr>
        <w:t>（包括单项金额重大和不重大的金融资产），包括在具有类似信用风险特征的金融资产组合中再进行减值</w:t>
      </w:r>
      <w:r>
        <w:rPr>
          <w:spacing w:val="-74"/>
        </w:rPr>
        <w:t> </w:t>
      </w:r>
      <w:r>
        <w:rPr>
          <w:spacing w:val="-74"/>
        </w:rPr>
      </w:r>
      <w:r>
        <w:rPr>
          <w:spacing w:val="-3"/>
        </w:rPr>
        <w:t>测试。已单项确认减值损失的金融资产，不包括在具有类似信用风险特征的金融资产组合中进行减值测试。</w:t>
      </w:r>
    </w:p>
    <w:p>
      <w:pPr>
        <w:pStyle w:val="BodyText"/>
        <w:spacing w:line="408" w:lineRule="auto"/>
        <w:ind w:left="574" w:right="1046"/>
        <w:jc w:val="left"/>
      </w:pPr>
      <w:r>
        <w:rPr/>
        <w:t>① 持有至到期投资、贷款和应收款项减值 </w:t>
      </w:r>
      <w:r>
        <w:rPr>
          <w:spacing w:val="-1"/>
        </w:rPr>
        <w:t>以成本或摊余成本计量的金融资产将其账面价值减记至预计未来现金流量现值，减记金额确认为减值</w:t>
      </w:r>
    </w:p>
    <w:p>
      <w:pPr>
        <w:pStyle w:val="BodyText"/>
        <w:spacing w:line="408" w:lineRule="auto"/>
        <w:ind w:left="154" w:right="1046"/>
        <w:jc w:val="left"/>
      </w:pPr>
      <w:r>
        <w:rPr>
          <w:spacing w:val="-1"/>
        </w:rPr>
        <w:t>损失，计入当期损益。金融资产在确认减值损失后，如有客观证据表明该金融资产价值已恢复，且客观上</w:t>
      </w:r>
      <w:r>
        <w:rPr>
          <w:spacing w:val="-86"/>
        </w:rPr>
        <w:t> </w:t>
      </w:r>
      <w:r>
        <w:rPr>
          <w:spacing w:val="-86"/>
        </w:rPr>
      </w:r>
      <w:r>
        <w:rPr>
          <w:spacing w:val="-1"/>
        </w:rPr>
        <w:t>与确认该损失后发生的事项有关，原确认的减值损失予以转回，金融资产转回减值损失后的账面价值不超</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46"/>
        <w:jc w:val="left"/>
      </w:pPr>
      <w:r>
        <w:rPr/>
        <w:t>过假定不计提减值准备情况下该金融资产在转回日的摊余成本。</w:t>
      </w:r>
    </w:p>
    <w:p>
      <w:pPr>
        <w:spacing w:line="240" w:lineRule="auto" w:before="10"/>
        <w:rPr>
          <w:rFonts w:ascii="宋体" w:hAnsi="宋体" w:cs="宋体" w:eastAsia="宋体" w:hint="default"/>
          <w:sz w:val="14"/>
          <w:szCs w:val="14"/>
        </w:rPr>
      </w:pPr>
    </w:p>
    <w:p>
      <w:pPr>
        <w:pStyle w:val="BodyText"/>
        <w:spacing w:line="408" w:lineRule="auto" w:before="0"/>
        <w:ind w:left="573" w:right="1046"/>
        <w:jc w:val="left"/>
      </w:pPr>
      <w:r>
        <w:rPr/>
        <w:t>② 可供出售金融资产减值 </w:t>
      </w:r>
      <w:r>
        <w:rPr>
          <w:spacing w:val="-1"/>
        </w:rPr>
        <w:t>当综合相关因素判断可供出售权益工具投资公允价值下跌是严重或非暂时性下跌时，表明该可供出售</w:t>
      </w:r>
    </w:p>
    <w:p>
      <w:pPr>
        <w:pStyle w:val="BodyText"/>
        <w:spacing w:line="408" w:lineRule="auto"/>
        <w:ind w:right="1147"/>
        <w:jc w:val="left"/>
      </w:pPr>
      <w:r>
        <w:rPr/>
        <w:t>权益工具投资发生减值。其中“严重下跌”是指公允价值下跌幅度累计超过</w:t>
      </w:r>
      <w:r>
        <w:rPr>
          <w:spacing w:val="-54"/>
        </w:rPr>
        <w:t> </w:t>
      </w:r>
      <w:r>
        <w:rPr>
          <w:rFonts w:ascii="宋体" w:hAnsi="宋体" w:cs="宋体" w:eastAsia="宋体" w:hint="default"/>
        </w:rPr>
        <w:t>20%</w:t>
      </w:r>
      <w:r>
        <w:rPr/>
        <w:t>；“非暂时性下跌”是指 公允价值连续下跌时间超过</w:t>
      </w:r>
      <w:r>
        <w:rPr>
          <w:spacing w:val="-54"/>
        </w:rPr>
        <w:t> </w:t>
      </w:r>
      <w:r>
        <w:rPr>
          <w:rFonts w:ascii="宋体" w:hAnsi="宋体" w:cs="宋体" w:eastAsia="宋体" w:hint="default"/>
        </w:rPr>
        <w:t>12</w:t>
      </w:r>
      <w:r>
        <w:rPr>
          <w:rFonts w:ascii="宋体" w:hAnsi="宋体" w:cs="宋体" w:eastAsia="宋体" w:hint="default"/>
          <w:spacing w:val="-54"/>
        </w:rPr>
        <w:t> </w:t>
      </w:r>
      <w:r>
        <w:rPr/>
        <w:t>个月。</w:t>
      </w:r>
    </w:p>
    <w:p>
      <w:pPr>
        <w:pStyle w:val="BodyText"/>
        <w:spacing w:line="408" w:lineRule="auto"/>
        <w:ind w:left="154" w:right="1130" w:firstLine="420"/>
        <w:jc w:val="both"/>
      </w:pPr>
      <w:r>
        <w:rPr>
          <w:spacing w:val="-1"/>
        </w:rPr>
        <w:t>可供出售金融资产发生减值时，将原计入其他综合收益的因公允价值下降形成的累计损失予以转出并</w:t>
      </w:r>
      <w:r>
        <w:rPr/>
        <w:t> </w:t>
      </w:r>
      <w:r>
        <w:rPr>
          <w:spacing w:val="-1"/>
        </w:rPr>
        <w:t>计入当期损益，该转出的累计损失为该资产初始取得成本扣除已收回本金和已摊销金额、当前公允价值和</w:t>
      </w:r>
      <w:r>
        <w:rPr>
          <w:spacing w:val="-80"/>
        </w:rPr>
        <w:t> </w:t>
      </w:r>
      <w:r>
        <w:rPr>
          <w:spacing w:val="-80"/>
        </w:rPr>
      </w:r>
      <w:r>
        <w:rPr/>
        <w:t>原已计入损益的减值损失后的余额。</w:t>
      </w:r>
    </w:p>
    <w:p>
      <w:pPr>
        <w:pStyle w:val="BodyText"/>
        <w:spacing w:line="408" w:lineRule="auto"/>
        <w:ind w:left="154" w:right="1131" w:firstLine="420"/>
        <w:jc w:val="both"/>
      </w:pPr>
      <w:r>
        <w:rPr>
          <w:spacing w:val="-1"/>
        </w:rPr>
        <w:t>在确认减值损失后，期后如有客观证据表明该金融资产价值已恢复，且客观上与确认该损失后发生的</w:t>
      </w:r>
      <w:r>
        <w:rPr/>
        <w:t> </w:t>
      </w:r>
      <w:r>
        <w:rPr>
          <w:spacing w:val="-1"/>
        </w:rPr>
        <w:t>事项有关，原确认的减值损失予以转回，可供出售权益工具投资的减值损失转回确认为其他综合收益，可</w:t>
      </w:r>
      <w:r>
        <w:rPr>
          <w:spacing w:val="-83"/>
        </w:rPr>
        <w:t> </w:t>
      </w:r>
      <w:r>
        <w:rPr>
          <w:spacing w:val="-83"/>
        </w:rPr>
      </w:r>
      <w:r>
        <w:rPr/>
        <w:t>供出售债务工具的减值损失转回计入当期损益。</w:t>
      </w:r>
    </w:p>
    <w:p>
      <w:pPr>
        <w:pStyle w:val="BodyText"/>
        <w:spacing w:line="408" w:lineRule="auto"/>
        <w:ind w:left="154" w:right="1132" w:firstLine="420"/>
        <w:jc w:val="both"/>
      </w:pPr>
      <w:r>
        <w:rPr>
          <w:spacing w:val="-1"/>
        </w:rPr>
        <w:t>在活跃市场中没有报价且其公允价值不能可靠计量的权益工具投资，或与该权益工具挂钩并须通过交</w:t>
      </w:r>
      <w:r>
        <w:rPr/>
        <w:t> 付该权益工具结算的衍生金融资产的减值损失，不予转回。</w:t>
      </w:r>
    </w:p>
    <w:p>
      <w:pPr>
        <w:pStyle w:val="BodyText"/>
        <w:spacing w:line="240" w:lineRule="auto"/>
        <w:ind w:left="574" w:right="1046"/>
        <w:jc w:val="left"/>
      </w:pPr>
      <w:r>
        <w:rPr/>
        <w:t>（</w:t>
      </w:r>
      <w:r>
        <w:rPr>
          <w:rFonts w:ascii="宋体" w:hAnsi="宋体" w:cs="宋体" w:eastAsia="宋体" w:hint="default"/>
        </w:rPr>
        <w:t>4</w:t>
      </w:r>
      <w:r>
        <w:rPr/>
        <w:t>）金融资产转移的确认依据和计量方法</w:t>
      </w:r>
    </w:p>
    <w:p>
      <w:pPr>
        <w:spacing w:line="240" w:lineRule="auto" w:before="10"/>
        <w:rPr>
          <w:rFonts w:ascii="宋体" w:hAnsi="宋体" w:cs="宋体" w:eastAsia="宋体" w:hint="default"/>
          <w:sz w:val="14"/>
          <w:szCs w:val="14"/>
        </w:rPr>
      </w:pPr>
    </w:p>
    <w:p>
      <w:pPr>
        <w:pStyle w:val="BodyText"/>
        <w:spacing w:line="408" w:lineRule="auto" w:before="0"/>
        <w:ind w:right="1110" w:firstLine="420"/>
        <w:jc w:val="right"/>
      </w:pPr>
      <w:r>
        <w:rPr/>
        <w:t>满足下列条件之一的金融资产，予以终止确认：① 收取该金融资产现金流量的合同权利终止；②</w:t>
      </w:r>
      <w:r>
        <w:rPr>
          <w:spacing w:val="-24"/>
        </w:rPr>
        <w:t> </w:t>
      </w:r>
      <w:r>
        <w:rPr/>
        <w:t>该</w:t>
      </w:r>
      <w:r>
        <w:rPr/>
        <w:t> </w:t>
      </w:r>
      <w:r>
        <w:rPr>
          <w:spacing w:val="-1"/>
        </w:rPr>
        <w:t>金融资产已转移，且将金融资产所有权上几乎所有的风险和报酬转移给转入方；③该金融资产已转移，虽</w:t>
      </w:r>
      <w:r>
        <w:rPr/>
        <w:t> 然企业既没有转移也没有保留金融资产所有权上几乎所有的风险和报酬，但是放弃了对该金融资产控制。 </w:t>
      </w:r>
      <w:r>
        <w:rPr>
          <w:spacing w:val="-1"/>
        </w:rPr>
        <w:t>若企业既没有转移也没有保留金融资产所有权上几乎所有的风险和报酬，且未放弃对该金融资产的控</w:t>
      </w:r>
      <w:r>
        <w:rPr/>
        <w:t> </w:t>
      </w:r>
      <w:r>
        <w:rPr>
          <w:spacing w:val="-1"/>
        </w:rPr>
        <w:t>制的，则按照继续涉入所转移金融资产的程度确认有关金融资产，并相应确认有关负债。继续涉入所转移</w:t>
      </w:r>
    </w:p>
    <w:p>
      <w:pPr>
        <w:pStyle w:val="BodyText"/>
        <w:spacing w:line="408" w:lineRule="auto"/>
        <w:ind w:left="573" w:right="1046" w:hanging="420"/>
        <w:jc w:val="left"/>
      </w:pPr>
      <w:r>
        <w:rPr/>
        <w:t>金融资产的程度，是指该金融资产价值变动使企业面临的风险水平。 </w:t>
      </w:r>
      <w:r>
        <w:rPr>
          <w:spacing w:val="-1"/>
        </w:rPr>
        <w:t>金融资产整体转移满足终止确认条件的，将所转移金融资产的账面价值及因转移而收到的对价与原计</w:t>
      </w:r>
    </w:p>
    <w:p>
      <w:pPr>
        <w:pStyle w:val="BodyText"/>
        <w:spacing w:line="408" w:lineRule="auto"/>
        <w:ind w:left="573" w:right="1046" w:hanging="420"/>
        <w:jc w:val="left"/>
      </w:pPr>
      <w:r>
        <w:rPr/>
        <w:t>入其他综合收益的公允价值变动累计额之和的差额计入当期损益。 </w:t>
      </w:r>
      <w:r>
        <w:rPr>
          <w:spacing w:val="-1"/>
        </w:rPr>
        <w:t>金融资产部分转移满足终止确认条件的，将所转移金融资产的账面价值在终止确认及未终止确认部分</w:t>
      </w:r>
    </w:p>
    <w:p>
      <w:pPr>
        <w:pStyle w:val="BodyText"/>
        <w:spacing w:line="408" w:lineRule="auto"/>
        <w:ind w:right="1046"/>
        <w:jc w:val="left"/>
      </w:pPr>
      <w:r>
        <w:rPr>
          <w:spacing w:val="-1"/>
        </w:rPr>
        <w:t>之间按其相对的公允价值进行分摊，并将因转移而收到的对价与应分摊至终止确认部分的原计入其他综合</w:t>
      </w:r>
      <w:r>
        <w:rPr>
          <w:spacing w:val="-81"/>
        </w:rPr>
        <w:t> </w:t>
      </w:r>
      <w:r>
        <w:rPr>
          <w:spacing w:val="-81"/>
        </w:rPr>
      </w:r>
      <w:r>
        <w:rPr/>
        <w:t>收益的公允价值变动累计额之和与分摊的前述账面金额之差额计入当期损益。</w:t>
      </w:r>
    </w:p>
    <w:p>
      <w:pPr>
        <w:pStyle w:val="BodyText"/>
        <w:spacing w:line="408" w:lineRule="auto"/>
        <w:ind w:right="1110" w:firstLine="420"/>
        <w:jc w:val="both"/>
      </w:pPr>
      <w:r>
        <w:rPr>
          <w:spacing w:val="-1"/>
        </w:rPr>
        <w:t>本公司对采用附追索权方式出售的金融资产，或将持有的金融资产背书转让，需确定该金融资产所有</w:t>
      </w:r>
      <w:r>
        <w:rPr/>
        <w:t> </w:t>
      </w:r>
      <w:r>
        <w:rPr>
          <w:spacing w:val="-1"/>
        </w:rPr>
        <w:t>权上几乎所有的风险和报酬是否已经转移。已将该金融资产所有权上几乎所有的风险和报酬转移给转入方</w:t>
      </w:r>
      <w:r>
        <w:rPr>
          <w:spacing w:val="-80"/>
        </w:rPr>
        <w:t> </w:t>
      </w:r>
      <w:r>
        <w:rPr>
          <w:spacing w:val="-80"/>
        </w:rPr>
      </w:r>
      <w:r>
        <w:rPr/>
        <w:t>的，终止确认该金融资产；保留了金融资产所有权上几乎所有的风险和报酬的，不终止确认该金融资产； </w:t>
      </w:r>
      <w:r>
        <w:rPr>
          <w:spacing w:val="-1"/>
        </w:rPr>
        <w:t>既没有转移也没有保留金融资产所有权上几乎所有的风险和报酬的，则继续判断企业是否对该资产保留了</w:t>
      </w:r>
      <w:r>
        <w:rPr>
          <w:spacing w:val="-81"/>
        </w:rPr>
        <w:t> </w:t>
      </w:r>
      <w:r>
        <w:rPr>
          <w:spacing w:val="-81"/>
        </w:rPr>
      </w:r>
      <w:r>
        <w:rPr/>
        <w:t>控制，并根据前面各段所述的原则进行会计处理。</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046"/>
        <w:jc w:val="left"/>
      </w:pPr>
      <w:r>
        <w:rPr/>
        <w:t>（</w:t>
      </w:r>
      <w:r>
        <w:rPr>
          <w:rFonts w:ascii="宋体" w:hAnsi="宋体" w:cs="宋体" w:eastAsia="宋体" w:hint="default"/>
        </w:rPr>
        <w:t>5</w:t>
      </w:r>
      <w:r>
        <w:rPr/>
        <w:t>）金融负债的分类和计量 </w:t>
      </w:r>
      <w:r>
        <w:rPr>
          <w:spacing w:val="-1"/>
        </w:rPr>
        <w:t>金融负债在初始确认时划分为以公允价值计量且其变动计入当期损益的金融负债和其他金融负债。初</w:t>
      </w:r>
    </w:p>
    <w:p>
      <w:pPr>
        <w:pStyle w:val="BodyText"/>
        <w:spacing w:line="408" w:lineRule="auto"/>
        <w:ind w:right="1131"/>
        <w:jc w:val="both"/>
      </w:pPr>
      <w:r>
        <w:rPr>
          <w:spacing w:val="-1"/>
        </w:rPr>
        <w:t>始确认金融负债，以公允价值计量。对于以公允价值计量且其变动计入当期损益的金融负债，相关的交易</w:t>
      </w:r>
      <w:r>
        <w:rPr>
          <w:spacing w:val="-83"/>
        </w:rPr>
        <w:t> </w:t>
      </w:r>
      <w:r>
        <w:rPr>
          <w:spacing w:val="-83"/>
        </w:rPr>
      </w:r>
      <w:r>
        <w:rPr/>
        <w:t>费用直接计入当期损益，对于其他金融负债，相关交易费用计入初始确认金额。</w:t>
      </w:r>
    </w:p>
    <w:p>
      <w:pPr>
        <w:pStyle w:val="BodyText"/>
        <w:spacing w:line="408" w:lineRule="auto"/>
        <w:ind w:left="573" w:right="1303"/>
        <w:jc w:val="left"/>
      </w:pPr>
      <w:r>
        <w:rPr/>
        <w:t>① 以公允价值计量且其变动计入当期损益的金融负债 分类为交易性金融负债和在初始确认时指定为以公允价值计量且其变动计入当期损益的金融负债的</w:t>
      </w:r>
    </w:p>
    <w:p>
      <w:pPr>
        <w:pStyle w:val="BodyText"/>
        <w:spacing w:line="408" w:lineRule="auto"/>
        <w:ind w:right="1303"/>
        <w:jc w:val="left"/>
      </w:pPr>
      <w:r>
        <w:rPr/>
        <w:t>条件与分类为交易性金融资产和在初始确认时指定为以公允价值计量且其变动计入当期损益的金融资产 的条件一致。</w:t>
      </w:r>
    </w:p>
    <w:p>
      <w:pPr>
        <w:pStyle w:val="BodyText"/>
        <w:spacing w:line="408" w:lineRule="auto"/>
        <w:ind w:right="1046" w:firstLine="420"/>
        <w:jc w:val="left"/>
      </w:pPr>
      <w:r>
        <w:rPr>
          <w:spacing w:val="-1"/>
        </w:rPr>
        <w:t>以公允价值计量且其变动计入当期损益的金融负债采用公允价值进行后续计量，公允价值的变动形成</w:t>
      </w:r>
      <w:r>
        <w:rPr/>
        <w:t> 的利得或损失以及与该等金融负债相关的股利和利息支出计入当期损益。</w:t>
      </w:r>
    </w:p>
    <w:p>
      <w:pPr>
        <w:pStyle w:val="BodyText"/>
        <w:spacing w:line="408" w:lineRule="auto"/>
        <w:ind w:left="573" w:right="1046"/>
        <w:jc w:val="left"/>
      </w:pPr>
      <w:r>
        <w:rPr/>
        <w:t>② 其他金融负债 </w:t>
      </w:r>
      <w:r>
        <w:rPr>
          <w:spacing w:val="-1"/>
        </w:rPr>
        <w:t>与在活跃市场中没有报价、公允价值不能可靠计量的权益工具挂钩并须通过交付该权益工具结算的衍</w:t>
      </w:r>
    </w:p>
    <w:p>
      <w:pPr>
        <w:pStyle w:val="BodyText"/>
        <w:spacing w:line="408" w:lineRule="auto"/>
        <w:ind w:left="154" w:right="1133"/>
        <w:jc w:val="both"/>
      </w:pPr>
      <w:r>
        <w:rPr>
          <w:spacing w:val="-1"/>
        </w:rPr>
        <w:t>生金融负债，按照成本进行后续计量。其他金融负债采用实际利率法，按摊余成本进行后续计量，终止确</w:t>
      </w:r>
      <w:r>
        <w:rPr>
          <w:spacing w:val="-86"/>
        </w:rPr>
        <w:t> </w:t>
      </w:r>
      <w:r>
        <w:rPr>
          <w:spacing w:val="-86"/>
        </w:rPr>
      </w:r>
      <w:r>
        <w:rPr/>
        <w:t>认或摊销产生的利得或损失计入当期损益。</w:t>
      </w:r>
    </w:p>
    <w:p>
      <w:pPr>
        <w:pStyle w:val="BodyText"/>
        <w:spacing w:line="408" w:lineRule="auto"/>
        <w:ind w:left="574" w:right="1046"/>
        <w:jc w:val="left"/>
      </w:pPr>
      <w:r>
        <w:rPr/>
        <w:t>③ 财务担保合同及贷款承诺 </w:t>
      </w:r>
      <w:r>
        <w:rPr>
          <w:spacing w:val="-1"/>
        </w:rPr>
        <w:t>不属于指定为以公允价值计量且其变动计入当期损益的金融负债的财务担保合同，或没有指定为以公</w:t>
      </w:r>
    </w:p>
    <w:p>
      <w:pPr>
        <w:pStyle w:val="BodyText"/>
        <w:spacing w:line="408" w:lineRule="auto"/>
        <w:ind w:right="1131"/>
        <w:jc w:val="both"/>
      </w:pPr>
      <w:r>
        <w:rPr>
          <w:spacing w:val="-1"/>
        </w:rPr>
        <w:t>允价值计量且其变动计入损益并将以低于市场利率贷款的贷款承诺，以公允价值进行初始确认，在初始确</w:t>
      </w:r>
      <w:r>
        <w:rPr>
          <w:spacing w:val="-81"/>
        </w:rPr>
        <w:t> </w:t>
      </w:r>
      <w:r>
        <w:rPr>
          <w:spacing w:val="-81"/>
        </w:rPr>
      </w:r>
      <w:r>
        <w:rPr/>
        <w:t>认后按照《企业会计准则第</w:t>
      </w:r>
      <w:r>
        <w:rPr>
          <w:spacing w:val="-53"/>
        </w:rPr>
        <w:t> </w:t>
      </w:r>
      <w:r>
        <w:rPr>
          <w:rFonts w:ascii="宋体" w:hAnsi="宋体" w:cs="宋体" w:eastAsia="宋体" w:hint="default"/>
        </w:rPr>
        <w:t>13</w:t>
      </w:r>
      <w:r>
        <w:rPr>
          <w:rFonts w:ascii="宋体" w:hAnsi="宋体" w:cs="宋体" w:eastAsia="宋体" w:hint="default"/>
          <w:spacing w:val="-53"/>
        </w:rPr>
        <w:t> </w:t>
      </w:r>
      <w:r>
        <w:rPr/>
        <w:t>号—或有事项》确定的金额和初始确认金额扣除按照《企业会计准则第</w:t>
      </w:r>
      <w:r>
        <w:rPr>
          <w:spacing w:val="-53"/>
        </w:rPr>
        <w:t> </w:t>
      </w:r>
      <w:r>
        <w:rPr>
          <w:rFonts w:ascii="宋体" w:hAnsi="宋体" w:cs="宋体" w:eastAsia="宋体" w:hint="default"/>
        </w:rPr>
        <w:t>14 </w:t>
      </w:r>
      <w:r>
        <w:rPr/>
        <w:t>号—收入》的原则确定的累计摊销额后的余额之中的较高者进行后续计量。</w:t>
      </w:r>
    </w:p>
    <w:p>
      <w:pPr>
        <w:pStyle w:val="BodyText"/>
        <w:spacing w:line="408" w:lineRule="auto"/>
        <w:ind w:left="574" w:right="1017"/>
        <w:jc w:val="left"/>
      </w:pPr>
      <w:r>
        <w:rPr/>
        <w:t>（</w:t>
      </w:r>
      <w:r>
        <w:rPr>
          <w:rFonts w:ascii="宋体" w:hAnsi="宋体" w:cs="宋体" w:eastAsia="宋体" w:hint="default"/>
        </w:rPr>
        <w:t>6</w:t>
      </w:r>
      <w:r>
        <w:rPr/>
        <w:t>）金融负债的终止确认 </w:t>
      </w:r>
      <w:r>
        <w:rPr>
          <w:spacing w:val="-3"/>
        </w:rPr>
        <w:t>金融负债的现时义务全部或部分已经解除的，才能终止确认该金融负债或其一部分。本公司（债务人）</w:t>
      </w:r>
    </w:p>
    <w:p>
      <w:pPr>
        <w:pStyle w:val="BodyText"/>
        <w:spacing w:line="408" w:lineRule="auto"/>
        <w:ind w:left="154" w:right="1131"/>
        <w:jc w:val="both"/>
      </w:pPr>
      <w:r>
        <w:rPr>
          <w:spacing w:val="-1"/>
        </w:rPr>
        <w:t>与债权人之间签订协议，以承担新金融负债方式替换现存金融负债，且新金融负债与现存金融负债的合同</w:t>
      </w:r>
      <w:r>
        <w:rPr>
          <w:spacing w:val="-81"/>
        </w:rPr>
        <w:t> </w:t>
      </w:r>
      <w:r>
        <w:rPr>
          <w:spacing w:val="-81"/>
        </w:rPr>
      </w:r>
      <w:r>
        <w:rPr/>
        <w:t>条款实质上不同的，终止确认现存金融负债，并同时确认新金融负债。</w:t>
      </w:r>
    </w:p>
    <w:p>
      <w:pPr>
        <w:pStyle w:val="BodyText"/>
        <w:spacing w:line="408" w:lineRule="auto"/>
        <w:ind w:right="1046" w:firstLine="420"/>
        <w:jc w:val="left"/>
      </w:pPr>
      <w:r>
        <w:rPr>
          <w:spacing w:val="-1"/>
        </w:rPr>
        <w:t>金融负债全部或部分终止确认的，将终止确认部分的账面价值与支付的对价（包括转出的非现金资产</w:t>
      </w:r>
      <w:r>
        <w:rPr/>
        <w:t> 或承担的新金融负债）之间的差额，计入当期损益。</w:t>
      </w:r>
    </w:p>
    <w:p>
      <w:pPr>
        <w:pStyle w:val="BodyText"/>
        <w:spacing w:line="408" w:lineRule="auto"/>
        <w:ind w:left="574" w:right="1046"/>
        <w:jc w:val="left"/>
      </w:pPr>
      <w:r>
        <w:rPr/>
        <w:t>（</w:t>
      </w:r>
      <w:r>
        <w:rPr>
          <w:rFonts w:ascii="宋体" w:hAnsi="宋体" w:cs="宋体" w:eastAsia="宋体" w:hint="default"/>
        </w:rPr>
        <w:t>7</w:t>
      </w:r>
      <w:r>
        <w:rPr/>
        <w:t>）衍生工具及嵌入衍生工具 </w:t>
      </w:r>
      <w:r>
        <w:rPr>
          <w:spacing w:val="-1"/>
        </w:rPr>
        <w:t>衍生工具于相关合同签署日以公允价值进行初始计量，并以公允价值进行后续计量。除指定为套期工</w:t>
      </w:r>
    </w:p>
    <w:p>
      <w:pPr>
        <w:pStyle w:val="BodyText"/>
        <w:spacing w:line="408" w:lineRule="auto"/>
        <w:ind w:left="154" w:right="1132"/>
        <w:jc w:val="both"/>
      </w:pPr>
      <w:r>
        <w:rPr>
          <w:spacing w:val="-1"/>
        </w:rPr>
        <w:t>具且套期高度有效的衍生工具，其公允价值变动形成的利得或损失将根据套期关系的性质按照套期会计的</w:t>
      </w:r>
      <w:r>
        <w:rPr>
          <w:spacing w:val="-81"/>
        </w:rPr>
        <w:t> </w:t>
      </w:r>
      <w:r>
        <w:rPr>
          <w:spacing w:val="-81"/>
        </w:rPr>
      </w:r>
      <w:r>
        <w:rPr/>
        <w:t>要求确定计入损益的期间外，其余衍生工具的公允价值变动计入当期损益。</w:t>
      </w:r>
    </w:p>
    <w:p>
      <w:pPr>
        <w:pStyle w:val="BodyText"/>
        <w:spacing w:line="240" w:lineRule="auto"/>
        <w:ind w:left="573" w:right="1046"/>
        <w:jc w:val="left"/>
      </w:pPr>
      <w:r>
        <w:rPr/>
        <w:t>对包含嵌入衍生工具的混合工具，如未指定为以公允价值计量且其变动计入当期损益的金融资产或金</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10"/>
        <w:jc w:val="both"/>
      </w:pPr>
      <w:r>
        <w:rPr/>
        <w:t>融负债，嵌入衍生工具与该主合同在经济特征及风险方面不存在紧密关系，且与嵌入衍生工具条件相同， 单独存在的工具符合衍生工具定义的，嵌入衍生工具从混合工具中分拆，作为单独的衍生金融工具处理。 </w:t>
      </w:r>
      <w:r>
        <w:rPr>
          <w:spacing w:val="-1"/>
        </w:rPr>
        <w:t>如果无法在取得时或后续的资产负债表日对嵌入衍生工具进行单独计量，则将混合工具整体指定为以公允</w:t>
      </w:r>
      <w:r>
        <w:rPr>
          <w:spacing w:val="-80"/>
        </w:rPr>
        <w:t> </w:t>
      </w:r>
      <w:r>
        <w:rPr>
          <w:spacing w:val="-80"/>
        </w:rPr>
      </w:r>
      <w:r>
        <w:rPr/>
        <w:t>价值计量且其变动计入当期损益的金融资产或金融负债。</w:t>
      </w:r>
    </w:p>
    <w:p>
      <w:pPr>
        <w:pStyle w:val="BodyText"/>
        <w:spacing w:line="408" w:lineRule="auto"/>
        <w:ind w:left="573" w:right="1046"/>
        <w:jc w:val="left"/>
      </w:pPr>
      <w:r>
        <w:rPr/>
        <w:t>（</w:t>
      </w:r>
      <w:r>
        <w:rPr>
          <w:rFonts w:ascii="宋体" w:hAnsi="宋体" w:cs="宋体" w:eastAsia="宋体" w:hint="default"/>
        </w:rPr>
        <w:t>8</w:t>
      </w:r>
      <w:r>
        <w:rPr/>
        <w:t>）金融资产和金融负债的抵销 </w:t>
      </w:r>
      <w:r>
        <w:rPr>
          <w:spacing w:val="-1"/>
        </w:rPr>
        <w:t>当本公司具有抵销已确认金融资产和金融负债的法定权利，且目前可执行该种法定权利，同时本公司</w:t>
      </w:r>
    </w:p>
    <w:p>
      <w:pPr>
        <w:pStyle w:val="BodyText"/>
        <w:spacing w:line="408" w:lineRule="auto"/>
        <w:ind w:right="1132"/>
        <w:jc w:val="both"/>
      </w:pPr>
      <w:r>
        <w:rPr>
          <w:spacing w:val="-1"/>
        </w:rPr>
        <w:t>计划以净额结算或同时变现该金融资产和清偿该金融负债时，金融资产和金融负债以相互抵销后的金额在</w:t>
      </w:r>
      <w:r>
        <w:rPr>
          <w:spacing w:val="-81"/>
        </w:rPr>
        <w:t> </w:t>
      </w:r>
      <w:r>
        <w:rPr>
          <w:spacing w:val="-81"/>
        </w:rPr>
      </w:r>
      <w:r>
        <w:rPr/>
        <w:t>资产负债表内列示。除此以外，金融资产和金融负债在资产负债表内分别列示，不予相互抵销。</w:t>
      </w:r>
    </w:p>
    <w:p>
      <w:pPr>
        <w:pStyle w:val="BodyText"/>
        <w:spacing w:line="408" w:lineRule="auto"/>
        <w:ind w:left="573" w:right="1046"/>
        <w:jc w:val="left"/>
      </w:pPr>
      <w:r>
        <w:rPr/>
        <w:t>（</w:t>
      </w:r>
      <w:r>
        <w:rPr>
          <w:rFonts w:ascii="宋体" w:hAnsi="宋体" w:cs="宋体" w:eastAsia="宋体" w:hint="default"/>
        </w:rPr>
        <w:t>9</w:t>
      </w:r>
      <w:r>
        <w:rPr/>
        <w:t>）权益工具 </w:t>
      </w:r>
      <w:r>
        <w:rPr>
          <w:spacing w:val="-1"/>
        </w:rPr>
        <w:t>权益工具是指能证明拥有本公司在扣除所有负债后的资产中的剩余权益的合同。本公司发行（含再融</w:t>
      </w:r>
    </w:p>
    <w:p>
      <w:pPr>
        <w:pStyle w:val="BodyText"/>
        <w:spacing w:line="408" w:lineRule="auto"/>
        <w:ind w:right="1046"/>
        <w:jc w:val="left"/>
      </w:pPr>
      <w:r>
        <w:rPr>
          <w:spacing w:val="-3"/>
        </w:rPr>
        <w:t>资）、回购、出售或注销权益工具作为权益的变动处理。本公司不确认权益工具的公允价值变动。与权益</w:t>
      </w:r>
      <w:r>
        <w:rPr>
          <w:spacing w:val="-74"/>
        </w:rPr>
        <w:t> </w:t>
      </w:r>
      <w:r>
        <w:rPr>
          <w:spacing w:val="-74"/>
        </w:rPr>
      </w:r>
      <w:r>
        <w:rPr/>
        <w:t>性交易相关的交易费用从权益中扣减。</w:t>
      </w:r>
    </w:p>
    <w:p>
      <w:pPr>
        <w:pStyle w:val="BodyText"/>
        <w:spacing w:line="408" w:lineRule="auto"/>
        <w:ind w:right="1046" w:firstLine="420"/>
        <w:jc w:val="left"/>
      </w:pPr>
      <w:r>
        <w:rPr>
          <w:spacing w:val="-3"/>
        </w:rPr>
        <w:t>本公司对权益工具持有方的各种分配（不包括股票股利），减少股东权益。本公司不确认权益工具的</w:t>
      </w:r>
      <w:r>
        <w:rPr/>
        <w:t> 公允价值变动额。</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11、应收款项" w:id="169"/>
      <w:bookmarkEnd w:id="169"/>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单项金额重大并单独计提坏账准备的应收款项" w:id="170"/>
      <w:bookmarkEnd w:id="17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万元以上的应收款项确认为单项 金额重大的应收款项。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3"/>
        <w:spacing w:line="240" w:lineRule="auto" w:before="35"/>
        <w:ind w:right="1046"/>
        <w:jc w:val="left"/>
        <w:rPr>
          <w:b w:val="0"/>
          <w:bCs w:val="0"/>
        </w:rPr>
      </w:pPr>
      <w:bookmarkStart w:name="（2）按信用风险特征组合计提坏账准备的应收款项" w:id="171"/>
      <w:bookmarkEnd w:id="17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合并范围内关联方公司</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无风险组合</w:t>
            </w:r>
          </w:p>
        </w:tc>
        <w:tc>
          <w:tcPr>
            <w:tcW w:w="4784"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6"/>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1046"/>
        <w:jc w:val="left"/>
        <w:rPr>
          <w:b w:val="0"/>
          <w:bCs w:val="0"/>
        </w:rPr>
      </w:pPr>
      <w:bookmarkStart w:name="（3）单项金额上重大但单独计提坏账准备的应收款项" w:id="172"/>
      <w:bookmarkEnd w:id="17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4"/>
          <w:szCs w:val="14"/>
        </w:rPr>
      </w:pPr>
    </w:p>
    <w:p>
      <w:pPr>
        <w:spacing w:before="44"/>
        <w:ind w:left="0" w:right="1139" w:firstLine="0"/>
        <w:jc w:val="right"/>
        <w:rPr>
          <w:rFonts w:ascii="宋体" w:hAnsi="宋体" w:cs="宋体" w:eastAsia="宋体" w:hint="default"/>
          <w:sz w:val="18"/>
          <w:szCs w:val="18"/>
        </w:rPr>
      </w:pPr>
      <w:r>
        <w:rPr/>
        <w:pict>
          <v:shape style="position:absolute;margin-left:56.459999pt;margin-top:-31.988274pt;width:479.2pt;height:134.3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5"/>
                    <w:gridCol w:w="4784"/>
                  </w:tblGrid>
                  <w:tr>
                    <w:trPr>
                      <w:trHeight w:val="196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 单独进行减值测试，有客观证据表明其发生了减值的，根据 </w:t>
                        </w:r>
                        <w:r>
                          <w:rPr>
                            <w:rFonts w:ascii="宋体" w:hAnsi="宋体" w:cs="宋体" w:eastAsia="宋体" w:hint="default"/>
                            <w:spacing w:val="-2"/>
                            <w:sz w:val="18"/>
                            <w:szCs w:val="18"/>
                          </w:rPr>
                          <w:t>其未来现金流量现值低于其账面价值的差额，确认减值损失</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计提坏账准备，如应收关联方款项；与对方存在争议或涉及 诉讼、仲裁的应收款项；已有明显迹象表明债务人很可能无 法履行还款义务的应收款项；等等。</w:t>
                        </w:r>
                      </w:p>
                    </w:tc>
                  </w:tr>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3"/>
        <w:spacing w:line="240" w:lineRule="auto" w:before="35"/>
        <w:ind w:right="1046"/>
        <w:jc w:val="left"/>
        <w:rPr>
          <w:b w:val="0"/>
          <w:bCs w:val="0"/>
        </w:rPr>
      </w:pPr>
      <w:bookmarkStart w:name="12、存货" w:id="173"/>
      <w:bookmarkEnd w:id="173"/>
      <w:r>
        <w:rPr>
          <w:b w:val="0"/>
          <w:bCs w:val="0"/>
        </w:rPr>
      </w: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2772"/>
        <w:jc w:val="left"/>
      </w:pPr>
      <w:r>
        <w:rPr/>
        <w:t>（</w:t>
      </w:r>
      <w:r>
        <w:rPr>
          <w:rFonts w:ascii="宋体" w:hAnsi="宋体" w:cs="宋体" w:eastAsia="宋体" w:hint="default"/>
        </w:rPr>
        <w:t>1</w:t>
      </w:r>
      <w:r>
        <w:rPr/>
        <w:t>）存货的分类 存货主要包括原材料、在产品、半成品、产成品、发出商品、周转材料等六大类。</w:t>
      </w:r>
    </w:p>
    <w:p>
      <w:pPr>
        <w:pStyle w:val="BodyText"/>
        <w:spacing w:line="408" w:lineRule="auto"/>
        <w:ind w:left="573" w:right="1046"/>
        <w:jc w:val="left"/>
      </w:pPr>
      <w:r>
        <w:rPr/>
        <w:t>（</w:t>
      </w:r>
      <w:r>
        <w:rPr>
          <w:rFonts w:ascii="宋体" w:hAnsi="宋体" w:cs="宋体" w:eastAsia="宋体" w:hint="default"/>
        </w:rPr>
        <w:t>2</w:t>
      </w:r>
      <w:r>
        <w:rPr/>
        <w:t>）存货取得和发出的计价方法 </w:t>
      </w:r>
      <w:r>
        <w:rPr>
          <w:spacing w:val="-1"/>
        </w:rPr>
        <w:t>存货在取得时按实际成本计价，存货成本包括采购成本、加工成本和其他成本。领用和发出时按加权</w:t>
      </w:r>
    </w:p>
    <w:p>
      <w:pPr>
        <w:pStyle w:val="BodyText"/>
        <w:spacing w:line="240" w:lineRule="auto"/>
        <w:ind w:right="1046"/>
        <w:jc w:val="left"/>
      </w:pPr>
      <w:r>
        <w:rPr/>
        <w:t>平均法计价。</w:t>
      </w:r>
    </w:p>
    <w:p>
      <w:pPr>
        <w:spacing w:line="240" w:lineRule="auto" w:before="10"/>
        <w:rPr>
          <w:rFonts w:ascii="宋体" w:hAnsi="宋体" w:cs="宋体" w:eastAsia="宋体" w:hint="default"/>
          <w:sz w:val="14"/>
          <w:szCs w:val="14"/>
        </w:rPr>
      </w:pPr>
    </w:p>
    <w:p>
      <w:pPr>
        <w:pStyle w:val="BodyText"/>
        <w:spacing w:line="408" w:lineRule="auto" w:before="0"/>
        <w:ind w:left="573" w:right="1046"/>
        <w:jc w:val="left"/>
      </w:pPr>
      <w:r>
        <w:rPr/>
        <w:t>（</w:t>
      </w:r>
      <w:r>
        <w:rPr>
          <w:rFonts w:ascii="宋体" w:hAnsi="宋体" w:cs="宋体" w:eastAsia="宋体" w:hint="default"/>
        </w:rPr>
        <w:t>3</w:t>
      </w:r>
      <w:r>
        <w:rPr/>
        <w:t>）存货可变现净值的确认和跌价准备的计提方法 </w:t>
      </w:r>
      <w:r>
        <w:rPr>
          <w:spacing w:val="-1"/>
        </w:rPr>
        <w:t>可变现净值是指在日常活动中，存货的估计售价减去至完工时估计将要发生的成本、估计的销售费用</w:t>
      </w:r>
    </w:p>
    <w:p>
      <w:pPr>
        <w:pStyle w:val="BodyText"/>
        <w:spacing w:line="408" w:lineRule="auto"/>
        <w:ind w:right="1046"/>
        <w:jc w:val="left"/>
      </w:pPr>
      <w:r>
        <w:rPr>
          <w:spacing w:val="-1"/>
        </w:rPr>
        <w:t>以及相关税费后的金额。在确定存货的可变现净值时，以取得的确凿证据为基础，同时考虑持有存货的目</w:t>
      </w:r>
      <w:r>
        <w:rPr>
          <w:spacing w:val="-83"/>
        </w:rPr>
        <w:t> </w:t>
      </w:r>
      <w:r>
        <w:rPr>
          <w:spacing w:val="-83"/>
        </w:rPr>
      </w:r>
      <w:r>
        <w:rPr/>
        <w:t>的以及资产负债表日后事项的影响。</w:t>
      </w:r>
    </w:p>
    <w:p>
      <w:pPr>
        <w:pStyle w:val="BodyText"/>
        <w:spacing w:line="240" w:lineRule="auto"/>
        <w:ind w:left="573" w:right="1046"/>
        <w:jc w:val="left"/>
      </w:pPr>
      <w:r>
        <w:rPr/>
        <w:t>在资产负债表日，存货按照成本与可变现净值孰低计量。当其可变现净值低于成本时，提取存货跌价</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准备。存货跌价准备通常按单个存货项目的成本高于其可变现净值的差额提取。对于数量繁多、单价较低</w:t>
      </w:r>
      <w:r>
        <w:rPr>
          <w:spacing w:val="-83"/>
        </w:rPr>
        <w:t> </w:t>
      </w:r>
      <w:r>
        <w:rPr>
          <w:spacing w:val="-83"/>
        </w:rPr>
      </w:r>
      <w:r>
        <w:rPr>
          <w:spacing w:val="-1"/>
        </w:rPr>
        <w:t>的存货，按存货类别计提存货跌价准备；对在同一地区生产和销售的产品系列相关、具有相同或类似最终</w:t>
      </w:r>
      <w:r>
        <w:rPr>
          <w:spacing w:val="-83"/>
        </w:rPr>
        <w:t> </w:t>
      </w:r>
      <w:r>
        <w:rPr>
          <w:spacing w:val="-83"/>
        </w:rPr>
      </w:r>
      <w:r>
        <w:rPr/>
        <w:t>用途或目的，且难以与其他项目分开计量的存货，可合并计提存货跌价准备。</w:t>
      </w:r>
    </w:p>
    <w:p>
      <w:pPr>
        <w:pStyle w:val="BodyText"/>
        <w:spacing w:line="408" w:lineRule="auto"/>
        <w:ind w:right="1131" w:firstLine="420"/>
        <w:jc w:val="both"/>
      </w:pPr>
      <w:r>
        <w:rPr>
          <w:spacing w:val="-1"/>
        </w:rPr>
        <w:t>计提存货跌价准备后，如果以前减记存货价值的影响因素已经消失，导致存货的可变现净值高于其账</w:t>
      </w:r>
      <w:r>
        <w:rPr/>
        <w:t> 面价值的，在原已计提的存货跌价准备金额内予以转回，转回的金额计入当期损益。</w:t>
      </w:r>
    </w:p>
    <w:p>
      <w:pPr>
        <w:pStyle w:val="BodyText"/>
        <w:spacing w:line="240" w:lineRule="auto"/>
        <w:ind w:left="573" w:right="1046"/>
        <w:jc w:val="left"/>
      </w:pPr>
      <w:r>
        <w:rPr/>
        <w:t>（</w:t>
      </w:r>
      <w:r>
        <w:rPr>
          <w:rFonts w:ascii="宋体" w:hAnsi="宋体" w:cs="宋体" w:eastAsia="宋体" w:hint="default"/>
        </w:rPr>
        <w:t>4</w:t>
      </w:r>
      <w:r>
        <w:rPr/>
        <w:t>）存货的盘存制度为永续盘存制。</w:t>
      </w:r>
    </w:p>
    <w:p>
      <w:pPr>
        <w:spacing w:line="240" w:lineRule="auto" w:before="10"/>
        <w:rPr>
          <w:rFonts w:ascii="宋体" w:hAnsi="宋体" w:cs="宋体" w:eastAsia="宋体" w:hint="default"/>
          <w:sz w:val="14"/>
          <w:szCs w:val="14"/>
        </w:rPr>
      </w:pPr>
    </w:p>
    <w:p>
      <w:pPr>
        <w:pStyle w:val="BodyText"/>
        <w:spacing w:line="408" w:lineRule="auto" w:before="0"/>
        <w:ind w:left="573" w:right="6763"/>
        <w:jc w:val="left"/>
      </w:pPr>
      <w:r>
        <w:rPr/>
        <w:t>（</w:t>
      </w:r>
      <w:r>
        <w:rPr>
          <w:rFonts w:ascii="宋体" w:hAnsi="宋体" w:cs="宋体" w:eastAsia="宋体" w:hint="default"/>
        </w:rPr>
        <w:t>5</w:t>
      </w:r>
      <w:r>
        <w:rPr/>
        <w:t>）周转材料的摊销方法 周转材料于领用时按一次摊销法摊销。</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13、划分为持有待售资产" w:id="174"/>
      <w:bookmarkEnd w:id="174"/>
      <w:r>
        <w:rPr>
          <w:b w:val="0"/>
          <w:bCs w:val="0"/>
        </w:rPr>
      </w:r>
      <w:r>
        <w:rPr>
          <w:rFonts w:ascii="Times New Roman" w:hAnsi="Times New Roman" w:cs="Times New Roman" w:eastAsia="Times New Roman" w:hint="default"/>
        </w:rPr>
        <w:t>13</w:t>
      </w:r>
      <w:r>
        <w:rPr/>
        <w:t>、划分为持有待售资产</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027" w:firstLine="420"/>
        <w:jc w:val="both"/>
      </w:pPr>
      <w:r>
        <w:rPr/>
        <w:t>若某项非流动资产在其当前状况下仅根据出售此类资产的惯常条款即可立即出售，本公司已就处置该 项非流动资产作出决议，已经与受让方签订了不可撤销的转让协议，且该项转让将在一年内完成，则该非 流动资产作为持有待售非流动资产核算，自划分为持有待售之日起不计提折旧或进行摊销，按照账面价值 与公允价值减去处置费用后的净额孰低计量。持有待售的非流动资产包括单项资产和处置组。如果处置组 是一个《企业会计准则第</w:t>
      </w:r>
      <w:r>
        <w:rPr>
          <w:spacing w:val="-59"/>
        </w:rPr>
        <w:t> </w:t>
      </w:r>
      <w:r>
        <w:rPr>
          <w:rFonts w:ascii="宋体" w:hAnsi="宋体" w:cs="宋体" w:eastAsia="宋体" w:hint="default"/>
        </w:rPr>
        <w:t>8</w:t>
      </w:r>
      <w:r>
        <w:rPr>
          <w:rFonts w:ascii="宋体" w:hAnsi="宋体" w:cs="宋体" w:eastAsia="宋体" w:hint="default"/>
          <w:spacing w:val="-59"/>
        </w:rPr>
        <w:t> </w:t>
      </w:r>
      <w:r>
        <w:rPr/>
        <w:t>号——资产减值》所定义的资产组，并且按照该准则的规定将企业合并中取得 </w:t>
      </w:r>
      <w:r>
        <w:rPr>
          <w:spacing w:val="-3"/>
        </w:rPr>
        <w:t>的商誉分摊至该资产组，或者该处置组是资产组中的一项经营，则该处置组包括企业合并中所形成的商誉。</w:t>
      </w:r>
    </w:p>
    <w:p>
      <w:pPr>
        <w:pStyle w:val="BodyText"/>
        <w:spacing w:line="408" w:lineRule="auto"/>
        <w:ind w:left="154" w:right="1131" w:firstLine="420"/>
        <w:jc w:val="both"/>
      </w:pPr>
      <w:r>
        <w:rPr>
          <w:spacing w:val="-1"/>
        </w:rPr>
        <w:t>被划分为持有待售的单项非流动资产和处置组中的资产，在资产负债表的流动资产部分单独列报；被</w:t>
      </w:r>
      <w:r>
        <w:rPr/>
        <w:t> 划分为持有待售的处置组中的与转让资产相关的负债，在资产负债表的流动负债部分单独列报。</w:t>
      </w:r>
    </w:p>
    <w:p>
      <w:pPr>
        <w:pStyle w:val="BodyText"/>
        <w:spacing w:line="408" w:lineRule="auto"/>
        <w:ind w:left="154" w:right="1131" w:firstLine="420"/>
        <w:jc w:val="both"/>
      </w:pPr>
      <w:r>
        <w:rPr>
          <w:spacing w:val="-1"/>
        </w:rPr>
        <w:t>某项资产或处置组被划归为持有待售，但后来不再满足持有待售的非流动资产的确认条件，本公司停</w:t>
      </w:r>
      <w:r>
        <w:rPr/>
        <w:t> </w:t>
      </w:r>
      <w:r>
        <w:rPr>
          <w:spacing w:val="-3"/>
        </w:rPr>
        <w:t>止将其划归为持有待售，并按照下列两项金额中较低者进行计量：（</w:t>
      </w:r>
      <w:r>
        <w:rPr>
          <w:rFonts w:ascii="宋体" w:hAnsi="宋体" w:cs="宋体" w:eastAsia="宋体" w:hint="default"/>
          <w:spacing w:val="-3"/>
        </w:rPr>
        <w:t>1</w:t>
      </w:r>
      <w:r>
        <w:rPr>
          <w:spacing w:val="-3"/>
        </w:rPr>
        <w:t>）该资产或处置组被划归为持有待售</w:t>
      </w:r>
      <w:r>
        <w:rPr>
          <w:spacing w:val="-93"/>
        </w:rPr>
        <w:t> </w:t>
      </w:r>
      <w:r>
        <w:rPr>
          <w:spacing w:val="-93"/>
        </w:rPr>
      </w:r>
      <w:r>
        <w:rPr>
          <w:spacing w:val="-1"/>
        </w:rPr>
        <w:t>之前的账面价值，按照其假定在没有被划归为持有待售的情况下原应确认的折旧、摊销或减值进行调整后</w:t>
      </w:r>
      <w:r>
        <w:rPr>
          <w:spacing w:val="-81"/>
        </w:rPr>
        <w:t> </w:t>
      </w:r>
      <w:r>
        <w:rPr>
          <w:spacing w:val="-81"/>
        </w:rPr>
      </w:r>
      <w:r>
        <w:rPr>
          <w:spacing w:val="-5"/>
        </w:rPr>
        <w:t>的金额；（</w:t>
      </w:r>
      <w:r>
        <w:rPr>
          <w:rFonts w:ascii="宋体" w:hAnsi="宋体" w:cs="宋体" w:eastAsia="宋体" w:hint="default"/>
          <w:spacing w:val="-5"/>
        </w:rPr>
        <w:t>2</w:t>
      </w:r>
      <w:r>
        <w:rPr>
          <w:spacing w:val="-5"/>
        </w:rPr>
        <w:t>）决定不再出售之日的可收回金额。</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14、长期股权投资" w:id="175"/>
      <w:bookmarkEnd w:id="17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046" w:firstLine="420"/>
        <w:jc w:val="left"/>
      </w:pPr>
      <w:r>
        <w:rPr/>
        <w:t>本部分所指的长期股权投资是指本公司对被投资单位具有控制、共同控制或重大影响的长期股权投 </w:t>
      </w:r>
      <w:r>
        <w:rPr>
          <w:spacing w:val="-1"/>
        </w:rPr>
        <w:t>资。本公司对被投资单位不具有控制、共同控制或重大影响的长期股权投资，作为可供出售金融资产或以</w:t>
      </w:r>
      <w:r>
        <w:rPr>
          <w:spacing w:val="-83"/>
        </w:rPr>
        <w:t> </w:t>
      </w:r>
      <w:r>
        <w:rPr>
          <w:spacing w:val="-83"/>
        </w:rPr>
      </w:r>
      <w:r>
        <w:rPr/>
        <w:t>公允价值计量且其变动计入当期损益的金融资产核算，其会计政策详见附注五、</w:t>
      </w:r>
      <w:r>
        <w:rPr>
          <w:rFonts w:ascii="宋体" w:hAnsi="宋体" w:cs="宋体" w:eastAsia="宋体" w:hint="default"/>
        </w:rPr>
        <w:t>10</w:t>
      </w:r>
      <w:r>
        <w:rPr/>
        <w:t>“金融工具”。</w:t>
      </w:r>
    </w:p>
    <w:p>
      <w:pPr>
        <w:pStyle w:val="BodyText"/>
        <w:spacing w:line="408" w:lineRule="auto"/>
        <w:ind w:right="1131" w:firstLine="420"/>
        <w:jc w:val="both"/>
      </w:pPr>
      <w:r>
        <w:rPr>
          <w:spacing w:val="-1"/>
        </w:rPr>
        <w:t>共同控制，是指本公司按照相关约定对某项安排所共有的控制，并且该安排的相关活动必须经过分享</w:t>
      </w:r>
      <w:r>
        <w:rPr/>
        <w:t> </w:t>
      </w:r>
      <w:r>
        <w:rPr>
          <w:spacing w:val="-1"/>
        </w:rPr>
        <w:t>控制权的参与方一致同意后才能决策。重大影响，是指本公司对被投资单位的财务和经营政策有参与决策</w:t>
      </w:r>
      <w:r>
        <w:rPr>
          <w:spacing w:val="-81"/>
        </w:rPr>
        <w:t> </w:t>
      </w:r>
      <w:r>
        <w:rPr>
          <w:spacing w:val="-81"/>
        </w:rPr>
      </w:r>
      <w:r>
        <w:rPr/>
        <w:t>的权力，但并不能够控制或者与其他方一起共同控制这些政策的制定。</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046"/>
        <w:jc w:val="left"/>
      </w:pPr>
      <w:r>
        <w:rPr/>
        <w:t>（</w:t>
      </w:r>
      <w:r>
        <w:rPr>
          <w:rFonts w:ascii="宋体" w:hAnsi="宋体" w:cs="宋体" w:eastAsia="宋体" w:hint="default"/>
        </w:rPr>
        <w:t>1</w:t>
      </w:r>
      <w:r>
        <w:rPr/>
        <w:t>）投资成本的确定 </w:t>
      </w:r>
      <w:r>
        <w:rPr>
          <w:spacing w:val="-1"/>
        </w:rPr>
        <w:t>对于同一控制下的企业合并取得的长期股权投资，在合并日按照被合并方股东权益在最终控制方合并</w:t>
      </w:r>
    </w:p>
    <w:p>
      <w:pPr>
        <w:pStyle w:val="BodyText"/>
        <w:spacing w:line="408" w:lineRule="auto"/>
        <w:ind w:right="1131"/>
        <w:jc w:val="both"/>
      </w:pPr>
      <w:r>
        <w:rPr>
          <w:spacing w:val="-1"/>
        </w:rPr>
        <w:t>财务报表中的账面价值的份额作为长期股权投资的初始投资成本。长期股权投资初始投资成本与支付的现</w:t>
      </w:r>
      <w:r>
        <w:rPr>
          <w:spacing w:val="-81"/>
        </w:rPr>
        <w:t> </w:t>
      </w:r>
      <w:r>
        <w:rPr>
          <w:spacing w:val="-81"/>
        </w:rPr>
      </w:r>
      <w:r>
        <w:rPr>
          <w:spacing w:val="-1"/>
        </w:rPr>
        <w:t>金、转让的非现金资产以及所承担债务账面价值之间的差额，调整资本公积；资本公积不足冲减的，调整</w:t>
      </w:r>
      <w:r>
        <w:rPr>
          <w:spacing w:val="-86"/>
        </w:rPr>
        <w:t> </w:t>
      </w:r>
      <w:r>
        <w:rPr>
          <w:spacing w:val="-86"/>
        </w:rPr>
      </w:r>
      <w:r>
        <w:rPr>
          <w:spacing w:val="-1"/>
        </w:rPr>
        <w:t>留存收益。以发行权益性证券作为合并对价的，在合并日按照被合并方股东权益在最终控制方合并财务报</w:t>
      </w:r>
      <w:r>
        <w:rPr>
          <w:spacing w:val="-81"/>
        </w:rPr>
        <w:t> </w:t>
      </w:r>
      <w:r>
        <w:rPr>
          <w:spacing w:val="-81"/>
        </w:rPr>
      </w:r>
      <w:r>
        <w:rPr>
          <w:spacing w:val="-1"/>
        </w:rPr>
        <w:t>表中的账面价值的份额作为长期股权投资的初始投资成本，按照发行股份的面值总额作为股本，长期股权</w:t>
      </w:r>
      <w:r>
        <w:rPr>
          <w:spacing w:val="-81"/>
        </w:rPr>
        <w:t> </w:t>
      </w:r>
      <w:r>
        <w:rPr>
          <w:spacing w:val="-81"/>
        </w:rPr>
      </w:r>
      <w:r>
        <w:rPr>
          <w:spacing w:val="-1"/>
        </w:rPr>
        <w:t>投资初始投资成本与所发行股份面值总额之间的差额，调整资本公积；资本公积不足冲减的，调整留存收</w:t>
      </w:r>
      <w:r>
        <w:rPr>
          <w:spacing w:val="-83"/>
        </w:rPr>
        <w:t> </w:t>
      </w:r>
      <w:r>
        <w:rPr>
          <w:spacing w:val="-83"/>
        </w:rPr>
      </w:r>
      <w:r>
        <w:rPr>
          <w:spacing w:val="-1"/>
        </w:rPr>
        <w:t>益。通过多次交易分步取得同一控制下被合并方的股权，最终形成同一控制下企业合并的，应分别是否属</w:t>
      </w:r>
      <w:r>
        <w:rPr>
          <w:spacing w:val="-83"/>
        </w:rPr>
        <w:t> </w:t>
      </w:r>
      <w:r>
        <w:rPr>
          <w:spacing w:val="-83"/>
        </w:rPr>
      </w:r>
      <w:r>
        <w:rPr>
          <w:spacing w:val="-1"/>
        </w:rPr>
        <w:t>于“一揽子交易”进行处理：属于“一揽子交易”的，将各项交易作为一项取得控制权的交易进行会计处</w:t>
      </w:r>
      <w:r>
        <w:rPr>
          <w:spacing w:val="-82"/>
        </w:rPr>
        <w:t> </w:t>
      </w:r>
      <w:r>
        <w:rPr>
          <w:spacing w:val="-82"/>
        </w:rPr>
      </w:r>
      <w:r>
        <w:rPr>
          <w:spacing w:val="-1"/>
        </w:rPr>
        <w:t>理。不属于“一揽子交易”的，在合并日按照应享有被合并方股东权益在最终控制方合并财务报表中的账</w:t>
      </w:r>
      <w:r>
        <w:rPr>
          <w:spacing w:val="-81"/>
        </w:rPr>
        <w:t> </w:t>
      </w:r>
      <w:r>
        <w:rPr>
          <w:spacing w:val="-81"/>
        </w:rPr>
      </w:r>
      <w:r>
        <w:rPr>
          <w:spacing w:val="-1"/>
        </w:rPr>
        <w:t>面价值的份额作为长期股权投资的初始投资成本，长期股权投资初始投资成本与达到合并前的长期股权投</w:t>
      </w:r>
      <w:r>
        <w:rPr>
          <w:spacing w:val="-81"/>
        </w:rPr>
        <w:t> </w:t>
      </w:r>
      <w:r>
        <w:rPr>
          <w:spacing w:val="-81"/>
        </w:rPr>
      </w:r>
      <w:r>
        <w:rPr>
          <w:spacing w:val="-1"/>
        </w:rPr>
        <w:t>资账面价值加上合并日进一步取得股份新支付对价的账面价值之和的差额，调整资本公积；资本公积不足</w:t>
      </w:r>
      <w:r>
        <w:rPr>
          <w:spacing w:val="-81"/>
        </w:rPr>
        <w:t> </w:t>
      </w:r>
      <w:r>
        <w:rPr>
          <w:spacing w:val="-81"/>
        </w:rPr>
      </w:r>
      <w:r>
        <w:rPr>
          <w:spacing w:val="-1"/>
        </w:rPr>
        <w:t>冲减的，调整留存收益。合并日之前持有的股权投资因采用权益法核算或为可供出售金融资产而确认的其</w:t>
      </w:r>
      <w:r>
        <w:rPr>
          <w:spacing w:val="-81"/>
        </w:rPr>
        <w:t> </w:t>
      </w:r>
      <w:r>
        <w:rPr>
          <w:spacing w:val="-81"/>
        </w:rPr>
      </w:r>
      <w:r>
        <w:rPr/>
        <w:t>他综合收益，暂不进行会计处理。</w:t>
      </w:r>
    </w:p>
    <w:p>
      <w:pPr>
        <w:pStyle w:val="BodyText"/>
        <w:spacing w:line="408" w:lineRule="auto"/>
        <w:ind w:right="1024" w:firstLine="420"/>
        <w:jc w:val="left"/>
      </w:pPr>
      <w:r>
        <w:rPr/>
        <w:t>对于非同一控制下的企业合并取得的长期股权投资，在购买日按照合并成本作为长期股权投资的初始 </w:t>
      </w:r>
      <w:r>
        <w:rPr>
          <w:spacing w:val="-3"/>
        </w:rPr>
        <w:t>投资成本，合并成本包括包括购买方付出的资产、发生或承担的负债、发行的权益性证券的公允价值之和。</w:t>
      </w:r>
      <w:r>
        <w:rPr>
          <w:spacing w:val="-90"/>
        </w:rPr>
        <w:t> </w:t>
      </w:r>
      <w:r>
        <w:rPr>
          <w:spacing w:val="-90"/>
        </w:rPr>
      </w:r>
      <w:r>
        <w:rPr/>
        <w:t>通过多次交易分步取得被购买方的股权，最终形成非同一控制下的企业合并的，应分别是否属于“一揽子</w:t>
      </w:r>
      <w:r>
        <w:rPr/>
        <w:t> 交易”进行处理：属于“一揽子交易”的，将各项交易作为一项取得控制权的交易进行会计处理。不属于 “一揽子交易”的，按照原持有被购买方的股权投资账面价值加上新增投资成本之和，作为改按成本法核 算的长期股权投资的初始投资成本。原持有的股权采用权益法核算的，相关其他综合收益暂不进行会计处 理。原持有股权投资为可供出售金融资产的，其公允价值与账面价值之间的差额，以及原计入其他综合收 益的累计公允价值变动转入当期损益。</w:t>
      </w:r>
    </w:p>
    <w:p>
      <w:pPr>
        <w:pStyle w:val="BodyText"/>
        <w:spacing w:line="408" w:lineRule="auto"/>
        <w:ind w:right="1046" w:firstLine="420"/>
        <w:jc w:val="left"/>
      </w:pPr>
      <w:r>
        <w:rPr>
          <w:spacing w:val="-1"/>
        </w:rPr>
        <w:t>合并方或购买方为企业合并发生的审计、法律服务、评估咨询等中介费用以及其他相关管理费用，于</w:t>
      </w:r>
      <w:r>
        <w:rPr/>
        <w:t> 发生时计入当期损益。</w:t>
      </w:r>
    </w:p>
    <w:p>
      <w:pPr>
        <w:pStyle w:val="BodyText"/>
        <w:spacing w:line="408" w:lineRule="auto"/>
        <w:ind w:right="1110" w:firstLine="420"/>
        <w:jc w:val="both"/>
      </w:pPr>
      <w:r>
        <w:rPr>
          <w:spacing w:val="-1"/>
        </w:rPr>
        <w:t>除企业合并形成的长期股权投资外的其他股权投资，按成本进行初始计量，该成本视长期股权投资取</w:t>
      </w:r>
      <w:r>
        <w:rPr/>
        <w:t> </w:t>
      </w:r>
      <w:r>
        <w:rPr>
          <w:spacing w:val="-1"/>
        </w:rPr>
        <w:t>得方式的不同，分别按照本公司实际支付的现金购买价款、本公司发行的权益性证券的公允价值、投资合</w:t>
      </w:r>
      <w:r>
        <w:rPr>
          <w:spacing w:val="-83"/>
        </w:rPr>
        <w:t> </w:t>
      </w:r>
      <w:r>
        <w:rPr>
          <w:spacing w:val="-83"/>
        </w:rPr>
      </w:r>
      <w:r>
        <w:rPr>
          <w:spacing w:val="-1"/>
        </w:rPr>
        <w:t>同或协议约定的价值、非货币性资产交换交易中换出资产的公允价值或原账面价值、该项长期股权投资自</w:t>
      </w:r>
      <w:r>
        <w:rPr>
          <w:spacing w:val="-81"/>
        </w:rPr>
        <w:t> </w:t>
      </w:r>
      <w:r>
        <w:rPr>
          <w:spacing w:val="-81"/>
        </w:rPr>
      </w:r>
      <w:r>
        <w:rPr/>
        <w:t>身的公允价值等方式确定。与取得长期股权投资直接相关的费用、税金及其他必要支出也计入投资成本。 </w:t>
      </w:r>
      <w:r>
        <w:rPr>
          <w:spacing w:val="-1"/>
        </w:rPr>
        <w:t>对于因追加投资能够对被投资单位实施重大影响或实施共同控制但不构成控制的，长期股权投资成本为按</w:t>
      </w:r>
      <w:r>
        <w:rPr>
          <w:spacing w:val="-81"/>
        </w:rPr>
        <w:t> </w:t>
      </w:r>
      <w:r>
        <w:rPr>
          <w:spacing w:val="-81"/>
        </w:rPr>
      </w:r>
      <w:r>
        <w:rPr/>
        <w:t>照《企业会计准则第</w:t>
      </w:r>
      <w:r>
        <w:rPr>
          <w:spacing w:val="-53"/>
        </w:rPr>
        <w:t> </w:t>
      </w:r>
      <w:r>
        <w:rPr>
          <w:rFonts w:ascii="宋体" w:hAnsi="宋体" w:cs="宋体" w:eastAsia="宋体" w:hint="default"/>
        </w:rPr>
        <w:t>22</w:t>
      </w:r>
      <w:r>
        <w:rPr>
          <w:rFonts w:ascii="宋体" w:hAnsi="宋体" w:cs="宋体" w:eastAsia="宋体" w:hint="default"/>
          <w:spacing w:val="-54"/>
        </w:rPr>
        <w:t> </w:t>
      </w:r>
      <w:r>
        <w:rPr/>
        <w:t>号——金融工具确认和计量》确定的原持有股权投资的公允价值加上新增投资成</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46"/>
        <w:jc w:val="left"/>
      </w:pPr>
      <w:r>
        <w:rPr/>
        <w:t>本之和。</w:t>
      </w:r>
    </w:p>
    <w:p>
      <w:pPr>
        <w:spacing w:line="240" w:lineRule="auto" w:before="10"/>
        <w:rPr>
          <w:rFonts w:ascii="宋体" w:hAnsi="宋体" w:cs="宋体" w:eastAsia="宋体" w:hint="default"/>
          <w:sz w:val="14"/>
          <w:szCs w:val="14"/>
        </w:rPr>
      </w:pPr>
    </w:p>
    <w:p>
      <w:pPr>
        <w:pStyle w:val="BodyText"/>
        <w:spacing w:line="408" w:lineRule="auto" w:before="0"/>
        <w:ind w:left="573" w:right="1093"/>
        <w:jc w:val="left"/>
      </w:pPr>
      <w:r>
        <w:rPr/>
        <w:t>（</w:t>
      </w:r>
      <w:r>
        <w:rPr>
          <w:rFonts w:ascii="宋体" w:hAnsi="宋体" w:cs="宋体" w:eastAsia="宋体" w:hint="default"/>
        </w:rPr>
        <w:t>2</w:t>
      </w:r>
      <w:r>
        <w:rPr/>
        <w:t>）后续计量及损益确认方法 对被投资单位具有共同控制（构成共同经营者除外）或重大影响的长期股权投资，采用权益法核算。</w:t>
      </w:r>
    </w:p>
    <w:p>
      <w:pPr>
        <w:pStyle w:val="BodyText"/>
        <w:spacing w:line="240" w:lineRule="auto"/>
        <w:ind w:right="1046"/>
        <w:jc w:val="left"/>
      </w:pPr>
      <w:r>
        <w:rPr/>
        <w:t>此外，公司财务报表采用成本法核算能够对被投资单位实施控制的长期股权投资。</w:t>
      </w:r>
    </w:p>
    <w:p>
      <w:pPr>
        <w:spacing w:line="240" w:lineRule="auto" w:before="10"/>
        <w:rPr>
          <w:rFonts w:ascii="宋体" w:hAnsi="宋体" w:cs="宋体" w:eastAsia="宋体" w:hint="default"/>
          <w:sz w:val="14"/>
          <w:szCs w:val="14"/>
        </w:rPr>
      </w:pPr>
    </w:p>
    <w:p>
      <w:pPr>
        <w:pStyle w:val="BodyText"/>
        <w:spacing w:line="408" w:lineRule="auto" w:before="0"/>
        <w:ind w:left="573" w:right="1093"/>
        <w:jc w:val="left"/>
      </w:pPr>
      <w:r>
        <w:rPr/>
        <w:t>① 成本法核算的长期股权投资 采用成本法核算时，长期股权投资按初始投资成本计价，追加或收回投资调整长期股权投资的成本。</w:t>
      </w:r>
    </w:p>
    <w:p>
      <w:pPr>
        <w:pStyle w:val="BodyText"/>
        <w:spacing w:line="408" w:lineRule="auto"/>
        <w:ind w:right="1046"/>
        <w:jc w:val="left"/>
      </w:pPr>
      <w:r>
        <w:rPr>
          <w:spacing w:val="-1"/>
        </w:rPr>
        <w:t>除取得投资时实际支付的价款或者对价中包含的已宣告但尚未发放的现金股利或者利润外，当期投资收益</w:t>
      </w:r>
      <w:r>
        <w:rPr>
          <w:spacing w:val="-81"/>
        </w:rPr>
        <w:t> </w:t>
      </w:r>
      <w:r>
        <w:rPr>
          <w:spacing w:val="-81"/>
        </w:rPr>
      </w:r>
      <w:r>
        <w:rPr/>
        <w:t>按照享有被投资单位宣告发放的现金股利或利润确认。</w:t>
      </w:r>
    </w:p>
    <w:p>
      <w:pPr>
        <w:pStyle w:val="BodyText"/>
        <w:spacing w:line="408" w:lineRule="auto"/>
        <w:ind w:left="573" w:right="1046"/>
        <w:jc w:val="left"/>
      </w:pPr>
      <w:r>
        <w:rPr/>
        <w:t>② 权益法核算的长期股权投资 </w:t>
      </w:r>
      <w:r>
        <w:rPr>
          <w:spacing w:val="-1"/>
        </w:rPr>
        <w:t>采用权益法核算时，长期股权投资的初始投资成本大于投资时应享有被投资单位可辨认净资产公允价</w:t>
      </w:r>
    </w:p>
    <w:p>
      <w:pPr>
        <w:pStyle w:val="BodyText"/>
        <w:spacing w:line="408" w:lineRule="auto"/>
        <w:ind w:right="1046"/>
        <w:jc w:val="left"/>
      </w:pPr>
      <w:r>
        <w:rPr>
          <w:spacing w:val="-1"/>
        </w:rPr>
        <w:t>值份额的，不调整长期股权投资的初始投资成本；初始投资成本小于投资时应享有被投资单位可辨认净资</w:t>
      </w:r>
      <w:r>
        <w:rPr>
          <w:spacing w:val="-81"/>
        </w:rPr>
        <w:t> </w:t>
      </w:r>
      <w:r>
        <w:rPr>
          <w:spacing w:val="-81"/>
        </w:rPr>
      </w:r>
      <w:r>
        <w:rPr/>
        <w:t>产公允价值份额的，其差额计入当期损益，同时调整长期股权投资的成本。</w:t>
      </w:r>
    </w:p>
    <w:p>
      <w:pPr>
        <w:pStyle w:val="BodyText"/>
        <w:spacing w:line="408" w:lineRule="auto"/>
        <w:ind w:right="1046" w:firstLine="420"/>
        <w:jc w:val="left"/>
      </w:pPr>
      <w:r>
        <w:rPr>
          <w:spacing w:val="-1"/>
        </w:rPr>
        <w:t>采用权益法核算时，按照应享有或应分担的被投资单位实现的净损益和其他综合收益的份额，分别确</w:t>
      </w:r>
      <w:r>
        <w:rPr/>
        <w:t> </w:t>
      </w:r>
      <w:r>
        <w:rPr>
          <w:spacing w:val="-1"/>
        </w:rPr>
        <w:t>认投资收益和其他综合收益，同时调整长期股权投资的账面价值；按照被投资单位宣告分派的利润或现金</w:t>
      </w:r>
      <w:r>
        <w:rPr>
          <w:spacing w:val="-81"/>
        </w:rPr>
        <w:t> </w:t>
      </w:r>
      <w:r>
        <w:rPr>
          <w:spacing w:val="-81"/>
        </w:rPr>
      </w:r>
      <w:r>
        <w:rPr>
          <w:spacing w:val="-1"/>
        </w:rPr>
        <w:t>股利计算应享有的部分，相应减少长期股权投资的账面价值；对于被投资单位除净损益、其他综合收益和</w:t>
      </w:r>
      <w:r>
        <w:rPr>
          <w:spacing w:val="-83"/>
        </w:rPr>
        <w:t> </w:t>
      </w:r>
      <w:r>
        <w:rPr>
          <w:spacing w:val="-83"/>
        </w:rPr>
      </w:r>
      <w:r>
        <w:rPr>
          <w:spacing w:val="-1"/>
        </w:rPr>
        <w:t>利润分配以外所有者权益的其他变动，调整长期股权投资的账面价值并计入资本公积。在确认应享有被投</w:t>
      </w:r>
      <w:r>
        <w:rPr>
          <w:spacing w:val="-81"/>
        </w:rPr>
        <w:t> </w:t>
      </w:r>
      <w:r>
        <w:rPr>
          <w:spacing w:val="-81"/>
        </w:rPr>
      </w:r>
      <w:r>
        <w:rPr>
          <w:spacing w:val="-1"/>
        </w:rPr>
        <w:t>资单位净损益的份额时，以取得投资时被投资单位各项可辨认资产等的公允价值为基础，对被投资单位的</w:t>
      </w:r>
      <w:r>
        <w:rPr>
          <w:spacing w:val="-81"/>
        </w:rPr>
        <w:t> </w:t>
      </w:r>
      <w:r>
        <w:rPr>
          <w:spacing w:val="-81"/>
        </w:rPr>
      </w:r>
      <w:r>
        <w:rPr>
          <w:spacing w:val="-1"/>
        </w:rPr>
        <w:t>净利润进行调整后确认。被投资单位采用的会计政策及会计期间与本公司不一致的，按照本公司的会计政</w:t>
      </w:r>
      <w:r>
        <w:rPr>
          <w:spacing w:val="-81"/>
        </w:rPr>
        <w:t> </w:t>
      </w:r>
      <w:r>
        <w:rPr>
          <w:spacing w:val="-81"/>
        </w:rPr>
      </w:r>
      <w:r>
        <w:rPr>
          <w:spacing w:val="-1"/>
        </w:rPr>
        <w:t>策及会计期间对被投资单位的财务报表进行调整，并据以确认投资收益和其他综合收益。对于本公司与联</w:t>
      </w:r>
      <w:r>
        <w:rPr>
          <w:spacing w:val="-81"/>
        </w:rPr>
        <w:t> </w:t>
      </w:r>
      <w:r>
        <w:rPr>
          <w:spacing w:val="-81"/>
        </w:rPr>
      </w:r>
      <w:r>
        <w:rPr>
          <w:spacing w:val="-1"/>
        </w:rPr>
        <w:t>营企业及合营企业之间发生的交易，投出或出售的资产不构成业务的，未实现内部交易损益按照享有的比</w:t>
      </w:r>
      <w:r>
        <w:rPr>
          <w:spacing w:val="-81"/>
        </w:rPr>
        <w:t> </w:t>
      </w:r>
      <w:r>
        <w:rPr>
          <w:spacing w:val="-81"/>
        </w:rPr>
      </w:r>
      <w:r>
        <w:rPr>
          <w:spacing w:val="-1"/>
        </w:rPr>
        <w:t>例计算归属于本公司的部分予以抵销，在此基础上确认投资损益。但本公司与被投资单位发生的未实现内</w:t>
      </w:r>
      <w:r>
        <w:rPr>
          <w:spacing w:val="-81"/>
        </w:rPr>
        <w:t> </w:t>
      </w:r>
      <w:r>
        <w:rPr>
          <w:spacing w:val="-81"/>
        </w:rPr>
      </w:r>
      <w:r>
        <w:rPr>
          <w:spacing w:val="-1"/>
        </w:rPr>
        <w:t>部交易损失，属于所转让资产减值损失的，不予以抵销。本公司向合营企业或联营企业投出的资产构成业</w:t>
      </w:r>
      <w:r>
        <w:rPr>
          <w:spacing w:val="-83"/>
        </w:rPr>
        <w:t> </w:t>
      </w:r>
      <w:r>
        <w:rPr>
          <w:spacing w:val="-83"/>
        </w:rPr>
      </w:r>
      <w:r>
        <w:rPr>
          <w:spacing w:val="-1"/>
        </w:rPr>
        <w:t>务的，投资方因此取得长期股权投资但未取得控制权的，以投出业务的公允价值作为新增长期股权投资的</w:t>
      </w:r>
      <w:r>
        <w:rPr>
          <w:spacing w:val="-80"/>
        </w:rPr>
        <w:t> </w:t>
      </w:r>
      <w:r>
        <w:rPr>
          <w:spacing w:val="-80"/>
        </w:rPr>
      </w:r>
      <w:r>
        <w:rPr>
          <w:spacing w:val="-1"/>
        </w:rPr>
        <w:t>初始投资成本，初始投资成本与投出业务的账面价值之差，全额计入当期损益。本公司向合营企业或联营</w:t>
      </w:r>
      <w:r>
        <w:rPr>
          <w:spacing w:val="-83"/>
        </w:rPr>
        <w:t> </w:t>
      </w:r>
      <w:r>
        <w:rPr>
          <w:spacing w:val="-83"/>
        </w:rPr>
      </w:r>
      <w:r>
        <w:rPr>
          <w:spacing w:val="-1"/>
        </w:rPr>
        <w:t>企业出售的资产构成业务的，取得的对价与业务的账面价值之差，全额计入当期损益。本公司自联营企业</w:t>
      </w:r>
      <w:r>
        <w:rPr>
          <w:spacing w:val="-83"/>
        </w:rPr>
        <w:t> </w:t>
      </w:r>
      <w:r>
        <w:rPr>
          <w:spacing w:val="-83"/>
        </w:rPr>
      </w:r>
      <w:r>
        <w:rPr/>
        <w:t>及合营企业购入的资产构成业务的，按《企业会计准则第</w:t>
      </w:r>
      <w:r>
        <w:rPr>
          <w:spacing w:val="-53"/>
        </w:rPr>
        <w:t> </w:t>
      </w:r>
      <w:r>
        <w:rPr>
          <w:rFonts w:ascii="宋体" w:hAnsi="宋体" w:cs="宋体" w:eastAsia="宋体" w:hint="default"/>
        </w:rPr>
        <w:t>20</w:t>
      </w:r>
      <w:r>
        <w:rPr>
          <w:rFonts w:ascii="宋体" w:hAnsi="宋体" w:cs="宋体" w:eastAsia="宋体" w:hint="default"/>
          <w:spacing w:val="-53"/>
        </w:rPr>
        <w:t> </w:t>
      </w:r>
      <w:r>
        <w:rPr/>
        <w:t>号——企业合并》的规定进行会计处理，全 额确认与交易相关的利得或损失。</w:t>
      </w:r>
    </w:p>
    <w:p>
      <w:pPr>
        <w:pStyle w:val="BodyText"/>
        <w:spacing w:line="408" w:lineRule="auto"/>
        <w:ind w:right="1131" w:firstLine="420"/>
        <w:jc w:val="both"/>
      </w:pPr>
      <w:r>
        <w:rPr>
          <w:spacing w:val="-1"/>
        </w:rPr>
        <w:t>在确认应分担被投资单位发生的净亏损时，以长期股权投资的账面价值和其他实质上构成对被投资单</w:t>
      </w:r>
      <w:r>
        <w:rPr/>
        <w:t> </w:t>
      </w:r>
      <w:r>
        <w:rPr>
          <w:spacing w:val="-1"/>
        </w:rPr>
        <w:t>位净投资的长期权益减记至零为限。此外，如本公司对被投资单位负有承担额外损失的义务，则按预计承</w:t>
      </w:r>
      <w:r>
        <w:rPr>
          <w:spacing w:val="-83"/>
        </w:rPr>
        <w:t> </w:t>
      </w:r>
      <w:r>
        <w:rPr>
          <w:spacing w:val="-83"/>
        </w:rPr>
      </w:r>
      <w:r>
        <w:rPr>
          <w:spacing w:val="-1"/>
        </w:rPr>
        <w:t>担的义务确认预计负债，计入当期投资损失。被投资单位以后期间实现净利润的，本公司在收益分享额弥</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46"/>
        <w:jc w:val="left"/>
      </w:pPr>
      <w:r>
        <w:rPr/>
        <w:t>补未确认的亏损分担额后，恢复确认收益分享额。</w:t>
      </w:r>
    </w:p>
    <w:p>
      <w:pPr>
        <w:spacing w:line="240" w:lineRule="auto" w:before="10"/>
        <w:rPr>
          <w:rFonts w:ascii="宋体" w:hAnsi="宋体" w:cs="宋体" w:eastAsia="宋体" w:hint="default"/>
          <w:sz w:val="14"/>
          <w:szCs w:val="14"/>
        </w:rPr>
      </w:pPr>
    </w:p>
    <w:p>
      <w:pPr>
        <w:pStyle w:val="BodyText"/>
        <w:spacing w:line="408" w:lineRule="auto" w:before="0"/>
        <w:ind w:left="573" w:right="1046"/>
        <w:jc w:val="left"/>
      </w:pPr>
      <w:r>
        <w:rPr/>
        <w:t>③ 收购少数股权 </w:t>
      </w:r>
      <w:r>
        <w:rPr>
          <w:spacing w:val="-1"/>
        </w:rPr>
        <w:t>在编制合并财务报表时，因购买少数股权新增的长期股权投资与按照新增持股比例计算应享有子公司</w:t>
      </w:r>
    </w:p>
    <w:p>
      <w:pPr>
        <w:pStyle w:val="BodyText"/>
        <w:spacing w:line="408" w:lineRule="auto"/>
        <w:ind w:right="1046"/>
        <w:jc w:val="left"/>
      </w:pPr>
      <w:r>
        <w:rPr>
          <w:spacing w:val="-1"/>
        </w:rPr>
        <w:t>自购买日（或合并日）开始持续计算的净资产份额之间的差额，调整资本公积，资本公积不足冲减的，调</w:t>
      </w:r>
      <w:r>
        <w:rPr>
          <w:spacing w:val="-83"/>
        </w:rPr>
        <w:t> </w:t>
      </w:r>
      <w:r>
        <w:rPr>
          <w:spacing w:val="-83"/>
        </w:rPr>
      </w:r>
      <w:r>
        <w:rPr/>
        <w:t>整留存收益。</w:t>
      </w:r>
    </w:p>
    <w:p>
      <w:pPr>
        <w:pStyle w:val="BodyText"/>
        <w:spacing w:line="408" w:lineRule="auto"/>
        <w:ind w:left="573" w:right="1046"/>
        <w:jc w:val="left"/>
      </w:pPr>
      <w:r>
        <w:rPr/>
        <w:t>④ 处置长期股权投资 </w:t>
      </w:r>
      <w:r>
        <w:rPr>
          <w:spacing w:val="-1"/>
        </w:rPr>
        <w:t>在合并财务报表中，母公司在不丧失控制权的情况下部分处置对子公司的长期股权投资，处置价款与</w:t>
      </w:r>
    </w:p>
    <w:p>
      <w:pPr>
        <w:pStyle w:val="BodyText"/>
        <w:spacing w:line="408" w:lineRule="auto"/>
        <w:ind w:right="0"/>
        <w:jc w:val="left"/>
      </w:pPr>
      <w:r>
        <w:rPr/>
        <w:t>处置长期股权投资相对应享有子公司净资产的差额计入股东权益；母公司部分处置对子公司的长期股权投 </w:t>
      </w:r>
      <w:r>
        <w:rPr>
          <w:spacing w:val="-1"/>
        </w:rPr>
        <w:t>资导致丧失对子公司控制权的，按本附注五、</w:t>
      </w:r>
      <w:r>
        <w:rPr>
          <w:rFonts w:ascii="宋体" w:hAnsi="宋体" w:cs="宋体" w:eastAsia="宋体" w:hint="default"/>
          <w:spacing w:val="-1"/>
        </w:rPr>
        <w:t>6</w:t>
      </w:r>
      <w:r>
        <w:rPr>
          <w:spacing w:val="-1"/>
        </w:rPr>
        <w:t>“合并财务报表编制的方法”中所述的相关会计政策处理。</w:t>
      </w:r>
    </w:p>
    <w:p>
      <w:pPr>
        <w:pStyle w:val="BodyText"/>
        <w:spacing w:line="408" w:lineRule="auto"/>
        <w:ind w:right="1131" w:firstLine="420"/>
        <w:jc w:val="both"/>
      </w:pPr>
      <w:r>
        <w:rPr>
          <w:spacing w:val="-1"/>
        </w:rPr>
        <w:t>其他情形下的长期股权投资处置，对于处置的股权，其账面价值与实际取得价款的差额，计入当期损</w:t>
      </w:r>
      <w:r>
        <w:rPr/>
        <w:t> 益。</w:t>
      </w:r>
    </w:p>
    <w:p>
      <w:pPr>
        <w:pStyle w:val="BodyText"/>
        <w:spacing w:line="408" w:lineRule="auto"/>
        <w:ind w:left="154" w:right="1046" w:firstLine="420"/>
        <w:jc w:val="left"/>
      </w:pPr>
      <w:r>
        <w:rPr>
          <w:spacing w:val="-1"/>
        </w:rPr>
        <w:t>采用权益法核算的长期股权投资，处置后的剩余股权仍采用权益法核算的，在处置时将原计入股东权</w:t>
      </w:r>
      <w:r>
        <w:rPr/>
        <w:t> 益的其他综合收益部分按相应的比例采用与被投资单位直接处置相关资产或负债相同的基础进行会计处 </w:t>
      </w:r>
      <w:r>
        <w:rPr>
          <w:spacing w:val="-1"/>
        </w:rPr>
        <w:t>理。因被投资方除净损益、其他综合收益和利润分配以外的其他所有者权益变动而确认的所有者权益，按</w:t>
      </w:r>
      <w:r>
        <w:rPr>
          <w:spacing w:val="-83"/>
        </w:rPr>
        <w:t> </w:t>
      </w:r>
      <w:r>
        <w:rPr>
          <w:spacing w:val="-83"/>
        </w:rPr>
      </w:r>
      <w:r>
        <w:rPr/>
        <w:t>比例结转入当期损益。</w:t>
      </w:r>
    </w:p>
    <w:p>
      <w:pPr>
        <w:pStyle w:val="BodyText"/>
        <w:spacing w:line="408" w:lineRule="auto"/>
        <w:ind w:left="154" w:right="1131" w:firstLine="420"/>
        <w:jc w:val="both"/>
      </w:pPr>
      <w:r>
        <w:rPr>
          <w:spacing w:val="-1"/>
        </w:rPr>
        <w:t>采用成本法核算的长期股权投资，处置后剩余股权仍采用成本法核算的，其在取得对被投资单位的控</w:t>
      </w:r>
      <w:r>
        <w:rPr/>
        <w:t> </w:t>
      </w:r>
      <w:r>
        <w:rPr>
          <w:spacing w:val="-1"/>
        </w:rPr>
        <w:t>制之前因采用权益法核算或金融工具确认和计量准则核算而确认的其他综合收益，采用与被投资单位直接</w:t>
      </w:r>
      <w:r>
        <w:rPr>
          <w:spacing w:val="-81"/>
        </w:rPr>
        <w:t> </w:t>
      </w:r>
      <w:r>
        <w:rPr>
          <w:spacing w:val="-81"/>
        </w:rPr>
      </w:r>
      <w:r>
        <w:rPr>
          <w:spacing w:val="-1"/>
        </w:rPr>
        <w:t>处置相关资产或负债相同的基础进行会计处理，并按比例结转当期损益；因采用权益法核算而确认的被投</w:t>
      </w:r>
      <w:r>
        <w:rPr>
          <w:spacing w:val="-81"/>
        </w:rPr>
        <w:t> </w:t>
      </w:r>
      <w:r>
        <w:rPr>
          <w:spacing w:val="-81"/>
        </w:rPr>
      </w:r>
      <w:r>
        <w:rPr/>
        <w:t>资单位净资产中除净损益、其他综合收益和利润分配以外的其他所有者权益变动按比例结转当期损益。</w:t>
      </w:r>
    </w:p>
    <w:p>
      <w:pPr>
        <w:pStyle w:val="BodyText"/>
        <w:spacing w:line="408" w:lineRule="auto"/>
        <w:ind w:right="1131" w:firstLine="420"/>
        <w:jc w:val="both"/>
      </w:pPr>
      <w:r>
        <w:rPr>
          <w:spacing w:val="-1"/>
        </w:rPr>
        <w:t>本公司因处置部分股权投资丧失了对被投资单位的控制的，在编制个别财务报表时，处置后的剩余股</w:t>
      </w:r>
      <w:r>
        <w:rPr/>
        <w:t> </w:t>
      </w:r>
      <w:r>
        <w:rPr>
          <w:spacing w:val="-1"/>
        </w:rPr>
        <w:t>权能够对被投资单位实施共同控制或施加重大影响的，改按权益法核算，并对该剩余股权视同自取得时即</w:t>
      </w:r>
      <w:r>
        <w:rPr>
          <w:spacing w:val="-81"/>
        </w:rPr>
        <w:t> </w:t>
      </w:r>
      <w:r>
        <w:rPr>
          <w:spacing w:val="-81"/>
        </w:rPr>
      </w:r>
      <w:r>
        <w:rPr>
          <w:spacing w:val="-1"/>
        </w:rPr>
        <w:t>采用权益法核算进行调整；处置后的剩余股权不能对被投资单位实施共同控制或施加重大影响的，改按金</w:t>
      </w:r>
      <w:r>
        <w:rPr>
          <w:spacing w:val="-81"/>
        </w:rPr>
        <w:t> </w:t>
      </w:r>
      <w:r>
        <w:rPr>
          <w:spacing w:val="-81"/>
        </w:rPr>
      </w:r>
      <w:r>
        <w:rPr>
          <w:spacing w:val="-1"/>
        </w:rPr>
        <w:t>融工具确认和计量准则的有关规定进行会计处理，其在丧失控制之日的公允价值与账面价值之间的差额计</w:t>
      </w:r>
      <w:r>
        <w:rPr>
          <w:spacing w:val="-81"/>
        </w:rPr>
        <w:t> </w:t>
      </w:r>
      <w:r>
        <w:rPr>
          <w:spacing w:val="-81"/>
        </w:rPr>
      </w:r>
      <w:r>
        <w:rPr>
          <w:spacing w:val="-1"/>
        </w:rPr>
        <w:t>入当期损益。对于本公司取得对被投资单位的控制之前，因采用权益法核算或金融工具确认和计量准则核</w:t>
      </w:r>
      <w:r>
        <w:rPr>
          <w:spacing w:val="-81"/>
        </w:rPr>
        <w:t> </w:t>
      </w:r>
      <w:r>
        <w:rPr>
          <w:spacing w:val="-81"/>
        </w:rPr>
      </w:r>
      <w:r>
        <w:rPr>
          <w:spacing w:val="-1"/>
        </w:rPr>
        <w:t>算而确认的其他综合收益，在丧失对被投资单位控制时采用与被投资单位直接处置相关资产或负债相同的</w:t>
      </w:r>
      <w:r>
        <w:rPr>
          <w:spacing w:val="-81"/>
        </w:rPr>
        <w:t> </w:t>
      </w:r>
      <w:r>
        <w:rPr>
          <w:spacing w:val="-81"/>
        </w:rPr>
      </w:r>
      <w:r>
        <w:rPr>
          <w:spacing w:val="-1"/>
        </w:rPr>
        <w:t>基础进行会计处理，因采用权益法核算而确认的被投资单位净资产中除净损益、其他综合收益和利润分配</w:t>
      </w:r>
      <w:r>
        <w:rPr>
          <w:spacing w:val="-81"/>
        </w:rPr>
        <w:t> </w:t>
      </w:r>
      <w:r>
        <w:rPr>
          <w:spacing w:val="-81"/>
        </w:rPr>
      </w:r>
      <w:r>
        <w:rPr>
          <w:spacing w:val="-1"/>
        </w:rPr>
        <w:t>以外的其他所有者权益变动在丧失对被投资单位控制时结转入当期损益。其中，处置后的剩余股权采用权</w:t>
      </w:r>
      <w:r>
        <w:rPr>
          <w:spacing w:val="-81"/>
        </w:rPr>
        <w:t> </w:t>
      </w:r>
      <w:r>
        <w:rPr>
          <w:spacing w:val="-81"/>
        </w:rPr>
      </w:r>
      <w:r>
        <w:rPr>
          <w:spacing w:val="-1"/>
        </w:rPr>
        <w:t>益法核算的，其他综合收益和其他所有者权益按比例结转；处置后的剩余股权改按金融工具确认和计量准</w:t>
      </w:r>
      <w:r>
        <w:rPr>
          <w:spacing w:val="-81"/>
        </w:rPr>
        <w:t> </w:t>
      </w:r>
      <w:r>
        <w:rPr>
          <w:spacing w:val="-81"/>
        </w:rPr>
      </w:r>
      <w:r>
        <w:rPr/>
        <w:t>则进行会计处理的，其他综合收益和其他所有者权益全部结转。</w:t>
      </w:r>
    </w:p>
    <w:p>
      <w:pPr>
        <w:pStyle w:val="BodyText"/>
        <w:spacing w:line="240" w:lineRule="auto"/>
        <w:ind w:left="573" w:right="1046"/>
        <w:jc w:val="left"/>
      </w:pPr>
      <w:r>
        <w:rPr/>
        <w:t>本公司因处置部分股权投资丧失了对被投资单位的共同控制或重大影响的，处置后的剩余股权改按金</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融工具确认和计量准则核算，其在丧失共同控制或重大影响之日的公允价值与账面价值之间的差额计入当</w:t>
      </w:r>
      <w:r>
        <w:rPr>
          <w:spacing w:val="-81"/>
        </w:rPr>
        <w:t> </w:t>
      </w:r>
      <w:r>
        <w:rPr>
          <w:spacing w:val="-81"/>
        </w:rPr>
      </w:r>
      <w:r>
        <w:rPr>
          <w:spacing w:val="-1"/>
        </w:rPr>
        <w:t>期损益。原股权投资因采用权益法核算而确认的其他综合收益，在终止采用权益法核算时采用与被投资单</w:t>
      </w:r>
      <w:r>
        <w:rPr>
          <w:spacing w:val="-81"/>
        </w:rPr>
        <w:t> </w:t>
      </w:r>
      <w:r>
        <w:rPr>
          <w:spacing w:val="-81"/>
        </w:rPr>
      </w:r>
      <w:r>
        <w:rPr>
          <w:spacing w:val="-1"/>
        </w:rPr>
        <w:t>位直接处置相关资产或负债相同的基础进行会计处理，因被投资方除净损益、其他综合收益和利润分配以</w:t>
      </w:r>
      <w:r>
        <w:rPr>
          <w:spacing w:val="-81"/>
        </w:rPr>
        <w:t> </w:t>
      </w:r>
      <w:r>
        <w:rPr>
          <w:spacing w:val="-81"/>
        </w:rPr>
      </w:r>
      <w:r>
        <w:rPr/>
        <w:t>外的其他所有者权益变动而确认的所有者权益，在终止采用权益法时全部转入当期投资收益。</w:t>
      </w:r>
    </w:p>
    <w:p>
      <w:pPr>
        <w:pStyle w:val="BodyText"/>
        <w:spacing w:line="408" w:lineRule="auto"/>
        <w:ind w:right="1110" w:firstLine="420"/>
        <w:jc w:val="both"/>
      </w:pPr>
      <w:r>
        <w:rPr/>
        <w:t>本公司通过多次交易分步处置对子公司股权投资直至丧失控制权，如果上述交易属于一揽子交易的， </w:t>
      </w:r>
      <w:r>
        <w:rPr>
          <w:spacing w:val="-1"/>
        </w:rPr>
        <w:t>将各项交易作为一项处置子公司股权投资并丧失控制权的交易进行会计处理，在丧失控制权之前每一次处</w:t>
      </w:r>
      <w:r>
        <w:rPr>
          <w:spacing w:val="-81"/>
        </w:rPr>
        <w:t> </w:t>
      </w:r>
      <w:r>
        <w:rPr>
          <w:spacing w:val="-81"/>
        </w:rPr>
      </w:r>
      <w:r>
        <w:rPr>
          <w:spacing w:val="-1"/>
        </w:rPr>
        <w:t>置价款与所处置的股权对应的长期股权投资账面价值之间的差额，先确认为其他综合收益，到丧失控制权</w:t>
      </w:r>
      <w:r>
        <w:rPr>
          <w:spacing w:val="-81"/>
        </w:rPr>
        <w:t> </w:t>
      </w:r>
      <w:r>
        <w:rPr>
          <w:spacing w:val="-81"/>
        </w:rPr>
      </w:r>
      <w:r>
        <w:rPr/>
        <w:t>时再一并转入丧失控制权的当期损益。</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15、投资性房地产" w:id="176"/>
      <w:bookmarkEnd w:id="17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95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成本法计量 折旧或摊销方法</w:t>
      </w:r>
    </w:p>
    <w:p>
      <w:pPr>
        <w:pStyle w:val="BodyText"/>
        <w:spacing w:line="408" w:lineRule="auto" w:before="77"/>
        <w:ind w:left="154" w:right="1110" w:firstLine="420"/>
        <w:jc w:val="both"/>
      </w:pPr>
      <w:r>
        <w:rPr/>
        <w:t>投资性房地产是指为赚取租金或资本增值，或两者兼有而持有的房地产。包括已出租的土地使用权、 </w:t>
      </w:r>
      <w:r>
        <w:rPr>
          <w:spacing w:val="-1"/>
        </w:rPr>
        <w:t>持有并准备增值后转让的土地使用权、已出租的建筑物等。此外，对于本公司持有以备经营出租的空置建</w:t>
      </w:r>
      <w:r>
        <w:rPr>
          <w:spacing w:val="-83"/>
        </w:rPr>
        <w:t> </w:t>
      </w:r>
      <w:r>
        <w:rPr>
          <w:spacing w:val="-83"/>
        </w:rPr>
      </w:r>
      <w:r>
        <w:rPr>
          <w:spacing w:val="-1"/>
        </w:rPr>
        <w:t>筑物，若董事会（或类似机构）作出书面决议，明确表示将其用于经营出租且持有意图短期内不再发生变</w:t>
      </w:r>
      <w:r>
        <w:rPr>
          <w:spacing w:val="-86"/>
        </w:rPr>
        <w:t> </w:t>
      </w:r>
      <w:r>
        <w:rPr>
          <w:spacing w:val="-86"/>
        </w:rPr>
      </w:r>
      <w:r>
        <w:rPr/>
        <w:t>化的，也作为投资性房地产列报。</w:t>
      </w:r>
    </w:p>
    <w:p>
      <w:pPr>
        <w:pStyle w:val="BodyText"/>
        <w:spacing w:line="408" w:lineRule="auto"/>
        <w:ind w:left="154" w:right="1110" w:firstLine="420"/>
        <w:jc w:val="right"/>
      </w:pPr>
      <w:r>
        <w:rPr>
          <w:spacing w:val="-1"/>
        </w:rPr>
        <w:t>投资性房地产按成本进行初始计量。与投资性房地产有关的后续支出，如果与该资产有关的经济利益</w:t>
      </w:r>
      <w:r>
        <w:rPr/>
        <w:t> 很可能流入且其成本能可靠地计量，则计入投资性房地产成本。其他后续支出，在发生时计入当期损益。 </w:t>
      </w:r>
      <w:r>
        <w:rPr>
          <w:spacing w:val="-1"/>
        </w:rPr>
        <w:t>本公司采用成本模式对投资性房地产进行后续计量，并按照与房屋建筑物或土地使用权一致的政策进</w:t>
      </w:r>
    </w:p>
    <w:p>
      <w:pPr>
        <w:pStyle w:val="BodyText"/>
        <w:spacing w:line="408" w:lineRule="auto"/>
        <w:ind w:left="574" w:right="2352" w:hanging="420"/>
        <w:jc w:val="left"/>
      </w:pPr>
      <w:r>
        <w:rPr/>
        <w:t>行折旧或摊销。 投资性房地产的减值测试方法和减值准备计提方法详见附注四、</w:t>
      </w:r>
      <w:r>
        <w:rPr>
          <w:rFonts w:ascii="宋体" w:hAnsi="宋体" w:cs="宋体" w:eastAsia="宋体" w:hint="default"/>
        </w:rPr>
        <w:t>20</w:t>
      </w:r>
      <w:r>
        <w:rPr/>
        <w:t>“长期资产减值”。</w:t>
      </w:r>
    </w:p>
    <w:p>
      <w:pPr>
        <w:pStyle w:val="BodyText"/>
        <w:spacing w:line="408" w:lineRule="auto"/>
        <w:ind w:right="1132" w:firstLine="420"/>
        <w:jc w:val="both"/>
      </w:pPr>
      <w:r>
        <w:rPr>
          <w:spacing w:val="-1"/>
        </w:rPr>
        <w:t>自用房地产或存货转换为投资性房地产或投资性房地产转换为自用房地产时，按转换前的账面价值作</w:t>
      </w:r>
      <w:r>
        <w:rPr/>
        <w:t> 为转换后的入账价值。</w:t>
      </w:r>
    </w:p>
    <w:p>
      <w:pPr>
        <w:pStyle w:val="BodyText"/>
        <w:spacing w:line="408" w:lineRule="auto"/>
        <w:ind w:right="1110" w:firstLine="420"/>
        <w:jc w:val="both"/>
      </w:pPr>
      <w:r>
        <w:rPr/>
        <w:t>投资性房地产的用途改变为自用时，自改变之日起，将该投资性房地产转换为固定资产或无形资产。 </w:t>
      </w:r>
      <w:r>
        <w:rPr>
          <w:spacing w:val="-1"/>
        </w:rPr>
        <w:t>自用房地产的用途改变为赚取租金或资本增值时，自改变之日起，将固定资产或无形资产转换为投资性房</w:t>
      </w:r>
      <w:r>
        <w:rPr>
          <w:spacing w:val="-81"/>
        </w:rPr>
        <w:t> </w:t>
      </w:r>
      <w:r>
        <w:rPr>
          <w:spacing w:val="-81"/>
        </w:rPr>
      </w:r>
      <w:r>
        <w:rPr>
          <w:spacing w:val="-1"/>
        </w:rPr>
        <w:t>地产。发生转换时，转换为采用成本模式计量的投资性房地产的，以转换前的账面价值作为转换后的入账</w:t>
      </w:r>
      <w:r>
        <w:rPr>
          <w:spacing w:val="-83"/>
        </w:rPr>
        <w:t> </w:t>
      </w:r>
      <w:r>
        <w:rPr>
          <w:spacing w:val="-83"/>
        </w:rPr>
      </w:r>
      <w:r>
        <w:rPr/>
        <w:t>价值；转换为以公允价值模式计量的投资性房地产的，以转换日的公允价值作为转换后的入账价值。</w:t>
      </w:r>
    </w:p>
    <w:p>
      <w:pPr>
        <w:pStyle w:val="BodyText"/>
        <w:spacing w:line="408" w:lineRule="auto"/>
        <w:ind w:right="1131" w:firstLine="420"/>
        <w:jc w:val="both"/>
      </w:pPr>
      <w:r>
        <w:rPr>
          <w:spacing w:val="-1"/>
        </w:rPr>
        <w:t>当投资性房地产被处置、或者永久退出使用且预计不能从其处置中取得经济利益时，终止确认该项投</w:t>
      </w:r>
      <w:r>
        <w:rPr/>
        <w:t> </w:t>
      </w:r>
      <w:r>
        <w:rPr>
          <w:spacing w:val="-1"/>
        </w:rPr>
        <w:t>资性房地产。投资性房地产出售、转让、报废或毁损的处置收入扣除其账面价值和相关税费后计入当期损</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46"/>
        <w:jc w:val="left"/>
      </w:pPr>
      <w:r>
        <w:rPr/>
        <w:t>益。</w:t>
      </w:r>
    </w:p>
    <w:p>
      <w:pPr>
        <w:spacing w:line="240" w:lineRule="auto" w:before="0"/>
        <w:rPr>
          <w:rFonts w:ascii="宋体" w:hAnsi="宋体" w:cs="宋体" w:eastAsia="宋体" w:hint="default"/>
          <w:sz w:val="20"/>
          <w:szCs w:val="20"/>
        </w:rPr>
      </w:pPr>
    </w:p>
    <w:p>
      <w:pPr>
        <w:pStyle w:val="Heading3"/>
        <w:spacing w:line="240" w:lineRule="auto" w:before="154"/>
        <w:ind w:right="1046"/>
        <w:jc w:val="left"/>
        <w:rPr>
          <w:b w:val="0"/>
          <w:bCs w:val="0"/>
        </w:rPr>
      </w:pPr>
      <w:bookmarkStart w:name="16、固定资产" w:id="177"/>
      <w:bookmarkEnd w:id="17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6"/>
        <w:jc w:val="left"/>
        <w:rPr>
          <w:b w:val="0"/>
          <w:bCs w:val="0"/>
        </w:rPr>
      </w:pPr>
      <w:bookmarkStart w:name="（1）确认条件" w:id="178"/>
      <w:bookmarkEnd w:id="17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131" w:firstLine="420"/>
        <w:jc w:val="both"/>
      </w:pPr>
      <w:r>
        <w:rPr>
          <w:spacing w:val="-1"/>
        </w:rPr>
        <w:t>固定资产是指为生产商品、提供劳务、出租或经营管理而持有的，使用寿命超过一个会计年度的有形</w:t>
      </w:r>
      <w:r>
        <w:rPr/>
        <w:t> </w:t>
      </w:r>
      <w:r>
        <w:rPr>
          <w:spacing w:val="-1"/>
        </w:rPr>
        <w:t>资产。固定资产仅在与其有关的经济利益很可能流入本公司，且其成本能够可靠地计量时才予以确认。固</w:t>
      </w:r>
      <w:r>
        <w:rPr>
          <w:spacing w:val="-83"/>
        </w:rPr>
        <w:t> </w:t>
      </w:r>
      <w:r>
        <w:rPr>
          <w:spacing w:val="-83"/>
        </w:rPr>
      </w:r>
      <w:r>
        <w:rPr/>
        <w:t>定资产按成本并考虑预计弃置费用因素的影响进行初始计量。</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2）折旧方法" w:id="179"/>
      <w:bookmarkEnd w:id="17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2.71%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31.67-19</w:t>
            </w:r>
          </w:p>
        </w:tc>
      </w:tr>
    </w:tbl>
    <w:p>
      <w:pPr>
        <w:spacing w:line="240" w:lineRule="auto" w:before="3"/>
        <w:rPr>
          <w:rFonts w:ascii="宋体" w:hAnsi="宋体" w:cs="宋体" w:eastAsia="宋体" w:hint="default"/>
          <w:b/>
          <w:bCs/>
          <w:sz w:val="19"/>
          <w:szCs w:val="19"/>
        </w:rPr>
      </w:pPr>
    </w:p>
    <w:p>
      <w:pPr>
        <w:pStyle w:val="Heading3"/>
        <w:spacing w:line="240" w:lineRule="auto" w:before="35"/>
        <w:ind w:right="1046"/>
        <w:jc w:val="left"/>
        <w:rPr>
          <w:b w:val="0"/>
          <w:bCs w:val="0"/>
        </w:rPr>
      </w:pPr>
      <w:bookmarkStart w:name="（3）融资租入固定资产的认定依据、计价和折旧方法" w:id="180"/>
      <w:bookmarkEnd w:id="18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130" w:firstLine="420"/>
        <w:jc w:val="both"/>
      </w:pPr>
      <w:r>
        <w:rPr>
          <w:spacing w:val="-1"/>
        </w:rPr>
        <w:t>融资租赁为实质上转移了与资产所有权有关的全部风险和报酬的租赁，其所有权最终可能转移，也可</w:t>
      </w:r>
      <w:r>
        <w:rPr/>
        <w:t> </w:t>
      </w:r>
      <w:r>
        <w:rPr>
          <w:spacing w:val="-1"/>
        </w:rPr>
        <w:t>能不转移。以融资租赁方式租入的固定资产采用与自有固定资产一致的政策计提租赁资产折旧。能够合理</w:t>
      </w:r>
      <w:r>
        <w:rPr>
          <w:spacing w:val="-81"/>
        </w:rPr>
        <w:t> </w:t>
      </w:r>
      <w:r>
        <w:rPr>
          <w:spacing w:val="-81"/>
        </w:rPr>
      </w:r>
      <w:r>
        <w:rPr>
          <w:spacing w:val="-1"/>
        </w:rPr>
        <w:t>确定租赁期届满时取得租赁资产所有权的在租赁资产使用寿命内计提折旧，无法合理确定租赁期届满能够</w:t>
      </w:r>
      <w:r>
        <w:rPr>
          <w:spacing w:val="-81"/>
        </w:rPr>
        <w:t> </w:t>
      </w:r>
      <w:r>
        <w:rPr>
          <w:spacing w:val="-81"/>
        </w:rPr>
      </w:r>
      <w:r>
        <w:rPr/>
        <w:t>取得租赁资产所有权的，在租赁期与租赁资产使用寿命两者中较短的期间内计提折旧。</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17、在建工程" w:id="181"/>
      <w:bookmarkEnd w:id="18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131" w:firstLine="420"/>
        <w:jc w:val="both"/>
      </w:pPr>
      <w:r>
        <w:rPr>
          <w:spacing w:val="-1"/>
        </w:rPr>
        <w:t>在建工程成本按实际工程支出确定，包括在建期间发生的各项工程支出、工程达到预定可使用状态前</w:t>
      </w:r>
      <w:r>
        <w:rPr/>
        <w:t> 的资本化的借款费用以及其他相关费用等。在建工程在达到预定可使用状态后结转为固定资产。</w:t>
      </w:r>
    </w:p>
    <w:p>
      <w:pPr>
        <w:pStyle w:val="BodyText"/>
        <w:spacing w:line="240" w:lineRule="auto"/>
        <w:ind w:left="573" w:right="1046"/>
        <w:jc w:val="left"/>
      </w:pPr>
      <w:r>
        <w:rPr/>
        <w:t>在建工程的减值测试方法和减值准备计提方法详见附注五、</w:t>
      </w:r>
      <w:r>
        <w:rPr>
          <w:rFonts w:ascii="宋体" w:hAnsi="宋体" w:cs="宋体" w:eastAsia="宋体" w:hint="default"/>
        </w:rPr>
        <w:t>20</w:t>
      </w:r>
      <w:r>
        <w:rPr/>
        <w:t>“长期资产减值”。</w:t>
      </w:r>
    </w:p>
    <w:p>
      <w:pPr>
        <w:spacing w:line="240" w:lineRule="auto" w:before="0"/>
        <w:rPr>
          <w:rFonts w:ascii="宋体" w:hAnsi="宋体" w:cs="宋体" w:eastAsia="宋体" w:hint="default"/>
          <w:sz w:val="20"/>
          <w:szCs w:val="20"/>
        </w:rPr>
      </w:pPr>
    </w:p>
    <w:p>
      <w:pPr>
        <w:pStyle w:val="Heading3"/>
        <w:spacing w:line="240" w:lineRule="auto" w:before="154"/>
        <w:ind w:left="153" w:right="1046"/>
        <w:jc w:val="left"/>
        <w:rPr>
          <w:b w:val="0"/>
          <w:bCs w:val="0"/>
        </w:rPr>
      </w:pPr>
      <w:bookmarkStart w:name="18、借款费用" w:id="182"/>
      <w:bookmarkEnd w:id="18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131" w:firstLine="420"/>
        <w:jc w:val="both"/>
      </w:pPr>
      <w:r>
        <w:rPr>
          <w:spacing w:val="-1"/>
        </w:rPr>
        <w:t>借款费用包括借款利息、折价或溢价的摊销、辅助费用以及因外币借款而发生的汇兑差额等。可直接</w:t>
      </w:r>
      <w:r>
        <w:rPr/>
        <w:t> </w:t>
      </w:r>
      <w:r>
        <w:rPr>
          <w:spacing w:val="-1"/>
        </w:rPr>
        <w:t>归属于符合资本化条件的资产的购建或者生产的借款费用，在资产支出已经发生、借款费用已经发生、为</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使资产达到预定可使用或可销售状态所必要的购建或生产活动已经开始时，开始资本化；构建或者生产的</w:t>
      </w:r>
      <w:r>
        <w:rPr>
          <w:spacing w:val="-81"/>
        </w:rPr>
        <w:t> </w:t>
      </w:r>
      <w:r>
        <w:rPr>
          <w:spacing w:val="-81"/>
        </w:rPr>
      </w:r>
      <w:r>
        <w:rPr>
          <w:spacing w:val="-1"/>
        </w:rPr>
        <w:t>符合资本化条件的资产达到预定可使用状态或者可销售状态时，停止资本化。其余借款费用在发生当期确</w:t>
      </w:r>
      <w:r>
        <w:rPr>
          <w:spacing w:val="-81"/>
        </w:rPr>
        <w:t> </w:t>
      </w:r>
      <w:r>
        <w:rPr>
          <w:spacing w:val="-81"/>
        </w:rPr>
      </w:r>
      <w:r>
        <w:rPr/>
        <w:t>认为费用。</w:t>
      </w:r>
    </w:p>
    <w:p>
      <w:pPr>
        <w:pStyle w:val="BodyText"/>
        <w:spacing w:line="408" w:lineRule="auto"/>
        <w:ind w:right="1131" w:firstLine="420"/>
        <w:jc w:val="both"/>
      </w:pPr>
      <w:r>
        <w:rPr>
          <w:spacing w:val="-1"/>
        </w:rPr>
        <w:t>专门借款当期实际发生的利息费用，减去尚未动用的借款资金存入银行取得的利息收入或进行暂时性</w:t>
      </w:r>
      <w:r>
        <w:rPr/>
        <w:t> </w:t>
      </w:r>
      <w:r>
        <w:rPr>
          <w:spacing w:val="-1"/>
        </w:rPr>
        <w:t>投资取得的投资收益后的金额予以资本化；一般借款根据累计资产支出超过专门借款部分的资产支出加权</w:t>
      </w:r>
      <w:r>
        <w:rPr>
          <w:spacing w:val="-81"/>
        </w:rPr>
        <w:t> </w:t>
      </w:r>
      <w:r>
        <w:rPr>
          <w:spacing w:val="-81"/>
        </w:rPr>
      </w:r>
      <w:r>
        <w:rPr>
          <w:spacing w:val="-1"/>
        </w:rPr>
        <w:t>平均数乘以所占用一般借款的资本化率，确定资本化金额。资本化率根据一般借款的加权平均利率计算确</w:t>
      </w:r>
      <w:r>
        <w:rPr>
          <w:spacing w:val="-81"/>
        </w:rPr>
        <w:t> </w:t>
      </w:r>
      <w:r>
        <w:rPr>
          <w:spacing w:val="-81"/>
        </w:rPr>
      </w:r>
      <w:r>
        <w:rPr/>
        <w:t>定。</w:t>
      </w:r>
    </w:p>
    <w:p>
      <w:pPr>
        <w:pStyle w:val="BodyText"/>
        <w:spacing w:line="408" w:lineRule="auto"/>
        <w:ind w:left="574" w:right="1092"/>
        <w:jc w:val="left"/>
      </w:pPr>
      <w:r>
        <w:rPr/>
        <w:t>资本化期间内，外币专门借款的汇兑差额全部予以资本化；外币一般借款的汇兑差额计入当期损益。 符合资本化条件的资产指需要经过相当长时间的购建或者生产活动才能达到预定可使用或可销售状</w:t>
      </w:r>
    </w:p>
    <w:p>
      <w:pPr>
        <w:pStyle w:val="BodyText"/>
        <w:spacing w:line="408" w:lineRule="auto"/>
        <w:ind w:left="574" w:right="1091" w:hanging="420"/>
        <w:jc w:val="left"/>
      </w:pPr>
      <w:r>
        <w:rPr/>
        <w:t>态的固定资产、投资性房地产和存货等资产。 如果符合资本化条件的资产在购建或生产过程中发生非正常中断、并且中断时间连续超过</w:t>
      </w:r>
      <w:r>
        <w:rPr>
          <w:spacing w:val="-51"/>
        </w:rPr>
        <w:t> </w:t>
      </w:r>
      <w:r>
        <w:rPr>
          <w:rFonts w:ascii="宋体" w:hAnsi="宋体" w:cs="宋体" w:eastAsia="宋体" w:hint="default"/>
        </w:rPr>
        <w:t>3</w:t>
      </w:r>
      <w:r>
        <w:rPr>
          <w:rFonts w:ascii="宋体" w:hAnsi="宋体" w:cs="宋体" w:eastAsia="宋体" w:hint="default"/>
          <w:spacing w:val="-53"/>
        </w:rPr>
        <w:t> </w:t>
      </w:r>
      <w:r>
        <w:rPr/>
        <w:t>个月的，</w:t>
      </w:r>
    </w:p>
    <w:p>
      <w:pPr>
        <w:pStyle w:val="BodyText"/>
        <w:spacing w:line="240" w:lineRule="auto"/>
        <w:ind w:right="1046"/>
        <w:jc w:val="left"/>
      </w:pPr>
      <w:r>
        <w:rPr/>
        <w:t>暂停借款费用的资本化，直至资产的购建或生产活动重新开始。</w:t>
      </w:r>
    </w:p>
    <w:p>
      <w:pPr>
        <w:spacing w:line="240" w:lineRule="auto" w:before="0"/>
        <w:rPr>
          <w:rFonts w:ascii="宋体" w:hAnsi="宋体" w:cs="宋体" w:eastAsia="宋体" w:hint="default"/>
          <w:sz w:val="20"/>
          <w:szCs w:val="20"/>
        </w:rPr>
      </w:pPr>
    </w:p>
    <w:p>
      <w:pPr>
        <w:pStyle w:val="Heading3"/>
        <w:spacing w:line="240" w:lineRule="auto" w:before="154"/>
        <w:ind w:left="153" w:right="1046"/>
        <w:jc w:val="left"/>
        <w:rPr>
          <w:b w:val="0"/>
          <w:bCs w:val="0"/>
        </w:rPr>
      </w:pPr>
      <w:bookmarkStart w:name="19、无形资产" w:id="183"/>
      <w:bookmarkEnd w:id="183"/>
      <w:r>
        <w:rPr>
          <w:b w:val="0"/>
          <w:bCs w:val="0"/>
        </w:rPr>
      </w:r>
      <w:r>
        <w:rPr>
          <w:rFonts w:ascii="Times New Roman" w:hAnsi="Times New Roman" w:cs="Times New Roman" w:eastAsia="Times New Roman" w:hint="default"/>
        </w:rPr>
        <w:t>19</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计价方法、使用寿命、减值测试" w:id="184"/>
      <w:bookmarkEnd w:id="184"/>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3" w:right="1046"/>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w:t>
      </w:r>
    </w:p>
    <w:p>
      <w:pPr>
        <w:pStyle w:val="BodyText"/>
        <w:spacing w:line="408" w:lineRule="auto"/>
        <w:ind w:left="573" w:right="1046" w:hanging="420"/>
        <w:jc w:val="left"/>
      </w:pPr>
      <w:r>
        <w:rPr/>
        <w:t>成本能可靠地计量，则计入无形资产成本。除此以外的其他项目的支出，在发生时计入当期损益。 </w:t>
      </w:r>
      <w:r>
        <w:rPr>
          <w:spacing w:val="-1"/>
        </w:rPr>
        <w:t>取得的土地使用权通常作为无形资产核算。自行开发建造厂房等建筑物，相关的土地使用权支出和建</w:t>
      </w:r>
    </w:p>
    <w:p>
      <w:pPr>
        <w:pStyle w:val="BodyText"/>
        <w:spacing w:line="408" w:lineRule="auto"/>
        <w:ind w:right="1131"/>
        <w:jc w:val="both"/>
      </w:pPr>
      <w:r>
        <w:rPr>
          <w:spacing w:val="-1"/>
        </w:rPr>
        <w:t>筑物建造成本则分别作为无形资产和固定资产核算。如为外购的房屋及建筑物，则将有关价款在土地使用</w:t>
      </w:r>
      <w:r>
        <w:rPr>
          <w:spacing w:val="-81"/>
        </w:rPr>
        <w:t> </w:t>
      </w:r>
      <w:r>
        <w:rPr>
          <w:spacing w:val="-81"/>
        </w:rPr>
      </w:r>
      <w:r>
        <w:rPr/>
        <w:t>权和建筑物之间进行分配，难以合理分配的，全部作为固定资产处理。</w:t>
      </w:r>
    </w:p>
    <w:p>
      <w:pPr>
        <w:pStyle w:val="BodyText"/>
        <w:spacing w:line="408" w:lineRule="auto"/>
        <w:ind w:right="1132" w:firstLine="420"/>
        <w:jc w:val="both"/>
      </w:pPr>
      <w:r>
        <w:rPr>
          <w:spacing w:val="-1"/>
        </w:rPr>
        <w:t>使用寿命有限的无形资产自可供使用时起，对其原值减去预计净残值和已计提的减值准备累计金额在</w:t>
      </w:r>
      <w:r>
        <w:rPr/>
        <w:t> 其预计使用寿命内采用直线法分期平均摊销。使用寿命不确定的无形资产不予摊销。</w:t>
      </w:r>
    </w:p>
    <w:p>
      <w:pPr>
        <w:pStyle w:val="BodyText"/>
        <w:spacing w:line="408" w:lineRule="auto"/>
        <w:ind w:right="1046" w:firstLine="526"/>
        <w:jc w:val="left"/>
      </w:pPr>
      <w:r>
        <w:rPr/>
        <w:t>期末，对使用寿命有限的无形资产的使用寿命和摊销方法进行复核，如发生变更则作为会计估计变 </w:t>
      </w:r>
      <w:r>
        <w:rPr>
          <w:spacing w:val="-1"/>
        </w:rPr>
        <w:t>更处理。此外，还对使用寿命不确定的无形资产的使用寿命进行复核，如果有证据表明该无形资产为企业</w:t>
      </w:r>
      <w:r>
        <w:rPr>
          <w:spacing w:val="-83"/>
        </w:rPr>
        <w:t> </w:t>
      </w:r>
      <w:r>
        <w:rPr>
          <w:spacing w:val="-83"/>
        </w:rPr>
      </w:r>
      <w:r>
        <w:rPr/>
        <w:t>带来经济利益的期限是可预见的，则估计其使用寿命并按照使用寿命有限的无形资产的摊销政策进行摊</w:t>
      </w:r>
      <w:r>
        <w:rPr/>
        <w:t> 销。</w:t>
      </w:r>
    </w:p>
    <w:p>
      <w:pPr>
        <w:pStyle w:val="BodyText"/>
        <w:spacing w:line="240" w:lineRule="auto"/>
        <w:ind w:left="680" w:right="1046"/>
        <w:jc w:val="left"/>
      </w:pPr>
      <w:r>
        <w:rPr/>
        <w:t>无形资产的减值测试方法和减值准备计提方法详见附注五、</w:t>
      </w:r>
      <w:r>
        <w:rPr>
          <w:rFonts w:ascii="宋体" w:hAnsi="宋体" w:cs="宋体" w:eastAsia="宋体" w:hint="default"/>
        </w:rPr>
        <w:t>20</w:t>
      </w:r>
      <w:r>
        <w:rPr/>
        <w:t>“长期资产减值”。</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2）内部研究开发支出会计政策" w:id="185"/>
      <w:bookmarkEnd w:id="185"/>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3" w:right="1046"/>
        <w:jc w:val="left"/>
      </w:pPr>
      <w:r>
        <w:rPr/>
        <w:t>本公司内部研究开发项目的支出分为研究阶段支出与开发阶段支出。 研究阶段的支出，于发生时计入当期损益。 </w:t>
      </w:r>
      <w:r>
        <w:rPr>
          <w:spacing w:val="-1"/>
        </w:rPr>
        <w:t>开发阶段的支出同时满足下列条件的，确认为无形资产，不能满足下述条件的开发阶段的支出计入当</w:t>
      </w:r>
    </w:p>
    <w:p>
      <w:pPr>
        <w:pStyle w:val="BodyText"/>
        <w:spacing w:line="240" w:lineRule="auto"/>
        <w:ind w:right="1046"/>
        <w:jc w:val="left"/>
      </w:pPr>
      <w:r>
        <w:rPr/>
        <w:t>期损益：</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①</w:t>
      </w:r>
      <w:r>
        <w:rPr>
          <w:spacing w:val="-1"/>
        </w:rPr>
        <w:t> </w:t>
      </w:r>
      <w:r>
        <w:rPr/>
        <w:t>完成该无形资产以使其能够使用或出售在技术上具有可行性；</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②</w:t>
      </w:r>
      <w:r>
        <w:rPr>
          <w:spacing w:val="-1"/>
        </w:rPr>
        <w:t> </w:t>
      </w:r>
      <w:r>
        <w:rPr/>
        <w:t>具有完成该无形资产并使用或出售的意图；</w:t>
      </w:r>
    </w:p>
    <w:p>
      <w:pPr>
        <w:spacing w:line="240" w:lineRule="auto" w:before="10"/>
        <w:rPr>
          <w:rFonts w:ascii="宋体" w:hAnsi="宋体" w:cs="宋体" w:eastAsia="宋体" w:hint="default"/>
          <w:sz w:val="14"/>
          <w:szCs w:val="14"/>
        </w:rPr>
      </w:pPr>
    </w:p>
    <w:p>
      <w:pPr>
        <w:pStyle w:val="BodyText"/>
        <w:spacing w:line="408" w:lineRule="auto" w:before="0"/>
        <w:ind w:right="1199" w:firstLine="420"/>
        <w:jc w:val="left"/>
      </w:pPr>
      <w:r>
        <w:rPr/>
        <w:t>③</w:t>
      </w:r>
      <w:r>
        <w:rPr>
          <w:spacing w:val="-1"/>
        </w:rPr>
        <w:t> </w:t>
      </w:r>
      <w:r>
        <w:rPr/>
        <w:t>无形资产产生经济利益的方式，包括能够证明运用该无形资产生产的产品存在市场或无形资产自</w:t>
      </w:r>
      <w:r>
        <w:rPr/>
        <w:t> 身存在市场，无形资产将在内部使用的，能够证明其有用性；</w:t>
      </w:r>
    </w:p>
    <w:p>
      <w:pPr>
        <w:pStyle w:val="BodyText"/>
        <w:spacing w:line="408" w:lineRule="auto"/>
        <w:ind w:right="1199" w:firstLine="420"/>
        <w:jc w:val="left"/>
      </w:pPr>
      <w:r>
        <w:rPr/>
        <w:t>④</w:t>
      </w:r>
      <w:r>
        <w:rPr>
          <w:spacing w:val="-1"/>
        </w:rPr>
        <w:t> </w:t>
      </w:r>
      <w:r>
        <w:rPr/>
        <w:t>有足够的技术、财务资源和其他资源支持，以完成该无形资产的开发，并有能力使用或出售该无</w:t>
      </w:r>
      <w:r>
        <w:rPr/>
        <w:t> 形资产；</w:t>
      </w:r>
    </w:p>
    <w:p>
      <w:pPr>
        <w:pStyle w:val="BodyText"/>
        <w:spacing w:line="408" w:lineRule="auto"/>
        <w:ind w:left="574" w:right="2772"/>
        <w:jc w:val="left"/>
      </w:pPr>
      <w:r>
        <w:rPr/>
        <w:t>⑤ 归属于该无形资产开发阶段的支出能够可靠地计量。 无法区分研究阶段支出和开发阶段支出的，将发生的研发支出全部计入当期损益。</w:t>
      </w:r>
    </w:p>
    <w:p>
      <w:pPr>
        <w:spacing w:line="240" w:lineRule="auto" w:before="8"/>
        <w:rPr>
          <w:rFonts w:ascii="宋体" w:hAnsi="宋体" w:cs="宋体" w:eastAsia="宋体" w:hint="default"/>
          <w:sz w:val="20"/>
          <w:szCs w:val="20"/>
        </w:rPr>
      </w:pPr>
    </w:p>
    <w:p>
      <w:pPr>
        <w:pStyle w:val="Heading3"/>
        <w:spacing w:line="240" w:lineRule="auto"/>
        <w:ind w:right="1046"/>
        <w:jc w:val="left"/>
        <w:rPr>
          <w:b w:val="0"/>
          <w:bCs w:val="0"/>
        </w:rPr>
      </w:pPr>
      <w:bookmarkStart w:name="20、长期资产减值" w:id="186"/>
      <w:bookmarkEnd w:id="186"/>
      <w:r>
        <w:rPr>
          <w:b w:val="0"/>
          <w:bCs w:val="0"/>
        </w:rPr>
      </w:r>
      <w:r>
        <w:rPr>
          <w:rFonts w:ascii="Times New Roman" w:hAnsi="Times New Roman" w:cs="Times New Roman" w:eastAsia="Times New Roman" w:hint="default"/>
        </w:rPr>
        <w:t>20</w:t>
      </w:r>
      <w:r>
        <w:rPr/>
        <w:t>、长期资产减值</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023" w:firstLine="420"/>
        <w:jc w:val="left"/>
      </w:pPr>
      <w:r>
        <w:rPr/>
        <w:t>对于固定资产、在建工程、使用寿命有限的无形资产、以成本模式计量的投资性房地产及对子公司、 </w:t>
      </w:r>
      <w:r>
        <w:rPr>
          <w:spacing w:val="-3"/>
        </w:rPr>
        <w:t>合营企业、联营企业的长期股权投资等非流动非金融资产，本公司于资产负债表日判断是否存在减值迹象。</w:t>
      </w:r>
      <w:r>
        <w:rPr>
          <w:spacing w:val="-92"/>
        </w:rPr>
        <w:t> </w:t>
      </w:r>
      <w:r>
        <w:rPr>
          <w:spacing w:val="-92"/>
        </w:rPr>
      </w:r>
      <w:r>
        <w:rPr/>
        <w:t>如存在减值迹象的，则估计其可收回金额，进行减值测试。商誉、使用寿命不确定的无形资产和尚未达到</w:t>
      </w:r>
      <w:r>
        <w:rPr/>
        <w:t> 可使用状态的无形资产，无论是否存在减值迹象，每年均进行减值测试。</w:t>
      </w:r>
    </w:p>
    <w:p>
      <w:pPr>
        <w:pStyle w:val="BodyText"/>
        <w:spacing w:line="408" w:lineRule="auto"/>
        <w:ind w:right="1110" w:firstLine="42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pStyle w:val="BodyText"/>
        <w:spacing w:line="240" w:lineRule="auto"/>
        <w:ind w:left="574" w:right="1046"/>
        <w:jc w:val="left"/>
      </w:pPr>
      <w:r>
        <w:rPr/>
        <w:t>在财务报表中单独列示的商誉，在进行减值测试时，将商誉的账面价值分摊至预期从企业合并的协同</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ind w:left="573" w:right="1046"/>
        <w:jc w:val="left"/>
      </w:pPr>
      <w:r>
        <w:rPr/>
        <w:t>上述资产减值损失一经确认，以后期间不予转回价值得以恢复的部分。</w:t>
      </w:r>
    </w:p>
    <w:p>
      <w:pPr>
        <w:spacing w:line="240" w:lineRule="auto" w:before="0"/>
        <w:rPr>
          <w:rFonts w:ascii="宋体" w:hAnsi="宋体" w:cs="宋体" w:eastAsia="宋体" w:hint="default"/>
          <w:sz w:val="20"/>
          <w:szCs w:val="20"/>
        </w:rPr>
      </w:pPr>
    </w:p>
    <w:p>
      <w:pPr>
        <w:pStyle w:val="Heading3"/>
        <w:spacing w:line="240" w:lineRule="auto" w:before="154"/>
        <w:ind w:left="153" w:right="0"/>
        <w:jc w:val="both"/>
        <w:rPr>
          <w:b w:val="0"/>
          <w:bCs w:val="0"/>
        </w:rPr>
      </w:pPr>
      <w:bookmarkStart w:name="21、长期待摊费用" w:id="187"/>
      <w:bookmarkEnd w:id="187"/>
      <w:r>
        <w:rPr>
          <w:b w:val="0"/>
          <w:bCs w:val="0"/>
        </w:rPr>
      </w:r>
      <w:r>
        <w:rPr>
          <w:rFonts w:ascii="Times New Roman" w:hAnsi="Times New Roman" w:cs="Times New Roman" w:eastAsia="Times New Roman" w:hint="default"/>
        </w:rPr>
        <w:t>21</w:t>
      </w:r>
      <w:r>
        <w:rPr/>
        <w:t>、长期待摊费用</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3" w:right="1046"/>
        <w:jc w:val="left"/>
      </w:pPr>
      <w:r>
        <w:rPr/>
        <w:t>长期待摊费用为已经发生但应由报告期和以后各期负担的分摊期限在一年以上的各项费用。 </w:t>
      </w:r>
      <w:r>
        <w:rPr>
          <w:spacing w:val="-1"/>
        </w:rPr>
        <w:t>长期待摊费用在取得时按照实际成本计价，开办费在发生时计入当期损益；经营性租赁固定资产的装</w:t>
      </w:r>
    </w:p>
    <w:p>
      <w:pPr>
        <w:pStyle w:val="BodyText"/>
        <w:spacing w:line="408" w:lineRule="auto"/>
        <w:ind w:right="1110"/>
        <w:jc w:val="both"/>
      </w:pPr>
      <w:r>
        <w:rPr/>
        <w:t>修费用在两次装修期和租赁期两者较低年限进行平均摊销，其他长期待摊费用按项目的受益期平均摊销。 </w:t>
      </w:r>
      <w:r>
        <w:rPr>
          <w:spacing w:val="-1"/>
        </w:rPr>
        <w:t>对于在以后会计期间已无法带来预期经济利益的长期待摊费用，本公司对其尚未摊销的摊余价值全部转入</w:t>
      </w:r>
      <w:r>
        <w:rPr>
          <w:spacing w:val="-81"/>
        </w:rPr>
        <w:t> </w:t>
      </w:r>
      <w:r>
        <w:rPr>
          <w:spacing w:val="-81"/>
        </w:rPr>
      </w:r>
      <w:r>
        <w:rPr/>
        <w:t>当期损益。</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22、职工薪酬" w:id="188"/>
      <w:bookmarkEnd w:id="188"/>
      <w:r>
        <w:rPr>
          <w:b w:val="0"/>
          <w:bCs w:val="0"/>
        </w:rPr>
      </w:r>
      <w:r>
        <w:rPr>
          <w:rFonts w:ascii="Times New Roman" w:hAnsi="Times New Roman" w:cs="Times New Roman" w:eastAsia="Times New Roman" w:hint="default"/>
        </w:rPr>
        <w:t>22</w:t>
      </w:r>
      <w:r>
        <w:rPr/>
        <w:t>、职工薪酬</w:t>
      </w:r>
      <w:r>
        <w:rPr>
          <w:b w:val="0"/>
          <w:bCs w:val="0"/>
        </w:rPr>
      </w:r>
    </w:p>
    <w:p>
      <w:pPr>
        <w:spacing w:line="690" w:lineRule="exact" w:before="15"/>
        <w:ind w:left="574" w:right="1092" w:hanging="420"/>
        <w:jc w:val="left"/>
        <w:rPr>
          <w:rFonts w:ascii="宋体" w:hAnsi="宋体" w:cs="宋体" w:eastAsia="宋体" w:hint="default"/>
          <w:sz w:val="21"/>
          <w:szCs w:val="21"/>
        </w:rPr>
      </w:pPr>
      <w:bookmarkStart w:name="（1）短期薪酬的会计处理方法" w:id="189"/>
      <w:bookmarkEnd w:id="18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z w:val="21"/>
          <w:szCs w:val="21"/>
        </w:rPr>
        <w:t>短期薪酬主要包括工资、奖金、津贴和补贴、职工福利费、医疗保险费、生育保险费、工伤保险费、</w:t>
      </w:r>
    </w:p>
    <w:p>
      <w:pPr>
        <w:pStyle w:val="BodyText"/>
        <w:spacing w:line="408" w:lineRule="auto" w:before="84"/>
        <w:ind w:left="154" w:right="1131"/>
        <w:jc w:val="both"/>
      </w:pPr>
      <w:r>
        <w:rPr>
          <w:spacing w:val="-1"/>
        </w:rPr>
        <w:t>住房公积金、工会经费和职工教育经费、非货币性福利等。本公司在职工为本公司提供服务的会计期间将</w:t>
      </w:r>
      <w:r>
        <w:rPr>
          <w:spacing w:val="-83"/>
        </w:rPr>
        <w:t> </w:t>
      </w:r>
      <w:r>
        <w:rPr>
          <w:spacing w:val="-83"/>
        </w:rPr>
      </w:r>
      <w:r>
        <w:rPr>
          <w:spacing w:val="-1"/>
        </w:rPr>
        <w:t>实际发生的短期职工薪酬确认为负债，并计入当期损益或相关资产成本。其中非货币性福利按公允价值计</w:t>
      </w:r>
      <w:r>
        <w:rPr>
          <w:spacing w:val="-81"/>
        </w:rPr>
        <w:t> </w:t>
      </w:r>
      <w:r>
        <w:rPr>
          <w:spacing w:val="-81"/>
        </w:rPr>
      </w:r>
      <w:r>
        <w:rPr/>
        <w:t>量。</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离职后福利的会计处理方法" w:id="190"/>
      <w:bookmarkEnd w:id="190"/>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046" w:firstLine="420"/>
        <w:jc w:val="left"/>
      </w:pPr>
      <w:r>
        <w:rPr>
          <w:spacing w:val="-1"/>
        </w:rPr>
        <w:t>离职后福利主要包括设定提存计划及设定受益计划。其中设定提存计划主要包括基本养老保险、失业</w:t>
      </w:r>
      <w:r>
        <w:rPr/>
        <w:t> 保险以及年金等，相应的应缴存金额于发生时计入相关资产成本或当期损益。</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3）辞退福利的会计处理方法" w:id="191"/>
      <w:bookmarkEnd w:id="191"/>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046" w:firstLine="420"/>
        <w:jc w:val="left"/>
      </w:pPr>
      <w:r>
        <w:rPr/>
        <w:t>在职工劳动合同到期之前解除与职工的劳动关系，或为鼓励职工自愿接受裁减而提出给予补偿的建 </w:t>
      </w:r>
      <w:r>
        <w:rPr>
          <w:spacing w:val="-1"/>
        </w:rPr>
        <w:t>议，在本公司不能单方面撤回因解除劳动关系计划或裁减建议所提供的辞退福利时，和本公司确认与涉及</w:t>
      </w:r>
      <w:r>
        <w:rPr>
          <w:spacing w:val="-81"/>
        </w:rPr>
        <w:t> </w:t>
      </w:r>
      <w:r>
        <w:rPr>
          <w:spacing w:val="-81"/>
        </w:rPr>
      </w:r>
      <w:r>
        <w:rPr>
          <w:spacing w:val="-1"/>
        </w:rPr>
        <w:t>支付辞退福利的重组相关的成本两者孰早日，确认辞退福利产生的职工薪酬负债，并计入当期损益。但辞</w:t>
      </w:r>
      <w:r>
        <w:rPr>
          <w:spacing w:val="-82"/>
        </w:rPr>
        <w:t> </w:t>
      </w:r>
      <w:r>
        <w:rPr>
          <w:spacing w:val="-82"/>
        </w:rPr>
      </w:r>
      <w:r>
        <w:rPr/>
        <w:t>退福利预期在年度报告期结束后十二个月不能完全支付的，按照其他长期职工薪酬处理。</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职工内部退休计划采用上述辞退福利相同的原则处理。本公司将自职工停止提供服务日至正常退休日</w:t>
      </w:r>
      <w:r>
        <w:rPr/>
        <w:t> </w:t>
      </w:r>
      <w:r>
        <w:rPr>
          <w:spacing w:val="-1"/>
        </w:rPr>
        <w:t>的期间拟支付的内退人员工资和缴纳的社会保险费等，在符合预计负债确认条件时，计入当期损益（辞退</w:t>
      </w:r>
      <w:r>
        <w:rPr>
          <w:spacing w:val="-83"/>
        </w:rPr>
        <w:t> </w:t>
      </w:r>
      <w:r>
        <w:rPr>
          <w:spacing w:val="-83"/>
        </w:rPr>
      </w:r>
      <w:r>
        <w:rPr>
          <w:spacing w:val="-27"/>
        </w:rPr>
        <w:t>福利）。</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4）其他长期职工福利的会计处理方法" w:id="192"/>
      <w:bookmarkEnd w:id="192"/>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31" w:firstLine="420"/>
        <w:jc w:val="both"/>
      </w:pPr>
      <w:r>
        <w:rPr>
          <w:spacing w:val="-1"/>
        </w:rPr>
        <w:t>本公司向职工提供的其他长期职工福利，符合设定提存计划的，按照设定提存计划进行会计处理，除</w:t>
      </w:r>
      <w:r>
        <w:rPr/>
        <w:t> 此之外按照设定收益计划进行会计处理。</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23、预计负债" w:id="193"/>
      <w:bookmarkEnd w:id="193"/>
      <w:r>
        <w:rPr>
          <w:b w:val="0"/>
          <w:bCs w:val="0"/>
        </w:rPr>
      </w:r>
      <w:r>
        <w:rPr>
          <w:rFonts w:ascii="Times New Roman" w:hAnsi="Times New Roman" w:cs="Times New Roman" w:eastAsia="Times New Roman" w:hint="default"/>
        </w:rPr>
        <w:t>23</w:t>
      </w:r>
      <w:r>
        <w:rPr/>
        <w:t>、预计负债</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0"/>
        <w:jc w:val="left"/>
      </w:pPr>
      <w:r>
        <w:rPr/>
        <w:t>当与或有事项相关的义务同时符合以下条件</w:t>
      </w:r>
      <w:r>
        <w:rPr>
          <w:spacing w:val="-42"/>
        </w:rPr>
        <w:t>，</w:t>
      </w:r>
      <w:r>
        <w:rPr/>
        <w:t>确认为预计负债</w:t>
      </w:r>
      <w:r>
        <w:rPr>
          <w:spacing w:val="-147"/>
        </w:rPr>
        <w:t>：</w:t>
      </w:r>
      <w:r>
        <w:rPr/>
        <w:t>（</w:t>
      </w:r>
      <w:r>
        <w:rPr>
          <w:rFonts w:ascii="宋体" w:hAnsi="宋体" w:cs="宋体" w:eastAsia="宋体" w:hint="default"/>
          <w:spacing w:val="-1"/>
        </w:rPr>
        <w:t>1</w:t>
      </w:r>
      <w:r>
        <w:rPr>
          <w:spacing w:val="-42"/>
        </w:rPr>
        <w:t>）</w:t>
      </w:r>
      <w:r>
        <w:rPr/>
        <w:t>该</w:t>
      </w:r>
      <w:r>
        <w:rPr>
          <w:spacing w:val="-2"/>
        </w:rPr>
        <w:t>义</w:t>
      </w:r>
      <w:r>
        <w:rPr/>
        <w:t>务是本公司承担的现时义务；</w:t>
      </w:r>
    </w:p>
    <w:p>
      <w:pPr>
        <w:spacing w:line="240" w:lineRule="auto" w:before="10"/>
        <w:rPr>
          <w:rFonts w:ascii="宋体" w:hAnsi="宋体" w:cs="宋体" w:eastAsia="宋体" w:hint="default"/>
          <w:sz w:val="14"/>
          <w:szCs w:val="14"/>
        </w:rPr>
      </w:pPr>
    </w:p>
    <w:p>
      <w:pPr>
        <w:pStyle w:val="BodyText"/>
        <w:spacing w:line="408" w:lineRule="auto" w:before="0"/>
        <w:ind w:left="574" w:right="1046" w:hanging="420"/>
        <w:jc w:val="left"/>
      </w:pPr>
      <w:r>
        <w:rPr>
          <w:spacing w:val="-3"/>
        </w:rPr>
        <w:t>（</w:t>
      </w:r>
      <w:r>
        <w:rPr>
          <w:rFonts w:ascii="宋体" w:hAnsi="宋体" w:cs="宋体" w:eastAsia="宋体" w:hint="default"/>
          <w:spacing w:val="-3"/>
        </w:rPr>
        <w:t>2</w:t>
      </w:r>
      <w:r>
        <w:rPr>
          <w:spacing w:val="-3"/>
        </w:rPr>
        <w:t>）履行该义务很可能导致经济利益流出；（</w:t>
      </w:r>
      <w:r>
        <w:rPr>
          <w:rFonts w:ascii="宋体" w:hAnsi="宋体" w:cs="宋体" w:eastAsia="宋体" w:hint="default"/>
          <w:spacing w:val="-3"/>
        </w:rPr>
        <w:t>3</w:t>
      </w:r>
      <w:r>
        <w:rPr>
          <w:spacing w:val="-3"/>
        </w:rPr>
        <w:t>）该义务的金额能够可靠地计量。</w:t>
      </w:r>
      <w:r>
        <w:rPr>
          <w:spacing w:val="-102"/>
        </w:rPr>
        <w:t> </w:t>
      </w:r>
      <w:r>
        <w:rPr>
          <w:spacing w:val="-1"/>
        </w:rPr>
        <w:t>在资产负债表日，考虑与或有事项有关的风险、不确定性和货币时间价值等因素，按照履行相关现时</w:t>
      </w:r>
    </w:p>
    <w:p>
      <w:pPr>
        <w:pStyle w:val="BodyText"/>
        <w:spacing w:line="408" w:lineRule="auto"/>
        <w:ind w:left="574" w:right="1046" w:hanging="420"/>
        <w:jc w:val="left"/>
      </w:pPr>
      <w:r>
        <w:rPr/>
        <w:t>义务所需支出的最佳估计数对预计负债进行计量。 </w:t>
      </w:r>
      <w:r>
        <w:rPr>
          <w:spacing w:val="-1"/>
        </w:rPr>
        <w:t>如果清偿预计负债所需支出全部或部分预期由第三方补偿的，补偿金额在基本确定能够收到时，作为</w:t>
      </w:r>
    </w:p>
    <w:p>
      <w:pPr>
        <w:pStyle w:val="BodyText"/>
        <w:spacing w:line="240" w:lineRule="auto"/>
        <w:ind w:left="154" w:right="1046"/>
        <w:jc w:val="left"/>
      </w:pPr>
      <w:r>
        <w:rPr/>
        <w:t>资产单独确认，且确认的补偿金额不超过预计负债的账面价值。</w:t>
      </w:r>
    </w:p>
    <w:p>
      <w:pPr>
        <w:spacing w:line="240" w:lineRule="auto" w:before="0"/>
        <w:rPr>
          <w:rFonts w:ascii="宋体" w:hAnsi="宋体" w:cs="宋体" w:eastAsia="宋体" w:hint="default"/>
          <w:sz w:val="20"/>
          <w:szCs w:val="20"/>
        </w:rPr>
      </w:pPr>
    </w:p>
    <w:p>
      <w:pPr>
        <w:pStyle w:val="Heading3"/>
        <w:spacing w:line="240" w:lineRule="auto" w:before="155"/>
        <w:ind w:left="153" w:right="1046"/>
        <w:jc w:val="left"/>
        <w:rPr>
          <w:b w:val="0"/>
          <w:bCs w:val="0"/>
        </w:rPr>
      </w:pPr>
      <w:bookmarkStart w:name="24、股份支付" w:id="194"/>
      <w:bookmarkEnd w:id="194"/>
      <w:r>
        <w:rPr>
          <w:b w:val="0"/>
          <w:bCs w:val="0"/>
        </w:rPr>
      </w:r>
      <w:r>
        <w:rPr>
          <w:rFonts w:ascii="Times New Roman" w:hAnsi="Times New Roman" w:cs="Times New Roman" w:eastAsia="Times New Roman" w:hint="default"/>
        </w:rPr>
        <w:t>24</w:t>
      </w:r>
      <w:r>
        <w:rPr/>
        <w:t>、股份支付</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1302"/>
        <w:jc w:val="left"/>
      </w:pPr>
      <w:r>
        <w:rPr/>
        <w:t>（</w:t>
      </w:r>
      <w:r>
        <w:rPr>
          <w:rFonts w:ascii="宋体" w:hAnsi="宋体" w:cs="宋体" w:eastAsia="宋体" w:hint="default"/>
        </w:rPr>
        <w:t>1</w:t>
      </w:r>
      <w:r>
        <w:rPr/>
        <w:t>）股份支付的会计处理方法 股份支付是为了获取职工或其他方提供服务而授予权益工具或者承担以权益工具为基础确定的负债</w:t>
      </w:r>
    </w:p>
    <w:p>
      <w:pPr>
        <w:pStyle w:val="BodyText"/>
        <w:spacing w:line="240" w:lineRule="auto"/>
        <w:ind w:left="154" w:right="1046"/>
        <w:jc w:val="left"/>
      </w:pPr>
      <w:r>
        <w:rPr/>
        <w:t>的交易。股份支付分为以权益结算的股份支付和以现金结算的股份支付。</w:t>
      </w:r>
    </w:p>
    <w:p>
      <w:pPr>
        <w:spacing w:line="240" w:lineRule="auto" w:before="10"/>
        <w:rPr>
          <w:rFonts w:ascii="宋体" w:hAnsi="宋体" w:cs="宋体" w:eastAsia="宋体" w:hint="default"/>
          <w:sz w:val="14"/>
          <w:szCs w:val="14"/>
        </w:rPr>
      </w:pPr>
    </w:p>
    <w:p>
      <w:pPr>
        <w:pStyle w:val="BodyText"/>
        <w:spacing w:line="408" w:lineRule="auto" w:before="0"/>
        <w:ind w:left="573" w:right="1046"/>
        <w:jc w:val="left"/>
      </w:pPr>
      <w:r>
        <w:rPr/>
        <w:t>① 以权益结算的股份支付 </w:t>
      </w:r>
      <w:r>
        <w:rPr>
          <w:spacing w:val="-1"/>
        </w:rPr>
        <w:t>用以换取职工提供的服务的权益结算的股份支付，以授予职工权益工具在授予日的公允价值计量。该</w:t>
      </w:r>
    </w:p>
    <w:p>
      <w:pPr>
        <w:pStyle w:val="BodyText"/>
        <w:spacing w:line="408" w:lineRule="auto"/>
        <w:ind w:right="1131"/>
        <w:jc w:val="both"/>
      </w:pPr>
      <w:r>
        <w:rPr>
          <w:spacing w:val="-1"/>
        </w:rPr>
        <w:t>公允价值的金额在完成等待期内的服务或达到规定业绩条件才可行权的情况下，在等待期内以对可行权权</w:t>
      </w:r>
      <w:r>
        <w:rPr>
          <w:spacing w:val="-81"/>
        </w:rPr>
        <w:t> </w:t>
      </w:r>
      <w:r>
        <w:rPr>
          <w:spacing w:val="-81"/>
        </w:rPr>
      </w:r>
      <w:r>
        <w:rPr>
          <w:spacing w:val="-1"/>
        </w:rPr>
        <w:t>益工具数量的最佳估计为基础，按直线法计算计入相关成本或费用。在授予后立即可行权时，在授予日计</w:t>
      </w:r>
      <w:r>
        <w:rPr>
          <w:spacing w:val="-83"/>
        </w:rPr>
        <w:t> </w:t>
      </w:r>
      <w:r>
        <w:rPr>
          <w:spacing w:val="-83"/>
        </w:rPr>
      </w:r>
      <w:r>
        <w:rPr/>
        <w:t>入相关成本或费用，相应增加资本公积。</w:t>
      </w:r>
    </w:p>
    <w:p>
      <w:pPr>
        <w:pStyle w:val="BodyText"/>
        <w:spacing w:line="408" w:lineRule="auto"/>
        <w:ind w:right="1109" w:firstLine="420"/>
        <w:jc w:val="both"/>
      </w:pPr>
      <w:r>
        <w:rPr/>
        <w:t>在等待期内每个资产负债表日，本公司根据最新取得的可行权职工人数变动等后续信息做出最佳估 计，修正预计可行权的权益工具数量。上述估计的影响计入当期相关成本或费用，并相应调整资本公积。</w:t>
      </w:r>
    </w:p>
    <w:p>
      <w:pPr>
        <w:pStyle w:val="BodyText"/>
        <w:spacing w:line="408" w:lineRule="auto"/>
        <w:ind w:left="154" w:right="1131" w:firstLine="420"/>
        <w:jc w:val="both"/>
      </w:pPr>
      <w:r>
        <w:rPr>
          <w:spacing w:val="-1"/>
        </w:rPr>
        <w:t>用以换取其他方服务的权益结算的股份支付，如果其他方服务的公允价值能够可靠计量，按照其他方</w:t>
      </w:r>
      <w:r>
        <w:rPr/>
        <w:t> </w:t>
      </w:r>
      <w:r>
        <w:rPr>
          <w:spacing w:val="-1"/>
        </w:rPr>
        <w:t>服务在取得日的公允价值计量，如果其他方服务的公允价值不能可靠计量，但权益工具的公允价值能够可</w:t>
      </w:r>
      <w:r>
        <w:rPr>
          <w:spacing w:val="-81"/>
        </w:rPr>
        <w:t> </w:t>
      </w:r>
      <w:r>
        <w:rPr>
          <w:spacing w:val="-81"/>
        </w:rPr>
      </w:r>
      <w:r>
        <w:rPr/>
        <w:t>靠计量的，按照权益工具在服务取得日的公允价值计量，计入相关成本或费用，相应增加股东权益。</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left="573" w:right="1303"/>
        <w:jc w:val="left"/>
      </w:pPr>
      <w:r>
        <w:rPr/>
        <w:t>② 以现金结算的股份支付 以现金结算的股份支付，按照本公司承担的以股份或其他权益工具为基础确定的负债的公允价值计</w:t>
      </w:r>
    </w:p>
    <w:p>
      <w:pPr>
        <w:pStyle w:val="BodyText"/>
        <w:spacing w:line="408" w:lineRule="auto"/>
        <w:ind w:right="1131"/>
        <w:jc w:val="both"/>
      </w:pPr>
      <w:r>
        <w:rPr>
          <w:spacing w:val="-1"/>
        </w:rPr>
        <w:t>量。如授予后立即可行权，在授予日计入相关成本或费用，相应增加负债；如须完成等待期内的服务或达</w:t>
      </w:r>
      <w:r>
        <w:rPr>
          <w:spacing w:val="-85"/>
        </w:rPr>
        <w:t> </w:t>
      </w:r>
      <w:r>
        <w:rPr>
          <w:spacing w:val="-85"/>
        </w:rPr>
      </w:r>
      <w:r>
        <w:rPr>
          <w:spacing w:val="-1"/>
        </w:rPr>
        <w:t>到规定业绩条件以后才可行权，在等待期的每个资产负债表日，以对可行权情况的最佳估计为基础，按照</w:t>
      </w:r>
      <w:r>
        <w:rPr>
          <w:spacing w:val="-83"/>
        </w:rPr>
        <w:t> </w:t>
      </w:r>
      <w:r>
        <w:rPr>
          <w:spacing w:val="-83"/>
        </w:rPr>
      </w:r>
      <w:r>
        <w:rPr/>
        <w:t>本公司承担负债的公允价值金额，将当期取得的服务计入成本或费用，相应增加负债。</w:t>
      </w:r>
    </w:p>
    <w:p>
      <w:pPr>
        <w:pStyle w:val="BodyText"/>
        <w:spacing w:line="408" w:lineRule="auto"/>
        <w:ind w:right="1046" w:firstLine="420"/>
        <w:jc w:val="left"/>
      </w:pPr>
      <w:r>
        <w:rPr>
          <w:spacing w:val="-1"/>
        </w:rPr>
        <w:t>在相关负债结算前的每个资产负债表日以及结算日，对负债的公允价值重新计量，其变动计入当期损</w:t>
      </w:r>
      <w:r>
        <w:rPr/>
        <w:t> 益。</w:t>
      </w:r>
    </w:p>
    <w:p>
      <w:pPr>
        <w:pStyle w:val="BodyText"/>
        <w:spacing w:line="408" w:lineRule="auto"/>
        <w:ind w:left="574" w:right="1046"/>
        <w:jc w:val="left"/>
      </w:pPr>
      <w:r>
        <w:rPr/>
        <w:t>（</w:t>
      </w:r>
      <w:r>
        <w:rPr>
          <w:rFonts w:ascii="宋体" w:hAnsi="宋体" w:cs="宋体" w:eastAsia="宋体" w:hint="default"/>
        </w:rPr>
        <w:t>2</w:t>
      </w:r>
      <w:r>
        <w:rPr/>
        <w:t>）修改、终止股份支付计划的相关会计处理 </w:t>
      </w:r>
      <w:r>
        <w:rPr>
          <w:spacing w:val="-1"/>
        </w:rPr>
        <w:t>本公司对股份支付计划进行修改时，若修改增加了所授予权益工具的公允价值，按照权益工具公允价</w:t>
      </w:r>
    </w:p>
    <w:p>
      <w:pPr>
        <w:pStyle w:val="BodyText"/>
        <w:spacing w:line="408" w:lineRule="auto"/>
        <w:ind w:left="154" w:right="1130"/>
        <w:jc w:val="both"/>
      </w:pPr>
      <w:r>
        <w:rPr>
          <w:spacing w:val="-1"/>
        </w:rPr>
        <w:t>值的增加相应确认取得服务的增加。权益工具公允价值的增加是指修改前后的权益工具在修改日的公允价</w:t>
      </w:r>
      <w:r>
        <w:rPr>
          <w:spacing w:val="-80"/>
        </w:rPr>
        <w:t> </w:t>
      </w:r>
      <w:r>
        <w:rPr>
          <w:spacing w:val="-80"/>
        </w:rPr>
      </w:r>
      <w:r>
        <w:rPr>
          <w:spacing w:val="-1"/>
        </w:rPr>
        <w:t>值之间的差额。若修改减少了股份支付公允价值总额或采用了其他不利于职工的方式，则仍继续对取得的</w:t>
      </w:r>
      <w:r>
        <w:rPr>
          <w:spacing w:val="-81"/>
        </w:rPr>
        <w:t> </w:t>
      </w:r>
      <w:r>
        <w:rPr>
          <w:spacing w:val="-81"/>
        </w:rPr>
      </w:r>
      <w:r>
        <w:rPr/>
        <w:t>服务进行会计处理，视同该变更从未发生，除非本公司取消了部分或全部已授予的权益工具。</w:t>
      </w:r>
    </w:p>
    <w:p>
      <w:pPr>
        <w:pStyle w:val="BodyText"/>
        <w:spacing w:line="408" w:lineRule="auto"/>
        <w:ind w:left="154" w:right="1131" w:firstLine="420"/>
        <w:jc w:val="both"/>
      </w:pPr>
      <w:r>
        <w:rPr>
          <w:spacing w:val="-1"/>
        </w:rPr>
        <w:t>在等待期内，如果取消了授予的权益工具，本公司对取消所授予的权益性工具作为加速行权处理，将</w:t>
      </w:r>
      <w:r>
        <w:rPr/>
        <w:t> </w:t>
      </w:r>
      <w:r>
        <w:rPr>
          <w:spacing w:val="-1"/>
        </w:rPr>
        <w:t>剩余等待期内应确认的金额立即计入当期损益，同时确认资本公积。职工或其他方能够选择满足非可行权</w:t>
      </w:r>
      <w:r>
        <w:rPr>
          <w:spacing w:val="-81"/>
        </w:rPr>
        <w:t> </w:t>
      </w:r>
      <w:r>
        <w:rPr>
          <w:spacing w:val="-81"/>
        </w:rPr>
      </w:r>
      <w:r>
        <w:rPr/>
        <w:t>条件但在等待期内未满足的，本公司将其作为授予权益工具的取消处理。</w:t>
      </w:r>
    </w:p>
    <w:p>
      <w:pPr>
        <w:pStyle w:val="BodyText"/>
        <w:spacing w:line="408" w:lineRule="auto"/>
        <w:ind w:left="574" w:right="1302"/>
        <w:jc w:val="left"/>
      </w:pPr>
      <w:r>
        <w:rPr/>
        <w:t>（</w:t>
      </w:r>
      <w:r>
        <w:rPr>
          <w:rFonts w:ascii="宋体" w:hAnsi="宋体" w:cs="宋体" w:eastAsia="宋体" w:hint="default"/>
        </w:rPr>
        <w:t>3</w:t>
      </w:r>
      <w:r>
        <w:rPr/>
        <w:t>）涉及本公司与本公司股东或实际控制人的股份支付交易的会计处理 涉及本公司与本公司股东或实际控制人的股份支付交易，结算企业与接受服务企业中其一在本公司</w:t>
      </w:r>
    </w:p>
    <w:p>
      <w:pPr>
        <w:pStyle w:val="BodyText"/>
        <w:spacing w:line="240" w:lineRule="auto"/>
        <w:ind w:left="154" w:right="0"/>
        <w:jc w:val="both"/>
      </w:pPr>
      <w:r>
        <w:rPr/>
        <w:t>内，另一在本公司外的，在本公司合并财务报表中按照以下规定进行会计处理：</w:t>
      </w:r>
    </w:p>
    <w:p>
      <w:pPr>
        <w:spacing w:line="240" w:lineRule="auto" w:before="10"/>
        <w:rPr>
          <w:rFonts w:ascii="宋体" w:hAnsi="宋体" w:cs="宋体" w:eastAsia="宋体" w:hint="default"/>
          <w:sz w:val="14"/>
          <w:szCs w:val="14"/>
        </w:rPr>
      </w:pPr>
    </w:p>
    <w:p>
      <w:pPr>
        <w:pStyle w:val="BodyText"/>
        <w:spacing w:line="408" w:lineRule="auto" w:before="0"/>
        <w:ind w:left="154" w:right="1009" w:firstLine="420"/>
        <w:jc w:val="left"/>
      </w:pPr>
      <w:r>
        <w:rPr/>
        <w:t>①</w:t>
      </w:r>
      <w:r>
        <w:rPr>
          <w:spacing w:val="-22"/>
        </w:rPr>
        <w:t> </w:t>
      </w:r>
      <w:r>
        <w:rPr/>
        <w:t>结算企业以其本身权益工具结算的，将该股份支付交易作为权益结算的股份支付处理；除此之外，</w:t>
      </w:r>
      <w:r>
        <w:rPr/>
        <w:t> 作为现金结算的股份支付处理。</w:t>
      </w:r>
    </w:p>
    <w:p>
      <w:pPr>
        <w:pStyle w:val="BodyText"/>
        <w:spacing w:line="408" w:lineRule="auto"/>
        <w:ind w:left="154" w:right="1046" w:firstLine="420"/>
        <w:jc w:val="left"/>
      </w:pPr>
      <w:r>
        <w:rPr>
          <w:spacing w:val="-1"/>
        </w:rPr>
        <w:t>结算企业是接受服务企业的投资者的，按照授予日权益工具的公允价值或应承担负债的公允价值确认</w:t>
      </w:r>
      <w:r>
        <w:rPr/>
        <w:t> 为对接受服务企业的长期股权投资，同时确认资本公积（其他资本公积）或负债。</w:t>
      </w:r>
    </w:p>
    <w:p>
      <w:pPr>
        <w:pStyle w:val="BodyText"/>
        <w:spacing w:line="408" w:lineRule="auto"/>
        <w:ind w:left="154" w:right="1046" w:firstLine="420"/>
        <w:jc w:val="left"/>
      </w:pPr>
      <w:r>
        <w:rPr/>
        <w:t>②</w:t>
      </w:r>
      <w:r>
        <w:rPr>
          <w:spacing w:val="-1"/>
        </w:rPr>
        <w:t> </w:t>
      </w:r>
      <w:r>
        <w:rPr/>
        <w:t>接受服务企业没有结算义务或授予本企业职工的是其本身权益工具的，将该股份支付交易作为权</w:t>
      </w:r>
      <w:r>
        <w:rPr/>
        <w:t> </w:t>
      </w:r>
      <w:r>
        <w:rPr>
          <w:spacing w:val="-1"/>
        </w:rPr>
        <w:t>益结算的股份支付处理；接受服务企业具有结算义务且授予本企业职工的并非其本身权益工具的，将该股</w:t>
      </w:r>
      <w:r>
        <w:rPr>
          <w:spacing w:val="-81"/>
        </w:rPr>
        <w:t> </w:t>
      </w:r>
      <w:r>
        <w:rPr>
          <w:spacing w:val="-81"/>
        </w:rPr>
      </w:r>
      <w:r>
        <w:rPr/>
        <w:t>份支付交易作为现金结算的股份支付处理。</w:t>
      </w:r>
    </w:p>
    <w:p>
      <w:pPr>
        <w:pStyle w:val="BodyText"/>
        <w:spacing w:line="408" w:lineRule="auto"/>
        <w:ind w:left="154" w:right="1046" w:firstLine="420"/>
        <w:jc w:val="left"/>
      </w:pPr>
      <w:r>
        <w:rPr>
          <w:spacing w:val="-1"/>
        </w:rPr>
        <w:t>本公司内各企业之间发生的股份支付交易，接受服务企业和结算企业不是同一企业的，在接受服务企</w:t>
      </w:r>
      <w:r>
        <w:rPr/>
        <w:t> 业和结算企业各自的个别财务报表中对该股份支付交易的确认和计量，比照上述原则处理。</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25、优先股、永续债等其他金融工具" w:id="195"/>
      <w:bookmarkEnd w:id="195"/>
      <w:r>
        <w:rPr>
          <w:b w:val="0"/>
          <w:bCs w:val="0"/>
        </w:rPr>
      </w:r>
      <w:r>
        <w:rPr>
          <w:rFonts w:ascii="Times New Roman" w:hAnsi="Times New Roman" w:cs="Times New Roman" w:eastAsia="Times New Roman" w:hint="default"/>
        </w:rPr>
        <w:t>25</w:t>
      </w:r>
      <w:r>
        <w:rPr/>
        <w:t>、优先股、永续债等其他金融工具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26、收入" w:id="196"/>
      <w:bookmarkEnd w:id="196"/>
      <w:r>
        <w:rPr>
          <w:b w:val="0"/>
          <w:bCs w:val="0"/>
        </w:rPr>
      </w:r>
      <w:r>
        <w:rPr>
          <w:rFonts w:ascii="Times New Roman" w:hAnsi="Times New Roman" w:cs="Times New Roman" w:eastAsia="Times New Roman" w:hint="default"/>
        </w:rPr>
        <w:t>26</w:t>
      </w:r>
      <w:r>
        <w:rPr/>
        <w:t>、收入</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131" w:firstLine="420"/>
        <w:jc w:val="both"/>
      </w:pPr>
      <w:r>
        <w:rPr>
          <w:spacing w:val="-1"/>
        </w:rPr>
        <w:t>本公司收入的金额按照本公司在日常经营活动中销售商品和提供劳务时，已收或应收合同或协议价款</w:t>
      </w:r>
      <w:r>
        <w:rPr/>
        <w:t> </w:t>
      </w:r>
      <w:r>
        <w:rPr>
          <w:spacing w:val="-1"/>
        </w:rPr>
        <w:t>的公允价值确定。收入按扣除增值税、商业折扣、销售折让及销售退回的净额列示。与交易相关的经济利</w:t>
      </w:r>
      <w:r>
        <w:rPr>
          <w:spacing w:val="-85"/>
        </w:rPr>
        <w:t> </w:t>
      </w:r>
      <w:r>
        <w:rPr>
          <w:spacing w:val="-85"/>
        </w:rPr>
      </w:r>
      <w:r>
        <w:rPr>
          <w:spacing w:val="-1"/>
        </w:rPr>
        <w:t>益能够流入本公司，相关的收入能够可靠计量且满足下列各项经营活动的特定收入确认标准时，确认相关</w:t>
      </w:r>
      <w:r>
        <w:rPr>
          <w:spacing w:val="-81"/>
        </w:rPr>
        <w:t> </w:t>
      </w:r>
      <w:r>
        <w:rPr>
          <w:spacing w:val="-81"/>
        </w:rPr>
      </w:r>
      <w:r>
        <w:rPr/>
        <w:t>的收入：</w:t>
      </w:r>
    </w:p>
    <w:p>
      <w:pPr>
        <w:pStyle w:val="BodyText"/>
        <w:spacing w:line="408" w:lineRule="auto"/>
        <w:ind w:left="574" w:right="1046"/>
        <w:jc w:val="left"/>
      </w:pPr>
      <w:r>
        <w:rPr/>
        <w:t>（</w:t>
      </w:r>
      <w:r>
        <w:rPr>
          <w:rFonts w:ascii="宋体" w:hAnsi="宋体" w:cs="宋体" w:eastAsia="宋体" w:hint="default"/>
        </w:rPr>
        <w:t>1</w:t>
      </w:r>
      <w:r>
        <w:rPr/>
        <w:t>）销售产品 </w:t>
      </w:r>
      <w:r>
        <w:rPr>
          <w:spacing w:val="-1"/>
        </w:rPr>
        <w:t>本公司在已将产品所有权上主要风险和报酬转移至购货方，一般将产品交付与客户时，并且不再对该</w:t>
      </w:r>
    </w:p>
    <w:p>
      <w:pPr>
        <w:pStyle w:val="BodyText"/>
        <w:spacing w:line="408" w:lineRule="auto"/>
        <w:ind w:left="574" w:right="1046" w:hanging="420"/>
        <w:jc w:val="left"/>
      </w:pPr>
      <w:r>
        <w:rPr/>
        <w:t>产品实施继续管理和控制时确认收入。 </w:t>
      </w:r>
      <w:r>
        <w:rPr>
          <w:spacing w:val="-1"/>
        </w:rPr>
        <w:t>另外，由于本公司系统销售业务属于既有销售商品又有提供劳务的混合销售业务，结合本公司的业务</w:t>
      </w:r>
    </w:p>
    <w:p>
      <w:pPr>
        <w:pStyle w:val="BodyText"/>
        <w:spacing w:line="408" w:lineRule="auto"/>
        <w:ind w:left="154" w:right="1046"/>
        <w:jc w:val="left"/>
      </w:pPr>
      <w:r>
        <w:rPr>
          <w:spacing w:val="-1"/>
        </w:rPr>
        <w:t>特点和收入确认原则，在货物已发至客户后，进行安装调试，并经初验合格且已取得项目初验报告时，按</w:t>
      </w:r>
      <w:r>
        <w:rPr>
          <w:spacing w:val="-85"/>
        </w:rPr>
        <w:t> </w:t>
      </w:r>
      <w:r>
        <w:rPr>
          <w:spacing w:val="-85"/>
        </w:rPr>
      </w:r>
      <w:r>
        <w:rPr/>
        <w:t>照合同价款确认收入。</w:t>
      </w:r>
    </w:p>
    <w:p>
      <w:pPr>
        <w:pStyle w:val="BodyText"/>
        <w:spacing w:line="408" w:lineRule="auto"/>
        <w:ind w:left="574" w:right="1046"/>
        <w:jc w:val="left"/>
      </w:pPr>
      <w:r>
        <w:rPr/>
        <w:t>（</w:t>
      </w:r>
      <w:r>
        <w:rPr>
          <w:rFonts w:ascii="宋体" w:hAnsi="宋体" w:cs="宋体" w:eastAsia="宋体" w:hint="default"/>
        </w:rPr>
        <w:t>2</w:t>
      </w:r>
      <w:r>
        <w:rPr/>
        <w:t>）提供劳务 </w:t>
      </w:r>
      <w:r>
        <w:rPr>
          <w:spacing w:val="-1"/>
        </w:rPr>
        <w:t>本公司对外提供的劳务，根据已发生成本占估计总成本的比例确定完工进度，按照完工百分比确认收</w:t>
      </w:r>
    </w:p>
    <w:p>
      <w:pPr>
        <w:pStyle w:val="BodyText"/>
        <w:spacing w:line="240" w:lineRule="auto"/>
        <w:ind w:left="154" w:right="1046"/>
        <w:jc w:val="left"/>
      </w:pPr>
      <w:r>
        <w:rPr/>
        <w:t>入。</w:t>
      </w:r>
    </w:p>
    <w:p>
      <w:pPr>
        <w:spacing w:line="240" w:lineRule="auto" w:before="10"/>
        <w:rPr>
          <w:rFonts w:ascii="宋体" w:hAnsi="宋体" w:cs="宋体" w:eastAsia="宋体" w:hint="default"/>
          <w:sz w:val="14"/>
          <w:szCs w:val="14"/>
        </w:rPr>
      </w:pPr>
    </w:p>
    <w:p>
      <w:pPr>
        <w:pStyle w:val="BodyText"/>
        <w:spacing w:line="408" w:lineRule="auto" w:before="0"/>
        <w:ind w:left="574" w:right="1046"/>
        <w:jc w:val="left"/>
      </w:pPr>
      <w:r>
        <w:rPr/>
        <w:t>（</w:t>
      </w:r>
      <w:r>
        <w:rPr>
          <w:rFonts w:ascii="宋体" w:hAnsi="宋体" w:cs="宋体" w:eastAsia="宋体" w:hint="default"/>
        </w:rPr>
        <w:t>3</w:t>
      </w:r>
      <w:r>
        <w:rPr/>
        <w:t>）让渡资产使用权 </w:t>
      </w:r>
      <w:r>
        <w:rPr>
          <w:spacing w:val="-1"/>
        </w:rPr>
        <w:t>本公司利息收入按照其他方使用本公司货币资金的时间，采用实际利率计算确定，经营租赁收入按照</w:t>
      </w:r>
    </w:p>
    <w:p>
      <w:pPr>
        <w:pStyle w:val="BodyText"/>
        <w:spacing w:line="240" w:lineRule="auto"/>
        <w:ind w:left="154" w:right="1046"/>
        <w:jc w:val="left"/>
      </w:pPr>
      <w:r>
        <w:rPr/>
        <w:t>直线法在租赁期内确认。</w:t>
      </w:r>
    </w:p>
    <w:p>
      <w:pPr>
        <w:spacing w:line="240" w:lineRule="auto" w:before="0"/>
        <w:rPr>
          <w:rFonts w:ascii="宋体" w:hAnsi="宋体" w:cs="宋体" w:eastAsia="宋体" w:hint="default"/>
          <w:sz w:val="20"/>
          <w:szCs w:val="20"/>
        </w:rPr>
      </w:pPr>
    </w:p>
    <w:p>
      <w:pPr>
        <w:pStyle w:val="Heading3"/>
        <w:spacing w:line="240" w:lineRule="auto" w:before="154"/>
        <w:ind w:right="1046"/>
        <w:jc w:val="left"/>
        <w:rPr>
          <w:b w:val="0"/>
          <w:bCs w:val="0"/>
        </w:rPr>
      </w:pPr>
      <w:bookmarkStart w:name="27、政府补助" w:id="197"/>
      <w:bookmarkEnd w:id="197"/>
      <w:r>
        <w:rPr>
          <w:b w:val="0"/>
          <w:bCs w:val="0"/>
        </w:rPr>
      </w:r>
      <w:r>
        <w:rPr>
          <w:rFonts w:ascii="Times New Roman" w:hAnsi="Times New Roman" w:cs="Times New Roman" w:eastAsia="Times New Roman" w:hint="default"/>
        </w:rPr>
        <w:t>27</w:t>
      </w:r>
      <w:r>
        <w:rPr/>
        <w:t>、政府补助</w:t>
      </w:r>
      <w:r>
        <w:rPr>
          <w:b w:val="0"/>
          <w:bCs w:val="0"/>
        </w:rPr>
      </w:r>
    </w:p>
    <w:p>
      <w:pPr>
        <w:spacing w:line="690" w:lineRule="exact" w:before="15"/>
        <w:ind w:left="574" w:right="1302" w:hanging="420"/>
        <w:jc w:val="left"/>
        <w:rPr>
          <w:rFonts w:ascii="宋体" w:hAnsi="宋体" w:cs="宋体" w:eastAsia="宋体" w:hint="default"/>
          <w:sz w:val="21"/>
          <w:szCs w:val="21"/>
        </w:rPr>
      </w:pPr>
      <w:bookmarkStart w:name="（1）与资产相关的政府补助判断依据及会计处理方法" w:id="198"/>
      <w:bookmarkEnd w:id="19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z w:val="21"/>
          <w:szCs w:val="21"/>
        </w:rPr>
        <w:t>政府补助是指本公司从政府无偿取得货币性资产和非货币性资产，不包括政府作为所有者投入的资</w:t>
      </w:r>
    </w:p>
    <w:p>
      <w:pPr>
        <w:pStyle w:val="BodyText"/>
        <w:spacing w:line="408" w:lineRule="auto" w:before="84"/>
        <w:ind w:left="573" w:right="1198" w:hanging="420"/>
        <w:jc w:val="left"/>
      </w:pPr>
      <w:r>
        <w:rPr/>
        <w:t>本。政府补助分为与资产相关的政府补助和与收益相关的政府补助。 本公司将所取得的用于购建或以其他方式形成长期资产的政府补助界定为与资产相关的政府补助</w:t>
      </w:r>
      <w:r>
        <w:rPr>
          <w:rFonts w:ascii="宋体" w:hAnsi="宋体" w:cs="宋体" w:eastAsia="宋体" w:hint="default"/>
        </w:rPr>
        <w:t>,</w:t>
      </w:r>
      <w:r>
        <w:rPr/>
        <w:t>其</w:t>
      </w:r>
    </w:p>
    <w:p>
      <w:pPr>
        <w:pStyle w:val="BodyText"/>
        <w:spacing w:line="408" w:lineRule="auto"/>
        <w:ind w:right="1131"/>
        <w:jc w:val="both"/>
      </w:pPr>
      <w:r>
        <w:rPr>
          <w:spacing w:val="-1"/>
        </w:rPr>
        <w:t>余政府补助界定为与收益相关的政府补助。若政府文件未明确规定补助对象，则采用以下方式将补助款划</w:t>
      </w:r>
      <w:r>
        <w:rPr>
          <w:spacing w:val="-81"/>
        </w:rPr>
        <w:t> </w:t>
      </w:r>
      <w:r>
        <w:rPr>
          <w:spacing w:val="-81"/>
        </w:rPr>
      </w:r>
      <w:r>
        <w:rPr>
          <w:spacing w:val="-3"/>
        </w:rPr>
        <w:t>分为与收益相关的政府补助和与资产相关的政府补助：（</w:t>
      </w:r>
      <w:r>
        <w:rPr>
          <w:rFonts w:ascii="宋体" w:hAnsi="宋体" w:cs="宋体" w:eastAsia="宋体" w:hint="default"/>
          <w:spacing w:val="-3"/>
        </w:rPr>
        <w:t>1</w:t>
      </w:r>
      <w:r>
        <w:rPr>
          <w:spacing w:val="-3"/>
        </w:rPr>
        <w:t>）政府文件明确了补助所针对的特定项目的，根</w:t>
      </w:r>
      <w:r>
        <w:rPr>
          <w:spacing w:val="-93"/>
        </w:rPr>
        <w:t> </w:t>
      </w:r>
      <w:r>
        <w:rPr>
          <w:spacing w:val="-93"/>
        </w:rPr>
      </w:r>
      <w:r>
        <w:rPr>
          <w:spacing w:val="-1"/>
        </w:rPr>
        <w:t>据该特定项目的预算中将形成资产的支出金额和计入费用的支出金额的相对比例进行划分，对该划分比例</w:t>
      </w:r>
      <w:r>
        <w:rPr>
          <w:spacing w:val="-81"/>
        </w:rPr>
        <w:t> </w:t>
      </w:r>
      <w:r>
        <w:rPr>
          <w:spacing w:val="-81"/>
        </w:rPr>
      </w:r>
      <w:r>
        <w:rPr>
          <w:spacing w:val="-3"/>
        </w:rPr>
        <w:t>需在每个资产负债表日进行复核，必要时进行变更；（</w:t>
      </w:r>
      <w:r>
        <w:rPr>
          <w:rFonts w:ascii="宋体" w:hAnsi="宋体" w:cs="宋体" w:eastAsia="宋体" w:hint="default"/>
          <w:spacing w:val="-3"/>
        </w:rPr>
        <w:t>2</w:t>
      </w:r>
      <w:r>
        <w:rPr>
          <w:spacing w:val="-3"/>
        </w:rPr>
        <w:t>）政府文件中对用途仅作一般性表述，没有指明特</w:t>
      </w:r>
      <w:r>
        <w:rPr>
          <w:spacing w:val="-96"/>
        </w:rPr>
        <w:t> </w:t>
      </w:r>
      <w:r>
        <w:rPr>
          <w:spacing w:val="-96"/>
        </w:rPr>
      </w:r>
      <w:r>
        <w:rPr/>
        <w:t>定项目的，作为与收益相关的政府补助。</w:t>
      </w:r>
    </w:p>
    <w:p>
      <w:pPr>
        <w:spacing w:after="0" w:line="408"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政府补助为货币性资产的，按照收到或应收的金额计量。政府补助为非货币性资产的，按照公允价值</w:t>
      </w:r>
      <w:r>
        <w:rPr/>
        <w:t> </w:t>
      </w:r>
      <w:r>
        <w:rPr>
          <w:spacing w:val="-1"/>
        </w:rPr>
        <w:t>计量；公允价值不能够可靠取得的，按照名义金额计量。按照名义金额计量的政府补助，直接计入当期损</w:t>
      </w:r>
      <w:r>
        <w:rPr>
          <w:spacing w:val="-86"/>
        </w:rPr>
        <w:t> </w:t>
      </w:r>
      <w:r>
        <w:rPr>
          <w:spacing w:val="-86"/>
        </w:rPr>
      </w:r>
      <w:r>
        <w:rPr/>
        <w:t>益。</w:t>
      </w:r>
    </w:p>
    <w:p>
      <w:pPr>
        <w:pStyle w:val="BodyText"/>
        <w:spacing w:line="408" w:lineRule="auto"/>
        <w:ind w:right="1129" w:firstLine="420"/>
        <w:jc w:val="left"/>
      </w:pPr>
      <w:r>
        <w:rPr>
          <w:spacing w:val="-1"/>
        </w:rPr>
        <w:t>本公司对于政府补助通常在实际收到时，按照实收金额予以确认和计量。但对于期末有确凿证据表明</w:t>
      </w:r>
      <w:r>
        <w:rPr/>
        <w:t> </w:t>
      </w:r>
      <w:r>
        <w:rPr>
          <w:spacing w:val="-1"/>
        </w:rPr>
        <w:t>能够符合财政扶持政策规定的相关条件预计能够收到财政扶持资金，按照应收的金额计量。按照应收金额</w:t>
      </w:r>
      <w:r>
        <w:rPr>
          <w:spacing w:val="-81"/>
        </w:rPr>
        <w:t> </w:t>
      </w:r>
      <w:r>
        <w:rPr>
          <w:spacing w:val="-81"/>
        </w:rPr>
      </w:r>
      <w:r>
        <w:rPr>
          <w:spacing w:val="-3"/>
        </w:rPr>
        <w:t>计量的政府补助应同时符合以下条件：（</w:t>
      </w:r>
      <w:r>
        <w:rPr>
          <w:rFonts w:ascii="宋体" w:hAnsi="宋体" w:cs="宋体" w:eastAsia="宋体" w:hint="default"/>
          <w:spacing w:val="-3"/>
        </w:rPr>
        <w:t>1</w:t>
      </w:r>
      <w:r>
        <w:rPr>
          <w:spacing w:val="-3"/>
        </w:rPr>
        <w:t>）应收补助款的金额已经过有权政府部门发文确认，或者可根据</w:t>
      </w:r>
      <w:r>
        <w:rPr>
          <w:spacing w:val="-93"/>
        </w:rPr>
        <w:t> </w:t>
      </w:r>
      <w:r>
        <w:rPr>
          <w:spacing w:val="-93"/>
        </w:rPr>
      </w:r>
      <w:r>
        <w:rPr>
          <w:spacing w:val="-3"/>
        </w:rPr>
        <w:t>正式发布的财政资金管理办法的有关规定自行合理测算，且预计其金额不存在重大不确定性；（</w:t>
      </w:r>
      <w:r>
        <w:rPr>
          <w:rFonts w:ascii="宋体" w:hAnsi="宋体" w:cs="宋体" w:eastAsia="宋体" w:hint="default"/>
          <w:spacing w:val="-3"/>
        </w:rPr>
        <w:t>2</w:t>
      </w:r>
      <w:r>
        <w:rPr>
          <w:spacing w:val="-3"/>
        </w:rPr>
        <w:t>）所依据</w:t>
      </w:r>
      <w:r>
        <w:rPr>
          <w:spacing w:val="-92"/>
        </w:rPr>
        <w:t> </w:t>
      </w:r>
      <w:r>
        <w:rPr>
          <w:spacing w:val="-92"/>
        </w:rPr>
      </w:r>
      <w:r>
        <w:rPr>
          <w:spacing w:val="-1"/>
        </w:rPr>
        <w:t>的是当地财政部门正式发布并按照《政府信息公开条例》的规定予以主动公开的财政扶持项目及其财政资</w:t>
      </w:r>
      <w:r>
        <w:rPr>
          <w:spacing w:val="-81"/>
        </w:rPr>
        <w:t> </w:t>
      </w:r>
      <w:r>
        <w:rPr>
          <w:spacing w:val="-81"/>
        </w:rPr>
      </w:r>
      <w:r>
        <w:rPr>
          <w:spacing w:val="-3"/>
        </w:rPr>
        <w:t>金管理办法，且该管理办法应当是普惠性的（任何符合规定条件的企业均可申请），而不是专门针对特定</w:t>
      </w:r>
      <w:r>
        <w:rPr>
          <w:spacing w:val="-73"/>
        </w:rPr>
        <w:t> </w:t>
      </w:r>
      <w:r>
        <w:rPr>
          <w:spacing w:val="-73"/>
        </w:rPr>
      </w:r>
      <w:r>
        <w:rPr>
          <w:spacing w:val="-3"/>
        </w:rPr>
        <w:t>企业制定的；（</w:t>
      </w:r>
      <w:r>
        <w:rPr>
          <w:rFonts w:ascii="宋体" w:hAnsi="宋体" w:cs="宋体" w:eastAsia="宋体" w:hint="default"/>
          <w:spacing w:val="-3"/>
        </w:rPr>
        <w:t>3</w:t>
      </w:r>
      <w:r>
        <w:rPr>
          <w:spacing w:val="-3"/>
        </w:rPr>
        <w:t>）相关的补助款批文中已明确承诺了拨付期限，且该款项的拨付是有相应财政预算作为保</w:t>
      </w:r>
      <w:r>
        <w:rPr>
          <w:spacing w:val="-95"/>
        </w:rPr>
        <w:t> </w:t>
      </w:r>
      <w:r>
        <w:rPr>
          <w:spacing w:val="-95"/>
        </w:rPr>
      </w:r>
      <w:r>
        <w:rPr>
          <w:spacing w:val="-3"/>
        </w:rPr>
        <w:t>障的，因而可以合理保证其可在规定期限内收到；（</w:t>
      </w:r>
      <w:r>
        <w:rPr>
          <w:rFonts w:ascii="宋体" w:hAnsi="宋体" w:cs="宋体" w:eastAsia="宋体" w:hint="default"/>
          <w:spacing w:val="-3"/>
        </w:rPr>
        <w:t>4</w:t>
      </w:r>
      <w:r>
        <w:rPr>
          <w:spacing w:val="-3"/>
        </w:rPr>
        <w:t>）根据本公司和该补助事项的具体情况，应满足的其</w:t>
      </w:r>
      <w:r>
        <w:rPr>
          <w:spacing w:val="-96"/>
        </w:rPr>
        <w:t> </w:t>
      </w:r>
      <w:r>
        <w:rPr>
          <w:spacing w:val="-96"/>
        </w:rPr>
      </w:r>
      <w:r>
        <w:rPr>
          <w:spacing w:val="-11"/>
        </w:rPr>
        <w:t>他相关条件（如有）。</w:t>
      </w:r>
    </w:p>
    <w:p>
      <w:pPr>
        <w:pStyle w:val="BodyText"/>
        <w:spacing w:line="240" w:lineRule="auto"/>
        <w:ind w:left="573" w:right="1046"/>
        <w:jc w:val="left"/>
      </w:pPr>
      <w:r>
        <w:rPr/>
        <w:t>与资产相关的政府补助，确认为递延收益，并在相关资产的使用寿命内平均分配计入当期损益。</w:t>
      </w:r>
    </w:p>
    <w:p>
      <w:pPr>
        <w:spacing w:line="670" w:lineRule="atLeast" w:before="37"/>
        <w:ind w:left="574" w:right="1046" w:hanging="420"/>
        <w:jc w:val="left"/>
        <w:rPr>
          <w:rFonts w:ascii="宋体" w:hAnsi="宋体" w:cs="宋体" w:eastAsia="宋体" w:hint="default"/>
          <w:sz w:val="21"/>
          <w:szCs w:val="21"/>
        </w:rPr>
      </w:pPr>
      <w:bookmarkStart w:name="（2）与收益相关的政府补助判断依据及会计处理方法" w:id="199"/>
      <w:bookmarkEnd w:id="19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与收益相关的政府补助，用于补偿以后期间的相关费用和损失的，确认为递延收益，并在确认相关费</w:t>
      </w:r>
    </w:p>
    <w:p>
      <w:pPr>
        <w:spacing w:line="240" w:lineRule="auto" w:before="10"/>
        <w:rPr>
          <w:rFonts w:ascii="宋体" w:hAnsi="宋体" w:cs="宋体" w:eastAsia="宋体" w:hint="default"/>
          <w:sz w:val="14"/>
          <w:szCs w:val="14"/>
        </w:rPr>
      </w:pPr>
    </w:p>
    <w:p>
      <w:pPr>
        <w:pStyle w:val="BodyText"/>
        <w:spacing w:line="408" w:lineRule="auto" w:before="0"/>
        <w:ind w:left="573" w:right="1046" w:hanging="420"/>
        <w:jc w:val="left"/>
      </w:pPr>
      <w:r>
        <w:rPr/>
        <w:t>用的期间计入当期损益；用于补偿已经发生的相关费用和损失的，直接计入当期损益。 </w:t>
      </w:r>
      <w:r>
        <w:rPr>
          <w:spacing w:val="-1"/>
        </w:rPr>
        <w:t>已确认的政府补助需要返还时，存在相关递延收益余额的，冲减相关递延收益账面余额，超出部分计</w:t>
      </w:r>
    </w:p>
    <w:p>
      <w:pPr>
        <w:pStyle w:val="BodyText"/>
        <w:spacing w:line="240" w:lineRule="auto"/>
        <w:ind w:right="1046"/>
        <w:jc w:val="left"/>
      </w:pPr>
      <w:r>
        <w:rPr/>
        <w:t>入当期损益；不存在相关递延收益的，直接计入当期损益。</w:t>
      </w:r>
    </w:p>
    <w:p>
      <w:pPr>
        <w:spacing w:line="240" w:lineRule="auto" w:before="0"/>
        <w:rPr>
          <w:rFonts w:ascii="宋体" w:hAnsi="宋体" w:cs="宋体" w:eastAsia="宋体" w:hint="default"/>
          <w:sz w:val="20"/>
          <w:szCs w:val="20"/>
        </w:rPr>
      </w:pPr>
    </w:p>
    <w:p>
      <w:pPr>
        <w:pStyle w:val="Heading3"/>
        <w:spacing w:line="240" w:lineRule="auto" w:before="154"/>
        <w:ind w:left="153" w:right="1046"/>
        <w:jc w:val="left"/>
        <w:rPr>
          <w:b w:val="0"/>
          <w:bCs w:val="0"/>
        </w:rPr>
      </w:pPr>
      <w:bookmarkStart w:name="28、递延所得税资产/递延所得税负债" w:id="200"/>
      <w:bookmarkEnd w:id="200"/>
      <w:r>
        <w:rPr>
          <w:b w:val="0"/>
          <w:bCs w:val="0"/>
        </w:rPr>
      </w:r>
      <w:r>
        <w:rPr>
          <w:rFonts w:ascii="Times New Roman" w:hAnsi="Times New Roman" w:cs="Times New Roman" w:eastAsia="Times New Roman" w:hint="default"/>
        </w:rPr>
        <w:t>28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3" w:right="1046"/>
        <w:jc w:val="left"/>
      </w:pPr>
      <w:r>
        <w:rPr/>
        <w:t>（</w:t>
      </w:r>
      <w:r>
        <w:rPr>
          <w:rFonts w:ascii="宋体" w:hAnsi="宋体" w:cs="宋体" w:eastAsia="宋体" w:hint="default"/>
        </w:rPr>
        <w:t>1</w:t>
      </w:r>
      <w:r>
        <w:rPr/>
        <w:t>）当期所得税 </w:t>
      </w:r>
      <w:r>
        <w:rPr>
          <w:spacing w:val="-3"/>
        </w:rPr>
        <w:t>资产负债表日，对于当期和以前期间形成的当期所得税负债（或资产），以按照税法规定计算的预期</w:t>
      </w:r>
    </w:p>
    <w:p>
      <w:pPr>
        <w:pStyle w:val="BodyText"/>
        <w:spacing w:line="408" w:lineRule="auto"/>
        <w:ind w:right="1046"/>
        <w:jc w:val="left"/>
      </w:pPr>
      <w:r>
        <w:rPr>
          <w:spacing w:val="-1"/>
        </w:rPr>
        <w:t>应交纳（或返还）的所得税金额计量。计算当期所得税费用所依据的应纳税所得额系根据有关税法规定对</w:t>
      </w:r>
      <w:r>
        <w:rPr>
          <w:spacing w:val="-83"/>
        </w:rPr>
        <w:t> </w:t>
      </w:r>
      <w:r>
        <w:rPr>
          <w:spacing w:val="-83"/>
        </w:rPr>
      </w:r>
      <w:r>
        <w:rPr/>
        <w:t>本年度税前会计利润作相应调整后计算得出。</w:t>
      </w:r>
    </w:p>
    <w:p>
      <w:pPr>
        <w:pStyle w:val="BodyText"/>
        <w:spacing w:line="408" w:lineRule="auto"/>
        <w:ind w:left="574" w:right="1046"/>
        <w:jc w:val="left"/>
      </w:pPr>
      <w:r>
        <w:rPr/>
        <w:t>（</w:t>
      </w:r>
      <w:r>
        <w:rPr>
          <w:rFonts w:ascii="宋体" w:hAnsi="宋体" w:cs="宋体" w:eastAsia="宋体" w:hint="default"/>
        </w:rPr>
        <w:t>2</w:t>
      </w:r>
      <w:r>
        <w:rPr/>
        <w:t>）递延所得税资产及递延所得税负债 </w:t>
      </w:r>
      <w:r>
        <w:rPr>
          <w:spacing w:val="-1"/>
        </w:rPr>
        <w:t>某些资产、负债项目的账面价值与其计税基础之间的差额，以及未作为资产和负债确认但按照税法规</w:t>
      </w:r>
    </w:p>
    <w:p>
      <w:pPr>
        <w:pStyle w:val="BodyText"/>
        <w:spacing w:line="408" w:lineRule="auto"/>
        <w:ind w:left="154" w:right="1046"/>
        <w:jc w:val="left"/>
      </w:pPr>
      <w:r>
        <w:rPr>
          <w:spacing w:val="-1"/>
        </w:rPr>
        <w:t>定可以确定其计税基础的项目的账面价值与计税基础之间的差额产生的暂时性差异，采用资产负债表债务</w:t>
      </w:r>
      <w:r>
        <w:rPr>
          <w:spacing w:val="-81"/>
        </w:rPr>
        <w:t> </w:t>
      </w:r>
      <w:r>
        <w:rPr>
          <w:spacing w:val="-81"/>
        </w:rPr>
      </w:r>
      <w:r>
        <w:rPr/>
        <w:t>法确认递延所得税资产及递延所得税负债。</w:t>
      </w:r>
    </w:p>
    <w:p>
      <w:pPr>
        <w:pStyle w:val="BodyText"/>
        <w:spacing w:line="240" w:lineRule="auto"/>
        <w:ind w:left="574" w:right="1046"/>
        <w:jc w:val="left"/>
      </w:pPr>
      <w:r>
        <w:rPr/>
        <w:t>与商誉的初始确认有关，以及与既不是企业合并、发生时也不影响会计利润和应纳税所得额（或可抵</w:t>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24"/>
        <w:jc w:val="left"/>
      </w:pPr>
      <w:r>
        <w:rPr/>
        <w:t>扣亏损）的交易中产生的资产或负债的初始确认有关的应纳税暂时性差异，不予确认有关的递延所得税负 债。此外，对与子公司、联营企业及合营企业投资相关的应纳税暂时性差异，如果本公司能够控制暂时性 </w:t>
      </w:r>
      <w:r>
        <w:rPr>
          <w:spacing w:val="-3"/>
        </w:rPr>
        <w:t>差异转回的时间，而且该暂时性差异在可预见的未来很可能不会转回，也不予确认有关的递延所得税负债。</w:t>
      </w:r>
      <w:r>
        <w:rPr>
          <w:spacing w:val="-92"/>
        </w:rPr>
        <w:t> </w:t>
      </w:r>
      <w:r>
        <w:rPr>
          <w:spacing w:val="-92"/>
        </w:rPr>
      </w:r>
      <w:r>
        <w:rPr/>
        <w:t>除上述例外情况，本公司确认其他所有应纳税暂时性差异产生的递延所得税负债。</w:t>
      </w:r>
    </w:p>
    <w:p>
      <w:pPr>
        <w:pStyle w:val="BodyText"/>
        <w:spacing w:line="408" w:lineRule="auto"/>
        <w:ind w:right="1131" w:firstLine="420"/>
        <w:jc w:val="both"/>
      </w:pPr>
      <w:r>
        <w:rPr>
          <w:spacing w:val="-1"/>
        </w:rPr>
        <w:t>与既不是企业合并、发生时也不影响会计利润和应纳税所得额（或可抵扣亏损）的交易中产生的资产</w:t>
      </w:r>
      <w:r>
        <w:rPr/>
        <w:t> </w:t>
      </w:r>
      <w:r>
        <w:rPr>
          <w:spacing w:val="-1"/>
        </w:rPr>
        <w:t>或负债的初始确认有关的可抵扣暂时性差异，不予确认有关的递延所得税资产。此外，对与子公司、联营</w:t>
      </w:r>
      <w:r>
        <w:rPr>
          <w:spacing w:val="-86"/>
        </w:rPr>
        <w:t> </w:t>
      </w:r>
      <w:r>
        <w:rPr>
          <w:spacing w:val="-86"/>
        </w:rPr>
      </w:r>
      <w:r>
        <w:rPr>
          <w:spacing w:val="-1"/>
        </w:rPr>
        <w:t>企业及合营企业投资相关的可抵扣暂时性差异，如果暂时性差异在可预见的未来不是很可能转回，或者未</w:t>
      </w:r>
      <w:r>
        <w:rPr>
          <w:spacing w:val="-81"/>
        </w:rPr>
        <w:t> </w:t>
      </w:r>
      <w:r>
        <w:rPr>
          <w:spacing w:val="-81"/>
        </w:rPr>
      </w:r>
      <w:r>
        <w:rPr>
          <w:spacing w:val="-1"/>
        </w:rPr>
        <w:t>来不是很可能获得用来抵扣可抵扣暂时性差异的应纳税所得额，不予确认有关的递延所得税资产。除上述</w:t>
      </w:r>
      <w:r>
        <w:rPr>
          <w:spacing w:val="-81"/>
        </w:rPr>
        <w:t> </w:t>
      </w:r>
      <w:r>
        <w:rPr>
          <w:spacing w:val="-81"/>
        </w:rPr>
      </w:r>
      <w:r>
        <w:rPr>
          <w:spacing w:val="-1"/>
        </w:rPr>
        <w:t>例外情况，本公司以很可能取得用来抵扣可抵扣暂时性差异的应纳税所得额为限，确认其他可抵扣暂时性</w:t>
      </w:r>
      <w:r>
        <w:rPr>
          <w:spacing w:val="-81"/>
        </w:rPr>
        <w:t> </w:t>
      </w:r>
      <w:r>
        <w:rPr>
          <w:spacing w:val="-81"/>
        </w:rPr>
      </w:r>
      <w:r>
        <w:rPr/>
        <w:t>差异产生的递延所得税资产。</w:t>
      </w:r>
    </w:p>
    <w:p>
      <w:pPr>
        <w:pStyle w:val="BodyText"/>
        <w:spacing w:line="408" w:lineRule="auto"/>
        <w:ind w:right="1132" w:firstLine="420"/>
        <w:jc w:val="both"/>
      </w:pPr>
      <w:r>
        <w:rPr>
          <w:spacing w:val="-1"/>
        </w:rPr>
        <w:t>对于能够结转以后年度的可抵扣亏损和税款抵减，以很可能获得用来抵扣可抵扣亏损和税款抵减的未</w:t>
      </w:r>
      <w:r>
        <w:rPr/>
        <w:t> 来应纳税所得额为限，确认相应的递延所得税资产。</w:t>
      </w:r>
    </w:p>
    <w:p>
      <w:pPr>
        <w:pStyle w:val="BodyText"/>
        <w:spacing w:line="408" w:lineRule="auto"/>
        <w:ind w:right="1131" w:firstLine="420"/>
        <w:jc w:val="both"/>
      </w:pPr>
      <w:r>
        <w:rPr>
          <w:spacing w:val="-1"/>
        </w:rPr>
        <w:t>资产负债表日，对于递延所得税资产和递延所得税负债，根据税法规定，按照预期收回相关资产或清</w:t>
      </w:r>
      <w:r>
        <w:rPr/>
        <w:t> 偿相关负债期间的适用税率计量。</w:t>
      </w:r>
    </w:p>
    <w:p>
      <w:pPr>
        <w:pStyle w:val="BodyText"/>
        <w:spacing w:line="408" w:lineRule="auto"/>
        <w:ind w:right="1130" w:firstLine="420"/>
        <w:jc w:val="both"/>
      </w:pPr>
      <w:r>
        <w:rPr>
          <w:spacing w:val="-1"/>
        </w:rPr>
        <w:t>于资产负债表日，对递延所得税资产的账面价值进行复核，如果未来很可能无法获得足够的应纳税所</w:t>
      </w:r>
      <w:r>
        <w:rPr/>
        <w:t> </w:t>
      </w:r>
      <w:r>
        <w:rPr>
          <w:spacing w:val="-1"/>
        </w:rPr>
        <w:t>得额用以抵扣递延所得税资产的利益，则减记递延所得税资产的账面价值。在很可能获得足够的应纳税所</w:t>
      </w:r>
      <w:r>
        <w:rPr>
          <w:spacing w:val="-81"/>
        </w:rPr>
        <w:t> </w:t>
      </w:r>
      <w:r>
        <w:rPr>
          <w:spacing w:val="-81"/>
        </w:rPr>
      </w:r>
      <w:r>
        <w:rPr/>
        <w:t>得额时，减记的金额予以转回。</w:t>
      </w:r>
    </w:p>
    <w:p>
      <w:pPr>
        <w:pStyle w:val="BodyText"/>
        <w:spacing w:line="408" w:lineRule="auto"/>
        <w:ind w:left="573" w:right="6343"/>
        <w:jc w:val="left"/>
      </w:pPr>
      <w:r>
        <w:rPr/>
        <w:t>（</w:t>
      </w:r>
      <w:r>
        <w:rPr>
          <w:rFonts w:ascii="宋体" w:hAnsi="宋体" w:cs="宋体" w:eastAsia="宋体" w:hint="default"/>
        </w:rPr>
        <w:t>3</w:t>
      </w:r>
      <w:r>
        <w:rPr/>
        <w:t>）所得税费用 所得税费用包括当期所得税和递延所得税。</w:t>
      </w:r>
    </w:p>
    <w:p>
      <w:pPr>
        <w:pStyle w:val="BodyText"/>
        <w:spacing w:line="408" w:lineRule="auto"/>
        <w:ind w:right="1046" w:firstLine="420"/>
        <w:jc w:val="left"/>
      </w:pPr>
      <w:r>
        <w:rPr/>
        <w:t>除确认为其他综合收益或直接计入股东权益的交易和事项相关的当期所得税和递延所得税计入其他 </w:t>
      </w:r>
      <w:r>
        <w:rPr>
          <w:spacing w:val="-1"/>
        </w:rPr>
        <w:t>综合收益或股东权益，以及企业合并产生的递延所得税调整商誉的账面价值外，其余当期所得税和递延所</w:t>
      </w:r>
      <w:r>
        <w:rPr>
          <w:spacing w:val="-81"/>
        </w:rPr>
        <w:t> </w:t>
      </w:r>
      <w:r>
        <w:rPr>
          <w:spacing w:val="-81"/>
        </w:rPr>
      </w:r>
      <w:r>
        <w:rPr/>
        <w:t>得税费用或收益计入当期损益。</w:t>
      </w:r>
    </w:p>
    <w:p>
      <w:pPr>
        <w:pStyle w:val="BodyText"/>
        <w:spacing w:line="408" w:lineRule="auto"/>
        <w:ind w:left="573" w:right="1046"/>
        <w:jc w:val="left"/>
      </w:pPr>
      <w:r>
        <w:rPr/>
        <w:t>（</w:t>
      </w:r>
      <w:r>
        <w:rPr>
          <w:rFonts w:ascii="宋体" w:hAnsi="宋体" w:cs="宋体" w:eastAsia="宋体" w:hint="default"/>
        </w:rPr>
        <w:t>4</w:t>
      </w:r>
      <w:r>
        <w:rPr/>
        <w:t>）所得税的抵销 </w:t>
      </w:r>
      <w:r>
        <w:rPr>
          <w:spacing w:val="-1"/>
        </w:rPr>
        <w:t>当拥有以净额结算的法定权利，且意图以净额结算或取得资产、清偿负债同时进行时，本公司当期所</w:t>
      </w:r>
    </w:p>
    <w:p>
      <w:pPr>
        <w:pStyle w:val="BodyText"/>
        <w:spacing w:line="408" w:lineRule="auto"/>
        <w:ind w:left="573" w:right="1046" w:hanging="420"/>
        <w:jc w:val="left"/>
      </w:pPr>
      <w:r>
        <w:rPr/>
        <w:t>得税资产及当期所得税负债以抵销后的净额列报。 </w:t>
      </w:r>
      <w:r>
        <w:rPr>
          <w:spacing w:val="-1"/>
        </w:rPr>
        <w:t>当拥有以净额结算当期所得税资产及当期所得税负债的法定权利，且递延所得税资产及递延所得税负</w:t>
      </w:r>
    </w:p>
    <w:p>
      <w:pPr>
        <w:pStyle w:val="BodyText"/>
        <w:spacing w:line="408" w:lineRule="auto"/>
        <w:ind w:right="1132"/>
        <w:jc w:val="both"/>
      </w:pPr>
      <w:r>
        <w:rPr>
          <w:spacing w:val="-1"/>
        </w:rPr>
        <w:t>债是与同一税收征管部门对同一纳税主体征收的所得税相关或者是对不同的纳税主体相关，但在未来每一</w:t>
      </w:r>
      <w:r>
        <w:rPr>
          <w:spacing w:val="-81"/>
        </w:rPr>
        <w:t> </w:t>
      </w:r>
      <w:r>
        <w:rPr>
          <w:spacing w:val="-81"/>
        </w:rPr>
      </w:r>
      <w:r>
        <w:rPr>
          <w:spacing w:val="-1"/>
        </w:rPr>
        <w:t>具有重要性的递延所得税资产及负债转回的期间内，涉及的纳税主体意图以净额结算当期所得税资产和负</w:t>
      </w:r>
      <w:r>
        <w:rPr>
          <w:spacing w:val="-81"/>
        </w:rPr>
        <w:t> </w:t>
      </w:r>
      <w:r>
        <w:rPr>
          <w:spacing w:val="-81"/>
        </w:rPr>
      </w:r>
      <w:r>
        <w:rPr/>
        <w:t>债或是同时取得资产、清偿负债时，本公司递延所得税资产及递延所得税负债以抵销后的净额列报。</w:t>
      </w:r>
    </w:p>
    <w:p>
      <w:pPr>
        <w:spacing w:after="0" w:line="408"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0"/>
        <w:jc w:val="both"/>
        <w:rPr>
          <w:b w:val="0"/>
          <w:bCs w:val="0"/>
        </w:rPr>
      </w:pPr>
      <w:bookmarkStart w:name="29、租赁" w:id="201"/>
      <w:bookmarkEnd w:id="201"/>
      <w:r>
        <w:rPr>
          <w:b w:val="0"/>
          <w:bCs w:val="0"/>
        </w:rPr>
      </w:r>
      <w:r>
        <w:rPr>
          <w:rFonts w:ascii="Times New Roman" w:hAnsi="Times New Roman" w:cs="Times New Roman" w:eastAsia="Times New Roman" w:hint="default"/>
        </w:rPr>
        <w:t>29</w:t>
      </w:r>
      <w:r>
        <w:rPr/>
        <w:t>、租赁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经营租赁的会计处理方法" w:id="202"/>
      <w:bookmarkEnd w:id="20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1046"/>
        <w:jc w:val="left"/>
      </w:pPr>
      <w:r>
        <w:rPr/>
        <w:t>①本公司作为承租人记录经营租赁业务 </w:t>
      </w:r>
      <w:r>
        <w:rPr>
          <w:spacing w:val="-1"/>
        </w:rPr>
        <w:t>经营租赁的租金支出在租赁期内的各个期间按直线法计入相关资产成本或当期损益。初始直接费用计</w:t>
      </w:r>
    </w:p>
    <w:p>
      <w:pPr>
        <w:pStyle w:val="BodyText"/>
        <w:spacing w:line="240" w:lineRule="auto"/>
        <w:ind w:left="154" w:right="0"/>
        <w:jc w:val="both"/>
      </w:pPr>
      <w:r>
        <w:rPr/>
        <w:t>入当期损益。或有租金于实际发生时计入当期损益。</w:t>
      </w:r>
    </w:p>
    <w:p>
      <w:pPr>
        <w:spacing w:line="240" w:lineRule="auto" w:before="10"/>
        <w:rPr>
          <w:rFonts w:ascii="宋体" w:hAnsi="宋体" w:cs="宋体" w:eastAsia="宋体" w:hint="default"/>
          <w:sz w:val="14"/>
          <w:szCs w:val="14"/>
        </w:rPr>
      </w:pPr>
    </w:p>
    <w:p>
      <w:pPr>
        <w:pStyle w:val="BodyText"/>
        <w:spacing w:line="408" w:lineRule="auto" w:before="0"/>
        <w:ind w:left="574" w:right="1046"/>
        <w:jc w:val="left"/>
      </w:pPr>
      <w:r>
        <w:rPr/>
        <w:t>②本公司作为出租人记录经营租赁业务 </w:t>
      </w:r>
      <w:r>
        <w:rPr>
          <w:spacing w:val="-1"/>
        </w:rPr>
        <w:t>经营租赁的租金收入在租赁期内的各个期间按直线法确认为当期损益。对金额较大的初始直接费用于</w:t>
      </w:r>
    </w:p>
    <w:p>
      <w:pPr>
        <w:pStyle w:val="BodyText"/>
        <w:spacing w:line="408" w:lineRule="auto"/>
        <w:ind w:left="154" w:right="1131"/>
        <w:jc w:val="both"/>
      </w:pPr>
      <w:r>
        <w:rPr>
          <w:spacing w:val="-1"/>
        </w:rPr>
        <w:t>发生时予以资本化，在整个租赁期间内按照与确认租金收入相同的基础分期计入当期损益；其他金额较小</w:t>
      </w:r>
      <w:r>
        <w:rPr>
          <w:spacing w:val="-81"/>
        </w:rPr>
        <w:t> </w:t>
      </w:r>
      <w:r>
        <w:rPr>
          <w:spacing w:val="-81"/>
        </w:rPr>
      </w:r>
      <w:r>
        <w:rPr/>
        <w:t>的初始直接费用于发生时计入当期损益。或有租金于实际发生时计入当期损益。</w:t>
      </w:r>
    </w:p>
    <w:p>
      <w:pPr>
        <w:spacing w:line="240" w:lineRule="auto" w:before="8"/>
        <w:rPr>
          <w:rFonts w:ascii="宋体" w:hAnsi="宋体" w:cs="宋体" w:eastAsia="宋体" w:hint="default"/>
          <w:sz w:val="20"/>
          <w:szCs w:val="20"/>
        </w:rPr>
      </w:pPr>
    </w:p>
    <w:p>
      <w:pPr>
        <w:pStyle w:val="Heading3"/>
        <w:spacing w:line="240" w:lineRule="auto"/>
        <w:ind w:left="153" w:right="0"/>
        <w:jc w:val="both"/>
        <w:rPr>
          <w:b w:val="0"/>
          <w:bCs w:val="0"/>
        </w:rPr>
      </w:pPr>
      <w:bookmarkStart w:name="（2）融资租赁的会计处理方法" w:id="203"/>
      <w:bookmarkEnd w:id="20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574" w:right="1046"/>
        <w:jc w:val="left"/>
      </w:pPr>
      <w:r>
        <w:rPr/>
        <w:t>①本公司作为承租人记录融资租赁业务 </w:t>
      </w:r>
      <w:r>
        <w:rPr>
          <w:spacing w:val="-1"/>
        </w:rPr>
        <w:t>于租赁期开始日，将租赁开始日租赁资产的公允价值与最低租赁付款额现值两者中较低者作为租入资</w:t>
      </w:r>
    </w:p>
    <w:p>
      <w:pPr>
        <w:pStyle w:val="BodyText"/>
        <w:spacing w:line="408" w:lineRule="auto"/>
        <w:ind w:left="154" w:right="1131"/>
        <w:jc w:val="both"/>
      </w:pPr>
      <w:r>
        <w:rPr>
          <w:spacing w:val="-1"/>
        </w:rPr>
        <w:t>产的入账价值，将最低租赁付款额作为长期应付款的入账价值，其差额作为未确认融资费用。此外，在租</w:t>
      </w:r>
      <w:r>
        <w:rPr>
          <w:spacing w:val="-86"/>
        </w:rPr>
        <w:t> </w:t>
      </w:r>
      <w:r>
        <w:rPr>
          <w:spacing w:val="-86"/>
        </w:rPr>
      </w:r>
      <w:r>
        <w:rPr>
          <w:spacing w:val="-1"/>
        </w:rPr>
        <w:t>赁谈判和签订租赁合同过程中发生的，可归属于租赁项目的初始直接费用也计入租入资产价值。最低租赁</w:t>
      </w:r>
      <w:r>
        <w:rPr>
          <w:spacing w:val="-81"/>
        </w:rPr>
        <w:t> </w:t>
      </w:r>
      <w:r>
        <w:rPr>
          <w:spacing w:val="-81"/>
        </w:rPr>
      </w:r>
      <w:r>
        <w:rPr/>
        <w:t>付款额扣除未确认融资费用后的余额分别长期负债和一年内到期的长期负债列示。</w:t>
      </w:r>
    </w:p>
    <w:p>
      <w:pPr>
        <w:pStyle w:val="BodyText"/>
        <w:spacing w:line="408" w:lineRule="auto"/>
        <w:ind w:right="1046" w:firstLine="420"/>
        <w:jc w:val="left"/>
      </w:pPr>
      <w:r>
        <w:rPr>
          <w:spacing w:val="-1"/>
        </w:rPr>
        <w:t>未确认融资费用在租赁期内采用实际利率法计算确认当期的融资费用。或有租金于实际发生时计入当</w:t>
      </w:r>
      <w:r>
        <w:rPr/>
        <w:t> 期损益。</w:t>
      </w:r>
    </w:p>
    <w:p>
      <w:pPr>
        <w:pStyle w:val="BodyText"/>
        <w:spacing w:line="408" w:lineRule="auto"/>
        <w:ind w:left="574" w:right="1302"/>
        <w:jc w:val="left"/>
      </w:pPr>
      <w:r>
        <w:rPr/>
        <w:t>②本公司作为出租人记录融资租赁业务 于租赁期开始日，将租赁开始日最低租赁收款额与初始直接费用之和作为应收融资租赁款的入账价</w:t>
      </w:r>
    </w:p>
    <w:p>
      <w:pPr>
        <w:pStyle w:val="BodyText"/>
        <w:spacing w:line="408" w:lineRule="auto"/>
        <w:ind w:left="154" w:right="1131"/>
        <w:jc w:val="both"/>
      </w:pPr>
      <w:r>
        <w:rPr>
          <w:spacing w:val="-1"/>
        </w:rPr>
        <w:t>值，同时记录未担保余值；将最低租赁收款额、初始直接费用及未担保余值之和与其现值之和的差额确认</w:t>
      </w:r>
      <w:r>
        <w:rPr>
          <w:spacing w:val="-83"/>
        </w:rPr>
        <w:t> </w:t>
      </w:r>
      <w:r>
        <w:rPr>
          <w:spacing w:val="-83"/>
        </w:rPr>
      </w:r>
      <w:r>
        <w:rPr>
          <w:spacing w:val="-1"/>
        </w:rPr>
        <w:t>为未实现融资收益。应收融资租赁款扣除未实现融资收益后的余额分别长期债权和一年内到期的长期债权</w:t>
      </w:r>
      <w:r>
        <w:rPr>
          <w:spacing w:val="-81"/>
        </w:rPr>
        <w:t> </w:t>
      </w:r>
      <w:r>
        <w:rPr>
          <w:spacing w:val="-81"/>
        </w:rPr>
      </w:r>
      <w:r>
        <w:rPr/>
        <w:t>列示。</w:t>
      </w:r>
    </w:p>
    <w:p>
      <w:pPr>
        <w:pStyle w:val="BodyText"/>
        <w:spacing w:line="408" w:lineRule="auto"/>
        <w:ind w:left="154" w:right="1046" w:firstLine="420"/>
        <w:jc w:val="left"/>
      </w:pPr>
      <w:r>
        <w:rPr>
          <w:spacing w:val="-1"/>
        </w:rPr>
        <w:t>未实现融资收益在租赁期内采用实际利率法计算确认当期的融资收入。或有租金于实际发生时计入当</w:t>
      </w:r>
      <w:r>
        <w:rPr/>
        <w:t> 期损益。</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30、其他重要的会计政策和会计估计" w:id="204"/>
      <w:bookmarkEnd w:id="204"/>
      <w:r>
        <w:rPr>
          <w:b w:val="0"/>
          <w:bCs w:val="0"/>
        </w:rPr>
      </w:r>
      <w:r>
        <w:rPr>
          <w:rFonts w:ascii="Times New Roman" w:hAnsi="Times New Roman" w:cs="Times New Roman" w:eastAsia="Times New Roman" w:hint="default"/>
        </w:rPr>
        <w:t>30</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31、重要会计政策和会计估计变更" w:id="205"/>
      <w:bookmarkEnd w:id="205"/>
      <w:r>
        <w:rPr>
          <w:b w:val="0"/>
          <w:bCs w:val="0"/>
        </w:rPr>
      </w:r>
      <w:r>
        <w:rPr>
          <w:rFonts w:ascii="Times New Roman" w:hAnsi="Times New Roman" w:cs="Times New Roman" w:eastAsia="Times New Roman" w:hint="default"/>
        </w:rPr>
        <w:t>31</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46"/>
        <w:jc w:val="left"/>
        <w:rPr>
          <w:b w:val="0"/>
          <w:bCs w:val="0"/>
        </w:rPr>
      </w:pPr>
      <w:bookmarkStart w:name="（1）重要会计政策变更" w:id="206"/>
      <w:bookmarkEnd w:id="20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71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因执行新企业会计准则导致的会计政策 变更</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3"/>
        <w:ind w:left="574" w:right="1046"/>
        <w:jc w:val="left"/>
      </w:pPr>
      <w:r>
        <w:rPr/>
        <w:t>因执行新企业会计准则导致的会计政策变更：</w:t>
      </w:r>
    </w:p>
    <w:p>
      <w:pPr>
        <w:spacing w:line="240" w:lineRule="auto" w:before="10"/>
        <w:rPr>
          <w:rFonts w:ascii="宋体" w:hAnsi="宋体" w:cs="宋体" w:eastAsia="宋体" w:hint="default"/>
          <w:sz w:val="14"/>
          <w:szCs w:val="14"/>
        </w:rPr>
      </w:pPr>
    </w:p>
    <w:p>
      <w:pPr>
        <w:pStyle w:val="BodyText"/>
        <w:spacing w:line="408" w:lineRule="auto" w:before="0"/>
        <w:ind w:right="1026" w:firstLine="420"/>
        <w:jc w:val="both"/>
      </w:pPr>
      <w:r>
        <w:rPr>
          <w:rFonts w:ascii="宋体" w:hAnsi="宋体" w:cs="宋体" w:eastAsia="宋体" w:hint="default"/>
        </w:rPr>
        <w:t>2014</w:t>
      </w:r>
      <w:r>
        <w:rPr>
          <w:rFonts w:ascii="宋体" w:hAnsi="宋体" w:cs="宋体" w:eastAsia="宋体" w:hint="default"/>
          <w:spacing w:val="-53"/>
        </w:rPr>
        <w:t> </w:t>
      </w:r>
      <w:r>
        <w:rPr/>
        <w:t>年初，财政部分别以财会</w:t>
      </w:r>
      <w:r>
        <w:rPr>
          <w:rFonts w:ascii="宋体" w:hAnsi="宋体" w:cs="宋体" w:eastAsia="宋体" w:hint="default"/>
        </w:rPr>
        <w:t>[2014]6</w:t>
      </w:r>
      <w:r>
        <w:rPr>
          <w:rFonts w:ascii="宋体" w:hAnsi="宋体" w:cs="宋体" w:eastAsia="宋体" w:hint="default"/>
          <w:spacing w:val="-53"/>
        </w:rPr>
        <w:t> </w:t>
      </w:r>
      <w:r>
        <w:rPr/>
        <w:t>号、</w:t>
      </w:r>
      <w:r>
        <w:rPr>
          <w:rFonts w:ascii="宋体" w:hAnsi="宋体" w:cs="宋体" w:eastAsia="宋体" w:hint="default"/>
        </w:rPr>
        <w:t>7</w:t>
      </w:r>
      <w:r>
        <w:rPr>
          <w:rFonts w:ascii="宋体" w:hAnsi="宋体" w:cs="宋体" w:eastAsia="宋体" w:hint="default"/>
          <w:spacing w:val="-53"/>
        </w:rPr>
        <w:t> </w:t>
      </w:r>
      <w:r>
        <w:rPr/>
        <w:t>号、</w:t>
      </w:r>
      <w:r>
        <w:rPr>
          <w:rFonts w:ascii="宋体" w:hAnsi="宋体" w:cs="宋体" w:eastAsia="宋体" w:hint="default"/>
        </w:rPr>
        <w:t>8</w:t>
      </w:r>
      <w:r>
        <w:rPr>
          <w:rFonts w:ascii="宋体" w:hAnsi="宋体" w:cs="宋体" w:eastAsia="宋体" w:hint="default"/>
          <w:spacing w:val="-53"/>
        </w:rPr>
        <w:t> </w:t>
      </w:r>
      <w:r>
        <w:rPr/>
        <w:t>号、</w:t>
      </w:r>
      <w:r>
        <w:rPr>
          <w:rFonts w:ascii="宋体" w:hAnsi="宋体" w:cs="宋体" w:eastAsia="宋体" w:hint="default"/>
        </w:rPr>
        <w:t>10</w:t>
      </w:r>
      <w:r>
        <w:rPr>
          <w:rFonts w:ascii="宋体" w:hAnsi="宋体" w:cs="宋体" w:eastAsia="宋体" w:hint="default"/>
          <w:spacing w:val="-54"/>
        </w:rPr>
        <w:t> </w:t>
      </w:r>
      <w:r>
        <w:rPr/>
        <w:t>号、</w:t>
      </w:r>
      <w:r>
        <w:rPr>
          <w:rFonts w:ascii="宋体" w:hAnsi="宋体" w:cs="宋体" w:eastAsia="宋体" w:hint="default"/>
        </w:rPr>
        <w:t>11</w:t>
      </w:r>
      <w:r>
        <w:rPr>
          <w:rFonts w:ascii="宋体" w:hAnsi="宋体" w:cs="宋体" w:eastAsia="宋体" w:hint="default"/>
          <w:spacing w:val="-53"/>
        </w:rPr>
        <w:t> </w:t>
      </w:r>
      <w:r>
        <w:rPr/>
        <w:t>号、</w:t>
      </w:r>
      <w:r>
        <w:rPr>
          <w:rFonts w:ascii="宋体" w:hAnsi="宋体" w:cs="宋体" w:eastAsia="宋体" w:hint="default"/>
        </w:rPr>
        <w:t>14</w:t>
      </w:r>
      <w:r>
        <w:rPr>
          <w:rFonts w:ascii="宋体" w:hAnsi="宋体" w:cs="宋体" w:eastAsia="宋体" w:hint="default"/>
          <w:spacing w:val="-53"/>
        </w:rPr>
        <w:t> </w:t>
      </w:r>
      <w:r>
        <w:rPr/>
        <w:t>号及</w:t>
      </w:r>
      <w:r>
        <w:rPr>
          <w:spacing w:val="-55"/>
        </w:rPr>
        <w:t> </w:t>
      </w:r>
      <w:r>
        <w:rPr>
          <w:rFonts w:ascii="宋体" w:hAnsi="宋体" w:cs="宋体" w:eastAsia="宋体" w:hint="default"/>
        </w:rPr>
        <w:t>16</w:t>
      </w:r>
      <w:r>
        <w:rPr>
          <w:rFonts w:ascii="宋体" w:hAnsi="宋体" w:cs="宋体" w:eastAsia="宋体" w:hint="default"/>
          <w:spacing w:val="-53"/>
        </w:rPr>
        <w:t> </w:t>
      </w:r>
      <w:r>
        <w:rPr/>
        <w:t>号发布了《企业会 计准则第</w:t>
      </w:r>
      <w:r>
        <w:rPr>
          <w:spacing w:val="-48"/>
        </w:rPr>
        <w:t> </w:t>
      </w:r>
      <w:r>
        <w:rPr>
          <w:rFonts w:ascii="宋体" w:hAnsi="宋体" w:cs="宋体" w:eastAsia="宋体" w:hint="default"/>
          <w:spacing w:val="-1"/>
        </w:rPr>
        <w:t>39</w:t>
      </w:r>
      <w:r>
        <w:rPr>
          <w:rFonts w:ascii="宋体" w:hAnsi="宋体" w:cs="宋体" w:eastAsia="宋体" w:hint="default"/>
          <w:spacing w:val="-49"/>
        </w:rPr>
        <w:t> </w:t>
      </w:r>
      <w:r>
        <w:rPr>
          <w:spacing w:val="-12"/>
        </w:rPr>
        <w:t>号——公允价值计量》、《企业会计准则第</w:t>
      </w:r>
      <w:r>
        <w:rPr>
          <w:spacing w:val="-48"/>
        </w:rPr>
        <w:t> </w:t>
      </w:r>
      <w:r>
        <w:rPr>
          <w:rFonts w:ascii="宋体" w:hAnsi="宋体" w:cs="宋体" w:eastAsia="宋体" w:hint="default"/>
          <w:spacing w:val="-1"/>
        </w:rPr>
        <w:t>30</w:t>
      </w:r>
      <w:r>
        <w:rPr>
          <w:rFonts w:ascii="宋体" w:hAnsi="宋体" w:cs="宋体" w:eastAsia="宋体" w:hint="default"/>
          <w:spacing w:val="-48"/>
        </w:rPr>
        <w:t> </w:t>
      </w:r>
      <w:r>
        <w:rPr>
          <w:spacing w:val="-1"/>
        </w:rPr>
        <w:t>号——财务报表列报（</w:t>
      </w:r>
      <w:r>
        <w:rPr>
          <w:rFonts w:ascii="宋体" w:hAnsi="宋体" w:cs="宋体" w:eastAsia="宋体" w:hint="default"/>
          <w:spacing w:val="-1"/>
        </w:rPr>
        <w:t>2014</w:t>
      </w:r>
      <w:r>
        <w:rPr>
          <w:rFonts w:ascii="宋体" w:hAnsi="宋体" w:cs="宋体" w:eastAsia="宋体" w:hint="default"/>
          <w:spacing w:val="-49"/>
        </w:rPr>
        <w:t> </w:t>
      </w:r>
      <w:r>
        <w:rPr>
          <w:spacing w:val="-32"/>
        </w:rPr>
        <w:t>年修订）》、《企业会</w:t>
      </w:r>
      <w:r>
        <w:rPr>
          <w:spacing w:val="-93"/>
        </w:rPr>
        <w:t> </w:t>
      </w:r>
      <w:r>
        <w:rPr>
          <w:spacing w:val="-93"/>
        </w:rPr>
      </w:r>
      <w:r>
        <w:rPr/>
        <w:t>计准则第</w:t>
      </w:r>
      <w:r>
        <w:rPr>
          <w:spacing w:val="-48"/>
        </w:rPr>
        <w:t> </w:t>
      </w:r>
      <w:r>
        <w:rPr>
          <w:rFonts w:ascii="宋体" w:hAnsi="宋体" w:cs="宋体" w:eastAsia="宋体" w:hint="default"/>
        </w:rPr>
        <w:t>9</w:t>
      </w:r>
      <w:r>
        <w:rPr>
          <w:rFonts w:ascii="宋体" w:hAnsi="宋体" w:cs="宋体" w:eastAsia="宋体" w:hint="default"/>
          <w:spacing w:val="-49"/>
        </w:rPr>
        <w:t> </w:t>
      </w:r>
      <w:r>
        <w:rPr>
          <w:spacing w:val="-1"/>
        </w:rPr>
        <w:t>号——职工薪酬（</w:t>
      </w:r>
      <w:r>
        <w:rPr>
          <w:rFonts w:ascii="宋体" w:hAnsi="宋体" w:cs="宋体" w:eastAsia="宋体" w:hint="default"/>
          <w:spacing w:val="-1"/>
        </w:rPr>
        <w:t>2014</w:t>
      </w:r>
      <w:r>
        <w:rPr>
          <w:rFonts w:ascii="宋体" w:hAnsi="宋体" w:cs="宋体" w:eastAsia="宋体" w:hint="default"/>
          <w:spacing w:val="-49"/>
        </w:rPr>
        <w:t> </w:t>
      </w:r>
      <w:r>
        <w:rPr>
          <w:spacing w:val="-24"/>
        </w:rPr>
        <w:t>年修订）》、《企业会计准则第</w:t>
      </w:r>
      <w:r>
        <w:rPr>
          <w:spacing w:val="-48"/>
        </w:rPr>
        <w:t> </w:t>
      </w:r>
      <w:r>
        <w:rPr>
          <w:rFonts w:ascii="宋体" w:hAnsi="宋体" w:cs="宋体" w:eastAsia="宋体" w:hint="default"/>
          <w:spacing w:val="-1"/>
        </w:rPr>
        <w:t>33</w:t>
      </w:r>
      <w:r>
        <w:rPr>
          <w:rFonts w:ascii="宋体" w:hAnsi="宋体" w:cs="宋体" w:eastAsia="宋体" w:hint="default"/>
          <w:spacing w:val="-48"/>
        </w:rPr>
        <w:t> </w:t>
      </w:r>
      <w:r>
        <w:rPr>
          <w:spacing w:val="-1"/>
        </w:rPr>
        <w:t>号——合并财务报表（</w:t>
      </w:r>
      <w:r>
        <w:rPr>
          <w:rFonts w:ascii="宋体" w:hAnsi="宋体" w:cs="宋体" w:eastAsia="宋体" w:hint="default"/>
          <w:spacing w:val="-1"/>
        </w:rPr>
        <w:t>2014</w:t>
      </w:r>
      <w:r>
        <w:rPr>
          <w:rFonts w:ascii="宋体" w:hAnsi="宋体" w:cs="宋体" w:eastAsia="宋体" w:hint="default"/>
          <w:spacing w:val="-49"/>
        </w:rPr>
        <w:t> </w:t>
      </w:r>
      <w:r>
        <w:rPr>
          <w:spacing w:val="-36"/>
        </w:rPr>
        <w:t>年修订）》、</w:t>
      </w:r>
    </w:p>
    <w:p>
      <w:pPr>
        <w:pStyle w:val="BodyText"/>
        <w:spacing w:line="240" w:lineRule="auto"/>
        <w:ind w:right="1046"/>
        <w:jc w:val="left"/>
      </w:pPr>
      <w:r>
        <w:rPr/>
        <w:t>《企业会计准则第</w:t>
      </w:r>
      <w:r>
        <w:rPr>
          <w:spacing w:val="-52"/>
        </w:rPr>
        <w:t> </w:t>
      </w:r>
      <w:r>
        <w:rPr>
          <w:rFonts w:ascii="宋体" w:hAnsi="宋体" w:cs="宋体" w:eastAsia="宋体" w:hint="default"/>
          <w:spacing w:val="-1"/>
        </w:rPr>
        <w:t>4</w:t>
      </w:r>
      <w:r>
        <w:rPr>
          <w:rFonts w:ascii="宋体" w:hAnsi="宋体" w:cs="宋体" w:eastAsia="宋体" w:hint="default"/>
        </w:rPr>
        <w:t>0</w:t>
      </w:r>
      <w:r>
        <w:rPr>
          <w:rFonts w:ascii="宋体" w:hAnsi="宋体" w:cs="宋体" w:eastAsia="宋体" w:hint="default"/>
          <w:spacing w:val="-52"/>
        </w:rPr>
        <w:t> </w:t>
      </w:r>
      <w:r>
        <w:rPr>
          <w:spacing w:val="-2"/>
        </w:rPr>
        <w:t>号</w:t>
      </w:r>
      <w:r>
        <w:rPr/>
        <w:t>——合营安排</w:t>
      </w:r>
      <w:r>
        <w:rPr>
          <w:spacing w:val="-105"/>
        </w:rPr>
        <w:t>》</w:t>
      </w:r>
      <w:r>
        <w:rPr>
          <w:spacing w:val="-124"/>
        </w:rPr>
        <w:t>、</w:t>
      </w:r>
      <w:r>
        <w:rPr/>
        <w:t>《企</w:t>
      </w:r>
      <w:r>
        <w:rPr>
          <w:spacing w:val="-2"/>
        </w:rPr>
        <w:t>业</w:t>
      </w:r>
      <w:r>
        <w:rPr/>
        <w:t>会计准则第</w:t>
      </w:r>
      <w:r>
        <w:rPr>
          <w:spacing w:val="-52"/>
        </w:rPr>
        <w:t> </w:t>
      </w:r>
      <w:r>
        <w:rPr>
          <w:rFonts w:ascii="宋体" w:hAnsi="宋体" w:cs="宋体" w:eastAsia="宋体" w:hint="default"/>
        </w:rPr>
        <w:t>2</w:t>
      </w:r>
      <w:r>
        <w:rPr>
          <w:rFonts w:ascii="宋体" w:hAnsi="宋体" w:cs="宋体" w:eastAsia="宋体" w:hint="default"/>
          <w:spacing w:val="-52"/>
        </w:rPr>
        <w:t> </w:t>
      </w:r>
      <w:r>
        <w:rPr/>
        <w:t>号——长</w:t>
      </w:r>
      <w:r>
        <w:rPr>
          <w:spacing w:val="-2"/>
        </w:rPr>
        <w:t>期</w:t>
      </w:r>
      <w:r>
        <w:rPr/>
        <w:t>股权投</w:t>
      </w:r>
      <w:r>
        <w:rPr>
          <w:spacing w:val="-20"/>
        </w:rPr>
        <w:t>资</w:t>
      </w:r>
      <w:r>
        <w:rPr/>
        <w:t>（</w:t>
      </w:r>
      <w:r>
        <w:rPr>
          <w:rFonts w:ascii="宋体" w:hAnsi="宋体" w:cs="宋体" w:eastAsia="宋体" w:hint="default"/>
        </w:rPr>
        <w:t>2</w:t>
      </w:r>
      <w:r>
        <w:rPr>
          <w:rFonts w:ascii="宋体" w:hAnsi="宋体" w:cs="宋体" w:eastAsia="宋体" w:hint="default"/>
          <w:spacing w:val="1"/>
        </w:rPr>
        <w:t>0</w:t>
      </w:r>
      <w:r>
        <w:rPr>
          <w:rFonts w:ascii="宋体" w:hAnsi="宋体" w:cs="宋体" w:eastAsia="宋体" w:hint="default"/>
        </w:rPr>
        <w:t>14</w:t>
      </w:r>
      <w:r>
        <w:rPr>
          <w:rFonts w:ascii="宋体" w:hAnsi="宋体" w:cs="宋体" w:eastAsia="宋体" w:hint="default"/>
          <w:spacing w:val="-53"/>
        </w:rPr>
        <w:t> </w:t>
      </w:r>
      <w:r>
        <w:rPr/>
        <w:t>年修订</w:t>
      </w:r>
      <w:r>
        <w:rPr>
          <w:spacing w:val="-106"/>
        </w:rPr>
        <w:t>）</w:t>
      </w:r>
      <w:r>
        <w:rPr>
          <w:spacing w:val="-20"/>
        </w:rPr>
        <w:t>》及</w:t>
      </w:r>
      <w:r>
        <w:rPr/>
        <w:t>《企</w:t>
      </w:r>
    </w:p>
    <w:p>
      <w:pPr>
        <w:spacing w:line="240" w:lineRule="auto" w:before="10"/>
        <w:rPr>
          <w:rFonts w:ascii="宋体" w:hAnsi="宋体" w:cs="宋体" w:eastAsia="宋体" w:hint="default"/>
          <w:sz w:val="14"/>
          <w:szCs w:val="14"/>
        </w:rPr>
      </w:pPr>
    </w:p>
    <w:p>
      <w:pPr>
        <w:pStyle w:val="BodyText"/>
        <w:spacing w:line="408" w:lineRule="auto" w:before="0"/>
        <w:ind w:right="1125"/>
        <w:jc w:val="left"/>
      </w:pPr>
      <w:r>
        <w:rPr/>
        <w:t>业会计准则第</w:t>
      </w:r>
      <w:r>
        <w:rPr>
          <w:spacing w:val="-51"/>
        </w:rPr>
        <w:t> </w:t>
      </w:r>
      <w:r>
        <w:rPr>
          <w:rFonts w:ascii="宋体" w:hAnsi="宋体" w:cs="宋体" w:eastAsia="宋体" w:hint="default"/>
          <w:spacing w:val="-1"/>
        </w:rPr>
        <w:t>41</w:t>
      </w:r>
      <w:r>
        <w:rPr>
          <w:rFonts w:ascii="宋体" w:hAnsi="宋体" w:cs="宋体" w:eastAsia="宋体" w:hint="default"/>
          <w:spacing w:val="-51"/>
        </w:rPr>
        <w:t> </w:t>
      </w:r>
      <w:r>
        <w:rPr>
          <w:spacing w:val="-6"/>
        </w:rPr>
        <w:t>号——在其他主体中权益的披露》，要求自</w:t>
      </w:r>
      <w:r>
        <w:rPr>
          <w:spacing w:val="-53"/>
        </w:rPr>
        <w:t> </w:t>
      </w:r>
      <w:r>
        <w:rPr>
          <w:rFonts w:ascii="宋体" w:hAnsi="宋体" w:cs="宋体" w:eastAsia="宋体" w:hint="default"/>
        </w:rPr>
        <w:t>2014</w:t>
      </w:r>
      <w:r>
        <w:rPr>
          <w:rFonts w:ascii="宋体" w:hAnsi="宋体" w:cs="宋体" w:eastAsia="宋体" w:hint="default"/>
          <w:spacing w:val="-52"/>
        </w:rPr>
        <w:t> </w:t>
      </w:r>
      <w:r>
        <w:rPr/>
        <w:t>年</w:t>
      </w:r>
      <w:r>
        <w:rPr>
          <w:spacing w:val="-52"/>
        </w:rPr>
        <w:t> </w:t>
      </w:r>
      <w:r>
        <w:rPr>
          <w:rFonts w:ascii="宋体" w:hAnsi="宋体" w:cs="宋体" w:eastAsia="宋体" w:hint="default"/>
        </w:rPr>
        <w:t>7</w:t>
      </w:r>
      <w:r>
        <w:rPr>
          <w:rFonts w:ascii="宋体" w:hAnsi="宋体" w:cs="宋体" w:eastAsia="宋体" w:hint="default"/>
          <w:spacing w:val="-52"/>
        </w:rPr>
        <w:t> </w:t>
      </w:r>
      <w:r>
        <w:rPr/>
        <w:t>月</w:t>
      </w:r>
      <w:r>
        <w:rPr>
          <w:spacing w:val="-53"/>
        </w:rPr>
        <w:t> </w:t>
      </w:r>
      <w:r>
        <w:rPr>
          <w:rFonts w:ascii="宋体" w:hAnsi="宋体" w:cs="宋体" w:eastAsia="宋体" w:hint="default"/>
        </w:rPr>
        <w:t>1</w:t>
      </w:r>
      <w:r>
        <w:rPr>
          <w:rFonts w:ascii="宋体" w:hAnsi="宋体" w:cs="宋体" w:eastAsia="宋体" w:hint="default"/>
          <w:spacing w:val="-51"/>
        </w:rPr>
        <w:t> </w:t>
      </w:r>
      <w:r>
        <w:rPr>
          <w:spacing w:val="-1"/>
        </w:rPr>
        <w:t>日起在所有执行企业会计准则</w:t>
      </w:r>
      <w:r>
        <w:rPr>
          <w:spacing w:val="-102"/>
        </w:rPr>
        <w:t> </w:t>
      </w:r>
      <w:r>
        <w:rPr>
          <w:spacing w:val="-102"/>
        </w:rPr>
      </w:r>
      <w:r>
        <w:rPr>
          <w:spacing w:val="-2"/>
        </w:rPr>
        <w:t>的企业范围内施行，鼓励在境外上市的企业提前执行。同时，财政部以财会</w:t>
      </w:r>
      <w:r>
        <w:rPr>
          <w:rFonts w:ascii="宋体" w:hAnsi="宋体" w:cs="宋体" w:eastAsia="宋体" w:hint="default"/>
          <w:spacing w:val="-2"/>
        </w:rPr>
        <w:t>[2014]23</w:t>
      </w:r>
      <w:r>
        <w:rPr>
          <w:rFonts w:ascii="宋体" w:hAnsi="宋体" w:cs="宋体" w:eastAsia="宋体" w:hint="default"/>
          <w:spacing w:val="-28"/>
        </w:rPr>
        <w:t> </w:t>
      </w:r>
      <w:r>
        <w:rPr>
          <w:spacing w:val="-3"/>
        </w:rPr>
        <w:t>号发布了《企业会计</w:t>
      </w:r>
      <w:r>
        <w:rPr>
          <w:spacing w:val="-100"/>
        </w:rPr>
        <w:t> </w:t>
      </w:r>
      <w:r>
        <w:rPr>
          <w:spacing w:val="-100"/>
        </w:rPr>
      </w:r>
      <w:r>
        <w:rPr/>
        <w:t>准则第</w:t>
      </w:r>
      <w:r>
        <w:rPr>
          <w:spacing w:val="-49"/>
        </w:rPr>
        <w:t> </w:t>
      </w:r>
      <w:r>
        <w:rPr>
          <w:rFonts w:ascii="宋体" w:hAnsi="宋体" w:cs="宋体" w:eastAsia="宋体" w:hint="default"/>
          <w:spacing w:val="-1"/>
        </w:rPr>
        <w:t>37</w:t>
      </w:r>
      <w:r>
        <w:rPr>
          <w:rFonts w:ascii="宋体" w:hAnsi="宋体" w:cs="宋体" w:eastAsia="宋体" w:hint="default"/>
          <w:spacing w:val="-49"/>
        </w:rPr>
        <w:t> </w:t>
      </w:r>
      <w:r>
        <w:rPr>
          <w:spacing w:val="-1"/>
        </w:rPr>
        <w:t>号——金融工具列报（</w:t>
      </w:r>
      <w:r>
        <w:rPr>
          <w:rFonts w:ascii="宋体" w:hAnsi="宋体" w:cs="宋体" w:eastAsia="宋体" w:hint="default"/>
          <w:spacing w:val="-1"/>
        </w:rPr>
        <w:t>2014</w:t>
      </w:r>
      <w:r>
        <w:rPr>
          <w:rFonts w:ascii="宋体" w:hAnsi="宋体" w:cs="宋体" w:eastAsia="宋体" w:hint="default"/>
          <w:spacing w:val="-50"/>
        </w:rPr>
        <w:t> </w:t>
      </w:r>
      <w:r>
        <w:rPr>
          <w:spacing w:val="-13"/>
        </w:rPr>
        <w:t>年修订）》（以下简称“金融工具列报准则”），要求在</w:t>
      </w:r>
      <w:r>
        <w:rPr>
          <w:spacing w:val="-50"/>
        </w:rPr>
        <w:t> </w:t>
      </w:r>
      <w:r>
        <w:rPr>
          <w:rFonts w:ascii="宋体" w:hAnsi="宋体" w:cs="宋体" w:eastAsia="宋体" w:hint="default"/>
        </w:rPr>
        <w:t>2014</w:t>
      </w:r>
      <w:r>
        <w:rPr>
          <w:rFonts w:ascii="宋体" w:hAnsi="宋体" w:cs="宋体" w:eastAsia="宋体" w:hint="default"/>
          <w:spacing w:val="-51"/>
        </w:rPr>
        <w:t> </w:t>
      </w:r>
      <w:r>
        <w:rPr/>
        <w:t>年年度</w:t>
      </w:r>
      <w:r>
        <w:rPr>
          <w:spacing w:val="-103"/>
        </w:rPr>
        <w:t> </w:t>
      </w:r>
      <w:r>
        <w:rPr/>
        <w:t>及以后期间的财务报告中按照该准则的要求对金融工具进行列报。</w:t>
      </w:r>
    </w:p>
    <w:p>
      <w:pPr>
        <w:pStyle w:val="BodyText"/>
        <w:spacing w:line="240" w:lineRule="auto"/>
        <w:ind w:left="573" w:right="1046"/>
        <w:jc w:val="left"/>
      </w:pPr>
      <w:r>
        <w:rPr/>
        <w:t>经本公司第二届董事会第十五次会议于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26</w:t>
      </w:r>
      <w:r>
        <w:rPr>
          <w:rFonts w:ascii="宋体" w:hAnsi="宋体" w:cs="宋体" w:eastAsia="宋体" w:hint="default"/>
          <w:spacing w:val="-53"/>
        </w:rPr>
        <w:t> </w:t>
      </w:r>
      <w:r>
        <w:rPr/>
        <w:t>日决议通过，本公司于</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日开始</w:t>
      </w:r>
    </w:p>
    <w:p>
      <w:pPr>
        <w:spacing w:line="240" w:lineRule="auto" w:before="10"/>
        <w:rPr>
          <w:rFonts w:ascii="宋体" w:hAnsi="宋体" w:cs="宋体" w:eastAsia="宋体" w:hint="default"/>
          <w:sz w:val="14"/>
          <w:szCs w:val="14"/>
        </w:rPr>
      </w:pPr>
    </w:p>
    <w:p>
      <w:pPr>
        <w:pStyle w:val="BodyText"/>
        <w:spacing w:line="408" w:lineRule="auto" w:before="0"/>
        <w:ind w:right="1046"/>
        <w:jc w:val="left"/>
      </w:pPr>
      <w:r>
        <w:rPr/>
        <w:t>执行前述除金融工具列报准则以外的</w:t>
      </w:r>
      <w:r>
        <w:rPr>
          <w:spacing w:val="-53"/>
        </w:rPr>
        <w:t> </w:t>
      </w:r>
      <w:r>
        <w:rPr>
          <w:rFonts w:ascii="宋体" w:hAnsi="宋体" w:cs="宋体" w:eastAsia="宋体" w:hint="default"/>
        </w:rPr>
        <w:t>7</w:t>
      </w:r>
      <w:r>
        <w:rPr>
          <w:rFonts w:ascii="宋体" w:hAnsi="宋体" w:cs="宋体" w:eastAsia="宋体" w:hint="default"/>
          <w:spacing w:val="-53"/>
        </w:rPr>
        <w:t> </w:t>
      </w:r>
      <w:r>
        <w:rPr/>
        <w:t>项新颁布或修订的企业会计准则，在编制</w:t>
      </w:r>
      <w:r>
        <w:rPr>
          <w:spacing w:val="-53"/>
        </w:rPr>
        <w:t> </w:t>
      </w:r>
      <w:r>
        <w:rPr>
          <w:rFonts w:ascii="宋体" w:hAnsi="宋体" w:cs="宋体" w:eastAsia="宋体" w:hint="default"/>
        </w:rPr>
        <w:t>2014</w:t>
      </w:r>
      <w:r>
        <w:rPr>
          <w:rFonts w:ascii="宋体" w:hAnsi="宋体" w:cs="宋体" w:eastAsia="宋体" w:hint="default"/>
          <w:spacing w:val="-54"/>
        </w:rPr>
        <w:t> </w:t>
      </w:r>
      <w:r>
        <w:rPr/>
        <w:t>年年度财务报告时 </w:t>
      </w:r>
      <w:r>
        <w:rPr>
          <w:spacing w:val="-1"/>
        </w:rPr>
        <w:t>开始执行金融工具列报准则，并根据各准则衔接要求进行了调整，对当期和列报前期财务报表项目及金额</w:t>
      </w:r>
      <w:r>
        <w:rPr>
          <w:spacing w:val="-81"/>
        </w:rPr>
        <w:t> </w:t>
      </w:r>
      <w:r>
        <w:rPr>
          <w:spacing w:val="-81"/>
        </w:rPr>
      </w:r>
      <w:r>
        <w:rPr/>
        <w:t>的影响如下：</w:t>
      </w:r>
    </w:p>
    <w:tbl>
      <w:tblPr>
        <w:tblW w:w="0" w:type="auto"/>
        <w:jc w:val="left"/>
        <w:tblInd w:w="149" w:type="dxa"/>
        <w:tblLayout w:type="fixed"/>
        <w:tblCellMar>
          <w:top w:w="0" w:type="dxa"/>
          <w:left w:w="0" w:type="dxa"/>
          <w:bottom w:w="0" w:type="dxa"/>
          <w:right w:w="0" w:type="dxa"/>
        </w:tblCellMar>
        <w:tblLook w:val="01E0"/>
      </w:tblPr>
      <w:tblGrid>
        <w:gridCol w:w="1527"/>
        <w:gridCol w:w="4394"/>
        <w:gridCol w:w="1914"/>
        <w:gridCol w:w="1914"/>
      </w:tblGrid>
      <w:tr>
        <w:trPr>
          <w:trHeight w:val="654"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准则名称</w:t>
            </w:r>
          </w:p>
        </w:tc>
        <w:tc>
          <w:tcPr>
            <w:tcW w:w="43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316" w:lineRule="auto"/>
              <w:ind w:left="2011" w:right="570" w:hanging="1440"/>
              <w:jc w:val="left"/>
              <w:rPr>
                <w:rFonts w:ascii="宋体" w:hAnsi="宋体" w:cs="宋体" w:eastAsia="宋体" w:hint="default"/>
                <w:sz w:val="18"/>
                <w:szCs w:val="18"/>
              </w:rPr>
            </w:pPr>
            <w:r>
              <w:rPr>
                <w:rFonts w:ascii="宋体" w:hAnsi="宋体" w:cs="宋体" w:eastAsia="宋体" w:hint="default"/>
                <w:sz w:val="18"/>
                <w:szCs w:val="18"/>
              </w:rPr>
              <w:t>会计政策变更的内容及其对本公司的影响 说明</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3"/>
              <w:ind w:left="739" w:right="737" w:firstLine="154"/>
              <w:jc w:val="left"/>
              <w:rPr>
                <w:rFonts w:ascii="宋体" w:hAnsi="宋体" w:cs="宋体" w:eastAsia="宋体" w:hint="default"/>
                <w:sz w:val="18"/>
                <w:szCs w:val="18"/>
              </w:rPr>
            </w:pPr>
            <w:r>
              <w:rPr>
                <w:rFonts w:ascii="宋体" w:hAnsi="宋体" w:cs="宋体" w:eastAsia="宋体" w:hint="default"/>
                <w:sz w:val="18"/>
                <w:szCs w:val="18"/>
              </w:rPr>
              <w:t>对</w:t>
            </w: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 相关财务报表项目的影响金额</w:t>
            </w:r>
          </w:p>
        </w:tc>
      </w:tr>
      <w:tr>
        <w:trPr>
          <w:trHeight w:val="654" w:hRule="exact"/>
        </w:trPr>
        <w:tc>
          <w:tcPr>
            <w:tcW w:w="1527" w:type="dxa"/>
            <w:vMerge/>
            <w:tcBorders>
              <w:left w:val="single" w:sz="4" w:space="0" w:color="000000"/>
              <w:bottom w:val="single" w:sz="4" w:space="0" w:color="000000"/>
              <w:right w:val="single" w:sz="4" w:space="0" w:color="000000"/>
            </w:tcBorders>
          </w:tcPr>
          <w:p>
            <w:pPr/>
          </w:p>
        </w:tc>
        <w:tc>
          <w:tcPr>
            <w:tcW w:w="439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59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3"/>
              <w:ind w:left="486" w:right="484" w:firstLine="105"/>
              <w:jc w:val="left"/>
              <w:rPr>
                <w:rFonts w:ascii="Times New Roman" w:hAnsi="Times New Roman" w:cs="Times New Roman" w:eastAsia="Times New Roman" w:hint="default"/>
                <w:sz w:val="18"/>
                <w:szCs w:val="18"/>
              </w:rPr>
            </w:pPr>
            <w:r>
              <w:rPr>
                <w:rFonts w:ascii="宋体" w:hAnsi="宋体" w:cs="宋体" w:eastAsia="宋体" w:hint="default"/>
                <w:sz w:val="18"/>
                <w:szCs w:val="18"/>
              </w:rPr>
              <w:t>影响金额 增加</w:t>
            </w:r>
            <w:r>
              <w:rPr>
                <w:rFonts w:ascii="Times New Roman" w:hAnsi="Times New Roman" w:cs="Times New Roman" w:eastAsia="Times New Roman" w:hint="default"/>
                <w:sz w:val="18"/>
                <w:szCs w:val="18"/>
              </w:rPr>
              <w:t>+/</w:t>
            </w:r>
            <w:r>
              <w:rPr>
                <w:rFonts w:ascii="宋体" w:hAnsi="宋体" w:cs="宋体" w:eastAsia="宋体" w:hint="default"/>
                <w:sz w:val="18"/>
                <w:szCs w:val="18"/>
              </w:rPr>
              <w:t>减少</w:t>
            </w:r>
            <w:r>
              <w:rPr>
                <w:rFonts w:ascii="Times New Roman" w:hAnsi="Times New Roman" w:cs="Times New Roman" w:eastAsia="Times New Roman" w:hint="default"/>
                <w:sz w:val="18"/>
                <w:szCs w:val="18"/>
              </w:rPr>
              <w:t>-</w:t>
            </w:r>
          </w:p>
        </w:tc>
      </w:tr>
      <w:tr>
        <w:trPr>
          <w:trHeight w:val="342"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《企业会计准则第</w:t>
            </w:r>
          </w:p>
          <w:p>
            <w:pPr>
              <w:pStyle w:val="TableParagraph"/>
              <w:spacing w:line="240" w:lineRule="auto" w:before="76"/>
              <w:ind w:left="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职工薪酬》</w:t>
            </w:r>
          </w:p>
        </w:tc>
        <w:tc>
          <w:tcPr>
            <w:tcW w:w="4394" w:type="dxa"/>
            <w:vMerge w:val="restart"/>
            <w:tcBorders>
              <w:top w:val="single" w:sz="4" w:space="0" w:color="000000"/>
              <w:left w:val="single" w:sz="4" w:space="0" w:color="000000"/>
              <w:right w:val="single" w:sz="4" w:space="0" w:color="000000"/>
            </w:tcBorders>
          </w:tcPr>
          <w:p>
            <w:pPr>
              <w:pStyle w:val="TableParagraph"/>
              <w:spacing w:line="314" w:lineRule="auto" w:before="3"/>
              <w:ind w:left="4" w:right="1"/>
              <w:jc w:val="both"/>
              <w:rPr>
                <w:rFonts w:ascii="宋体" w:hAnsi="宋体" w:cs="宋体" w:eastAsia="宋体" w:hint="default"/>
                <w:sz w:val="18"/>
                <w:szCs w:val="18"/>
              </w:rPr>
            </w:pPr>
            <w:r>
              <w:rPr>
                <w:rFonts w:ascii="宋体" w:hAnsi="宋体" w:cs="宋体" w:eastAsia="宋体" w:hint="default"/>
                <w:spacing w:val="-2"/>
                <w:sz w:val="18"/>
                <w:szCs w:val="18"/>
              </w:rPr>
              <w:t>《企业会计准则第</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职工薪酬》在职工劳动合同到</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期之前解除与职工的劳动关系，或为鼓励职工自愿接受</w:t>
            </w:r>
            <w:r>
              <w:rPr>
                <w:rFonts w:ascii="宋体" w:hAnsi="宋体" w:cs="宋体" w:eastAsia="宋体" w:hint="default"/>
                <w:spacing w:val="2"/>
                <w:sz w:val="18"/>
                <w:szCs w:val="18"/>
              </w:rPr>
              <w:t> 裁减而提出给予补偿的建议，在本公司不能单方面撤回 因解除劳动关系计划或裁减建议所提供的辞退福利时， 和本公司确认与涉及支付辞退福利的重组相关的成本两 者孰早日，确认辞退福利产生的职工薪酬负债，并计入 当期损益。但辞退福利预期在年度报告期结束后十二个 </w:t>
            </w:r>
            <w:r>
              <w:rPr>
                <w:rFonts w:ascii="宋体" w:hAnsi="宋体" w:cs="宋体" w:eastAsia="宋体" w:hint="default"/>
                <w:sz w:val="18"/>
                <w:szCs w:val="18"/>
              </w:rPr>
              <w:t>月不能完全支付的，按照其他长期职工薪酬处理。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left="41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-2,959,596.91</w:t>
            </w:r>
          </w:p>
        </w:tc>
      </w:tr>
      <w:tr>
        <w:trPr>
          <w:trHeight w:val="2184" w:hRule="exact"/>
        </w:trPr>
        <w:tc>
          <w:tcPr>
            <w:tcW w:w="1527" w:type="dxa"/>
            <w:vMerge/>
            <w:tcBorders>
              <w:left w:val="single" w:sz="4" w:space="0" w:color="000000"/>
              <w:bottom w:val="single" w:sz="4" w:space="0" w:color="000000"/>
              <w:right w:val="single" w:sz="4" w:space="0" w:color="000000"/>
            </w:tcBorders>
          </w:tcPr>
          <w:p>
            <w:pPr/>
          </w:p>
        </w:tc>
        <w:tc>
          <w:tcPr>
            <w:tcW w:w="439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231"/>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2,959,596.91</w:t>
            </w:r>
          </w:p>
        </w:tc>
      </w:tr>
      <w:tr>
        <w:trPr>
          <w:trHeight w:val="342"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19"/>
              <w:ind w:left="37" w:right="0"/>
              <w:jc w:val="left"/>
              <w:rPr>
                <w:rFonts w:ascii="宋体" w:hAnsi="宋体" w:cs="宋体" w:eastAsia="宋体" w:hint="default"/>
                <w:sz w:val="18"/>
                <w:szCs w:val="18"/>
              </w:rPr>
            </w:pPr>
            <w:r>
              <w:rPr>
                <w:rFonts w:ascii="宋体" w:hAnsi="宋体" w:cs="宋体" w:eastAsia="宋体" w:hint="default"/>
                <w:sz w:val="18"/>
                <w:szCs w:val="18"/>
              </w:rPr>
              <w:t>《企业会计准则第</w:t>
            </w:r>
          </w:p>
          <w:p>
            <w:pPr>
              <w:pStyle w:val="TableParagraph"/>
              <w:spacing w:line="240" w:lineRule="auto" w:before="76"/>
              <w:ind w:left="3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w:t>
            </w:r>
          </w:p>
        </w:tc>
        <w:tc>
          <w:tcPr>
            <w:tcW w:w="4394" w:type="dxa"/>
            <w:vMerge w:val="restart"/>
            <w:tcBorders>
              <w:top w:val="single" w:sz="4" w:space="0" w:color="000000"/>
              <w:left w:val="single" w:sz="4" w:space="0" w:color="000000"/>
              <w:right w:val="single" w:sz="4" w:space="0" w:color="000000"/>
            </w:tcBorders>
          </w:tcPr>
          <w:p>
            <w:pPr>
              <w:pStyle w:val="TableParagraph"/>
              <w:spacing w:line="300" w:lineRule="auto" w:before="19"/>
              <w:ind w:left="4" w:right="3"/>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 将其他综合收益划分为两类：</w:t>
            </w:r>
            <w:r>
              <w:rPr>
                <w:rFonts w:ascii="Times New Roman" w:hAnsi="Times New Roman" w:cs="Times New Roman" w:eastAsia="Times New Roman" w:hint="default"/>
                <w:sz w:val="18"/>
                <w:szCs w:val="18"/>
              </w:rPr>
              <w:t>(1)</w:t>
            </w:r>
            <w:r>
              <w:rPr>
                <w:rFonts w:ascii="宋体" w:hAnsi="宋体" w:cs="宋体" w:eastAsia="宋体" w:hint="default"/>
                <w:sz w:val="18"/>
                <w:szCs w:val="18"/>
              </w:rPr>
              <w:t>以后会计期间不能重分</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tabs>
                <w:tab w:pos="411" w:val="left" w:leader="none"/>
              </w:tabs>
              <w:spacing w:line="254" w:lineRule="exact"/>
              <w:ind w:left="-105" w:right="0"/>
              <w:jc w:val="left"/>
              <w:rPr>
                <w:rFonts w:ascii="宋体" w:hAnsi="宋体" w:cs="宋体" w:eastAsia="宋体" w:hint="default"/>
                <w:sz w:val="18"/>
                <w:szCs w:val="18"/>
              </w:rPr>
            </w:pPr>
            <w:r>
              <w:rPr>
                <w:rFonts w:ascii="宋体" w:hAnsi="宋体" w:cs="宋体" w:eastAsia="宋体" w:hint="default"/>
                <w:sz w:val="18"/>
                <w:szCs w:val="18"/>
              </w:rPr>
              <w:t>》</w:t>
              <w:tab/>
            </w:r>
            <w:r>
              <w:rPr>
                <w:rFonts w:ascii="宋体" w:hAnsi="宋体" w:cs="宋体" w:eastAsia="宋体" w:hint="default"/>
                <w:position w:val="2"/>
                <w:sz w:val="18"/>
                <w:szCs w:val="18"/>
              </w:rPr>
              <w:t>其他综合收益</w:t>
            </w:r>
            <w:r>
              <w:rPr>
                <w:rFonts w:ascii="宋体" w:hAnsi="宋体" w:cs="宋体" w:eastAsia="宋体" w:hint="default"/>
                <w:sz w:val="18"/>
                <w:szCs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2,669,177.37</w:t>
            </w:r>
          </w:p>
        </w:tc>
      </w:tr>
      <w:tr>
        <w:trPr>
          <w:trHeight w:val="342" w:hRule="exact"/>
        </w:trPr>
        <w:tc>
          <w:tcPr>
            <w:tcW w:w="1527" w:type="dxa"/>
            <w:vMerge/>
            <w:tcBorders>
              <w:left w:val="single" w:sz="4" w:space="0" w:color="000000"/>
              <w:bottom w:val="single" w:sz="4" w:space="0" w:color="000000"/>
              <w:right w:val="single" w:sz="4" w:space="0" w:color="000000"/>
            </w:tcBorders>
          </w:tcPr>
          <w:p>
            <w:pPr/>
          </w:p>
        </w:tc>
        <w:tc>
          <w:tcPr>
            <w:tcW w:w="4394" w:type="dxa"/>
            <w:vMerge/>
            <w:tcBorders>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231"/>
              <w:jc w:val="righ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
              <w:jc w:val="right"/>
              <w:rPr>
                <w:rFonts w:ascii="Times New Roman" w:hAnsi="Times New Roman" w:cs="Times New Roman" w:eastAsia="Times New Roman" w:hint="default"/>
                <w:sz w:val="18"/>
                <w:szCs w:val="18"/>
              </w:rPr>
            </w:pPr>
            <w:r>
              <w:rPr>
                <w:rFonts w:ascii="Times New Roman"/>
                <w:spacing w:val="-1"/>
                <w:sz w:val="18"/>
              </w:rPr>
              <w:t>-2,669,177.37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27"/>
        <w:gridCol w:w="4394"/>
        <w:gridCol w:w="203"/>
        <w:gridCol w:w="1711"/>
        <w:gridCol w:w="1914"/>
      </w:tblGrid>
      <w:tr>
        <w:trPr>
          <w:trHeight w:val="1278" w:hRule="exact"/>
        </w:trPr>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7" w:right="0"/>
              <w:jc w:val="left"/>
              <w:rPr>
                <w:rFonts w:ascii="宋体" w:hAnsi="宋体" w:cs="宋体" w:eastAsia="宋体" w:hint="default"/>
                <w:sz w:val="18"/>
                <w:szCs w:val="18"/>
              </w:rPr>
            </w:pPr>
            <w:r>
              <w:rPr>
                <w:rFonts w:ascii="宋体" w:hAnsi="宋体" w:cs="宋体" w:eastAsia="宋体" w:hint="default"/>
                <w:sz w:val="18"/>
                <w:szCs w:val="18"/>
              </w:rPr>
              <w:t>列报》</w:t>
            </w:r>
          </w:p>
        </w:tc>
        <w:tc>
          <w:tcPr>
            <w:tcW w:w="439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21"/>
              <w:ind w:left="4" w:right="1"/>
              <w:jc w:val="both"/>
              <w:rPr>
                <w:rFonts w:ascii="宋体" w:hAnsi="宋体" w:cs="宋体" w:eastAsia="宋体" w:hint="default"/>
                <w:sz w:val="18"/>
                <w:szCs w:val="18"/>
              </w:rPr>
            </w:pPr>
            <w:r>
              <w:rPr>
                <w:rFonts w:ascii="宋体" w:hAnsi="宋体" w:cs="宋体" w:eastAsia="宋体" w:hint="default"/>
                <w:sz w:val="18"/>
                <w:szCs w:val="18"/>
              </w:rPr>
              <w:t>类进损益的其他综合收益项目；</w:t>
            </w:r>
            <w:r>
              <w:rPr>
                <w:rFonts w:ascii="Times New Roman" w:hAnsi="Times New Roman" w:cs="Times New Roman" w:eastAsia="Times New Roman" w:hint="default"/>
                <w:sz w:val="18"/>
                <w:szCs w:val="18"/>
              </w:rPr>
              <w:t>(2)</w:t>
            </w:r>
            <w:r>
              <w:rPr>
                <w:rFonts w:ascii="宋体" w:hAnsi="宋体" w:cs="宋体" w:eastAsia="宋体" w:hint="default"/>
                <w:sz w:val="18"/>
                <w:szCs w:val="18"/>
              </w:rPr>
              <w:t>以后会计期间在满足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特定条件时将重分类进损益的其他综合收益项目，本财</w:t>
            </w:r>
            <w:r>
              <w:rPr>
                <w:rFonts w:ascii="宋体" w:hAnsi="宋体" w:cs="宋体" w:eastAsia="宋体" w:hint="default"/>
                <w:spacing w:val="2"/>
                <w:sz w:val="18"/>
                <w:szCs w:val="18"/>
              </w:rPr>
              <w:t> 务报表已按该准则的规定进行列报，并对可比年度财务 </w:t>
            </w:r>
            <w:r>
              <w:rPr>
                <w:rFonts w:ascii="宋体" w:hAnsi="宋体" w:cs="宋体" w:eastAsia="宋体" w:hint="default"/>
                <w:sz w:val="18"/>
                <w:szCs w:val="18"/>
              </w:rPr>
              <w:t>报表的列报进行了相应调整。</w:t>
            </w:r>
          </w:p>
        </w:tc>
        <w:tc>
          <w:tcPr>
            <w:tcW w:w="1914" w:type="dxa"/>
            <w:gridSpan w:val="2"/>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52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309" w:lineRule="auto"/>
              <w:ind w:left="37" w:right="37" w:hanging="1"/>
              <w:jc w:val="center"/>
              <w:rPr>
                <w:rFonts w:ascii="宋体" w:hAnsi="宋体" w:cs="宋体" w:eastAsia="宋体" w:hint="default"/>
                <w:sz w:val="18"/>
                <w:szCs w:val="18"/>
              </w:rPr>
            </w:pPr>
            <w:r>
              <w:rPr>
                <w:rFonts w:ascii="宋体" w:hAnsi="宋体" w:cs="宋体" w:eastAsia="宋体" w:hint="default"/>
                <w:sz w:val="18"/>
                <w:szCs w:val="18"/>
              </w:rPr>
              <w:t>《企业会计准则第 </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 列报》</w:t>
            </w:r>
          </w:p>
        </w:tc>
        <w:tc>
          <w:tcPr>
            <w:tcW w:w="4394" w:type="dxa"/>
            <w:vMerge w:val="restart"/>
            <w:tcBorders>
              <w:top w:val="single" w:sz="4" w:space="0" w:color="000000"/>
              <w:left w:val="single" w:sz="4" w:space="0" w:color="000000"/>
              <w:right w:val="single" w:sz="4" w:space="0" w:color="000000"/>
            </w:tcBorders>
          </w:tcPr>
          <w:p>
            <w:pPr>
              <w:pStyle w:val="TableParagraph"/>
              <w:spacing w:line="312" w:lineRule="auto" w:before="21"/>
              <w:ind w:left="4" w:right="1"/>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财务报表列报（</w:t>
            </w:r>
            <w:r>
              <w:rPr>
                <w:rFonts w:ascii="Times New Roman" w:hAnsi="Times New Roman" w:cs="Times New Roman" w:eastAsia="Times New Roman" w:hint="default"/>
                <w:sz w:val="18"/>
                <w:szCs w:val="18"/>
              </w:rPr>
              <w:t>2014</w:t>
            </w:r>
            <w:r>
              <w:rPr>
                <w:rFonts w:ascii="宋体" w:hAnsi="宋体" w:cs="宋体" w:eastAsia="宋体" w:hint="default"/>
                <w:sz w:val="18"/>
                <w:szCs w:val="18"/>
              </w:rPr>
              <w:t>年修订） </w:t>
            </w:r>
            <w:r>
              <w:rPr>
                <w:rFonts w:ascii="宋体" w:hAnsi="宋体" w:cs="宋体" w:eastAsia="宋体" w:hint="default"/>
                <w:spacing w:val="2"/>
                <w:sz w:val="18"/>
                <w:szCs w:val="18"/>
              </w:rPr>
              <w:t>将递延收益从其他非流动负债项目重分类进递延收益项</w:t>
            </w:r>
            <w:r>
              <w:rPr>
                <w:rFonts w:ascii="宋体" w:hAnsi="宋体" w:cs="宋体" w:eastAsia="宋体" w:hint="default"/>
                <w:spacing w:val="2"/>
                <w:sz w:val="18"/>
                <w:szCs w:val="18"/>
              </w:rPr>
              <w:t> 目，本财务报表已按该准则的规定进行列报，并对可比 </w:t>
            </w:r>
            <w:r>
              <w:rPr>
                <w:rFonts w:ascii="宋体" w:hAnsi="宋体" w:cs="宋体" w:eastAsia="宋体" w:hint="default"/>
                <w:sz w:val="18"/>
                <w:szCs w:val="18"/>
              </w:rPr>
              <w:t>年度财务报表的列报进行了相应调整。</w:t>
            </w:r>
          </w:p>
        </w:tc>
        <w:tc>
          <w:tcPr>
            <w:tcW w:w="203"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1"/>
              <w:ind w:left="-105" w:right="0"/>
              <w:jc w:val="left"/>
              <w:rPr>
                <w:rFonts w:ascii="宋体" w:hAnsi="宋体" w:cs="宋体" w:eastAsia="宋体" w:hint="default"/>
                <w:sz w:val="18"/>
                <w:szCs w:val="18"/>
              </w:rPr>
            </w:pPr>
            <w:r>
              <w:rPr>
                <w:rFonts w:ascii="宋体" w:hAnsi="宋体" w:cs="宋体" w:eastAsia="宋体" w:hint="default"/>
                <w:sz w:val="18"/>
                <w:szCs w:val="18"/>
              </w:rPr>
              <w:t>》</w:t>
            </w:r>
          </w:p>
        </w:tc>
        <w:tc>
          <w:tcPr>
            <w:tcW w:w="171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1"/>
              <w:ind w:right="198"/>
              <w:jc w:val="center"/>
              <w:rPr>
                <w:rFonts w:ascii="宋体" w:hAnsi="宋体" w:cs="宋体" w:eastAsia="宋体" w:hint="default"/>
                <w:sz w:val="18"/>
                <w:szCs w:val="18"/>
              </w:rPr>
            </w:pPr>
            <w:r>
              <w:rPr>
                <w:rFonts w:ascii="宋体" w:hAnsi="宋体" w:cs="宋体" w:eastAsia="宋体" w:hint="default"/>
                <w:sz w:val="18"/>
                <w:szCs w:val="18"/>
              </w:rPr>
              <w:t>递延收益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58,181,549.51</w:t>
            </w:r>
          </w:p>
        </w:tc>
      </w:tr>
      <w:tr>
        <w:trPr>
          <w:trHeight w:val="936" w:hRule="exact"/>
        </w:trPr>
        <w:tc>
          <w:tcPr>
            <w:tcW w:w="1527" w:type="dxa"/>
            <w:vMerge/>
            <w:tcBorders>
              <w:left w:val="single" w:sz="4" w:space="0" w:color="000000"/>
              <w:bottom w:val="single" w:sz="4" w:space="0" w:color="000000"/>
              <w:right w:val="single" w:sz="4" w:space="0" w:color="000000"/>
            </w:tcBorders>
          </w:tcPr>
          <w:p>
            <w:pPr/>
          </w:p>
        </w:tc>
        <w:tc>
          <w:tcPr>
            <w:tcW w:w="4394" w:type="dxa"/>
            <w:vMerge/>
            <w:tcBorders>
              <w:left w:val="single" w:sz="4" w:space="0" w:color="000000"/>
              <w:bottom w:val="single" w:sz="4" w:space="0" w:color="000000"/>
              <w:right w:val="single" w:sz="4" w:space="0" w:color="000000"/>
            </w:tcBorders>
          </w:tcPr>
          <w:p>
            <w:pPr/>
          </w:p>
        </w:tc>
        <w:tc>
          <w:tcPr>
            <w:tcW w:w="203" w:type="dxa"/>
            <w:tcBorders>
              <w:top w:val="single" w:sz="4" w:space="0" w:color="000000"/>
              <w:left w:val="single" w:sz="4" w:space="0" w:color="000000"/>
              <w:bottom w:val="nil" w:sz="6" w:space="0" w:color="auto"/>
              <w:right w:val="nil" w:sz="6" w:space="0" w:color="auto"/>
            </w:tcBorders>
          </w:tcPr>
          <w:p>
            <w:pPr/>
          </w:p>
        </w:tc>
        <w:tc>
          <w:tcPr>
            <w:tcW w:w="1711" w:type="dxa"/>
            <w:tcBorders>
              <w:top w:val="single" w:sz="4" w:space="0" w:color="000000"/>
              <w:left w:val="nil" w:sz="6" w:space="0" w:color="auto"/>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198"/>
              <w:jc w:val="center"/>
              <w:rPr>
                <w:rFonts w:ascii="宋体" w:hAnsi="宋体" w:cs="宋体" w:eastAsia="宋体" w:hint="default"/>
                <w:sz w:val="18"/>
                <w:szCs w:val="18"/>
              </w:rPr>
            </w:pPr>
            <w:r>
              <w:rPr>
                <w:rFonts w:ascii="宋体" w:hAnsi="宋体" w:cs="宋体" w:eastAsia="宋体" w:hint="default"/>
                <w:sz w:val="18"/>
                <w:szCs w:val="18"/>
              </w:rPr>
              <w:t>其他非流动负债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8"/>
              <w:jc w:val="right"/>
              <w:rPr>
                <w:rFonts w:ascii="Times New Roman" w:hAnsi="Times New Roman" w:cs="Times New Roman" w:eastAsia="Times New Roman" w:hint="default"/>
                <w:sz w:val="18"/>
                <w:szCs w:val="18"/>
              </w:rPr>
            </w:pPr>
            <w:r>
              <w:rPr>
                <w:rFonts w:ascii="Times New Roman"/>
                <w:spacing w:val="-1"/>
                <w:sz w:val="18"/>
              </w:rPr>
              <w:t>-58,181,549.51</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重要会计估计变更" w:id="207"/>
      <w:bookmarkEnd w:id="20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spacing w:line="487" w:lineRule="auto" w:before="0"/>
        <w:ind w:left="154" w:right="8966" w:firstLine="0"/>
        <w:jc w:val="left"/>
        <w:rPr>
          <w:rFonts w:ascii="宋体" w:hAnsi="宋体" w:cs="宋体" w:eastAsia="宋体" w:hint="default"/>
          <w:sz w:val="21"/>
          <w:szCs w:val="21"/>
        </w:rPr>
      </w:pPr>
      <w:r>
        <w:rPr/>
        <w:pict>
          <v:shape style="position:absolute;margin-left:369.76001pt;margin-top:113.303703pt;width:165.2pt;height:23.4pt;mso-position-horizontal-relative:page;mso-position-vertical-relative:paragraph;z-index:-106436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bookmarkStart w:name="32、其他" w:id="208"/>
      <w:bookmarkEnd w:id="208"/>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09"/>
      <w:bookmarkEnd w:id="209"/>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10"/>
      <w:bookmarkEnd w:id="210"/>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73"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07" w:lineRule="auto" w:before="51"/>
              <w:ind w:left="28" w:right="20"/>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6%</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10%</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17%</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18%</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
                <w:sz w:val="18"/>
                <w:szCs w:val="18"/>
              </w:rPr>
              <w:t>19%</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20%</w:t>
            </w:r>
            <w:r>
              <w:rPr>
                <w:rFonts w:ascii="宋体" w:hAnsi="宋体" w:cs="宋体" w:eastAsia="宋体" w:hint="default"/>
                <w:spacing w:val="-3"/>
                <w:sz w:val="18"/>
                <w:szCs w:val="18"/>
              </w:rPr>
              <w:t>的税率计算销项税，并按扣除</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当期允许抵扣的进项税额后的差额计缴 增值税。</w:t>
            </w:r>
          </w:p>
        </w:tc>
        <w:tc>
          <w:tcPr>
            <w:tcW w:w="3190" w:type="dxa"/>
            <w:vMerge w:val="restart"/>
            <w:tcBorders>
              <w:top w:val="single" w:sz="4" w:space="0" w:color="000000"/>
              <w:left w:val="single" w:sz="4" w:space="0" w:color="000000"/>
              <w:right w:val="single" w:sz="4" w:space="0" w:color="000000"/>
            </w:tcBorders>
          </w:tcPr>
          <w:p>
            <w:pPr>
              <w:pStyle w:val="TableParagraph"/>
              <w:spacing w:line="468" w:lineRule="exact"/>
              <w:ind w:right="-51"/>
              <w:jc w:val="left"/>
              <w:rPr>
                <w:rFonts w:ascii="宋体" w:hAnsi="宋体" w:cs="宋体" w:eastAsia="宋体" w:hint="default"/>
                <w:sz w:val="20"/>
                <w:szCs w:val="20"/>
              </w:rPr>
            </w:pPr>
            <w:r>
              <w:rPr>
                <w:rFonts w:ascii="宋体" w:hAnsi="宋体" w:cs="宋体" w:eastAsia="宋体" w:hint="default"/>
                <w:position w:val="-8"/>
                <w:sz w:val="20"/>
                <w:szCs w:val="20"/>
              </w:rPr>
              <w:pict>
                <v:group style="width:159.050pt;height:23.4pt;mso-position-horizontal-relative:char;mso-position-vertical-relative:line" coordorigin="0,0" coordsize="3181,468">
                  <v:group style="position:absolute;left:0;top:0;width:3181;height:468" coordorigin="0,0" coordsize="3181,468">
                    <v:shape style="position:absolute;left:0;top:0;width:3181;height:468" coordorigin="0,0" coordsize="3181,468" path="m0,468l3180,468,3180,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3%-20%</w:t>
            </w:r>
          </w:p>
        </w:tc>
      </w:tr>
      <w:tr>
        <w:trPr>
          <w:trHeight w:val="393"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473"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计缴营业税。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2" w:right="0"/>
              <w:jc w:val="left"/>
              <w:rPr>
                <w:rFonts w:ascii="Times New Roman" w:hAnsi="Times New Roman" w:cs="Times New Roman" w:eastAsia="Times New Roman" w:hint="default"/>
                <w:sz w:val="18"/>
                <w:szCs w:val="18"/>
              </w:rPr>
            </w:pPr>
            <w:r>
              <w:rPr>
                <w:rFonts w:ascii="Times New Roman"/>
                <w:sz w:val="18"/>
              </w:rPr>
              <w:t>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161" w:hRule="exact"/>
        </w:trPr>
        <w:tc>
          <w:tcPr>
            <w:tcW w:w="3167"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2" w:type="dxa"/>
            <w:vMerge w:val="restart"/>
            <w:tcBorders>
              <w:top w:val="single" w:sz="4" w:space="0" w:color="000000"/>
              <w:left w:val="single" w:sz="9" w:space="0" w:color="D2D2D2"/>
              <w:right w:val="single" w:sz="4" w:space="0" w:color="000000"/>
            </w:tcBorders>
          </w:tcPr>
          <w:p>
            <w:pPr>
              <w:pStyle w:val="TableParagraph"/>
              <w:spacing w:line="300" w:lineRule="auto" w:before="51"/>
              <w:ind w:left="28" w:right="24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0-35%</w:t>
            </w:r>
            <w:r>
              <w:rPr>
                <w:rFonts w:ascii="宋体" w:hAnsi="宋体" w:cs="宋体" w:eastAsia="宋体" w:hint="default"/>
                <w:sz w:val="18"/>
                <w:szCs w:val="18"/>
              </w:rPr>
              <w:t>计缴</w:t>
            </w:r>
            <w:r>
              <w:rPr>
                <w:rFonts w:ascii="Times New Roman" w:hAnsi="Times New Roman" w:cs="Times New Roman" w:eastAsia="Times New Roman" w:hint="default"/>
                <w:sz w:val="18"/>
                <w:szCs w:val="18"/>
              </w:rPr>
              <w:t>/</w:t>
            </w:r>
            <w:r>
              <w:rPr>
                <w:rFonts w:ascii="宋体" w:hAnsi="宋体" w:cs="宋体" w:eastAsia="宋体" w:hint="default"/>
                <w:sz w:val="18"/>
                <w:szCs w:val="18"/>
              </w:rPr>
              <w:t>详见下 表。</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0-35%</w:t>
            </w:r>
          </w:p>
        </w:tc>
      </w:tr>
      <w:tr>
        <w:trPr>
          <w:trHeight w:val="392" w:hRule="exact"/>
        </w:trPr>
        <w:tc>
          <w:tcPr>
            <w:tcW w:w="316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67"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2"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bl>
    <w:p>
      <w:pPr>
        <w:spacing w:line="240" w:lineRule="auto" w:before="2"/>
        <w:rPr>
          <w:rFonts w:ascii="宋体" w:hAnsi="宋体" w:cs="宋体" w:eastAsia="宋体" w:hint="default"/>
          <w:b/>
          <w:bCs/>
          <w:sz w:val="19"/>
          <w:szCs w:val="19"/>
        </w:rPr>
      </w:pPr>
    </w:p>
    <w:p>
      <w:pPr>
        <w:pStyle w:val="Heading3"/>
        <w:spacing w:line="240" w:lineRule="auto" w:before="35"/>
        <w:ind w:right="1046"/>
        <w:jc w:val="left"/>
        <w:rPr>
          <w:b w:val="0"/>
          <w:bCs w:val="0"/>
        </w:rPr>
      </w:pPr>
      <w:bookmarkStart w:name="2、税收优惠" w:id="211"/>
      <w:bookmarkEnd w:id="21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09" w:firstLine="420"/>
        <w:jc w:val="left"/>
      </w:pPr>
      <w:r>
        <w:rPr/>
        <w:t>（</w:t>
      </w:r>
      <w:r>
        <w:rPr>
          <w:rFonts w:ascii="宋体" w:hAnsi="宋体" w:cs="宋体" w:eastAsia="宋体" w:hint="default"/>
        </w:rPr>
        <w:t>1</w:t>
      </w:r>
      <w:r>
        <w:rPr/>
        <w:t>）根据国家发改委、工信部、财政部、商务部和国家税务总局等五部委联合下发的《关于认定 </w:t>
      </w:r>
      <w:r>
        <w:rPr>
          <w:rFonts w:ascii="宋体" w:hAnsi="宋体" w:cs="宋体" w:eastAsia="宋体" w:hint="default"/>
        </w:rPr>
        <w:t>2011-2012</w:t>
      </w:r>
      <w:r>
        <w:rPr>
          <w:rFonts w:ascii="宋体" w:hAnsi="宋体" w:cs="宋体" w:eastAsia="宋体" w:hint="default"/>
          <w:spacing w:val="-50"/>
        </w:rPr>
        <w:t> </w:t>
      </w:r>
      <w:r>
        <w:rPr>
          <w:spacing w:val="-4"/>
        </w:rPr>
        <w:t>年度国家规划布局内重点软件企业和集成电路设计企业的通知》，本公司于</w:t>
      </w:r>
      <w:r>
        <w:rPr>
          <w:spacing w:val="-49"/>
        </w:rPr>
        <w:t> </w:t>
      </w:r>
      <w:r>
        <w:rPr>
          <w:rFonts w:ascii="宋体" w:hAnsi="宋体" w:cs="宋体" w:eastAsia="宋体" w:hint="default"/>
        </w:rPr>
        <w:t>2013</w:t>
      </w:r>
      <w:r>
        <w:rPr>
          <w:rFonts w:ascii="宋体" w:hAnsi="宋体" w:cs="宋体" w:eastAsia="宋体" w:hint="default"/>
          <w:spacing w:val="-50"/>
        </w:rPr>
        <w:t> </w:t>
      </w:r>
      <w:r>
        <w:rPr/>
        <w:t>年</w:t>
      </w:r>
      <w:r>
        <w:rPr>
          <w:spacing w:val="-51"/>
        </w:rPr>
        <w:t> </w:t>
      </w:r>
      <w:r>
        <w:rPr>
          <w:rFonts w:ascii="宋体" w:hAnsi="宋体" w:cs="宋体" w:eastAsia="宋体" w:hint="default"/>
        </w:rPr>
        <w:t>3</w:t>
      </w:r>
      <w:r>
        <w:rPr>
          <w:rFonts w:ascii="宋体" w:hAnsi="宋体" w:cs="宋体" w:eastAsia="宋体" w:hint="default"/>
          <w:spacing w:val="-50"/>
        </w:rPr>
        <w:t> </w:t>
      </w:r>
      <w:r>
        <w:rPr/>
        <w:t>月经五部</w:t>
      </w:r>
      <w:r>
        <w:rPr>
          <w:spacing w:val="-101"/>
        </w:rPr>
        <w:t> </w:t>
      </w:r>
      <w:r>
        <w:rPr/>
        <w:t>委联合审核认定为“2011</w:t>
      </w:r>
      <w:r>
        <w:rPr>
          <w:rFonts w:ascii="宋体" w:hAnsi="宋体" w:cs="宋体" w:eastAsia="宋体" w:hint="default"/>
        </w:rPr>
        <w:t>-2012</w:t>
      </w:r>
      <w:r>
        <w:rPr>
          <w:rFonts w:ascii="宋体" w:hAnsi="宋体" w:cs="宋体" w:eastAsia="宋体" w:hint="default"/>
          <w:spacing w:val="-53"/>
        </w:rPr>
        <w:t> </w:t>
      </w:r>
      <w:r>
        <w:rPr/>
        <w:t>年度国家规划布局内重点软件企业”。根据《关于进一步鼓励软件产业和 集成电路产业发展企业所得税政策的通知》关于“国家规划布局内的重点软件企业和集成电路设计企业， 如当年未享受免税优惠的，可减按</w:t>
      </w:r>
      <w:r>
        <w:rPr>
          <w:spacing w:val="-53"/>
        </w:rPr>
        <w:t> </w:t>
      </w:r>
      <w:r>
        <w:rPr>
          <w:rFonts w:ascii="宋体" w:hAnsi="宋体" w:cs="宋体" w:eastAsia="宋体" w:hint="default"/>
        </w:rPr>
        <w:t>10%</w:t>
      </w:r>
      <w:r>
        <w:rPr/>
        <w:t>的税率征收企业所得税”的规定。本公司于</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3"/>
        </w:rPr>
        <w:t> </w:t>
      </w:r>
      <w:r>
        <w:rPr/>
        <w:t>月经五部委 联合审核认定为“201</w:t>
      </w:r>
      <w:r>
        <w:rPr>
          <w:rFonts w:ascii="宋体" w:hAnsi="宋体" w:cs="宋体" w:eastAsia="宋体" w:hint="default"/>
        </w:rPr>
        <w:t>3-2014</w:t>
      </w:r>
      <w:r>
        <w:rPr>
          <w:rFonts w:ascii="宋体" w:hAnsi="宋体" w:cs="宋体" w:eastAsia="宋体" w:hint="default"/>
          <w:spacing w:val="-55"/>
        </w:rPr>
        <w:t> </w:t>
      </w:r>
      <w:r>
        <w:rPr/>
        <w:t>年度国家规划布局内重点软件企业”并取得《国家规划布局内重点软件企业</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46"/>
        <w:jc w:val="left"/>
      </w:pPr>
      <w:r>
        <w:rPr/>
        <w:t>证书</w:t>
      </w:r>
      <w:r>
        <w:rPr>
          <w:spacing w:val="-105"/>
        </w:rPr>
        <w:t>》</w:t>
      </w:r>
      <w:r>
        <w:rPr/>
        <w:t>，企</w:t>
      </w:r>
      <w:r>
        <w:rPr>
          <w:spacing w:val="-2"/>
        </w:rPr>
        <w:t>业</w:t>
      </w:r>
      <w:r>
        <w:rPr/>
        <w:t>所得税费自</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1</w:t>
      </w:r>
      <w:r>
        <w:rPr>
          <w:rFonts w:ascii="宋体" w:hAnsi="宋体" w:cs="宋体" w:eastAsia="宋体" w:hint="default"/>
          <w:spacing w:val="-52"/>
        </w:rPr>
        <w:t> </w:t>
      </w:r>
      <w:r>
        <w:rPr/>
        <w:t>月</w:t>
      </w:r>
      <w:r>
        <w:rPr>
          <w:spacing w:val="-54"/>
        </w:rPr>
        <w:t> </w:t>
      </w:r>
      <w:r>
        <w:rPr>
          <w:rFonts w:ascii="宋体" w:hAnsi="宋体" w:cs="宋体" w:eastAsia="宋体" w:hint="default"/>
        </w:rPr>
        <w:t>1</w:t>
      </w:r>
      <w:r>
        <w:rPr>
          <w:rFonts w:ascii="宋体" w:hAnsi="宋体" w:cs="宋体" w:eastAsia="宋体" w:hint="default"/>
          <w:spacing w:val="-53"/>
        </w:rPr>
        <w:t> </w:t>
      </w:r>
      <w:r>
        <w:rPr/>
        <w:t>日至</w:t>
      </w:r>
      <w:r>
        <w:rPr>
          <w:spacing w:val="-52"/>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3"/>
        </w:rPr>
        <w:t> </w:t>
      </w:r>
      <w:r>
        <w:rPr>
          <w:rFonts w:ascii="宋体" w:hAnsi="宋体" w:cs="宋体" w:eastAsia="宋体" w:hint="default"/>
          <w:spacing w:val="-1"/>
        </w:rPr>
        <w:t>3</w:t>
      </w:r>
      <w:r>
        <w:rPr>
          <w:rFonts w:ascii="宋体" w:hAnsi="宋体" w:cs="宋体" w:eastAsia="宋体" w:hint="default"/>
        </w:rPr>
        <w:t>1</w:t>
      </w:r>
      <w:r>
        <w:rPr>
          <w:rFonts w:ascii="宋体" w:hAnsi="宋体" w:cs="宋体" w:eastAsia="宋体" w:hint="default"/>
          <w:spacing w:val="-52"/>
        </w:rPr>
        <w:t> </w:t>
      </w:r>
      <w:r>
        <w:rPr/>
        <w:t>日</w:t>
      </w:r>
      <w:r>
        <w:rPr>
          <w:spacing w:val="-2"/>
        </w:rPr>
        <w:t>期</w:t>
      </w:r>
      <w:r>
        <w:rPr/>
        <w:t>间按</w:t>
      </w:r>
      <w:r>
        <w:rPr>
          <w:spacing w:val="-53"/>
        </w:rPr>
        <w:t> </w:t>
      </w:r>
      <w:r>
        <w:rPr>
          <w:rFonts w:ascii="宋体" w:hAnsi="宋体" w:cs="宋体" w:eastAsia="宋体" w:hint="default"/>
        </w:rPr>
        <w:t>10%</w:t>
      </w:r>
      <w:r>
        <w:rPr/>
        <w:t>的</w:t>
      </w:r>
      <w:r>
        <w:rPr>
          <w:spacing w:val="-2"/>
        </w:rPr>
        <w:t>税</w:t>
      </w:r>
      <w:r>
        <w:rPr/>
        <w:t>率缴纳。</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w:t>
      </w:r>
      <w:r>
        <w:rPr>
          <w:rFonts w:ascii="宋体" w:hAnsi="宋体" w:cs="宋体" w:eastAsia="宋体" w:hint="default"/>
        </w:rPr>
        <w:t>2</w:t>
      </w:r>
      <w:r>
        <w:rPr/>
        <w:t>）根据</w:t>
      </w:r>
      <w:r>
        <w:rPr>
          <w:spacing w:val="-2"/>
        </w:rPr>
        <w:t>国</w:t>
      </w:r>
      <w:r>
        <w:rPr/>
        <w:t>务院</w:t>
      </w:r>
      <w:r>
        <w:rPr>
          <w:spacing w:val="-53"/>
        </w:rPr>
        <w:t> </w:t>
      </w:r>
      <w:r>
        <w:rPr>
          <w:rFonts w:ascii="宋体" w:hAnsi="宋体" w:cs="宋体" w:eastAsia="宋体" w:hint="default"/>
        </w:rPr>
        <w:t>2000</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2"/>
        </w:rPr>
        <w:t> </w:t>
      </w:r>
      <w:r>
        <w:rPr/>
        <w:t>月</w:t>
      </w:r>
      <w:r>
        <w:rPr>
          <w:spacing w:val="-54"/>
        </w:rPr>
        <w:t> </w:t>
      </w:r>
      <w:r>
        <w:rPr>
          <w:rFonts w:ascii="宋体" w:hAnsi="宋体" w:cs="宋体" w:eastAsia="宋体" w:hint="default"/>
        </w:rPr>
        <w:t>24</w:t>
      </w:r>
      <w:r>
        <w:rPr>
          <w:rFonts w:ascii="宋体" w:hAnsi="宋体" w:cs="宋体" w:eastAsia="宋体" w:hint="default"/>
          <w:spacing w:val="-52"/>
        </w:rPr>
        <w:t> </w:t>
      </w:r>
      <w:r>
        <w:rPr/>
        <w:t>日</w:t>
      </w:r>
      <w:r>
        <w:rPr>
          <w:spacing w:val="-2"/>
        </w:rPr>
        <w:t>下</w:t>
      </w:r>
      <w:r>
        <w:rPr/>
        <w:t>发的《鼓励软件产业和集成电路产业发展的若干政策</w:t>
      </w:r>
      <w:r>
        <w:rPr>
          <w:spacing w:val="-105"/>
        </w:rPr>
        <w:t>》</w:t>
      </w:r>
      <w:r>
        <w:rPr/>
        <w:t>（</w:t>
      </w:r>
      <w:r>
        <w:rPr>
          <w:spacing w:val="-2"/>
        </w:rPr>
        <w:t>国</w:t>
      </w:r>
      <w:r>
        <w:rPr/>
        <w:t>发</w:t>
      </w:r>
    </w:p>
    <w:p>
      <w:pPr>
        <w:spacing w:line="240" w:lineRule="auto" w:before="10"/>
        <w:rPr>
          <w:rFonts w:ascii="宋体" w:hAnsi="宋体" w:cs="宋体" w:eastAsia="宋体" w:hint="default"/>
          <w:sz w:val="14"/>
          <w:szCs w:val="14"/>
        </w:rPr>
      </w:pPr>
    </w:p>
    <w:p>
      <w:pPr>
        <w:pStyle w:val="BodyText"/>
        <w:spacing w:line="408" w:lineRule="auto" w:before="0"/>
        <w:ind w:right="1131"/>
        <w:jc w:val="both"/>
      </w:pPr>
      <w:r>
        <w:rPr>
          <w:rFonts w:ascii="宋体" w:hAnsi="宋体" w:cs="宋体" w:eastAsia="宋体" w:hint="default"/>
        </w:rPr>
        <w:t>[2000]18</w:t>
      </w:r>
      <w:r>
        <w:rPr>
          <w:rFonts w:ascii="宋体" w:hAnsi="宋体" w:cs="宋体" w:eastAsia="宋体" w:hint="default"/>
          <w:spacing w:val="-42"/>
        </w:rPr>
        <w:t> </w:t>
      </w:r>
      <w:r>
        <w:rPr>
          <w:spacing w:val="-3"/>
        </w:rPr>
        <w:t>号文件）：国家鼓励在我国境内开发生产软件产品，对增值税一般纳税人销售其自行开发生产的</w:t>
      </w:r>
      <w:r>
        <w:rPr>
          <w:spacing w:val="-98"/>
        </w:rPr>
        <w:t> </w:t>
      </w:r>
      <w:r>
        <w:rPr>
          <w:spacing w:val="-98"/>
        </w:rPr>
      </w:r>
      <w:r>
        <w:rPr>
          <w:spacing w:val="-3"/>
        </w:rPr>
        <w:t>软件产品，</w:t>
      </w:r>
      <w:r>
        <w:rPr>
          <w:rFonts w:ascii="宋体" w:hAnsi="宋体" w:cs="宋体" w:eastAsia="宋体" w:hint="default"/>
          <w:spacing w:val="-3"/>
        </w:rPr>
        <w:t>2010</w:t>
      </w:r>
      <w:r>
        <w:rPr>
          <w:rFonts w:ascii="宋体" w:hAnsi="宋体" w:cs="宋体" w:eastAsia="宋体" w:hint="default"/>
          <w:spacing w:val="-69"/>
        </w:rPr>
        <w:t> </w:t>
      </w:r>
      <w:r>
        <w:rPr/>
        <w:t>年前按</w:t>
      </w:r>
      <w:r>
        <w:rPr>
          <w:spacing w:val="-70"/>
        </w:rPr>
        <w:t> </w:t>
      </w:r>
      <w:r>
        <w:rPr>
          <w:rFonts w:ascii="宋体" w:hAnsi="宋体" w:cs="宋体" w:eastAsia="宋体" w:hint="default"/>
        </w:rPr>
        <w:t>17%</w:t>
      </w:r>
      <w:r>
        <w:rPr/>
        <w:t>的法定税率征收增值税，对实际税负超过</w:t>
      </w:r>
      <w:r>
        <w:rPr>
          <w:spacing w:val="-69"/>
        </w:rPr>
        <w:t> </w:t>
      </w:r>
      <w:r>
        <w:rPr>
          <w:rFonts w:ascii="宋体" w:hAnsi="宋体" w:cs="宋体" w:eastAsia="宋体" w:hint="default"/>
        </w:rPr>
        <w:t>3%</w:t>
      </w:r>
      <w:r>
        <w:rPr/>
        <w:t>的部分即征即退，由企业用于研究 开发软件产品和扩大再生产，以及国务院</w:t>
      </w:r>
      <w:r>
        <w:rPr>
          <w:spacing w:val="-57"/>
        </w:rPr>
        <w:t> </w:t>
      </w:r>
      <w:r>
        <w:rPr>
          <w:rFonts w:ascii="宋体" w:hAnsi="宋体" w:cs="宋体" w:eastAsia="宋体" w:hint="default"/>
        </w:rPr>
        <w:t>2011</w:t>
      </w:r>
      <w:r>
        <w:rPr>
          <w:rFonts w:ascii="宋体" w:hAnsi="宋体" w:cs="宋体" w:eastAsia="宋体" w:hint="default"/>
          <w:spacing w:val="-58"/>
        </w:rPr>
        <w:t> </w:t>
      </w:r>
      <w:r>
        <w:rPr/>
        <w:t>年</w:t>
      </w:r>
      <w:r>
        <w:rPr>
          <w:spacing w:val="-57"/>
        </w:rPr>
        <w:t> </w:t>
      </w:r>
      <w:r>
        <w:rPr>
          <w:rFonts w:ascii="宋体" w:hAnsi="宋体" w:cs="宋体" w:eastAsia="宋体" w:hint="default"/>
        </w:rPr>
        <w:t>2</w:t>
      </w:r>
      <w:r>
        <w:rPr>
          <w:rFonts w:ascii="宋体" w:hAnsi="宋体" w:cs="宋体" w:eastAsia="宋体" w:hint="default"/>
          <w:spacing w:val="-57"/>
        </w:rPr>
        <w:t> </w:t>
      </w:r>
      <w:r>
        <w:rPr/>
        <w:t>月</w:t>
      </w:r>
      <w:r>
        <w:rPr>
          <w:spacing w:val="-58"/>
        </w:rPr>
        <w:t> </w:t>
      </w:r>
      <w:r>
        <w:rPr>
          <w:rFonts w:ascii="宋体" w:hAnsi="宋体" w:cs="宋体" w:eastAsia="宋体" w:hint="default"/>
        </w:rPr>
        <w:t>28</w:t>
      </w:r>
      <w:r>
        <w:rPr>
          <w:rFonts w:ascii="宋体" w:hAnsi="宋体" w:cs="宋体" w:eastAsia="宋体" w:hint="default"/>
          <w:spacing w:val="-57"/>
        </w:rPr>
        <w:t> </w:t>
      </w:r>
      <w:r>
        <w:rPr/>
        <w:t>日下发的《进一步鼓励软件产业和集成电路产业 </w:t>
      </w:r>
      <w:r>
        <w:rPr>
          <w:spacing w:val="-7"/>
        </w:rPr>
        <w:t>发展的若干政策》（国发</w:t>
      </w:r>
      <w:r>
        <w:rPr>
          <w:rFonts w:ascii="宋体" w:hAnsi="宋体" w:cs="宋体" w:eastAsia="宋体" w:hint="default"/>
          <w:spacing w:val="-7"/>
        </w:rPr>
        <w:t>[2011]4</w:t>
      </w:r>
      <w:r>
        <w:rPr>
          <w:rFonts w:ascii="宋体" w:hAnsi="宋体" w:cs="宋体" w:eastAsia="宋体" w:hint="default"/>
          <w:spacing w:val="-41"/>
        </w:rPr>
        <w:t> </w:t>
      </w:r>
      <w:r>
        <w:rPr>
          <w:spacing w:val="-1"/>
        </w:rPr>
        <w:t>号文件）及财税</w:t>
      </w:r>
      <w:r>
        <w:rPr>
          <w:rFonts w:ascii="宋体" w:hAnsi="宋体" w:cs="宋体" w:eastAsia="宋体" w:hint="default"/>
          <w:spacing w:val="-1"/>
        </w:rPr>
        <w:t>[2011]100</w:t>
      </w:r>
      <w:r>
        <w:rPr>
          <w:rFonts w:ascii="宋体" w:hAnsi="宋体" w:cs="宋体" w:eastAsia="宋体" w:hint="default"/>
          <w:spacing w:val="-41"/>
        </w:rPr>
        <w:t> </w:t>
      </w:r>
      <w:r>
        <w:rPr>
          <w:spacing w:val="-1"/>
        </w:rPr>
        <w:t>号文规定：继续实施软件增值税优惠政策。本</w:t>
      </w:r>
      <w:r>
        <w:rPr>
          <w:spacing w:val="-102"/>
        </w:rPr>
        <w:t> </w:t>
      </w:r>
      <w:r>
        <w:rPr>
          <w:spacing w:val="-102"/>
        </w:rPr>
      </w:r>
      <w:r>
        <w:rPr>
          <w:spacing w:val="-1"/>
        </w:rPr>
        <w:t>公司及全资子公司深圳市海能达技术服务有限公司、深圳市安智捷科技有限公司、哈尔滨海能达科技有限</w:t>
      </w:r>
      <w:r>
        <w:rPr>
          <w:spacing w:val="-81"/>
        </w:rPr>
        <w:t> </w:t>
      </w:r>
      <w:r>
        <w:rPr>
          <w:spacing w:val="-81"/>
        </w:rPr>
      </w:r>
      <w:r>
        <w:rPr/>
        <w:t>公司适用此规定。</w:t>
      </w:r>
    </w:p>
    <w:p>
      <w:pPr>
        <w:pStyle w:val="BodyText"/>
        <w:spacing w:line="408" w:lineRule="auto"/>
        <w:ind w:right="1123" w:firstLine="420"/>
        <w:jc w:val="left"/>
      </w:pPr>
      <w:r>
        <w:rPr>
          <w:spacing w:val="-8"/>
        </w:rPr>
        <w:t>（</w:t>
      </w:r>
      <w:r>
        <w:rPr>
          <w:rFonts w:ascii="宋体" w:hAnsi="宋体" w:cs="宋体" w:eastAsia="宋体" w:hint="default"/>
          <w:spacing w:val="-8"/>
        </w:rPr>
        <w:t>3</w:t>
      </w:r>
      <w:r>
        <w:rPr>
          <w:spacing w:val="-8"/>
        </w:rPr>
        <w:t>）根据财税</w:t>
      </w:r>
      <w:r>
        <w:rPr>
          <w:rFonts w:ascii="宋体" w:hAnsi="宋体" w:cs="宋体" w:eastAsia="宋体" w:hint="default"/>
          <w:spacing w:val="-8"/>
        </w:rPr>
        <w:t>[2008]1</w:t>
      </w:r>
      <w:r>
        <w:rPr>
          <w:rFonts w:ascii="宋体" w:hAnsi="宋体" w:cs="宋体" w:eastAsia="宋体" w:hint="default"/>
          <w:spacing w:val="-43"/>
        </w:rPr>
        <w:t> </w:t>
      </w:r>
      <w:r>
        <w:rPr>
          <w:spacing w:val="-10"/>
        </w:rPr>
        <w:t>号《财政部、国家税务总局关于企业所得税若干优惠政策的通知》、财税</w:t>
      </w:r>
      <w:r>
        <w:rPr>
          <w:rFonts w:ascii="宋体" w:hAnsi="宋体" w:cs="宋体" w:eastAsia="宋体" w:hint="default"/>
          <w:spacing w:val="-10"/>
        </w:rPr>
        <w:t>[2012]27</w:t>
      </w:r>
      <w:r>
        <w:rPr>
          <w:rFonts w:ascii="宋体" w:hAnsi="宋体" w:cs="宋体" w:eastAsia="宋体" w:hint="default"/>
        </w:rPr>
        <w:t> </w:t>
      </w:r>
      <w:r>
        <w:rPr>
          <w:spacing w:val="-3"/>
        </w:rPr>
        <w:t>号《关于进一步鼓励软件产业和集成电路产业发展企业所得税政策的通知》、国家税务总局公告</w:t>
      </w:r>
      <w:r>
        <w:rPr>
          <w:rFonts w:ascii="宋体" w:hAnsi="宋体" w:cs="宋体" w:eastAsia="宋体" w:hint="default"/>
          <w:spacing w:val="-3"/>
        </w:rPr>
        <w:t>[2013]43</w:t>
      </w:r>
      <w:r>
        <w:rPr>
          <w:rFonts w:ascii="宋体" w:hAnsi="宋体" w:cs="宋体" w:eastAsia="宋体" w:hint="default"/>
          <w:spacing w:val="-61"/>
        </w:rPr>
        <w:t> </w:t>
      </w:r>
      <w:r>
        <w:rPr>
          <w:spacing w:val="-1"/>
        </w:rPr>
        <w:t>号《国家税务总局关于执行软件企业所得税优惠政策有关问题的公告》的规定，深圳市安智捷科技有限公</w:t>
      </w:r>
      <w:r>
        <w:rPr>
          <w:spacing w:val="-83"/>
        </w:rPr>
        <w:t> </w:t>
      </w:r>
      <w:r>
        <w:rPr>
          <w:spacing w:val="-83"/>
        </w:rPr>
      </w:r>
      <w:r>
        <w:rPr/>
        <w:t>司</w:t>
      </w:r>
      <w:r>
        <w:rPr>
          <w:spacing w:val="-52"/>
        </w:rPr>
        <w:t> </w:t>
      </w:r>
      <w:r>
        <w:rPr>
          <w:rFonts w:ascii="宋体" w:hAnsi="宋体" w:cs="宋体" w:eastAsia="宋体" w:hint="default"/>
        </w:rPr>
        <w:t>2011</w:t>
      </w:r>
      <w:r>
        <w:rPr>
          <w:rFonts w:ascii="宋体" w:hAnsi="宋体" w:cs="宋体" w:eastAsia="宋体" w:hint="default"/>
          <w:spacing w:val="-51"/>
        </w:rPr>
        <w:t> </w:t>
      </w:r>
      <w:r>
        <w:rPr/>
        <w:t>年</w:t>
      </w:r>
      <w:r>
        <w:rPr>
          <w:spacing w:val="-52"/>
        </w:rPr>
        <w:t> </w:t>
      </w:r>
      <w:r>
        <w:rPr>
          <w:rFonts w:ascii="宋体" w:hAnsi="宋体" w:cs="宋体" w:eastAsia="宋体" w:hint="default"/>
          <w:spacing w:val="-1"/>
        </w:rPr>
        <w:t>11</w:t>
      </w:r>
      <w:r>
        <w:rPr>
          <w:rFonts w:ascii="宋体" w:hAnsi="宋体" w:cs="宋体" w:eastAsia="宋体" w:hint="default"/>
          <w:spacing w:val="-51"/>
        </w:rPr>
        <w:t> </w:t>
      </w:r>
      <w:r>
        <w:rPr/>
        <w:t>月</w:t>
      </w:r>
      <w:r>
        <w:rPr>
          <w:spacing w:val="-53"/>
        </w:rPr>
        <w:t> </w:t>
      </w:r>
      <w:r>
        <w:rPr>
          <w:rFonts w:ascii="宋体" w:hAnsi="宋体" w:cs="宋体" w:eastAsia="宋体" w:hint="default"/>
        </w:rPr>
        <w:t>1</w:t>
      </w:r>
      <w:r>
        <w:rPr>
          <w:rFonts w:ascii="宋体" w:hAnsi="宋体" w:cs="宋体" w:eastAsia="宋体" w:hint="default"/>
          <w:spacing w:val="-51"/>
        </w:rPr>
        <w:t> </w:t>
      </w:r>
      <w:r>
        <w:rPr>
          <w:spacing w:val="-4"/>
        </w:rPr>
        <w:t>日被认定为软件企业（证书编号：深</w:t>
      </w:r>
      <w:r>
        <w:rPr>
          <w:spacing w:val="-51"/>
        </w:rPr>
        <w:t> </w:t>
      </w:r>
      <w:r>
        <w:rPr>
          <w:rFonts w:ascii="宋体" w:hAnsi="宋体" w:cs="宋体" w:eastAsia="宋体" w:hint="default"/>
          <w:spacing w:val="-10"/>
        </w:rPr>
        <w:t>R-2011-0318</w:t>
      </w:r>
      <w:r>
        <w:rPr>
          <w:spacing w:val="-10"/>
        </w:rPr>
        <w:t>）（在</w:t>
      </w:r>
      <w:r>
        <w:rPr>
          <w:spacing w:val="-52"/>
        </w:rPr>
        <w:t> </w:t>
      </w:r>
      <w:r>
        <w:rPr>
          <w:rFonts w:ascii="宋体" w:hAnsi="宋体" w:cs="宋体" w:eastAsia="宋体" w:hint="default"/>
        </w:rPr>
        <w:t>2013</w:t>
      </w:r>
      <w:r>
        <w:rPr>
          <w:rFonts w:ascii="宋体" w:hAnsi="宋体" w:cs="宋体" w:eastAsia="宋体" w:hint="default"/>
          <w:spacing w:val="-51"/>
        </w:rPr>
        <w:t> </w:t>
      </w:r>
      <w:r>
        <w:rPr/>
        <w:t>年</w:t>
      </w:r>
      <w:r>
        <w:rPr>
          <w:spacing w:val="-52"/>
        </w:rPr>
        <w:t> </w:t>
      </w:r>
      <w:r>
        <w:rPr>
          <w:rFonts w:ascii="宋体" w:hAnsi="宋体" w:cs="宋体" w:eastAsia="宋体" w:hint="default"/>
        </w:rPr>
        <w:t>4</w:t>
      </w:r>
      <w:r>
        <w:rPr>
          <w:rFonts w:ascii="宋体" w:hAnsi="宋体" w:cs="宋体" w:eastAsia="宋体" w:hint="default"/>
          <w:spacing w:val="-52"/>
        </w:rPr>
        <w:t> </w:t>
      </w:r>
      <w:r>
        <w:rPr/>
        <w:t>月</w:t>
      </w:r>
      <w:r>
        <w:rPr>
          <w:spacing w:val="-53"/>
        </w:rPr>
        <w:t> </w:t>
      </w:r>
      <w:r>
        <w:rPr>
          <w:rFonts w:ascii="宋体" w:hAnsi="宋体" w:cs="宋体" w:eastAsia="宋体" w:hint="default"/>
        </w:rPr>
        <w:t>27</w:t>
      </w:r>
      <w:r>
        <w:rPr>
          <w:rFonts w:ascii="宋体" w:hAnsi="宋体" w:cs="宋体" w:eastAsia="宋体" w:hint="default"/>
          <w:spacing w:val="-51"/>
        </w:rPr>
        <w:t> </w:t>
      </w:r>
      <w:r>
        <w:rPr>
          <w:spacing w:val="-1"/>
        </w:rPr>
        <w:t>日根据新的软件</w:t>
      </w:r>
      <w:r>
        <w:rPr/>
        <w:t> 企业认定政策被重新认定为软件企业（证书编号：深</w:t>
      </w:r>
      <w:r>
        <w:rPr>
          <w:spacing w:val="-43"/>
        </w:rPr>
        <w:t> </w:t>
      </w:r>
      <w:r>
        <w:rPr>
          <w:rFonts w:ascii="宋体" w:hAnsi="宋体" w:cs="宋体" w:eastAsia="宋体" w:hint="default"/>
          <w:spacing w:val="-8"/>
        </w:rPr>
        <w:t>R-2013-0107</w:t>
      </w:r>
      <w:r>
        <w:rPr>
          <w:spacing w:val="-8"/>
        </w:rPr>
        <w:t>）），符合软件及集成电路设计企业的税</w:t>
      </w:r>
      <w:r>
        <w:rPr>
          <w:spacing w:val="-97"/>
        </w:rPr>
        <w:t> </w:t>
      </w:r>
      <w:r>
        <w:rPr>
          <w:spacing w:val="-97"/>
        </w:rPr>
      </w:r>
      <w:r>
        <w:rPr/>
        <w:t>收优惠有关规定，并于</w:t>
      </w:r>
      <w:r>
        <w:rPr>
          <w:spacing w:val="-53"/>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12</w:t>
      </w:r>
      <w:r>
        <w:rPr>
          <w:rFonts w:ascii="宋体" w:hAnsi="宋体" w:cs="宋体" w:eastAsia="宋体" w:hint="default"/>
          <w:spacing w:val="-53"/>
        </w:rPr>
        <w:t> </w:t>
      </w:r>
      <w:r>
        <w:rPr/>
        <w:t>日取得《深国税南减免备案</w:t>
      </w:r>
      <w:r>
        <w:rPr>
          <w:rFonts w:ascii="宋体" w:hAnsi="宋体" w:cs="宋体" w:eastAsia="宋体" w:hint="default"/>
        </w:rPr>
        <w:t>[2012]4</w:t>
      </w:r>
      <w:r>
        <w:rPr>
          <w:rFonts w:ascii="宋体" w:hAnsi="宋体" w:cs="宋体" w:eastAsia="宋体" w:hint="default"/>
          <w:spacing w:val="-54"/>
        </w:rPr>
        <w:t> </w:t>
      </w:r>
      <w:r>
        <w:rPr/>
        <w:t>号深圳市国家税务局税收优惠</w:t>
      </w:r>
    </w:p>
    <w:p>
      <w:pPr>
        <w:pStyle w:val="BodyText"/>
        <w:spacing w:line="408" w:lineRule="auto"/>
        <w:ind w:left="154" w:right="1026"/>
        <w:jc w:val="left"/>
      </w:pPr>
      <w:r>
        <w:rPr>
          <w:spacing w:val="-21"/>
        </w:rPr>
        <w:t>登记备案通知书》（在</w:t>
      </w:r>
      <w:r>
        <w:rPr>
          <w:spacing w:val="-76"/>
        </w:rPr>
        <w:t> </w:t>
      </w:r>
      <w:r>
        <w:rPr>
          <w:rFonts w:ascii="宋体" w:hAnsi="宋体" w:cs="宋体" w:eastAsia="宋体" w:hint="default"/>
        </w:rPr>
        <w:t>2013</w:t>
      </w:r>
      <w:r>
        <w:rPr>
          <w:rFonts w:ascii="宋体" w:hAnsi="宋体" w:cs="宋体" w:eastAsia="宋体" w:hint="default"/>
          <w:spacing w:val="-76"/>
        </w:rPr>
        <w:t> </w:t>
      </w:r>
      <w:r>
        <w:rPr/>
        <w:t>年</w:t>
      </w:r>
      <w:r>
        <w:rPr>
          <w:spacing w:val="-76"/>
        </w:rPr>
        <w:t> </w:t>
      </w:r>
      <w:r>
        <w:rPr>
          <w:rFonts w:ascii="宋体" w:hAnsi="宋体" w:cs="宋体" w:eastAsia="宋体" w:hint="default"/>
        </w:rPr>
        <w:t>5</w:t>
      </w:r>
      <w:r>
        <w:rPr>
          <w:rFonts w:ascii="宋体" w:hAnsi="宋体" w:cs="宋体" w:eastAsia="宋体" w:hint="default"/>
          <w:spacing w:val="-75"/>
        </w:rPr>
        <w:t> </w:t>
      </w:r>
      <w:r>
        <w:rPr/>
        <w:t>月</w:t>
      </w:r>
      <w:r>
        <w:rPr>
          <w:spacing w:val="-76"/>
        </w:rPr>
        <w:t> </w:t>
      </w:r>
      <w:r>
        <w:rPr>
          <w:rFonts w:ascii="宋体" w:hAnsi="宋体" w:cs="宋体" w:eastAsia="宋体" w:hint="default"/>
        </w:rPr>
        <w:t>30</w:t>
      </w:r>
      <w:r>
        <w:rPr>
          <w:rFonts w:ascii="宋体" w:hAnsi="宋体" w:cs="宋体" w:eastAsia="宋体" w:hint="default"/>
          <w:spacing w:val="-75"/>
        </w:rPr>
        <w:t> </w:t>
      </w:r>
      <w:r>
        <w:rPr>
          <w:spacing w:val="-4"/>
        </w:rPr>
        <w:t>日根据新的软件企业认定证书取得《深国税南减免备案</w:t>
      </w:r>
      <w:r>
        <w:rPr>
          <w:rFonts w:ascii="宋体" w:hAnsi="宋体" w:cs="宋体" w:eastAsia="宋体" w:hint="default"/>
          <w:spacing w:val="-4"/>
        </w:rPr>
        <w:t>[2013]588</w:t>
      </w:r>
      <w:r>
        <w:rPr>
          <w:rFonts w:ascii="宋体" w:hAnsi="宋体" w:cs="宋体" w:eastAsia="宋体" w:hint="default"/>
          <w:spacing w:val="-75"/>
        </w:rPr>
        <w:t> </w:t>
      </w:r>
      <w:r>
        <w:rPr>
          <w:spacing w:val="-53"/>
        </w:rPr>
        <w:t>号》），</w:t>
      </w:r>
      <w:r>
        <w:rPr/>
        <w:t> 同意深圳市安智捷科技有限公司从获利年度起，两年免征企业所得税，三年减半征收企业所得税。</w:t>
      </w:r>
      <w:r>
        <w:rPr>
          <w:rFonts w:ascii="宋体" w:hAnsi="宋体" w:cs="宋体" w:eastAsia="宋体" w:hint="default"/>
        </w:rPr>
        <w:t>2013</w:t>
      </w:r>
      <w:r>
        <w:rPr>
          <w:rFonts w:ascii="宋体" w:hAnsi="宋体" w:cs="宋体" w:eastAsia="宋体" w:hint="default"/>
          <w:spacing w:val="-78"/>
        </w:rPr>
        <w:t> </w:t>
      </w:r>
      <w:r>
        <w:rPr/>
        <w:t>年 为该公司第三个获利年度，</w:t>
      </w:r>
      <w:r>
        <w:rPr>
          <w:rFonts w:ascii="宋体" w:hAnsi="宋体" w:cs="宋体" w:eastAsia="宋体" w:hint="default"/>
        </w:rPr>
        <w:t>2013-2015</w:t>
      </w:r>
      <w:r>
        <w:rPr>
          <w:rFonts w:ascii="宋体" w:hAnsi="宋体" w:cs="宋体" w:eastAsia="宋体" w:hint="default"/>
          <w:spacing w:val="-55"/>
        </w:rPr>
        <w:t> </w:t>
      </w:r>
      <w:r>
        <w:rPr/>
        <w:t>年度减半征收企业所得税。</w:t>
      </w:r>
    </w:p>
    <w:p>
      <w:pPr>
        <w:pStyle w:val="BodyText"/>
        <w:spacing w:line="408" w:lineRule="auto"/>
        <w:ind w:right="0" w:firstLine="420"/>
        <w:jc w:val="left"/>
      </w:pPr>
      <w:r>
        <w:rPr>
          <w:spacing w:val="-1"/>
        </w:rPr>
        <w:t>（</w:t>
      </w:r>
      <w:r>
        <w:rPr>
          <w:rFonts w:ascii="宋体" w:hAnsi="宋体" w:cs="宋体" w:eastAsia="宋体" w:hint="default"/>
          <w:spacing w:val="-1"/>
        </w:rPr>
        <w:t>4</w:t>
      </w:r>
      <w:r>
        <w:rPr>
          <w:spacing w:val="-1"/>
        </w:rPr>
        <w:t>）本公司之子公司鹤壁天海电子信息系统有限公司、孙公司鹤壁市新元电子有限公司依据财政部、</w:t>
      </w:r>
      <w:r>
        <w:rPr/>
        <w:t> 国家税务总局每年根据军方采购合同出具免征增值税批文及免税清单。如《财政部、国家税务总局关于部 </w:t>
      </w:r>
      <w:r>
        <w:rPr>
          <w:spacing w:val="-3"/>
        </w:rPr>
        <w:t>分一般工业企业生产销售军品暂免征收增值税的通知》（财税</w:t>
      </w:r>
      <w:r>
        <w:rPr>
          <w:rFonts w:ascii="宋体" w:hAnsi="宋体" w:cs="宋体" w:eastAsia="宋体" w:hint="default"/>
          <w:spacing w:val="-3"/>
        </w:rPr>
        <w:t>[2011]130</w:t>
      </w:r>
      <w:r>
        <w:rPr>
          <w:rFonts w:ascii="宋体" w:hAnsi="宋体" w:cs="宋体" w:eastAsia="宋体" w:hint="default"/>
          <w:spacing w:val="-52"/>
        </w:rPr>
        <w:t> </w:t>
      </w:r>
      <w:r>
        <w:rPr/>
        <w:t>号）公司</w:t>
      </w:r>
      <w:r>
        <w:rPr>
          <w:spacing w:val="-51"/>
        </w:rPr>
        <w:t> </w:t>
      </w:r>
      <w:r>
        <w:rPr>
          <w:rFonts w:ascii="宋体" w:hAnsi="宋体" w:cs="宋体" w:eastAsia="宋体" w:hint="default"/>
        </w:rPr>
        <w:t>2011</w:t>
      </w:r>
      <w:r>
        <w:rPr>
          <w:rFonts w:ascii="宋体" w:hAnsi="宋体" w:cs="宋体" w:eastAsia="宋体" w:hint="default"/>
          <w:spacing w:val="-52"/>
        </w:rPr>
        <w:t> </w:t>
      </w:r>
      <w:r>
        <w:rPr>
          <w:spacing w:val="-1"/>
        </w:rPr>
        <w:t>年度销售产品免征</w:t>
      </w:r>
      <w:r>
        <w:rPr>
          <w:spacing w:val="-102"/>
        </w:rPr>
        <w:t> </w:t>
      </w:r>
      <w:r>
        <w:rPr>
          <w:spacing w:val="-102"/>
        </w:rPr>
      </w:r>
      <w:r>
        <w:rPr/>
        <w:t>增值税，该军品免税清单一般一年一定。</w:t>
      </w:r>
    </w:p>
    <w:p>
      <w:pPr>
        <w:spacing w:line="240" w:lineRule="auto" w:before="8"/>
        <w:rPr>
          <w:rFonts w:ascii="宋体" w:hAnsi="宋体" w:cs="宋体" w:eastAsia="宋体" w:hint="default"/>
          <w:sz w:val="20"/>
          <w:szCs w:val="20"/>
        </w:rPr>
      </w:pPr>
    </w:p>
    <w:p>
      <w:pPr>
        <w:spacing w:line="487" w:lineRule="auto" w:before="0"/>
        <w:ind w:left="153" w:right="7693" w:firstLine="0"/>
        <w:jc w:val="left"/>
        <w:rPr>
          <w:rFonts w:ascii="宋体" w:hAnsi="宋体" w:cs="宋体" w:eastAsia="宋体" w:hint="default"/>
          <w:sz w:val="21"/>
          <w:szCs w:val="21"/>
        </w:rPr>
      </w:pPr>
      <w:bookmarkStart w:name="3、其他" w:id="212"/>
      <w:bookmarkEnd w:id="212"/>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13"/>
      <w:bookmarkEnd w:id="213"/>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14"/>
      <w:bookmarkEnd w:id="214"/>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152,799.61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368,333.28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395,710,375.28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487,352,755.02</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79,490,252.49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25,309,589.70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475,353,427.38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513,030,678.00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83,477,839.33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84,545,983.40</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0" w:right="1216"/>
        <w:jc w:val="right"/>
      </w:pPr>
      <w:r>
        <w:rPr/>
        <w:t>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日，其他货币资金余额中：主要包括承兑汇票保证金存款</w:t>
      </w:r>
      <w:r>
        <w:rPr>
          <w:spacing w:val="-53"/>
        </w:rPr>
        <w:t> </w:t>
      </w:r>
      <w:r>
        <w:rPr>
          <w:rFonts w:ascii="宋体" w:hAnsi="宋体" w:cs="宋体" w:eastAsia="宋体" w:hint="default"/>
        </w:rPr>
        <w:t>28,867,117.80</w:t>
      </w:r>
      <w:r>
        <w:rPr>
          <w:rFonts w:ascii="宋体" w:hAnsi="宋体" w:cs="宋体" w:eastAsia="宋体" w:hint="default"/>
          <w:spacing w:val="-53"/>
        </w:rPr>
        <w:t> </w:t>
      </w:r>
      <w:r>
        <w:rPr/>
        <w:t>元、</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定期存款</w:t>
      </w:r>
      <w:r>
        <w:rPr>
          <w:spacing w:val="-53"/>
        </w:rPr>
        <w:t> </w:t>
      </w:r>
      <w:r>
        <w:rPr>
          <w:rFonts w:ascii="宋体" w:hAnsi="宋体" w:cs="宋体" w:eastAsia="宋体" w:hint="default"/>
        </w:rPr>
        <w:t>45,504,346.74</w:t>
      </w:r>
      <w:r>
        <w:rPr/>
        <w:t>，保证金存款</w:t>
      </w:r>
      <w:r>
        <w:rPr>
          <w:spacing w:val="-54"/>
        </w:rPr>
        <w:t> </w:t>
      </w:r>
      <w:r>
        <w:rPr>
          <w:rFonts w:ascii="宋体" w:hAnsi="宋体" w:cs="宋体" w:eastAsia="宋体" w:hint="default"/>
        </w:rPr>
        <w:t>4,118,787.95</w:t>
      </w:r>
      <w:r>
        <w:rPr>
          <w:rFonts w:ascii="宋体" w:hAnsi="宋体" w:cs="宋体" w:eastAsia="宋体" w:hint="default"/>
          <w:spacing w:val="-53"/>
        </w:rPr>
        <w:t> </w:t>
      </w:r>
      <w:r>
        <w:rPr/>
        <w:t>元，其他</w:t>
      </w:r>
      <w:r>
        <w:rPr>
          <w:spacing w:val="-54"/>
        </w:rPr>
        <w:t> </w:t>
      </w:r>
      <w:r>
        <w:rPr>
          <w:rFonts w:ascii="宋体" w:hAnsi="宋体" w:cs="宋体" w:eastAsia="宋体" w:hint="default"/>
        </w:rPr>
        <w:t>1,000,000.00</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pStyle w:val="Heading3"/>
        <w:spacing w:line="240" w:lineRule="auto" w:before="154"/>
        <w:ind w:left="153" w:right="1046"/>
        <w:jc w:val="left"/>
        <w:rPr>
          <w:b w:val="0"/>
          <w:bCs w:val="0"/>
        </w:rPr>
      </w:pPr>
      <w:bookmarkStart w:name="2、衍生金融资产" w:id="215"/>
      <w:bookmarkEnd w:id="215"/>
      <w:r>
        <w:rPr>
          <w:b w:val="0"/>
          <w:bCs w:val="0"/>
        </w:rPr>
      </w:r>
      <w:r>
        <w:rPr>
          <w:rFonts w:ascii="Times New Roman" w:hAnsi="Times New Roman" w:cs="Times New Roman" w:eastAsia="Times New Roman" w:hint="default"/>
        </w:rPr>
        <w:t>2</w:t>
      </w:r>
      <w:r>
        <w:rPr/>
        <w:t>、衍生金融资产</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1046"/>
        <w:jc w:val="left"/>
        <w:rPr>
          <w:b w:val="0"/>
          <w:bCs w:val="0"/>
        </w:rPr>
      </w:pPr>
      <w:bookmarkStart w:name="3、应收票据" w:id="216"/>
      <w:bookmarkEnd w:id="216"/>
      <w:r>
        <w:rPr>
          <w:b w:val="0"/>
          <w:bCs w:val="0"/>
        </w:rPr>
      </w: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应收票据分类列示" w:id="217"/>
      <w:bookmarkEnd w:id="217"/>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11,793,146.59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13,914,346.37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13,295,346.59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13,914,346.37</w:t>
            </w:r>
          </w:p>
        </w:tc>
      </w:tr>
    </w:tbl>
    <w:p>
      <w:pPr>
        <w:spacing w:line="240" w:lineRule="auto" w:before="3"/>
        <w:rPr>
          <w:rFonts w:ascii="宋体" w:hAnsi="宋体" w:cs="宋体" w:eastAsia="宋体" w:hint="default"/>
          <w:sz w:val="19"/>
          <w:szCs w:val="19"/>
        </w:rPr>
      </w:pPr>
    </w:p>
    <w:p>
      <w:pPr>
        <w:pStyle w:val="Heading3"/>
        <w:spacing w:line="240" w:lineRule="auto" w:before="35"/>
        <w:ind w:right="1046"/>
        <w:jc w:val="left"/>
        <w:rPr>
          <w:b w:val="0"/>
          <w:bCs w:val="0"/>
        </w:rPr>
      </w:pPr>
      <w:bookmarkStart w:name="（2）期末公司已质押的应收票据" w:id="218"/>
      <w:bookmarkEnd w:id="218"/>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3）期末公司已背书或贴现且在资产负债表日尚未到期的应收票据" w:id="219"/>
      <w:bookmarkEnd w:id="219"/>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26,124,164.25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26,124,164.25</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4）期末公司因出票人未履约而将其转应收账款的票据" w:id="220"/>
      <w:bookmarkEnd w:id="220"/>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1046"/>
        <w:jc w:val="left"/>
      </w:pPr>
      <w:r>
        <w:rPr/>
        <w:t>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日，本公司已经背书给其他方但尚未到期的票据金额</w:t>
      </w:r>
      <w:r>
        <w:rPr>
          <w:spacing w:val="-53"/>
        </w:rPr>
        <w:t> </w:t>
      </w:r>
      <w:r>
        <w:rPr>
          <w:rFonts w:ascii="宋体" w:hAnsi="宋体" w:cs="宋体" w:eastAsia="宋体" w:hint="default"/>
        </w:rPr>
        <w:t>26,124,164.25</w:t>
      </w:r>
      <w:r>
        <w:rPr>
          <w:rFonts w:ascii="宋体" w:hAnsi="宋体" w:cs="宋体" w:eastAsia="宋体" w:hint="default"/>
          <w:spacing w:val="-53"/>
        </w:rPr>
        <w:t> </w:t>
      </w:r>
      <w:r>
        <w:rPr/>
        <w:t>元。</w:t>
      </w:r>
    </w:p>
    <w:p>
      <w:pPr>
        <w:spacing w:line="240" w:lineRule="auto" w:before="0"/>
        <w:rPr>
          <w:rFonts w:ascii="宋体" w:hAnsi="宋体" w:cs="宋体" w:eastAsia="宋体" w:hint="default"/>
          <w:sz w:val="20"/>
          <w:szCs w:val="20"/>
        </w:rPr>
      </w:pPr>
    </w:p>
    <w:p>
      <w:pPr>
        <w:pStyle w:val="Heading3"/>
        <w:spacing w:line="240" w:lineRule="auto" w:before="154"/>
        <w:ind w:right="1046"/>
        <w:jc w:val="left"/>
        <w:rPr>
          <w:b w:val="0"/>
          <w:bCs w:val="0"/>
        </w:rPr>
      </w:pPr>
      <w:bookmarkStart w:name="4、应收账款" w:id="221"/>
      <w:bookmarkEnd w:id="221"/>
      <w:r>
        <w:rPr>
          <w:b w:val="0"/>
          <w:bCs w:val="0"/>
        </w:rPr>
      </w:r>
      <w:r>
        <w:rPr>
          <w:rFonts w:ascii="Times New Roman" w:hAnsi="Times New Roman" w:cs="Times New Roman" w:eastAsia="Times New Roman" w:hint="default"/>
        </w:rPr>
        <w:t>4</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应收账款分类披露" w:id="222"/>
      <w:bookmarkEnd w:id="22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3839"/>
        <w:gridCol w:w="4082"/>
      </w:tblGrid>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2"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1" w:hRule="exact"/>
        </w:trPr>
        <w:tc>
          <w:tcPr>
            <w:tcW w:w="1623" w:type="dxa"/>
            <w:vMerge/>
            <w:tcBorders>
              <w:left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623" w:type="dxa"/>
            <w:vMerge/>
            <w:tcBorders>
              <w:left w:val="single" w:sz="4" w:space="0" w:color="000000"/>
              <w:right w:val="single" w:sz="4" w:space="0" w:color="000000"/>
            </w:tcBorders>
            <w:shd w:val="clear" w:color="auto" w:fill="D2D2D2"/>
          </w:tcPr>
          <w:p>
            <w:pPr/>
          </w:p>
        </w:tc>
        <w:tc>
          <w:tcPr>
            <w:tcW w:w="7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1"/>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9,497,99</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2.07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9,497,99</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2.07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10,725,</w:t>
            </w:r>
          </w:p>
          <w:p>
            <w:pPr>
              <w:pStyle w:val="TableParagraph"/>
              <w:spacing w:line="240" w:lineRule="auto" w:before="106"/>
              <w:ind w:left="131" w:right="0"/>
              <w:jc w:val="left"/>
              <w:rPr>
                <w:rFonts w:ascii="Times New Roman" w:hAnsi="Times New Roman" w:cs="Times New Roman" w:eastAsia="Times New Roman" w:hint="default"/>
                <w:sz w:val="18"/>
                <w:szCs w:val="18"/>
              </w:rPr>
            </w:pPr>
            <w:r>
              <w:rPr>
                <w:rFonts w:ascii="Times New Roman"/>
                <w:sz w:val="18"/>
              </w:rPr>
              <w:t>179.11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6,586,839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61.41%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4,138,340.1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1,114,18</w:t>
            </w:r>
          </w:p>
          <w:p>
            <w:pPr>
              <w:pStyle w:val="TableParagraph"/>
              <w:spacing w:line="240" w:lineRule="auto" w:before="106"/>
              <w:ind w:left="87" w:right="0"/>
              <w:jc w:val="left"/>
              <w:rPr>
                <w:rFonts w:ascii="Times New Roman" w:hAnsi="Times New Roman" w:cs="Times New Roman" w:eastAsia="Times New Roman" w:hint="default"/>
                <w:sz w:val="18"/>
                <w:szCs w:val="18"/>
              </w:rPr>
            </w:pPr>
            <w:r>
              <w:rPr>
                <w:rFonts w:ascii="Times New Roman"/>
                <w:sz w:val="18"/>
              </w:rPr>
              <w:t>0,175.74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73,803,1</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52.86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1,040,377</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,022.88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1,008,4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45,723.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58,344,41</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8.04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950,101,30</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5.77</w:t>
            </w: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2,325,48</w:t>
            </w:r>
          </w:p>
          <w:p>
            <w:pPr>
              <w:pStyle w:val="TableParagraph"/>
              <w:spacing w:line="240" w:lineRule="auto" w:before="106"/>
              <w:ind w:left="403" w:right="0"/>
              <w:jc w:val="left"/>
              <w:rPr>
                <w:rFonts w:ascii="Times New Roman" w:hAnsi="Times New Roman" w:cs="Times New Roman" w:eastAsia="Times New Roman" w:hint="default"/>
                <w:sz w:val="18"/>
                <w:szCs w:val="18"/>
              </w:rPr>
            </w:pPr>
            <w:r>
              <w:rPr>
                <w:rFonts w:ascii="Times New Roman"/>
                <w:sz w:val="18"/>
              </w:rPr>
              <w:t>8.00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2,121,90</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2.41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91.25%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203,585.5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2,358,4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38.20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0.23%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2,358,438</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1,126,00</w:t>
            </w:r>
          </w:p>
          <w:p>
            <w:pPr>
              <w:pStyle w:val="TableParagraph"/>
              <w:spacing w:line="240" w:lineRule="auto" w:before="106"/>
              <w:ind w:left="93" w:right="0"/>
              <w:jc w:val="left"/>
              <w:rPr>
                <w:rFonts w:ascii="Times New Roman" w:hAnsi="Times New Roman" w:cs="Times New Roman" w:eastAsia="Times New Roman" w:hint="default"/>
                <w:sz w:val="18"/>
                <w:szCs w:val="18"/>
              </w:rPr>
            </w:pPr>
            <w:r>
              <w:rPr>
                <w:rFonts w:ascii="Times New Roman"/>
                <w:sz w:val="18"/>
              </w:rPr>
              <w:t>3,655.81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85,423,0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47.34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7.52%</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1,040,580</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,608.47</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1,021,5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29,341.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67,289,69</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5.25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7.73%</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954,239,64</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5.87</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317"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9"/>
              <w:jc w:val="left"/>
              <w:rPr>
                <w:rFonts w:ascii="Times New Roman" w:hAnsi="Times New Roman" w:cs="Times New Roman" w:eastAsia="Times New Roman" w:hint="default"/>
                <w:sz w:val="18"/>
                <w:szCs w:val="18"/>
              </w:rPr>
            </w:pPr>
            <w:r>
              <w:rPr>
                <w:rFonts w:ascii="Times New Roman"/>
                <w:sz w:val="18"/>
              </w:rPr>
              <w:t>Railtrade GmbH &amp;</w:t>
            </w:r>
            <w:r>
              <w:rPr>
                <w:rFonts w:ascii="Times New Roman"/>
                <w:spacing w:val="-4"/>
                <w:sz w:val="18"/>
              </w:rPr>
              <w:t> </w:t>
            </w:r>
            <w:r>
              <w:rPr>
                <w:rFonts w:ascii="Times New Roman"/>
                <w:sz w:val="18"/>
              </w:rPr>
              <w:t>Co.</w:t>
            </w:r>
            <w:r>
              <w:rPr>
                <w:rFonts w:ascii="Times New Roman"/>
                <w:sz w:val="18"/>
              </w:rPr>
              <w:t> KG</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9,497,992.07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9,497,992.07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可收回性极低</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9,497,992.07</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9,497,992.07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855,564,977.76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25,662,055.79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160,389,301.91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16,037,108.41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56,657,515.63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11,331,503.06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33,769,532.10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16,884,766.13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2,916,395.26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1,482,229.17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4,882,453.08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2,405,490.32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1,114,180,175.74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73,803,152.88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153" w:right="1046"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6"/>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pStyle w:val="BodyText"/>
        <w:spacing w:line="240" w:lineRule="auto" w:before="92"/>
        <w:ind w:left="573" w:right="1046"/>
        <w:jc w:val="left"/>
      </w:pPr>
      <w:r>
        <w:rPr/>
        <w:t>单项金额虽不重大但单项计提坏账准备的应收账款</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439"/>
        <w:gridCol w:w="1559"/>
        <w:gridCol w:w="1276"/>
        <w:gridCol w:w="1559"/>
        <w:gridCol w:w="2836"/>
      </w:tblGrid>
      <w:tr>
        <w:trPr>
          <w:trHeight w:val="34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7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3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合肥鑫广运电子有限公司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533,744.00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533,744.00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停止合作</w:t>
            </w:r>
          </w:p>
        </w:tc>
      </w:tr>
      <w:tr>
        <w:trPr>
          <w:trHeight w:val="34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沈阳金四通科技有限公司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249,605.52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249,605.52</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停止合作</w:t>
            </w:r>
          </w:p>
        </w:tc>
      </w:tr>
      <w:tr>
        <w:trPr>
          <w:trHeight w:val="34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铁通长沙铁道通信中心</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192,000.00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192,000.00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年以上，且收回可能性很小</w:t>
            </w:r>
          </w:p>
        </w:tc>
      </w:tr>
      <w:tr>
        <w:trPr>
          <w:trHeight w:val="34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北京网讯启点科技公司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183,101.50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183,101.50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5</w:t>
            </w:r>
            <w:r>
              <w:rPr>
                <w:rFonts w:ascii="宋体" w:hAnsi="宋体" w:cs="宋体" w:eastAsia="宋体" w:hint="default"/>
                <w:sz w:val="18"/>
                <w:szCs w:val="18"/>
              </w:rPr>
              <w:t>年以上，且收回可能性很小</w:t>
            </w:r>
          </w:p>
        </w:tc>
      </w:tr>
      <w:tr>
        <w:trPr>
          <w:trHeight w:val="34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成都市天下科技有限公司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182,100.00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182,100.00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停止合作</w:t>
            </w:r>
          </w:p>
        </w:tc>
      </w:tr>
      <w:tr>
        <w:trPr>
          <w:trHeight w:val="34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上海红森鸡电子科技有限公司</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157,723.02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157,723.02</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停止合作</w:t>
            </w:r>
          </w:p>
        </w:tc>
      </w:tr>
      <w:tr>
        <w:trPr>
          <w:trHeight w:val="34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Times New Roman" w:hAnsi="Times New Roman" w:cs="Times New Roman" w:eastAsia="Times New Roman" w:hint="default"/>
                <w:sz w:val="18"/>
                <w:szCs w:val="18"/>
              </w:rPr>
            </w:pPr>
            <w:r>
              <w:rPr>
                <w:rFonts w:ascii="Times New Roman"/>
                <w:sz w:val="18"/>
              </w:rPr>
              <w:t>Xerox Imaging</w:t>
            </w:r>
            <w:r>
              <w:rPr>
                <w:rFonts w:ascii="Times New Roman"/>
                <w:spacing w:val="-3"/>
                <w:sz w:val="18"/>
              </w:rPr>
              <w:t> </w:t>
            </w:r>
            <w:r>
              <w:rPr>
                <w:rFonts w:ascii="Times New Roman"/>
                <w:sz w:val="18"/>
              </w:rPr>
              <w:t>Centre</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407,171.19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203,585.60</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账龄</w:t>
            </w:r>
            <w:r>
              <w:rPr>
                <w:rFonts w:ascii="Times New Roman" w:hAnsi="Times New Roman" w:cs="Times New Roman" w:eastAsia="Times New Roman" w:hint="default"/>
                <w:sz w:val="18"/>
                <w:szCs w:val="18"/>
              </w:rPr>
              <w:t>2-3</w:t>
            </w:r>
            <w:r>
              <w:rPr>
                <w:rFonts w:ascii="宋体" w:hAnsi="宋体" w:cs="宋体" w:eastAsia="宋体" w:hint="default"/>
                <w:sz w:val="18"/>
                <w:szCs w:val="18"/>
              </w:rPr>
              <w:t>年，收回风险较大</w:t>
            </w:r>
          </w:p>
        </w:tc>
      </w:tr>
      <w:tr>
        <w:trPr>
          <w:trHeight w:val="34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深圳市信息化办公室</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147,347.98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147,347.98</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停止合作</w:t>
            </w:r>
          </w:p>
        </w:tc>
      </w:tr>
      <w:tr>
        <w:trPr>
          <w:trHeight w:val="34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272,694.79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z w:val="18"/>
              </w:rPr>
              <w:t>100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272,694.79</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停止合作</w:t>
            </w:r>
          </w:p>
        </w:tc>
      </w:tr>
      <w:tr>
        <w:trPr>
          <w:trHeight w:val="342"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2,325,488.00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2,121,902.41</w:t>
            </w:r>
          </w:p>
        </w:tc>
        <w:tc>
          <w:tcPr>
            <w:tcW w:w="28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本期计提、收回或转回的坏账准备情况" w:id="223"/>
      <w:bookmarkEnd w:id="22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0" w:lineRule="auto" w:before="44"/>
        <w:ind w:left="15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21,347,700.27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89,212.22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950" w:space="1880"/>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89,212.22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德国税法规定收回</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89,212.22</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3）本期实际核销的应收账款情况" w:id="224"/>
      <w:bookmarkEnd w:id="22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1,258,460.31</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PMRS</w:t>
            </w:r>
            <w:r>
              <w:rPr>
                <w:rFonts w:ascii="Times New Roman"/>
                <w:spacing w:val="-4"/>
                <w:sz w:val="18"/>
              </w:rPr>
              <w:t> </w:t>
            </w:r>
            <w:r>
              <w:rPr>
                <w:rFonts w:ascii="Times New Roman"/>
                <w:sz w:val="18"/>
              </w:rPr>
              <w:t>GmbH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430,802.24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客户破产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董事会审核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Sycoc</w:t>
            </w:r>
            <w:r>
              <w:rPr>
                <w:rFonts w:ascii="Times New Roman"/>
                <w:spacing w:val="-2"/>
                <w:sz w:val="18"/>
              </w:rPr>
              <w:t> </w:t>
            </w:r>
            <w:r>
              <w:rPr>
                <w:rFonts w:ascii="Times New Roman"/>
                <w:sz w:val="18"/>
              </w:rPr>
              <w:t>GmbH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96,091.65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客户破产</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董事会审核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92"/>
              <w:jc w:val="left"/>
              <w:rPr>
                <w:rFonts w:ascii="Times New Roman" w:hAnsi="Times New Roman" w:cs="Times New Roman" w:eastAsia="Times New Roman" w:hint="default"/>
                <w:sz w:val="18"/>
                <w:szCs w:val="18"/>
              </w:rPr>
            </w:pPr>
            <w:r>
              <w:rPr>
                <w:rFonts w:ascii="Times New Roman"/>
                <w:sz w:val="18"/>
              </w:rPr>
              <w:t>B.Schmitt</w:t>
            </w:r>
            <w:r>
              <w:rPr>
                <w:rFonts w:ascii="Times New Roman"/>
                <w:spacing w:val="-2"/>
                <w:sz w:val="18"/>
              </w:rPr>
              <w:t> </w:t>
            </w:r>
            <w:r>
              <w:rPr>
                <w:rFonts w:ascii="Times New Roman"/>
                <w:sz w:val="18"/>
              </w:rPr>
              <w:t>mobile</w:t>
            </w:r>
            <w:r>
              <w:rPr>
                <w:rFonts w:ascii="Times New Roman"/>
                <w:sz w:val="18"/>
              </w:rPr>
              <w:t> GmbH</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187,493.37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Generation</w:t>
            </w:r>
            <w:r>
              <w:rPr>
                <w:rFonts w:ascii="Times New Roman"/>
                <w:spacing w:val="-4"/>
                <w:sz w:val="18"/>
              </w:rPr>
              <w:t> </w:t>
            </w:r>
            <w:r>
              <w:rPr>
                <w:rFonts w:ascii="Times New Roman"/>
                <w:sz w:val="18"/>
              </w:rPr>
              <w:t>Builders</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241,478.39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董事会审核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6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International</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69"/>
              <w:jc w:val="left"/>
              <w:rPr>
                <w:rFonts w:ascii="Times New Roman" w:hAnsi="Times New Roman" w:cs="Times New Roman" w:eastAsia="Times New Roman" w:hint="default"/>
                <w:sz w:val="18"/>
                <w:szCs w:val="18"/>
              </w:rPr>
            </w:pPr>
            <w:r>
              <w:rPr>
                <w:rFonts w:ascii="Times New Roman"/>
                <w:sz w:val="18"/>
              </w:rPr>
              <w:t>Supreme</w:t>
            </w:r>
            <w:r>
              <w:rPr>
                <w:rFonts w:ascii="Times New Roman"/>
                <w:w w:val="99"/>
                <w:sz w:val="18"/>
              </w:rPr>
              <w:t> </w:t>
            </w:r>
            <w:r>
              <w:rPr>
                <w:rFonts w:ascii="Times New Roman"/>
                <w:sz w:val="18"/>
              </w:rPr>
              <w:t>Landmobile&amp;Wirele</w:t>
            </w:r>
            <w:r>
              <w:rPr>
                <w:rFonts w:ascii="Times New Roman"/>
                <w:w w:val="99"/>
                <w:sz w:val="18"/>
              </w:rPr>
              <w:t> </w:t>
            </w:r>
            <w:r>
              <w:rPr>
                <w:rFonts w:ascii="Times New Roman"/>
                <w:sz w:val="18"/>
              </w:rPr>
              <w:t>ss Corporation</w:t>
            </w:r>
            <w:r>
              <w:rPr>
                <w:rFonts w:ascii="Times New Roman"/>
                <w:spacing w:val="-3"/>
                <w:sz w:val="18"/>
              </w:rPr>
              <w:t> </w:t>
            </w:r>
            <w:r>
              <w:rPr>
                <w:rFonts w:ascii="Times New Roman"/>
                <w:sz w:val="18"/>
              </w:rPr>
              <w:t>Sdn.</w:t>
            </w:r>
            <w:r>
              <w:rPr>
                <w:rFonts w:ascii="Times New Roman"/>
                <w:sz w:val="18"/>
              </w:rPr>
              <w:t> Bhd.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117,725.31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陕西长岭电子科技 有限责任公司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Village Net Co.,</w:t>
            </w:r>
            <w:r>
              <w:rPr>
                <w:rFonts w:ascii="Times New Roman"/>
                <w:spacing w:val="-18"/>
                <w:sz w:val="18"/>
              </w:rPr>
              <w:t> </w:t>
            </w:r>
            <w:r>
              <w:rPr>
                <w:rFonts w:ascii="Times New Roman"/>
                <w:sz w:val="18"/>
              </w:rPr>
              <w:t>Ltd</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27,083.41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董事会审核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67,785.94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董事会审核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1,258,460.31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4）按欠款方归集的期末余额前五吊的应收账款情况" w:id="225"/>
      <w:bookmarkEnd w:id="22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right="1199" w:firstLine="420"/>
        <w:jc w:val="left"/>
      </w:pPr>
      <w:r>
        <w:rPr/>
        <w:t>本公司本年按欠款方归集的年末余额前五名应收账款汇总金额为</w:t>
      </w:r>
      <w:r>
        <w:rPr>
          <w:spacing w:val="-53"/>
        </w:rPr>
        <w:t> </w:t>
      </w:r>
      <w:r>
        <w:rPr>
          <w:rFonts w:ascii="宋体" w:hAnsi="宋体" w:cs="宋体" w:eastAsia="宋体" w:hint="default"/>
        </w:rPr>
        <w:t>202,603,513.98</w:t>
      </w:r>
      <w:r>
        <w:rPr>
          <w:rFonts w:ascii="宋体" w:hAnsi="宋体" w:cs="宋体" w:eastAsia="宋体" w:hint="default"/>
          <w:spacing w:val="-53"/>
        </w:rPr>
        <w:t> </w:t>
      </w:r>
      <w:r>
        <w:rPr/>
        <w:t>元，占应收账款年 末余额合计数的比例为</w:t>
      </w:r>
      <w:r>
        <w:rPr>
          <w:spacing w:val="-53"/>
        </w:rPr>
        <w:t> </w:t>
      </w:r>
      <w:r>
        <w:rPr>
          <w:rFonts w:ascii="宋体" w:hAnsi="宋体" w:cs="宋体" w:eastAsia="宋体" w:hint="default"/>
        </w:rPr>
        <w:t>17.99%</w:t>
      </w:r>
      <w:r>
        <w:rPr/>
        <w:t>，相应计提的坏账准备年末余额汇总金额为</w:t>
      </w:r>
      <w:r>
        <w:rPr>
          <w:spacing w:val="-53"/>
        </w:rPr>
        <w:t> </w:t>
      </w:r>
      <w:r>
        <w:rPr>
          <w:rFonts w:ascii="宋体" w:hAnsi="宋体" w:cs="宋体" w:eastAsia="宋体" w:hint="default"/>
        </w:rPr>
        <w:t>8,256,302.98</w:t>
      </w:r>
      <w:r>
        <w:rPr>
          <w:rFonts w:ascii="宋体" w:hAnsi="宋体" w:cs="宋体" w:eastAsia="宋体" w:hint="default"/>
          <w:spacing w:val="-53"/>
        </w:rPr>
        <w:t> </w:t>
      </w:r>
      <w:r>
        <w:rPr/>
        <w:t>元。</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5）因金融资产转移而终止确认的应收账款" w:id="226"/>
      <w:bookmarkEnd w:id="22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6）转移应收账款且继续涉入形成的资产、负债金额" w:id="227"/>
      <w:bookmarkEnd w:id="22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6"/>
        <w:jc w:val="left"/>
        <w:rPr>
          <w:b w:val="0"/>
          <w:bCs w:val="0"/>
        </w:rPr>
      </w:pPr>
      <w:bookmarkStart w:name="5、预付款项" w:id="228"/>
      <w:bookmarkEnd w:id="228"/>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预付款项按账龄列示" w:id="229"/>
      <w:bookmarkEnd w:id="229"/>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39,368,659.76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38,391,666.17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63.84%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9,529,800.91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16,317,112.55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7,339,084.28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2,847,091.88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2,780,850.06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2,572,689.08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59,018,395.01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60,128,559.68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spacing w:line="690" w:lineRule="exact" w:before="30"/>
        <w:ind w:left="574" w:right="1118" w:hanging="420"/>
        <w:jc w:val="left"/>
        <w:rPr>
          <w:rFonts w:ascii="宋体" w:hAnsi="宋体" w:cs="宋体" w:eastAsia="宋体" w:hint="default"/>
          <w:sz w:val="21"/>
          <w:szCs w:val="21"/>
        </w:rPr>
      </w:pPr>
      <w:bookmarkStart w:name="（2）按预付对象归集的期末余额前五吊的预付款情况" w:id="230"/>
      <w:bookmarkEnd w:id="23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t>本公司按预付对象归集的年末余额前五名预付账款汇总金额为</w:t>
      </w:r>
      <w:r>
        <w:rPr>
          <w:rFonts w:ascii="宋体" w:hAnsi="宋体" w:cs="宋体" w:eastAsia="宋体" w:hint="default"/>
          <w:spacing w:val="-51"/>
          <w:sz w:val="21"/>
          <w:szCs w:val="21"/>
        </w:rPr>
        <w:t> </w:t>
      </w:r>
      <w:r>
        <w:rPr>
          <w:rFonts w:ascii="宋体" w:hAnsi="宋体" w:cs="宋体" w:eastAsia="宋体" w:hint="default"/>
          <w:sz w:val="21"/>
          <w:szCs w:val="21"/>
        </w:rPr>
        <w:t>17,470,058.60</w:t>
      </w:r>
      <w:r>
        <w:rPr>
          <w:rFonts w:ascii="宋体" w:hAnsi="宋体" w:cs="宋体" w:eastAsia="宋体" w:hint="default"/>
          <w:spacing w:val="-50"/>
          <w:sz w:val="21"/>
          <w:szCs w:val="21"/>
        </w:rPr>
        <w:t> </w:t>
      </w:r>
      <w:r>
        <w:rPr>
          <w:rFonts w:ascii="宋体" w:hAnsi="宋体" w:cs="宋体" w:eastAsia="宋体" w:hint="default"/>
          <w:spacing w:val="-3"/>
          <w:sz w:val="21"/>
          <w:szCs w:val="21"/>
        </w:rPr>
        <w:t>元，占预付账款年末余</w:t>
      </w:r>
    </w:p>
    <w:p>
      <w:pPr>
        <w:pStyle w:val="BodyText"/>
        <w:spacing w:line="240" w:lineRule="auto" w:before="84"/>
        <w:ind w:right="1046"/>
        <w:jc w:val="left"/>
        <w:rPr>
          <w:rFonts w:ascii="宋体" w:hAnsi="宋体" w:cs="宋体" w:eastAsia="宋体" w:hint="default"/>
        </w:rPr>
      </w:pPr>
      <w:r>
        <w:rPr/>
        <w:t>额合计数的比例为</w:t>
      </w:r>
      <w:r>
        <w:rPr>
          <w:spacing w:val="-52"/>
        </w:rPr>
        <w:t> </w:t>
      </w:r>
      <w:r>
        <w:rPr>
          <w:rFonts w:ascii="宋体" w:hAnsi="宋体" w:cs="宋体" w:eastAsia="宋体" w:hint="default"/>
        </w:rPr>
        <w:t>29.60%</w:t>
      </w:r>
    </w:p>
    <w:p>
      <w:pPr>
        <w:spacing w:after="0" w:line="240" w:lineRule="auto"/>
        <w:jc w:val="left"/>
        <w:rPr>
          <w:rFonts w:ascii="宋体" w:hAnsi="宋体" w:cs="宋体" w:eastAsia="宋体" w:hint="default"/>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6、应收利息" w:id="231"/>
      <w:bookmarkEnd w:id="231"/>
      <w:r>
        <w:rPr>
          <w:b w:val="0"/>
          <w:bCs w:val="0"/>
        </w:rPr>
      </w:r>
      <w:r>
        <w:rPr>
          <w:rFonts w:ascii="Times New Roman" w:hAnsi="Times New Roman" w:cs="Times New Roman" w:eastAsia="Times New Roman" w:hint="default"/>
        </w:rPr>
        <w:t>6</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应收利息分类" w:id="232"/>
      <w:bookmarkEnd w:id="232"/>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46"/>
        <w:jc w:val="left"/>
        <w:rPr>
          <w:b w:val="0"/>
          <w:bCs w:val="0"/>
        </w:rPr>
      </w:pPr>
      <w:bookmarkStart w:name="（2）重要逾期利息" w:id="233"/>
      <w:bookmarkEnd w:id="233"/>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7、应收股利" w:id="234"/>
      <w:bookmarkEnd w:id="234"/>
      <w:r>
        <w:rPr>
          <w:b w:val="0"/>
          <w:bCs w:val="0"/>
        </w:rPr>
      </w:r>
      <w:r>
        <w:rPr>
          <w:rFonts w:ascii="Times New Roman" w:hAnsi="Times New Roman" w:cs="Times New Roman" w:eastAsia="Times New Roman" w:hint="default"/>
        </w:rPr>
        <w:t>7</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8、其他应收款" w:id="235"/>
      <w:bookmarkEnd w:id="235"/>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其他应收款分类披露" w:id="236"/>
      <w:bookmarkEnd w:id="236"/>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67,621,5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70.48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4,676,43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62,945,13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6.04</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45,523,</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438.85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99.44%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3,517,718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42,005,720.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212,500.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257,442</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0.56%</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257,442.8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67,834,0</w:t>
            </w:r>
          </w:p>
          <w:p>
            <w:pPr>
              <w:pStyle w:val="TableParagraph"/>
              <w:spacing w:line="240" w:lineRule="auto" w:before="105"/>
              <w:ind w:left="330" w:right="0"/>
              <w:jc w:val="left"/>
              <w:rPr>
                <w:rFonts w:ascii="Times New Roman" w:hAnsi="Times New Roman" w:cs="Times New Roman" w:eastAsia="Times New Roman" w:hint="default"/>
                <w:sz w:val="18"/>
                <w:szCs w:val="18"/>
              </w:rPr>
            </w:pPr>
            <w:r>
              <w:rPr>
                <w:rFonts w:ascii="Times New Roman"/>
                <w:sz w:val="18"/>
              </w:rPr>
              <w:t>70.48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4,888,93</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4.44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7.21%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62,945,13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6.04</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45,780,</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881.70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3,775,161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8.25%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42,005,720.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31</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0"/>
        <w:gridCol w:w="2393"/>
        <w:gridCol w:w="2392"/>
        <w:gridCol w:w="2392"/>
      </w:tblGrid>
      <w:tr>
        <w:trPr>
          <w:trHeight w:val="206" w:hRule="exact"/>
        </w:trPr>
        <w:tc>
          <w:tcPr>
            <w:tcW w:w="2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380"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0" w:hRule="exact"/>
        </w:trPr>
        <w:tc>
          <w:tcPr>
            <w:tcW w:w="2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20,451,313.76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612,788.13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7,887,386.82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789,587.89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8,642,236.96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1,729,394.07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2,096,456.76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1,045,861.68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447,093.33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223,546.67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559,298.91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275,256.00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4"/>
        <w:gridCol w:w="2394"/>
        <w:gridCol w:w="2392"/>
        <w:gridCol w:w="2392"/>
      </w:tblGrid>
      <w:tr>
        <w:trPr>
          <w:trHeight w:val="402" w:hRule="exact"/>
        </w:trPr>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6" w:right="0"/>
              <w:jc w:val="left"/>
              <w:rPr>
                <w:rFonts w:ascii="Times New Roman" w:hAnsi="Times New Roman" w:cs="Times New Roman" w:eastAsia="Times New Roman" w:hint="default"/>
                <w:sz w:val="18"/>
                <w:szCs w:val="18"/>
              </w:rPr>
            </w:pPr>
            <w:r>
              <w:rPr>
                <w:rFonts w:ascii="Times New Roman"/>
                <w:sz w:val="18"/>
              </w:rPr>
              <w:t>40,083,786.54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4" w:right="0"/>
              <w:jc w:val="left"/>
              <w:rPr>
                <w:rFonts w:ascii="Times New Roman" w:hAnsi="Times New Roman" w:cs="Times New Roman" w:eastAsia="Times New Roman" w:hint="default"/>
                <w:sz w:val="18"/>
                <w:szCs w:val="18"/>
              </w:rPr>
            </w:pPr>
            <w:r>
              <w:rPr>
                <w:rFonts w:ascii="Times New Roman"/>
                <w:sz w:val="18"/>
              </w:rPr>
              <w:t>4,676,434.44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3" w:right="1046"/>
        <w:jc w:val="left"/>
      </w:pPr>
      <w:r>
        <w:rPr>
          <w:rFonts w:ascii="宋体" w:hAnsi="宋体" w:cs="宋体" w:eastAsia="宋体" w:hint="default"/>
        </w:rPr>
        <w:t>1</w:t>
      </w:r>
      <w:r>
        <w:rPr/>
        <w:t>、组合中，无风险组合计提坏账准备的其他应收款</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2662"/>
        <w:gridCol w:w="1751"/>
        <w:gridCol w:w="1752"/>
        <w:gridCol w:w="1751"/>
        <w:gridCol w:w="1752"/>
      </w:tblGrid>
      <w:tr>
        <w:trPr>
          <w:trHeight w:val="342" w:hRule="exact"/>
        </w:trPr>
        <w:tc>
          <w:tcPr>
            <w:tcW w:w="2662" w:type="dxa"/>
            <w:vMerge w:val="restart"/>
            <w:tcBorders>
              <w:top w:val="single" w:sz="4" w:space="0" w:color="000000"/>
              <w:left w:val="single" w:sz="4" w:space="0" w:color="000000"/>
              <w:right w:val="single" w:sz="4" w:space="0" w:color="000000"/>
            </w:tcBorders>
          </w:tcPr>
          <w:p>
            <w:pPr>
              <w:pStyle w:val="TableParagraph"/>
              <w:spacing w:line="271" w:lineRule="exact"/>
              <w:ind w:left="274" w:right="0"/>
              <w:jc w:val="left"/>
              <w:rPr>
                <w:rFonts w:ascii="宋体" w:hAnsi="宋体" w:cs="宋体" w:eastAsia="宋体" w:hint="default"/>
                <w:sz w:val="21"/>
                <w:szCs w:val="21"/>
              </w:rPr>
            </w:pPr>
            <w:r>
              <w:rPr>
                <w:rFonts w:ascii="宋体" w:hAnsi="宋体" w:cs="宋体" w:eastAsia="宋体" w:hint="default"/>
                <w:sz w:val="21"/>
                <w:szCs w:val="21"/>
              </w:rPr>
              <w:t>其他应收款（按单位）</w:t>
            </w:r>
          </w:p>
        </w:tc>
        <w:tc>
          <w:tcPr>
            <w:tcW w:w="7006" w:type="dxa"/>
            <w:gridSpan w:val="4"/>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年末余额</w:t>
            </w:r>
          </w:p>
        </w:tc>
      </w:tr>
      <w:tr>
        <w:trPr>
          <w:trHeight w:val="342" w:hRule="exact"/>
        </w:trPr>
        <w:tc>
          <w:tcPr>
            <w:tcW w:w="2662" w:type="dxa"/>
            <w:vMerge/>
            <w:tcBorders>
              <w:left w:val="single" w:sz="4" w:space="0" w:color="000000"/>
              <w:bottom w:val="single" w:sz="4" w:space="0" w:color="000000"/>
              <w:right w:val="single" w:sz="4" w:space="0" w:color="000000"/>
            </w:tcBorders>
          </w:tcPr>
          <w:p>
            <w:pP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345"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5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49" w:right="0"/>
              <w:jc w:val="left"/>
              <w:rPr>
                <w:rFonts w:ascii="宋体" w:hAnsi="宋体" w:cs="宋体" w:eastAsia="宋体" w:hint="default"/>
                <w:sz w:val="21"/>
                <w:szCs w:val="21"/>
              </w:rPr>
            </w:pPr>
            <w:r>
              <w:rPr>
                <w:rFonts w:ascii="宋体" w:hAnsi="宋体" w:cs="宋体" w:eastAsia="宋体" w:hint="default"/>
                <w:sz w:val="21"/>
                <w:szCs w:val="21"/>
              </w:rPr>
              <w:t>计提比例</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计提理由</w:t>
            </w:r>
          </w:p>
        </w:tc>
      </w:tr>
      <w:tr>
        <w:trPr>
          <w:trHeight w:val="342"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国家金库（深圳分库）</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16,619,041.34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无收款风险</w:t>
            </w:r>
          </w:p>
        </w:tc>
      </w:tr>
      <w:tr>
        <w:trPr>
          <w:trHeight w:val="846"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73" w:lineRule="auto"/>
              <w:ind w:left="4" w:right="125"/>
              <w:jc w:val="left"/>
              <w:rPr>
                <w:rFonts w:ascii="宋体" w:hAnsi="宋体" w:cs="宋体" w:eastAsia="宋体" w:hint="default"/>
                <w:sz w:val="21"/>
                <w:szCs w:val="21"/>
              </w:rPr>
            </w:pPr>
            <w:r>
              <w:rPr>
                <w:rFonts w:ascii="宋体" w:hAnsi="宋体" w:cs="宋体" w:eastAsia="宋体" w:hint="default"/>
                <w:sz w:val="21"/>
                <w:szCs w:val="21"/>
              </w:rPr>
              <w:t>中国证券登记结算有限责任 中心（深圳分公司）</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sz w:val="21"/>
              </w:rPr>
              <w:t>10,918,742.60</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无收款风险</w:t>
            </w:r>
          </w:p>
        </w:tc>
      </w:tr>
      <w:tr>
        <w:trPr>
          <w:trHeight w:val="343" w:hRule="exact"/>
        </w:trPr>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z w:val="21"/>
              </w:rPr>
              <w:t>27,537,783.94</w:t>
            </w:r>
          </w:p>
        </w:tc>
        <w:tc>
          <w:tcPr>
            <w:tcW w:w="17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1751" w:type="dxa"/>
            <w:tcBorders>
              <w:top w:val="single" w:sz="4" w:space="0" w:color="000000"/>
              <w:left w:val="single" w:sz="4" w:space="0" w:color="000000"/>
              <w:bottom w:val="single" w:sz="4" w:space="0" w:color="000000"/>
              <w:right w:val="single" w:sz="4" w:space="0" w:color="000000"/>
            </w:tcBorders>
          </w:tcPr>
          <w:p>
            <w:pPr/>
          </w:p>
        </w:tc>
        <w:tc>
          <w:tcPr>
            <w:tcW w:w="17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3"/>
        <w:ind w:left="574" w:right="1046"/>
        <w:jc w:val="left"/>
      </w:pPr>
      <w:r>
        <w:rPr>
          <w:rFonts w:ascii="宋体" w:hAnsi="宋体" w:cs="宋体" w:eastAsia="宋体" w:hint="default"/>
        </w:rPr>
        <w:t>2</w:t>
      </w:r>
      <w:r>
        <w:rPr/>
        <w:t>、年末单项金额虽不重大但单项计提坏账准备的其他应收款</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350"/>
        <w:gridCol w:w="1287"/>
        <w:gridCol w:w="1205"/>
        <w:gridCol w:w="1486"/>
        <w:gridCol w:w="2341"/>
      </w:tblGrid>
      <w:tr>
        <w:trPr>
          <w:trHeight w:val="342" w:hRule="exact"/>
        </w:trPr>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9"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7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342" w:hRule="exact"/>
        </w:trPr>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延安天平采购招投标有限责任公司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103,000.00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103,000.00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342" w:hRule="exact"/>
        </w:trPr>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新疆西部工程项目设备招标代理有限公司</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50,000.00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342" w:hRule="exact"/>
        </w:trPr>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安徽省政府采购中心</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18,500.00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18,500.00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投标保证金不能退回</w:t>
            </w:r>
          </w:p>
        </w:tc>
      </w:tr>
      <w:tr>
        <w:trPr>
          <w:trHeight w:val="342" w:hRule="exact"/>
        </w:trPr>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王呼和</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30,000.00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借款不能收回</w:t>
            </w:r>
          </w:p>
        </w:tc>
      </w:tr>
      <w:tr>
        <w:trPr>
          <w:trHeight w:val="342" w:hRule="exact"/>
        </w:trPr>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大庆市政府采购中心</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11,000.00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Times New Roman" w:hAnsi="Times New Roman" w:cs="Times New Roman" w:eastAsia="Times New Roman" w:hint="default"/>
                <w:sz w:val="18"/>
                <w:szCs w:val="18"/>
              </w:rPr>
            </w:pPr>
            <w:r>
              <w:rPr>
                <w:rFonts w:ascii="Times New Roman"/>
                <w:sz w:val="18"/>
              </w:rPr>
              <w:t>100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11,000.00</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投标保证金不能收回</w:t>
            </w:r>
          </w:p>
        </w:tc>
      </w:tr>
      <w:tr>
        <w:trPr>
          <w:trHeight w:val="342" w:hRule="exact"/>
        </w:trPr>
        <w:tc>
          <w:tcPr>
            <w:tcW w:w="3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212,500.00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2"/>
              <w:jc w:val="right"/>
              <w:rPr>
                <w:rFonts w:ascii="Times New Roman" w:hAnsi="Times New Roman" w:cs="Times New Roman" w:eastAsia="Times New Roman" w:hint="default"/>
                <w:sz w:val="18"/>
                <w:szCs w:val="18"/>
              </w:rPr>
            </w:pPr>
            <w:r>
              <w:rPr>
                <w:rFonts w:ascii="Times New Roman"/>
                <w:sz w:val="18"/>
              </w:rPr>
              <w:t>212,500.00</w:t>
            </w:r>
          </w:p>
        </w:tc>
        <w:tc>
          <w:tcPr>
            <w:tcW w:w="23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本期计提、收回或转回的坏账准备情况" w:id="237"/>
      <w:bookmarkEnd w:id="23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1,231,154.96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53" w:right="1046"/>
        <w:jc w:val="left"/>
        <w:rPr>
          <w:b w:val="0"/>
          <w:bCs w:val="0"/>
        </w:rPr>
      </w:pPr>
      <w:bookmarkStart w:name="（3）本期实际核销的其他应收款情况" w:id="238"/>
      <w:bookmarkEnd w:id="238"/>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1"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111,218.06</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line="240" w:lineRule="auto" w:before="10"/>
        <w:rPr>
          <w:rFonts w:ascii="宋体" w:hAnsi="宋体" w:cs="宋体" w:eastAsia="宋体" w:hint="default"/>
          <w:sz w:val="26"/>
          <w:szCs w:val="26"/>
        </w:rPr>
      </w:pPr>
    </w:p>
    <w:p>
      <w:pPr>
        <w:pStyle w:val="Heading3"/>
        <w:spacing w:line="240" w:lineRule="auto"/>
        <w:ind w:right="1046"/>
        <w:jc w:val="left"/>
        <w:rPr>
          <w:b w:val="0"/>
          <w:bCs w:val="0"/>
        </w:rPr>
      </w:pPr>
      <w:bookmarkStart w:name="（4）其他应收款按款项性质分类情况" w:id="239"/>
      <w:bookmarkEnd w:id="239"/>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22,475,540.32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12,664,649.83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16,619,041.34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8,231,674.14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存放中登公司股本金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10,918,742.60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6,381,502.00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6,381,502.00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5,370,621.32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7,653,713.70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6,068,622.90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10,849,342.03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67,834,070.48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45,780,881.70</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5）按欠款方归集的期末余额前五吊的其他应收款情况" w:id="240"/>
      <w:bookmarkEnd w:id="240"/>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16,619,041.34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应收股本金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10,918,742.60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6,713,950.00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1,342,790.00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left"/>
              <w:rPr>
                <w:rFonts w:ascii="宋体" w:hAnsi="宋体" w:cs="宋体" w:eastAsia="宋体" w:hint="default"/>
                <w:sz w:val="18"/>
                <w:szCs w:val="18"/>
              </w:rPr>
            </w:pPr>
            <w:r>
              <w:rPr>
                <w:rFonts w:ascii="宋体" w:hAnsi="宋体" w:cs="宋体" w:eastAsia="宋体" w:hint="default"/>
                <w:sz w:val="18"/>
                <w:szCs w:val="18"/>
              </w:rPr>
              <w:t>应收固定资产处置 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6,381,502.00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638,150.20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50,633,235.94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2,280,940.20</w:t>
            </w:r>
          </w:p>
        </w:tc>
      </w:tr>
    </w:tbl>
    <w:p>
      <w:pPr>
        <w:spacing w:line="240" w:lineRule="auto" w:before="3"/>
        <w:rPr>
          <w:rFonts w:ascii="宋体" w:hAnsi="宋体" w:cs="宋体" w:eastAsia="宋体" w:hint="default"/>
          <w:sz w:val="19"/>
          <w:szCs w:val="19"/>
        </w:rPr>
      </w:pPr>
    </w:p>
    <w:p>
      <w:pPr>
        <w:pStyle w:val="Heading3"/>
        <w:spacing w:line="240" w:lineRule="auto" w:before="35"/>
        <w:ind w:right="1046"/>
        <w:jc w:val="left"/>
        <w:rPr>
          <w:b w:val="0"/>
          <w:bCs w:val="0"/>
        </w:rPr>
      </w:pPr>
      <w:bookmarkStart w:name="（6）涉及政府补助的应收款项" w:id="241"/>
      <w:bookmarkEnd w:id="241"/>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国家金库（深圳金库）</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16,619,041.34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至报告日已收回</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pacing w:val="-1"/>
                <w:sz w:val="18"/>
              </w:rPr>
              <w:t>16,619,041.34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7）因金融资产转移而终止确认的其他应收款" w:id="242"/>
      <w:bookmarkEnd w:id="242"/>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8）转移其他应收款且继续涉入形成的资产、负债金额" w:id="243"/>
      <w:bookmarkEnd w:id="243"/>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9、存货" w:id="244"/>
      <w:bookmarkEnd w:id="244"/>
      <w:r>
        <w:rPr>
          <w:b w:val="0"/>
          <w:bCs w:val="0"/>
        </w:rPr>
      </w:r>
      <w:r>
        <w:rPr>
          <w:rFonts w:ascii="Times New Roman" w:hAnsi="Times New Roman" w:cs="Times New Roman" w:eastAsia="Times New Roman" w:hint="default"/>
        </w:rPr>
        <w:t>9</w:t>
      </w:r>
      <w:r>
        <w:rPr/>
        <w:t>、存货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存货分类" w:id="245"/>
      <w:bookmarkEnd w:id="245"/>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7"/>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vMerge/>
            <w:tcBorders>
              <w:left w:val="single" w:sz="4" w:space="0" w:color="000000"/>
              <w:bottom w:val="single" w:sz="4" w:space="0" w:color="000000"/>
              <w:right w:val="single" w:sz="4" w:space="0" w:color="000000"/>
            </w:tcBorders>
            <w:shd w:val="clear" w:color="auto" w:fill="D2D2D2"/>
          </w:tcPr>
          <w:p>
            <w:pPr/>
          </w:p>
        </w:tc>
        <w:tc>
          <w:tcPr>
            <w:tcW w:w="4101"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4" w:right="0"/>
              <w:jc w:val="left"/>
              <w:rPr>
                <w:rFonts w:ascii="Times New Roman" w:hAnsi="Times New Roman" w:cs="Times New Roman" w:eastAsia="Times New Roman" w:hint="default"/>
                <w:sz w:val="18"/>
                <w:szCs w:val="18"/>
              </w:rPr>
            </w:pPr>
            <w:r>
              <w:rPr>
                <w:rFonts w:ascii="Times New Roman"/>
                <w:sz w:val="18"/>
              </w:rPr>
              <w:t>106,293,311.48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6" w:right="0"/>
              <w:jc w:val="left"/>
              <w:rPr>
                <w:rFonts w:ascii="Times New Roman" w:hAnsi="Times New Roman" w:cs="Times New Roman" w:eastAsia="Times New Roman" w:hint="default"/>
                <w:sz w:val="18"/>
                <w:szCs w:val="18"/>
              </w:rPr>
            </w:pPr>
            <w:r>
              <w:rPr>
                <w:rFonts w:ascii="Times New Roman"/>
                <w:sz w:val="18"/>
              </w:rPr>
              <w:t>11,568,174.43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0" w:right="0"/>
              <w:jc w:val="left"/>
              <w:rPr>
                <w:rFonts w:ascii="Times New Roman" w:hAnsi="Times New Roman" w:cs="Times New Roman" w:eastAsia="Times New Roman" w:hint="default"/>
                <w:sz w:val="18"/>
                <w:szCs w:val="18"/>
              </w:rPr>
            </w:pPr>
            <w:r>
              <w:rPr>
                <w:rFonts w:ascii="Times New Roman"/>
                <w:sz w:val="18"/>
              </w:rPr>
              <w:t>94,725,137.05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 w:right="0"/>
              <w:jc w:val="left"/>
              <w:rPr>
                <w:rFonts w:ascii="Times New Roman" w:hAnsi="Times New Roman" w:cs="Times New Roman" w:eastAsia="Times New Roman" w:hint="default"/>
                <w:sz w:val="18"/>
                <w:szCs w:val="18"/>
              </w:rPr>
            </w:pPr>
            <w:r>
              <w:rPr>
                <w:rFonts w:ascii="Times New Roman"/>
                <w:sz w:val="18"/>
              </w:rPr>
              <w:t>120,589,400.44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0" w:right="0"/>
              <w:jc w:val="left"/>
              <w:rPr>
                <w:rFonts w:ascii="Times New Roman" w:hAnsi="Times New Roman" w:cs="Times New Roman" w:eastAsia="Times New Roman" w:hint="default"/>
                <w:sz w:val="18"/>
                <w:szCs w:val="18"/>
              </w:rPr>
            </w:pPr>
            <w:r>
              <w:rPr>
                <w:rFonts w:ascii="Times New Roman"/>
                <w:sz w:val="18"/>
              </w:rPr>
              <w:t>8,598,875.37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3" w:right="0"/>
              <w:jc w:val="left"/>
              <w:rPr>
                <w:rFonts w:ascii="Times New Roman" w:hAnsi="Times New Roman" w:cs="Times New Roman" w:eastAsia="Times New Roman" w:hint="default"/>
                <w:sz w:val="18"/>
                <w:szCs w:val="18"/>
              </w:rPr>
            </w:pPr>
            <w:r>
              <w:rPr>
                <w:rFonts w:ascii="Times New Roman"/>
                <w:sz w:val="18"/>
              </w:rPr>
              <w:t>111,990,525.07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24,080,216.98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331,796.74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23,748,420.24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19,618,188.10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331,796.74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19,286,391.36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225,508,731.63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21,412,006.06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204,096,725.57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203,343,685.37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18,304,921.54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185,038,763.83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82,545,681.29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6,074,556.06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76,471,125.23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55,455,901.08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4,350,970.86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51,104,930.22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36,249,818.31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36,249,818.31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47,822,631.51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47,822,631.51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474,677,759.69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39,386,533.29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435,291,226.40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446,829,806.50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31,586,564.51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415,243,241.99</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存货跌价准备" w:id="246"/>
      <w:bookmarkEnd w:id="246"/>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8,598,875.37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2,998,300.83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17,564.42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11,568,174.43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331,796.74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331,796.74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18,304,921.54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5,391,626.16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821,162.30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818,374.30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2,287,329.64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21,412,006.06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4,350,970.86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2,039,526.10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232,434.29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83,506.61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6,074,556.06</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31,586,564.51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10,429,453.09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821,162.30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1,068,373.01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2,382,273.60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39,386,533.29</w:t>
            </w:r>
          </w:p>
        </w:tc>
      </w:tr>
    </w:tbl>
    <w:p>
      <w:pPr>
        <w:pStyle w:val="BodyText"/>
        <w:spacing w:line="408" w:lineRule="auto" w:before="63"/>
        <w:ind w:left="154" w:right="1046" w:firstLine="420"/>
        <w:jc w:val="left"/>
      </w:pPr>
      <w:r>
        <w:rPr>
          <w:spacing w:val="-1"/>
        </w:rPr>
        <w:t>注：本年增加金额中的其他数为本年新增合并范围深圳运联通公司的期初数、本年减少金额中的其他</w:t>
      </w:r>
      <w:r>
        <w:rPr/>
        <w:t> 数为境外子公司汇率变动影响数。</w:t>
      </w:r>
    </w:p>
    <w:p>
      <w:pPr>
        <w:spacing w:line="240" w:lineRule="auto" w:before="8"/>
        <w:rPr>
          <w:rFonts w:ascii="宋体" w:hAnsi="宋体" w:cs="宋体" w:eastAsia="宋体" w:hint="default"/>
          <w:sz w:val="20"/>
          <w:szCs w:val="20"/>
        </w:rPr>
      </w:pPr>
    </w:p>
    <w:p>
      <w:pPr>
        <w:pStyle w:val="Heading3"/>
        <w:spacing w:line="240" w:lineRule="auto"/>
        <w:ind w:right="1046"/>
        <w:jc w:val="left"/>
        <w:rPr>
          <w:b w:val="0"/>
          <w:bCs w:val="0"/>
        </w:rPr>
      </w:pPr>
      <w:bookmarkStart w:name="（3）存货期末余额含有借款费用资本化金额的说明" w:id="247"/>
      <w:bookmarkEnd w:id="247"/>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4）期末建造合同形成的已完工未结算资产情况" w:id="248"/>
      <w:bookmarkEnd w:id="248"/>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0、其他流动资产" w:id="249"/>
      <w:bookmarkEnd w:id="249"/>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68,135,975.11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16,005,438.55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17,849,373.81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1,561,467.36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1,156,325.12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72,066,905.91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87,141,674.04</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11、可供出售金融资产" w:id="250"/>
      <w:bookmarkEnd w:id="250"/>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可供出售金融资产情况" w:id="251"/>
      <w:bookmarkEnd w:id="251"/>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1"/>
        <w:gridCol w:w="3587"/>
        <w:gridCol w:w="3971"/>
      </w:tblGrid>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31,210,000.00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10,710,000.00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20,500,000.00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10,710,000.00</w:t>
            </w: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31,210,000.00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10,710,000.00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20,500,000.00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31,210,000.00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10,710,000.00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20,500,000.00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10,710,000.00</w:t>
            </w: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期末按公允价值计量的可供出售金融资产" w:id="252"/>
      <w:bookmarkEnd w:id="252"/>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3）期末按成本计量的可供出售金融资产" w:id="253"/>
      <w:bookmarkEnd w:id="253"/>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深圳市鹏 鼎创盈金 融信息服 务股份有 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天津联声 软件开发 有限公司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500,000.00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3"/>
                <w:sz w:val="18"/>
              </w:rPr>
              <w:t>11.11%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鹤壁鹤翔 航空技术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31,210,000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10,710,000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4）报告期内可供出售金融资产减值的变动情况" w:id="254"/>
      <w:bookmarkEnd w:id="254"/>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0"/>
        <w:gridCol w:w="1339"/>
        <w:gridCol w:w="1329"/>
        <w:gridCol w:w="1327"/>
        <w:gridCol w:w="1327"/>
        <w:gridCol w:w="1329"/>
        <w:gridCol w:w="1327"/>
      </w:tblGrid>
      <w:tr>
        <w:trPr>
          <w:trHeight w:val="16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04" w:right="63" w:hanging="541"/>
              <w:jc w:val="left"/>
              <w:rPr>
                <w:rFonts w:ascii="宋体" w:hAnsi="宋体" w:cs="宋体" w:eastAsia="宋体" w:hint="default"/>
                <w:sz w:val="18"/>
                <w:szCs w:val="18"/>
              </w:rPr>
            </w:pPr>
            <w:r>
              <w:rPr>
                <w:rFonts w:ascii="宋体" w:hAnsi="宋体" w:cs="宋体" w:eastAsia="宋体" w:hint="default"/>
                <w:sz w:val="18"/>
                <w:szCs w:val="18"/>
              </w:rPr>
              <w:t>可供出售金融资产 分类</w:t>
            </w:r>
          </w:p>
        </w:tc>
        <w:tc>
          <w:tcPr>
            <w:tcW w:w="133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88" w:right="29" w:hanging="450"/>
              <w:jc w:val="left"/>
              <w:rPr>
                <w:rFonts w:ascii="宋体" w:hAnsi="宋体" w:cs="宋体" w:eastAsia="宋体" w:hint="default"/>
                <w:sz w:val="18"/>
                <w:szCs w:val="18"/>
              </w:rPr>
            </w:pPr>
            <w:r>
              <w:rPr>
                <w:rFonts w:ascii="宋体" w:hAnsi="宋体" w:cs="宋体" w:eastAsia="宋体" w:hint="default"/>
                <w:sz w:val="18"/>
                <w:szCs w:val="18"/>
              </w:rPr>
              <w:t>期初已计提减值 余额</w:t>
            </w:r>
          </w:p>
        </w:tc>
        <w:tc>
          <w:tcPr>
            <w:tcW w:w="1329"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08" w:right="26" w:hanging="180"/>
              <w:jc w:val="left"/>
              <w:rPr>
                <w:rFonts w:ascii="宋体" w:hAnsi="宋体" w:cs="宋体" w:eastAsia="宋体" w:hint="default"/>
                <w:sz w:val="18"/>
                <w:szCs w:val="18"/>
              </w:rPr>
            </w:pPr>
            <w:r>
              <w:rPr>
                <w:rFonts w:ascii="宋体" w:hAnsi="宋体" w:cs="宋体" w:eastAsia="宋体" w:hint="default"/>
                <w:sz w:val="18"/>
                <w:szCs w:val="18"/>
              </w:rPr>
              <w:t>其中：从其他综 合收益转入</w:t>
            </w: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9" w:right="28" w:hanging="91"/>
              <w:jc w:val="left"/>
              <w:rPr>
                <w:rFonts w:ascii="宋体" w:hAnsi="宋体" w:cs="宋体" w:eastAsia="宋体" w:hint="default"/>
                <w:sz w:val="18"/>
                <w:szCs w:val="18"/>
              </w:rPr>
            </w:pPr>
            <w:r>
              <w:rPr>
                <w:rFonts w:ascii="宋体" w:hAnsi="宋体" w:cs="宋体" w:eastAsia="宋体" w:hint="default"/>
                <w:sz w:val="18"/>
                <w:szCs w:val="18"/>
              </w:rPr>
              <w:t>其中：期后公允 价值回升转回</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8" w:right="26" w:hanging="450"/>
              <w:jc w:val="left"/>
              <w:rPr>
                <w:rFonts w:ascii="宋体" w:hAnsi="宋体" w:cs="宋体" w:eastAsia="宋体" w:hint="default"/>
                <w:sz w:val="18"/>
                <w:szCs w:val="18"/>
              </w:rPr>
            </w:pPr>
            <w:r>
              <w:rPr>
                <w:rFonts w:ascii="宋体" w:hAnsi="宋体" w:cs="宋体" w:eastAsia="宋体" w:hint="default"/>
                <w:sz w:val="18"/>
                <w:szCs w:val="18"/>
              </w:rPr>
              <w:t>期末已计提减值 余额</w:t>
            </w:r>
          </w:p>
        </w:tc>
      </w:tr>
      <w:tr>
        <w:trPr>
          <w:trHeight w:val="392" w:hRule="exact"/>
        </w:trPr>
        <w:tc>
          <w:tcPr>
            <w:tcW w:w="1580" w:type="dxa"/>
            <w:vMerge/>
            <w:tcBorders>
              <w:left w:val="single" w:sz="4" w:space="0" w:color="000000"/>
              <w:right w:val="single" w:sz="4" w:space="0" w:color="000000"/>
            </w:tcBorders>
            <w:shd w:val="clear" w:color="auto" w:fill="D2D2D2"/>
          </w:tcPr>
          <w:p>
            <w:pPr/>
          </w:p>
        </w:tc>
        <w:tc>
          <w:tcPr>
            <w:tcW w:w="1339" w:type="dxa"/>
            <w:vMerge/>
            <w:tcBorders>
              <w:left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27" w:type="dxa"/>
            <w:vMerge/>
            <w:tcBorders>
              <w:left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9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vMerge/>
            <w:tcBorders>
              <w:left w:val="single" w:sz="4" w:space="0" w:color="000000"/>
              <w:right w:val="single" w:sz="4" w:space="0" w:color="000000"/>
            </w:tcBorders>
            <w:shd w:val="clear" w:color="auto" w:fill="D2D2D2"/>
          </w:tcPr>
          <w:p>
            <w:pPr/>
          </w:p>
        </w:tc>
        <w:tc>
          <w:tcPr>
            <w:tcW w:w="1327" w:type="dxa"/>
            <w:vMerge/>
            <w:tcBorders>
              <w:left w:val="single" w:sz="4" w:space="0" w:color="000000"/>
              <w:right w:val="single" w:sz="4" w:space="0" w:color="000000"/>
            </w:tcBorders>
            <w:shd w:val="clear" w:color="auto" w:fill="D2D2D2"/>
          </w:tcPr>
          <w:p>
            <w:pPr/>
          </w:p>
        </w:tc>
      </w:tr>
      <w:tr>
        <w:trPr>
          <w:trHeight w:val="161"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339" w:type="dxa"/>
            <w:vMerge/>
            <w:tcBorders>
              <w:left w:val="single" w:sz="4" w:space="0" w:color="000000"/>
              <w:bottom w:val="single" w:sz="4" w:space="0" w:color="000000"/>
              <w:right w:val="single" w:sz="4" w:space="0" w:color="000000"/>
            </w:tcBorders>
            <w:shd w:val="clear" w:color="auto" w:fill="D2D2D2"/>
          </w:tcPr>
          <w:p>
            <w:pPr/>
          </w:p>
        </w:tc>
        <w:tc>
          <w:tcPr>
            <w:tcW w:w="13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9"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10,710,000.00</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10,710,000.00</w:t>
            </w:r>
          </w:p>
        </w:tc>
      </w:tr>
      <w:tr>
        <w:trPr>
          <w:trHeight w:val="402"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10,710,000.00</w:t>
            </w: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
        </w:tc>
        <w:tc>
          <w:tcPr>
            <w:tcW w:w="1329"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10,710,000.00</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5）可供出售权益工具期末公允价值严重下跌或非暂时性下跌但未计提减值准备的相关说" w:id="255"/>
      <w:bookmarkEnd w:id="255"/>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before="0"/>
        <w:ind w:left="154" w:right="1046" w:firstLine="420"/>
        <w:jc w:val="left"/>
      </w:pPr>
      <w:r>
        <w:rPr>
          <w:spacing w:val="-1"/>
        </w:rPr>
        <w:t>深圳市鹏鼎创盈金融信息服务股份有限公司是本公司与深圳市高新投创业投资有限公司、深圳大洋洲</w:t>
      </w:r>
      <w:r>
        <w:rPr/>
        <w:t> </w:t>
      </w:r>
      <w:r>
        <w:rPr>
          <w:spacing w:val="-1"/>
        </w:rPr>
        <w:t>印务有限公司、深圳天源迪科信息技术股份有限公司、深圳市沃尔核材股份有限公司、深圳市科陆电子科</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技股份有限公司、深圳市兴森快捷电路科技股份有限公司、深圳市元明科技发展有限公司、深圳市同创盈</w:t>
      </w:r>
      <w:r>
        <w:rPr>
          <w:spacing w:val="-83"/>
        </w:rPr>
        <w:t> </w:t>
      </w:r>
      <w:r>
        <w:rPr>
          <w:spacing w:val="-83"/>
        </w:rPr>
      </w:r>
      <w:r>
        <w:rPr>
          <w:spacing w:val="-1"/>
        </w:rPr>
        <w:t>投资咨询有限公司、深圳市金桔创盈投资管理合伙企业（有限合伙）等共同投资设立，其中公司以货币出</w:t>
      </w:r>
      <w:r>
        <w:rPr>
          <w:spacing w:val="-86"/>
        </w:rPr>
        <w:t> </w:t>
      </w:r>
      <w:r>
        <w:rPr>
          <w:spacing w:val="-86"/>
        </w:rPr>
      </w:r>
      <w:r>
        <w:rPr/>
        <w:t>资</w:t>
      </w:r>
      <w:r>
        <w:rPr>
          <w:spacing w:val="-56"/>
        </w:rPr>
        <w:t> </w:t>
      </w:r>
      <w:r>
        <w:rPr>
          <w:rFonts w:ascii="宋体" w:hAnsi="宋体" w:cs="宋体" w:eastAsia="宋体" w:hint="default"/>
        </w:rPr>
        <w:t>2,000</w:t>
      </w:r>
      <w:r>
        <w:rPr>
          <w:rFonts w:ascii="宋体" w:hAnsi="宋体" w:cs="宋体" w:eastAsia="宋体" w:hint="default"/>
          <w:spacing w:val="-5"/>
        </w:rPr>
        <w:t> </w:t>
      </w:r>
      <w:r>
        <w:rPr/>
        <w:t>万元，占鹏鼎创盈公司总股本的</w:t>
      </w:r>
      <w:r>
        <w:rPr>
          <w:spacing w:val="-55"/>
        </w:rPr>
        <w:t> </w:t>
      </w:r>
      <w:r>
        <w:rPr>
          <w:rFonts w:ascii="宋体" w:hAnsi="宋体" w:cs="宋体" w:eastAsia="宋体" w:hint="default"/>
        </w:rPr>
        <w:t>3.7895%</w:t>
      </w:r>
      <w:r>
        <w:rPr/>
        <w:t>。于</w:t>
      </w:r>
      <w:r>
        <w:rPr>
          <w:spacing w:val="-57"/>
        </w:rPr>
        <w:t> </w:t>
      </w:r>
      <w:r>
        <w:rPr>
          <w:rFonts w:ascii="宋体" w:hAnsi="宋体" w:cs="宋体" w:eastAsia="宋体" w:hint="default"/>
        </w:rPr>
        <w:t>2014</w:t>
      </w:r>
      <w:r>
        <w:rPr>
          <w:rFonts w:ascii="宋体" w:hAnsi="宋体" w:cs="宋体" w:eastAsia="宋体" w:hint="default"/>
          <w:spacing w:val="-57"/>
        </w:rPr>
        <w:t> </w:t>
      </w:r>
      <w:r>
        <w:rPr/>
        <w:t>年</w:t>
      </w:r>
      <w:r>
        <w:rPr>
          <w:spacing w:val="-56"/>
        </w:rPr>
        <w:t> </w:t>
      </w:r>
      <w:r>
        <w:rPr>
          <w:rFonts w:ascii="宋体" w:hAnsi="宋体" w:cs="宋体" w:eastAsia="宋体" w:hint="default"/>
        </w:rPr>
        <w:t>6</w:t>
      </w:r>
      <w:r>
        <w:rPr>
          <w:rFonts w:ascii="宋体" w:hAnsi="宋体" w:cs="宋体" w:eastAsia="宋体" w:hint="default"/>
          <w:spacing w:val="-55"/>
        </w:rPr>
        <w:t> </w:t>
      </w:r>
      <w:r>
        <w:rPr/>
        <w:t>月</w:t>
      </w:r>
      <w:r>
        <w:rPr>
          <w:spacing w:val="-57"/>
        </w:rPr>
        <w:t> </w:t>
      </w:r>
      <w:r>
        <w:rPr>
          <w:rFonts w:ascii="宋体" w:hAnsi="宋体" w:cs="宋体" w:eastAsia="宋体" w:hint="default"/>
        </w:rPr>
        <w:t>16</w:t>
      </w:r>
      <w:r>
        <w:rPr>
          <w:rFonts w:ascii="宋体" w:hAnsi="宋体" w:cs="宋体" w:eastAsia="宋体" w:hint="default"/>
          <w:spacing w:val="-55"/>
        </w:rPr>
        <w:t> </w:t>
      </w:r>
      <w:r>
        <w:rPr/>
        <w:t>日取得由深圳市市场监督管理局颁 </w:t>
      </w:r>
      <w:r>
        <w:rPr>
          <w:spacing w:val="-10"/>
        </w:rPr>
        <w:t>发的《企业法人营业执照》（注册号：</w:t>
      </w:r>
      <w:r>
        <w:rPr>
          <w:rFonts w:ascii="宋体" w:hAnsi="宋体" w:cs="宋体" w:eastAsia="宋体" w:hint="default"/>
          <w:spacing w:val="-10"/>
        </w:rPr>
        <w:t>440301109601706</w:t>
      </w:r>
      <w:r>
        <w:rPr>
          <w:spacing w:val="-10"/>
        </w:rPr>
        <w:t>）。</w:t>
      </w:r>
      <w:r>
        <w:rPr/>
      </w:r>
    </w:p>
    <w:p>
      <w:pPr>
        <w:pStyle w:val="BodyText"/>
        <w:spacing w:line="240" w:lineRule="auto"/>
        <w:ind w:left="573" w:right="0"/>
        <w:jc w:val="left"/>
      </w:pPr>
      <w:r>
        <w:rPr/>
        <w:t>公司于</w:t>
      </w:r>
      <w:r>
        <w:rPr>
          <w:spacing w:val="-52"/>
        </w:rPr>
        <w:t>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6</w:t>
      </w:r>
      <w:r>
        <w:rPr>
          <w:rFonts w:ascii="宋体" w:hAnsi="宋体" w:cs="宋体" w:eastAsia="宋体" w:hint="default"/>
          <w:spacing w:val="-52"/>
        </w:rPr>
        <w:t> </w:t>
      </w:r>
      <w:r>
        <w:rPr/>
        <w:t>月对</w:t>
      </w:r>
      <w:r>
        <w:rPr>
          <w:spacing w:val="-2"/>
        </w:rPr>
        <w:t>天</w:t>
      </w:r>
      <w:r>
        <w:rPr/>
        <w:t>津联声软件开发有限公司进行增资入股</w:t>
      </w:r>
      <w:r>
        <w:rPr>
          <w:spacing w:val="-91"/>
        </w:rPr>
        <w:t>，</w:t>
      </w:r>
      <w:r>
        <w:rPr/>
        <w:t>投入资金</w:t>
      </w:r>
      <w:r>
        <w:rPr>
          <w:spacing w:val="-52"/>
        </w:rPr>
        <w:t> </w:t>
      </w:r>
      <w:r>
        <w:rPr>
          <w:rFonts w:ascii="宋体" w:hAnsi="宋体" w:cs="宋体" w:eastAsia="宋体" w:hint="default"/>
          <w:spacing w:val="-1"/>
        </w:rPr>
        <w:t>5</w:t>
      </w:r>
      <w:r>
        <w:rPr>
          <w:rFonts w:ascii="宋体" w:hAnsi="宋体" w:cs="宋体" w:eastAsia="宋体" w:hint="default"/>
        </w:rPr>
        <w:t>0</w:t>
      </w:r>
      <w:r>
        <w:rPr>
          <w:rFonts w:ascii="宋体" w:hAnsi="宋体" w:cs="宋体" w:eastAsia="宋体" w:hint="default"/>
          <w:spacing w:val="-52"/>
        </w:rPr>
        <w:t> </w:t>
      </w:r>
      <w:r>
        <w:rPr/>
        <w:t>万元</w:t>
      </w:r>
      <w:r>
        <w:rPr>
          <w:spacing w:val="-91"/>
        </w:rPr>
        <w:t>，</w:t>
      </w:r>
      <w:r>
        <w:rPr/>
        <w:t>股权比例</w:t>
      </w:r>
      <w:r>
        <w:rPr>
          <w:spacing w:val="-53"/>
        </w:rPr>
        <w:t> </w:t>
      </w:r>
      <w:r>
        <w:rPr>
          <w:rFonts w:ascii="宋体" w:hAnsi="宋体" w:cs="宋体" w:eastAsia="宋体" w:hint="default"/>
        </w:rPr>
        <w:t>11.11%</w:t>
      </w:r>
      <w:r>
        <w:rPr/>
        <w:t>。</w:t>
      </w:r>
    </w:p>
    <w:p>
      <w:pPr>
        <w:spacing w:line="240" w:lineRule="auto" w:before="0"/>
        <w:rPr>
          <w:rFonts w:ascii="宋体" w:hAnsi="宋体" w:cs="宋体" w:eastAsia="宋体" w:hint="default"/>
          <w:sz w:val="20"/>
          <w:szCs w:val="20"/>
        </w:rPr>
      </w:pPr>
    </w:p>
    <w:p>
      <w:pPr>
        <w:pStyle w:val="Heading3"/>
        <w:spacing w:line="240" w:lineRule="auto" w:before="154"/>
        <w:ind w:left="153" w:right="0"/>
        <w:jc w:val="both"/>
        <w:rPr>
          <w:b w:val="0"/>
          <w:bCs w:val="0"/>
        </w:rPr>
      </w:pPr>
      <w:bookmarkStart w:name="12、投资性房地产" w:id="256"/>
      <w:bookmarkEnd w:id="256"/>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1）采用成本计量模式的投资性房地产" w:id="257"/>
      <w:bookmarkEnd w:id="25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23,241,124.06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23,241,124.06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18,084,615.07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18,084,615.07</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18,084,615.07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18,084,615.07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41,325,739.13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41,325,739.13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10,342,397.25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10,342,397.25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5,628,853.61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5,628,853.61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1,620,343.54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1,620,343.54</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 建工程转入</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4,008,510.07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4,008,510.07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15,971,250.86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15,971,250.86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25,354,488.27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25,354,488.27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12,898,726.81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12,898,726.81</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采用公允价值计量模式的投资性房地产" w:id="258"/>
      <w:bookmarkEnd w:id="25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left="153" w:right="1046"/>
        <w:jc w:val="left"/>
        <w:rPr>
          <w:b w:val="0"/>
          <w:bCs w:val="0"/>
        </w:rPr>
      </w:pPr>
      <w:bookmarkStart w:name="（3）未办妥产权证书的投资性房地产情况" w:id="259"/>
      <w:bookmarkEnd w:id="25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74" w:right="1046"/>
        <w:jc w:val="left"/>
      </w:pPr>
      <w:r>
        <w:rPr/>
        <w:t>本年增加数为孙公司鹤壁新元公司将自用房屋建筑物转为出租影响所致。</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13、固定资产" w:id="260"/>
      <w:bookmarkEnd w:id="260"/>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固定资产情况" w:id="261"/>
      <w:bookmarkEnd w:id="26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3"/>
        <w:gridCol w:w="1195"/>
        <w:gridCol w:w="1197"/>
        <w:gridCol w:w="1196"/>
        <w:gridCol w:w="1195"/>
        <w:gridCol w:w="1286"/>
        <w:gridCol w:w="1367"/>
      </w:tblGrid>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0"/>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503,647,746.83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103,318,389.94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11,839,689.44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165,745,016.37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74,749,374.47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859,300,217.05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309,238,599.66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143,647,592.26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11,579,487.67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24,687,577.18</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22,755,270.96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511,908,527.73</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1,043,182.62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8,842,941.63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8,749,775.39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20,852,912.89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18,230,044.32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57,718,856.85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308,195,417.04</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2,023,527.11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32,006.82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4,193,200.00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314,444,150.97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134,804,650.63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806,185.17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3,802,657.47</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332,026.64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139,745,519.91</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26,612,647.56</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583,559.70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181,548.56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11,640,980.89</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5,304,921.88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44,323,658.59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3,071,295.10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532,676.93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181,548.56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6,370,790.83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3,372,780.13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13,529,091.55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18,084,615.07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18,084,615.07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8,528,032.49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50,882.77</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5,270,190.06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1,932,141.75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15,781,247.07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786,273,698.93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246,382,422.50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23,237,628.55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178,791,612.66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92,199,723.55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1,326,885,086.19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67,939,256.33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42,273,819.44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5,073,041.38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109,910,232.22</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56,442,003.88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281,638,353.25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15,391,732.71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130,852,846.34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2,932,992.85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22,533,994.66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7,962,959.69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179,674,526.25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15,391,732.71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9,898,134.44</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2,408,683.45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19,160,632.61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7,792,371.08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54,651,554.29</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120,954,711.90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524,309.40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3,373,362.05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170,588.61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125,022,971.96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9,895,811.02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555,555.72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175,703.01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11,071,180.94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5,032,496.75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26,730,747.44</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3,071,291.03</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504,377.01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172,471.13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6,063,777.23</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3,312,770.18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10,053,395.55</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）转入投资性房地产</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4,008,510.07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4,008,510.07</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）其他减少</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5,887,300.95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51,178.71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3,231.88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5,007,403.71</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1,719,726.57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12,668,841.82</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73,435,178.02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172,571,110.06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7,830,331.22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121,373,045.94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59,372,466.82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434,582,132.06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73,435,178.02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172,571,110.06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7,830,331.22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121,373,045.94</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59,372,466.82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434,582,132.06</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825,180.00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825,180.00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11,589,870.74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320,606.26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11,913,711.70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11,589,870.74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320,606.26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11,913,711.70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195" w:type="dxa"/>
            <w:tcBorders>
              <w:top w:val="single" w:sz="4" w:space="0" w:color="000000"/>
              <w:left w:val="single" w:sz="10" w:space="0" w:color="D2D2D2"/>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12,415,050.74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320,606.26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3,234.70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12,738,891.70</w:t>
            </w:r>
          </w:p>
        </w:tc>
      </w:tr>
      <w:tr>
        <w:trPr>
          <w:trHeight w:val="402"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712,838,520.91</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61,396,261.70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15,407,297.33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57,097,960.46</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32,824,022.03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879,564,062.43</w:t>
            </w:r>
          </w:p>
        </w:tc>
      </w:tr>
      <w:tr>
        <w:trPr>
          <w:trHeight w:val="403" w:hRule="exact"/>
        </w:trPr>
        <w:tc>
          <w:tcPr>
            <w:tcW w:w="2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1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435,708,490.50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60,219,390.50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6,766,648.06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55,834,784.15</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18,307,370.59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576,836,683.80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2）暂时闲置的固定资产情况" w:id="262"/>
      <w:bookmarkEnd w:id="26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3）通过融资租赁租入的固定资产情况" w:id="263"/>
      <w:bookmarkEnd w:id="26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46"/>
        <w:jc w:val="left"/>
        <w:rPr>
          <w:b w:val="0"/>
          <w:bCs w:val="0"/>
        </w:rPr>
      </w:pPr>
      <w:bookmarkStart w:name="（4）通过经营租赁租出的固定资产" w:id="264"/>
      <w:bookmarkEnd w:id="26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221,802,636.19</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5）未办妥产权证书的固定资产情况" w:id="265"/>
      <w:bookmarkEnd w:id="26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哈尔滨海能达研发大楼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215,923,639.29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刚完工、产权证正在办理中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河南鹤壁子公司办公楼</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89,607,282.68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刚完工、产权证正在办理中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305,530,921.97</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left="0" w:right="1132"/>
        <w:jc w:val="right"/>
        <w:rPr>
          <w:rFonts w:ascii="宋体" w:hAnsi="宋体" w:cs="宋体" w:eastAsia="宋体" w:hint="default"/>
        </w:rPr>
      </w:pPr>
      <w:r>
        <w:rPr/>
        <w:t>截至</w:t>
      </w:r>
      <w:r>
        <w:rPr>
          <w:spacing w:val="-51"/>
        </w:rPr>
        <w:t> </w:t>
      </w:r>
      <w:r>
        <w:rPr>
          <w:rFonts w:ascii="宋体" w:hAnsi="宋体" w:cs="宋体" w:eastAsia="宋体" w:hint="default"/>
        </w:rPr>
        <w:t>2014</w:t>
      </w:r>
      <w:r>
        <w:rPr>
          <w:rFonts w:ascii="宋体" w:hAnsi="宋体" w:cs="宋体" w:eastAsia="宋体" w:hint="default"/>
          <w:spacing w:val="-52"/>
        </w:rPr>
        <w:t> </w:t>
      </w:r>
      <w:r>
        <w:rPr/>
        <w:t>年</w:t>
      </w:r>
      <w:r>
        <w:rPr>
          <w:spacing w:val="-53"/>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1"/>
        </w:rPr>
        <w:t> </w:t>
      </w:r>
      <w:r>
        <w:rPr>
          <w:spacing w:val="-3"/>
        </w:rPr>
        <w:t>日，公司以房屋建筑物海能达科技厂区</w:t>
      </w:r>
      <w:r>
        <w:rPr>
          <w:spacing w:val="-52"/>
        </w:rPr>
        <w:t> </w:t>
      </w:r>
      <w:r>
        <w:rPr>
          <w:rFonts w:ascii="宋体" w:hAnsi="宋体" w:cs="宋体" w:eastAsia="宋体" w:hint="default"/>
        </w:rPr>
        <w:t>1</w:t>
      </w:r>
      <w:r>
        <w:rPr>
          <w:rFonts w:ascii="宋体" w:hAnsi="宋体" w:cs="宋体" w:eastAsia="宋体" w:hint="default"/>
          <w:spacing w:val="-51"/>
        </w:rPr>
        <w:t> </w:t>
      </w:r>
      <w:r>
        <w:rPr>
          <w:spacing w:val="-15"/>
        </w:rPr>
        <w:t>号、</w:t>
      </w:r>
      <w:r>
        <w:rPr>
          <w:rFonts w:ascii="宋体" w:hAnsi="宋体" w:cs="宋体" w:eastAsia="宋体" w:hint="default"/>
          <w:spacing w:val="-15"/>
        </w:rPr>
        <w:t>4</w:t>
      </w:r>
      <w:r>
        <w:rPr>
          <w:rFonts w:ascii="宋体" w:hAnsi="宋体" w:cs="宋体" w:eastAsia="宋体" w:hint="default"/>
          <w:spacing w:val="-51"/>
        </w:rPr>
        <w:t> </w:t>
      </w:r>
      <w:r>
        <w:rPr>
          <w:spacing w:val="-7"/>
        </w:rPr>
        <w:t>号楼（账面价值</w:t>
      </w:r>
      <w:r>
        <w:rPr>
          <w:spacing w:val="-51"/>
        </w:rPr>
        <w:t> </w:t>
      </w:r>
      <w:r>
        <w:rPr>
          <w:rFonts w:ascii="宋体" w:hAnsi="宋体" w:cs="宋体" w:eastAsia="宋体" w:hint="default"/>
        </w:rPr>
        <w:t>101,245,943.49</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元）形成的抵押借款金额</w:t>
      </w:r>
      <w:r>
        <w:rPr>
          <w:spacing w:val="-53"/>
        </w:rPr>
        <w:t> </w:t>
      </w:r>
      <w:r>
        <w:rPr>
          <w:rFonts w:ascii="宋体" w:hAnsi="宋体" w:cs="宋体" w:eastAsia="宋体" w:hint="default"/>
        </w:rPr>
        <w:t>118,000,000.00</w:t>
      </w:r>
      <w:r>
        <w:rPr>
          <w:rFonts w:ascii="宋体" w:hAnsi="宋体" w:cs="宋体" w:eastAsia="宋体" w:hint="default"/>
          <w:spacing w:val="-53"/>
        </w:rPr>
        <w:t> </w:t>
      </w:r>
      <w:r>
        <w:rPr/>
        <w:t>元，公司以房屋建筑物海能达科技厂区</w:t>
      </w:r>
      <w:r>
        <w:rPr>
          <w:spacing w:val="-53"/>
        </w:rPr>
        <w:t> </w:t>
      </w:r>
      <w:r>
        <w:rPr>
          <w:rFonts w:ascii="宋体" w:hAnsi="宋体" w:cs="宋体" w:eastAsia="宋体" w:hint="default"/>
        </w:rPr>
        <w:t>2</w:t>
      </w:r>
      <w:r>
        <w:rPr>
          <w:rFonts w:ascii="宋体" w:hAnsi="宋体" w:cs="宋体" w:eastAsia="宋体" w:hint="default"/>
          <w:spacing w:val="-54"/>
        </w:rPr>
        <w:t> </w:t>
      </w:r>
      <w:r>
        <w:rPr/>
        <w:t>号和</w:t>
      </w:r>
      <w:r>
        <w:rPr>
          <w:spacing w:val="-54"/>
        </w:rPr>
        <w:t> </w:t>
      </w:r>
      <w:r>
        <w:rPr>
          <w:rFonts w:ascii="宋体" w:hAnsi="宋体" w:cs="宋体" w:eastAsia="宋体" w:hint="default"/>
        </w:rPr>
        <w:t>3</w:t>
      </w:r>
      <w:r>
        <w:rPr>
          <w:rFonts w:ascii="宋体" w:hAnsi="宋体" w:cs="宋体" w:eastAsia="宋体" w:hint="default"/>
          <w:spacing w:val="-53"/>
        </w:rPr>
        <w:t> </w:t>
      </w:r>
      <w:r>
        <w:rPr/>
        <w:t>号厂房（账面</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rPr>
          <w:rFonts w:ascii="宋体" w:hAnsi="宋体" w:cs="宋体" w:eastAsia="宋体" w:hint="default"/>
        </w:rPr>
      </w:pPr>
      <w:r>
        <w:rPr/>
        <w:t>价值</w:t>
      </w:r>
      <w:r>
        <w:rPr>
          <w:spacing w:val="-54"/>
        </w:rPr>
        <w:t> </w:t>
      </w:r>
      <w:r>
        <w:rPr>
          <w:rFonts w:ascii="宋体" w:hAnsi="宋体" w:cs="宋体" w:eastAsia="宋体" w:hint="default"/>
        </w:rPr>
        <w:t>176,670,092.25</w:t>
      </w:r>
      <w:r>
        <w:rPr>
          <w:rFonts w:ascii="宋体" w:hAnsi="宋体" w:cs="宋体" w:eastAsia="宋体" w:hint="default"/>
          <w:spacing w:val="-53"/>
        </w:rPr>
        <w:t> </w:t>
      </w:r>
      <w:r>
        <w:rPr/>
        <w:t>元）形成的抵押借款金额</w:t>
      </w:r>
      <w:r>
        <w:rPr>
          <w:spacing w:val="-53"/>
        </w:rPr>
        <w:t> </w:t>
      </w:r>
      <w:r>
        <w:rPr>
          <w:rFonts w:ascii="宋体" w:hAnsi="宋体" w:cs="宋体" w:eastAsia="宋体" w:hint="default"/>
        </w:rPr>
        <w:t>177,650,000.00</w:t>
      </w:r>
      <w:r>
        <w:rPr>
          <w:rFonts w:ascii="宋体" w:hAnsi="宋体" w:cs="宋体" w:eastAsia="宋体" w:hint="default"/>
          <w:spacing w:val="-55"/>
        </w:rPr>
        <w:t> </w:t>
      </w:r>
      <w:r>
        <w:rPr/>
        <w:t>元</w:t>
      </w:r>
      <w:r>
        <w:rPr>
          <w:rFonts w:ascii="宋体" w:hAnsi="宋体" w:cs="宋体" w:eastAsia="宋体" w:hint="default"/>
        </w:rPr>
        <w:t>.</w:t>
      </w:r>
    </w:p>
    <w:p>
      <w:pPr>
        <w:spacing w:line="240" w:lineRule="auto" w:before="0"/>
        <w:rPr>
          <w:rFonts w:ascii="宋体" w:hAnsi="宋体" w:cs="宋体" w:eastAsia="宋体" w:hint="default"/>
          <w:sz w:val="20"/>
          <w:szCs w:val="20"/>
        </w:rPr>
      </w:pPr>
    </w:p>
    <w:p>
      <w:pPr>
        <w:pStyle w:val="Heading3"/>
        <w:spacing w:line="240" w:lineRule="auto" w:before="154"/>
        <w:ind w:right="1046"/>
        <w:jc w:val="left"/>
        <w:rPr>
          <w:b w:val="0"/>
          <w:bCs w:val="0"/>
        </w:rPr>
      </w:pPr>
      <w:bookmarkStart w:name="14、在建工程" w:id="266"/>
      <w:bookmarkEnd w:id="266"/>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在建工程情况" w:id="267"/>
      <w:bookmarkEnd w:id="267"/>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哈尔滨海能达研 发大楼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21,917,650.49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21,917,650.49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206,494,426.32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206,494,426.32</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河南新厂区建设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5,009,338.50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5,009,338.50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55,154,309.23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55,154,309.23</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南京海能达大楼 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11,291,914.00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11,291,914.00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7,898,259.00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7,898,259.00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海能达总部工程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617,500.00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617,500.00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2,293,328.17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2,293,328.17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HMF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办公楼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3,581,884.51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3,581,884.51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210,907.00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210,907.00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42,418,287.50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42,418,287.50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272,051,229.72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272,051,229.72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2）重要在建工程项目本期变动情况" w:id="268"/>
      <w:bookmarkEnd w:id="268"/>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33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哈尔滨 海能达 研发大 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260,000,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206,494,</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426.32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32,778,5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28.43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217,355,</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304.26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21,917,6</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50.49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12,467,5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14.32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5,726,89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河南新 厂区建 设项目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55,154,3</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09.23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43,531,1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42.05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93,676,1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12.78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5,009,33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8.50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4,607,63</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0.05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4,331,16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3.28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海能达 总部工 程</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2,293,32</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8.17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1,736,90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5.76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3,412,73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3.93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617,500.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南京海 能达大 楼项目</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400,000,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7,898,25</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9.00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3,393,65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11,291,9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14.00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2.82%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HMF</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办</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公楼</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33,000,0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210,907.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3,395,10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9.73</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3,581,88</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4.51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pacing w:val="-3"/>
                <w:sz w:val="18"/>
              </w:rPr>
              <w:t>11%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61"/>
              <w:jc w:val="left"/>
              <w:rPr>
                <w:rFonts w:ascii="宋体" w:hAnsi="宋体" w:cs="宋体" w:eastAsia="宋体" w:hint="default"/>
                <w:sz w:val="18"/>
                <w:szCs w:val="18"/>
              </w:rPr>
            </w:pPr>
            <w:r>
              <w:rPr>
                <w:rFonts w:ascii="宋体" w:hAnsi="宋体" w:cs="宋体" w:eastAsia="宋体" w:hint="default"/>
                <w:sz w:val="18"/>
                <w:szCs w:val="18"/>
              </w:rPr>
              <w:t>金融机 构贷款</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893,000,</w:t>
            </w:r>
          </w:p>
          <w:p>
            <w:pPr>
              <w:pStyle w:val="TableParagraph"/>
              <w:spacing w:line="240" w:lineRule="auto" w:before="105"/>
              <w:ind w:left="186" w:right="0"/>
              <w:jc w:val="center"/>
              <w:rPr>
                <w:rFonts w:ascii="Times New Roman" w:hAnsi="Times New Roman" w:cs="Times New Roman" w:eastAsia="Times New Roman" w:hint="default"/>
                <w:sz w:val="18"/>
                <w:szCs w:val="18"/>
              </w:rPr>
            </w:pPr>
            <w:r>
              <w:rPr>
                <w:rFonts w:ascii="Times New Roman"/>
                <w:sz w:val="18"/>
              </w:rPr>
              <w:t>000.00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272,051,</w:t>
            </w:r>
          </w:p>
          <w:p>
            <w:pPr>
              <w:pStyle w:val="TableParagraph"/>
              <w:spacing w:line="240" w:lineRule="auto" w:before="105"/>
              <w:ind w:left="188" w:right="0"/>
              <w:jc w:val="center"/>
              <w:rPr>
                <w:rFonts w:ascii="Times New Roman" w:hAnsi="Times New Roman" w:cs="Times New Roman" w:eastAsia="Times New Roman" w:hint="default"/>
                <w:sz w:val="18"/>
                <w:szCs w:val="18"/>
              </w:rPr>
            </w:pPr>
            <w:r>
              <w:rPr>
                <w:rFonts w:ascii="Times New Roman"/>
                <w:sz w:val="18"/>
              </w:rPr>
              <w:t>229.72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84,835,3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40.97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0" w:right="0"/>
              <w:jc w:val="center"/>
              <w:rPr>
                <w:rFonts w:ascii="Times New Roman" w:hAnsi="Times New Roman" w:cs="Times New Roman" w:eastAsia="Times New Roman" w:hint="default"/>
                <w:sz w:val="18"/>
                <w:szCs w:val="18"/>
              </w:rPr>
            </w:pPr>
            <w:r>
              <w:rPr>
                <w:rFonts w:ascii="Times New Roman"/>
                <w:sz w:val="18"/>
              </w:rPr>
              <w:t>314,444,</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150.97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24,132.2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42,418,2</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87.50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17,075,1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44.37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10,058,0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56.67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3）本期计提在建工程减值准备情况" w:id="269"/>
      <w:bookmarkEnd w:id="269"/>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pStyle w:val="Heading3"/>
        <w:spacing w:line="240" w:lineRule="auto"/>
        <w:ind w:right="1046"/>
        <w:jc w:val="left"/>
        <w:rPr>
          <w:b w:val="0"/>
          <w:bCs w:val="0"/>
        </w:rPr>
      </w:pPr>
      <w:bookmarkStart w:name="15、无形资产" w:id="270"/>
      <w:bookmarkEnd w:id="270"/>
      <w:r>
        <w:rPr>
          <w:b w:val="0"/>
          <w:bCs w:val="0"/>
        </w:rPr>
      </w:r>
      <w:r>
        <w:rPr>
          <w:rFonts w:ascii="Times New Roman" w:hAnsi="Times New Roman" w:cs="Times New Roman" w:eastAsia="Times New Roman" w:hint="default"/>
        </w:rPr>
        <w:t>15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无形资产情况" w:id="271"/>
      <w:bookmarkEnd w:id="27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1"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7"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5"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44" w:right="0"/>
              <w:jc w:val="left"/>
              <w:rPr>
                <w:rFonts w:ascii="Times New Roman" w:hAnsi="Times New Roman" w:cs="Times New Roman" w:eastAsia="Times New Roman" w:hint="default"/>
                <w:sz w:val="18"/>
                <w:szCs w:val="18"/>
              </w:rPr>
            </w:pPr>
            <w:r>
              <w:rPr>
                <w:rFonts w:ascii="Times New Roman"/>
                <w:sz w:val="18"/>
              </w:rPr>
              <w:t>149,881,118.13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527,139.73</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74,900,843.09</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120,954,199.13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346,263,300.08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175,151.28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23,790,604.16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-6,016,927.64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17,948,827.80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175,151.28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166,848.72</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1,717,408.12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1,892,559.40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23,790,604.16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23,790,604.16</w:t>
            </w:r>
          </w:p>
        </w:tc>
      </w:tr>
      <w:tr>
        <w:trPr>
          <w:trHeight w:val="403" w:hRule="exact"/>
        </w:trPr>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其他增加</w:t>
            </w: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-7,734,335.76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-7,734,335.76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52"/>
        <w:gridCol w:w="1408"/>
        <w:gridCol w:w="1368"/>
        <w:gridCol w:w="1382"/>
        <w:gridCol w:w="1380"/>
        <w:gridCol w:w="1579"/>
      </w:tblGrid>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9,294,475.14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9,294,475.14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9,294,475.14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9,294,475.14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149,881,118.13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702,291.01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98,691,447.25</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105,642,796.35</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354,917,652.74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9,882,243.52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178,953.08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14,460,345.18</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80,250,675.03</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104,772,216.81</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3,339,549.04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112,153.48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23,001,356.86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4,516,128.02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30,969,187.40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3,339,549.04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112,153.48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23,001,356.86</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4,516,128.02</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30,969,187.40</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16,665,771.64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16,665,771.64</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40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9,195,085.86</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9,195,085.86</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3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40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7,470,685.78</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7,470,685.78</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13,221,792.56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291,106.56</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37,461,702.04</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68,101,031.41</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119,075,632.57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136,659,325.57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411,184.45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61,229,745.21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37,541,764.94</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235,842,020.17</w:t>
            </w:r>
          </w:p>
        </w:tc>
      </w:tr>
      <w:tr>
        <w:trPr>
          <w:trHeight w:val="402" w:hRule="exact"/>
        </w:trPr>
        <w:tc>
          <w:tcPr>
            <w:tcW w:w="2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139,998,874.61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348,186.65</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60,440,497.91</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40,703,524.10</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241,491,083.27</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10.09%</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3"/>
        <w:spacing w:line="240" w:lineRule="auto"/>
        <w:ind w:left="153" w:right="1046"/>
        <w:jc w:val="left"/>
        <w:rPr>
          <w:b w:val="0"/>
          <w:bCs w:val="0"/>
        </w:rPr>
      </w:pPr>
      <w:bookmarkStart w:name="（2）未办妥产权证书的土地使用权情况" w:id="272"/>
      <w:bookmarkEnd w:id="27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before="0"/>
        <w:ind w:left="573" w:right="1046"/>
        <w:jc w:val="left"/>
      </w:pPr>
      <w:r>
        <w:rPr/>
        <w:t>①本年末通过公司内部研究开发形成的无形资产占无形资产余额的比例为</w:t>
      </w:r>
      <w:r>
        <w:rPr>
          <w:spacing w:val="-52"/>
        </w:rPr>
        <w:t> </w:t>
      </w:r>
      <w:r>
        <w:rPr>
          <w:rFonts w:ascii="宋体" w:hAnsi="宋体" w:cs="宋体" w:eastAsia="宋体" w:hint="default"/>
        </w:rPr>
        <w:t>10.09%</w:t>
      </w:r>
      <w:r>
        <w:rPr/>
        <w:t>。</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②本年减少金额中的其他减少主要是为汇率变动的影响数。</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③截至</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日，无未办妥产权证书的土地使用权情况</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④截至</w:t>
      </w:r>
      <w:r>
        <w:rPr>
          <w:spacing w:val="-54"/>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日，公司以哈尔滨海能达所有的土地使用权（账面价值</w:t>
      </w:r>
      <w:r>
        <w:rPr>
          <w:spacing w:val="-53"/>
        </w:rPr>
        <w:t> </w:t>
      </w:r>
      <w:r>
        <w:rPr>
          <w:rFonts w:ascii="宋体" w:hAnsi="宋体" w:cs="宋体" w:eastAsia="宋体" w:hint="default"/>
        </w:rPr>
        <w:t>40,928,218.91</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rPr>
          <w:rFonts w:ascii="宋体" w:hAnsi="宋体" w:cs="宋体" w:eastAsia="宋体" w:hint="default"/>
        </w:rPr>
      </w:pPr>
      <w:r>
        <w:rPr/>
        <w:t>形成的抵押借款金额</w:t>
      </w:r>
      <w:r>
        <w:rPr>
          <w:spacing w:val="-52"/>
        </w:rPr>
        <w:t> </w:t>
      </w:r>
      <w:r>
        <w:rPr>
          <w:rFonts w:ascii="宋体" w:hAnsi="宋体" w:cs="宋体" w:eastAsia="宋体" w:hint="default"/>
        </w:rPr>
        <w:t>49,746,000.00</w:t>
      </w:r>
      <w:r>
        <w:rPr>
          <w:rFonts w:ascii="宋体" w:hAnsi="宋体" w:cs="宋体" w:eastAsia="宋体" w:hint="default"/>
          <w:spacing w:val="-53"/>
        </w:rPr>
        <w:t> </w:t>
      </w:r>
      <w:r>
        <w:rPr/>
        <w:t>元</w:t>
      </w:r>
      <w:r>
        <w:rPr>
          <w:spacing w:val="-91"/>
        </w:rPr>
        <w:t>；</w:t>
      </w:r>
      <w:r>
        <w:rPr/>
        <w:t>公司以鹤壁天海公司所有的土地使用</w:t>
      </w:r>
      <w:r>
        <w:rPr>
          <w:spacing w:val="-91"/>
        </w:rPr>
        <w:t>权</w:t>
      </w:r>
      <w:r>
        <w:rPr/>
        <w:t>（账面价值</w:t>
      </w:r>
      <w:r>
        <w:rPr>
          <w:spacing w:val="-52"/>
        </w:rPr>
        <w:t> </w:t>
      </w:r>
      <w:r>
        <w:rPr>
          <w:rFonts w:ascii="宋体" w:hAnsi="宋体" w:cs="宋体" w:eastAsia="宋体" w:hint="default"/>
        </w:rPr>
        <w:t>37,588,869.06</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元）形成的抵押借款金额</w:t>
      </w:r>
      <w:r>
        <w:rPr>
          <w:spacing w:val="-52"/>
        </w:rPr>
        <w:t> </w:t>
      </w:r>
      <w:r>
        <w:rPr>
          <w:rFonts w:ascii="宋体" w:hAnsi="宋体" w:cs="宋体" w:eastAsia="宋体" w:hint="default"/>
        </w:rPr>
        <w:t>60,925,189.85</w:t>
      </w:r>
      <w:r>
        <w:rPr>
          <w:rFonts w:ascii="宋体" w:hAnsi="宋体" w:cs="宋体" w:eastAsia="宋体" w:hint="default"/>
          <w:spacing w:val="-52"/>
        </w:rPr>
        <w:t> </w:t>
      </w:r>
      <w:r>
        <w:rPr/>
        <w:t>元。</w:t>
      </w:r>
    </w:p>
    <w:p>
      <w:pPr>
        <w:spacing w:line="240" w:lineRule="auto" w:before="0"/>
        <w:rPr>
          <w:rFonts w:ascii="宋体" w:hAnsi="宋体" w:cs="宋体" w:eastAsia="宋体" w:hint="default"/>
          <w:sz w:val="20"/>
          <w:szCs w:val="20"/>
        </w:rPr>
      </w:pPr>
    </w:p>
    <w:p>
      <w:pPr>
        <w:pStyle w:val="Heading3"/>
        <w:spacing w:line="240" w:lineRule="auto" w:before="154"/>
        <w:ind w:right="1046"/>
        <w:jc w:val="left"/>
        <w:rPr>
          <w:b w:val="0"/>
          <w:bCs w:val="0"/>
        </w:rPr>
      </w:pPr>
      <w:bookmarkStart w:name="16、开发支出" w:id="273"/>
      <w:bookmarkEnd w:id="273"/>
      <w:r>
        <w:rPr>
          <w:b w:val="0"/>
          <w:bCs w:val="0"/>
        </w:rPr>
      </w:r>
      <w:r>
        <w:rPr>
          <w:rFonts w:ascii="Times New Roman" w:hAnsi="Times New Roman" w:cs="Times New Roman" w:eastAsia="Times New Roman" w:hint="default"/>
        </w:rPr>
        <w:t>16</w:t>
      </w:r>
      <w:r>
        <w:rPr/>
        <w:t>、开发支出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5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内部开发支出</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02" w:right="50" w:hanging="450"/>
              <w:jc w:val="left"/>
              <w:rPr>
                <w:rFonts w:ascii="宋体" w:hAnsi="宋体" w:cs="宋体" w:eastAsia="宋体" w:hint="default"/>
                <w:sz w:val="18"/>
                <w:szCs w:val="18"/>
              </w:rPr>
            </w:pPr>
            <w:r>
              <w:rPr>
                <w:rFonts w:ascii="宋体" w:hAnsi="宋体" w:cs="宋体" w:eastAsia="宋体" w:hint="default"/>
                <w:sz w:val="18"/>
                <w:szCs w:val="18"/>
              </w:rPr>
              <w:t>确认为无形资 产</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数字系统开发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48,701,353.50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31,274,461.77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4,351,524.39</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75,624,290.88</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数字终端开发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6,484,173.66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28,994,691.88</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19,439,079.77</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16,039,785.77</w:t>
            </w: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55,185,527.16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 w:right="0"/>
              <w:jc w:val="center"/>
              <w:rPr>
                <w:rFonts w:ascii="Times New Roman" w:hAnsi="Times New Roman" w:cs="Times New Roman" w:eastAsia="Times New Roman" w:hint="default"/>
                <w:sz w:val="18"/>
                <w:szCs w:val="18"/>
              </w:rPr>
            </w:pPr>
            <w:r>
              <w:rPr>
                <w:rFonts w:ascii="Times New Roman"/>
                <w:sz w:val="18"/>
              </w:rPr>
              <w:t>60,269,153.65</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23,790,604.16</w:t>
            </w: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91,664,076.65</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680" w:right="1046"/>
        <w:jc w:val="left"/>
      </w:pPr>
      <w:r>
        <w:rPr/>
        <w:t>注：研发支出资本化的相关规定详见第五节、</w:t>
      </w:r>
      <w:r>
        <w:rPr>
          <w:rFonts w:ascii="宋体" w:hAnsi="宋体" w:cs="宋体" w:eastAsia="宋体" w:hint="default"/>
        </w:rPr>
        <w:t>21</w:t>
      </w:r>
      <w:r>
        <w:rPr>
          <w:rFonts w:ascii="宋体" w:hAnsi="宋体" w:cs="宋体" w:eastAsia="宋体" w:hint="default"/>
          <w:spacing w:val="-55"/>
        </w:rPr>
        <w:t> </w:t>
      </w:r>
      <w:r>
        <w:rPr/>
        <w:t>无形资产。</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17、商誉" w:id="274"/>
      <w:bookmarkEnd w:id="274"/>
      <w:r>
        <w:rPr>
          <w:b w:val="0"/>
          <w:bCs w:val="0"/>
        </w:rPr>
      </w:r>
      <w:r>
        <w:rPr>
          <w:rFonts w:ascii="Times New Roman" w:hAnsi="Times New Roman" w:cs="Times New Roman" w:eastAsia="Times New Roman" w:hint="default"/>
        </w:rPr>
        <w:t>17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商誉账面原值" w:id="275"/>
      <w:bookmarkEnd w:id="27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47"/>
              <w:jc w:val="righ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非同一控制合并 海能达技术公司 商誉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33,426,528.62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33,426,528.62</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非同一控制合并 </w:t>
            </w:r>
            <w:r>
              <w:rPr>
                <w:rFonts w:ascii="Times New Roman" w:hAnsi="Times New Roman" w:cs="Times New Roman" w:eastAsia="Times New Roman" w:hint="default"/>
                <w:sz w:val="18"/>
                <w:szCs w:val="18"/>
              </w:rPr>
              <w:t>HYTERA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AMERICA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INCORPORATE</w:t>
            </w:r>
          </w:p>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4,370,039.82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4,370,039.82</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非同一控制合并 鹤壁天海电子公 司商誉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3,245,275.69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3,245,275.69</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非同一控制合并 南京宙达公司商 誉</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8,068,548.95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8,068,548.95</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宋体" w:hAnsi="宋体" w:cs="宋体" w:eastAsia="宋体" w:hint="default"/>
                <w:sz w:val="18"/>
                <w:szCs w:val="18"/>
              </w:rPr>
            </w:pPr>
            <w:r>
              <w:rPr>
                <w:rFonts w:ascii="宋体" w:hAnsi="宋体" w:cs="宋体" w:eastAsia="宋体" w:hint="default"/>
                <w:sz w:val="18"/>
                <w:szCs w:val="18"/>
              </w:rPr>
              <w:t>非同一控制合并 深圳运联通公司 商誉</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2,017,842.03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2,017,842.03</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41,041,844.13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10,086,390.98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51,128,235.11</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商誉减值准备" w:id="276"/>
      <w:bookmarkEnd w:id="27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52"/>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非同一控制合并 </w:t>
            </w:r>
            <w:r>
              <w:rPr>
                <w:rFonts w:ascii="Times New Roman" w:hAnsi="Times New Roman" w:cs="Times New Roman" w:eastAsia="Times New Roman" w:hint="default"/>
                <w:sz w:val="18"/>
                <w:szCs w:val="18"/>
              </w:rPr>
              <w:t>HYTERA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AMERICA</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INCORPORATE</w:t>
            </w:r>
          </w:p>
          <w:p>
            <w:pPr>
              <w:pStyle w:val="TableParagraph"/>
              <w:spacing w:line="216"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商誉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4,370,039.82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4,370,039.82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4,370,039.82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4,370,039.82</w:t>
            </w:r>
          </w:p>
        </w:tc>
      </w:tr>
    </w:tbl>
    <w:p>
      <w:pPr>
        <w:spacing w:line="360" w:lineRule="auto" w:before="51"/>
        <w:ind w:left="154" w:right="6072"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 其他说明</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18、长期待摊费用" w:id="277"/>
      <w:bookmarkEnd w:id="277"/>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59,383,192.26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9,157,365.36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13,723,197.90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-104,173.59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54,921,533.31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59,383,192.26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9,157,365.36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13,723,197.90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-104,173.59</w:t>
            </w:r>
            <w:r>
              <w:rPr>
                <w:rFonts w:ascii="Times New Roman"/>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54,921,533.31</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3"/>
        <w:spacing w:line="240" w:lineRule="auto"/>
        <w:ind w:left="153" w:right="1046"/>
        <w:jc w:val="left"/>
        <w:rPr>
          <w:b w:val="0"/>
          <w:bCs w:val="0"/>
        </w:rPr>
      </w:pPr>
      <w:bookmarkStart w:name="19、递延所得税资产/递延所得税负债" w:id="278"/>
      <w:bookmarkEnd w:id="278"/>
      <w:r>
        <w:rPr>
          <w:b w:val="0"/>
          <w:bCs w:val="0"/>
        </w:rPr>
      </w:r>
      <w:r>
        <w:rPr>
          <w:rFonts w:ascii="Times New Roman" w:hAnsi="Times New Roman" w:cs="Times New Roman" w:eastAsia="Times New Roman" w:hint="default"/>
        </w:rPr>
        <w:t>19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046"/>
        <w:jc w:val="left"/>
        <w:rPr>
          <w:b w:val="0"/>
          <w:bCs w:val="0"/>
        </w:rPr>
      </w:pPr>
      <w:bookmarkStart w:name="（1）未经抵销的递延所得税资产" w:id="279"/>
      <w:bookmarkEnd w:id="27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56,264,499.28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5,626,449.93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47,763,481.34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4,776,348.13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16,905,461.84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1,690,546.18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12,236,410.37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1,223,641.04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可弥补亏损</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24,427,740.86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6,839,767.44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21,708,735.00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5,795,570.76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25,065,384.72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2,594,888.47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35,941,128.85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3,765,112.89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14,399,759.56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1,439,975.96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11,454,981.94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1,145,498.19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9,952,709.94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995,270.99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147,015,556.20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19,186,898.97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129,104,737.50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16,706,171.01</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未经抵销的递延所得税负债" w:id="280"/>
      <w:bookmarkEnd w:id="28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7,576,401.67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2,121,392.57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8,954,779.57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2,507,338.35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研发资本化</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30,165,052.29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8,445,852.19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20,582,753.44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5,762,761.80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273,633.15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45,149.47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382,609.47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63,130.56</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8"/>
              <w:jc w:val="right"/>
              <w:rPr>
                <w:rFonts w:ascii="Times New Roman" w:hAnsi="Times New Roman" w:cs="Times New Roman" w:eastAsia="Times New Roman" w:hint="default"/>
                <w:sz w:val="18"/>
                <w:szCs w:val="18"/>
              </w:rPr>
            </w:pPr>
            <w:r>
              <w:rPr>
                <w:rFonts w:ascii="Times New Roman"/>
                <w:spacing w:val="-2"/>
                <w:sz w:val="18"/>
              </w:rPr>
              <w:t>38,015,087.11</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10,612,394.23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29,920,142.48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8,333,230.71</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3）以抵销后净额列示的递延所得税资产或负债" w:id="281"/>
      <w:bookmarkEnd w:id="28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03"/>
      </w:tblGrid>
      <w:tr>
        <w:trPr>
          <w:trHeight w:val="38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3"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递延所得税资产和负债</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51" w:right="0"/>
              <w:jc w:val="left"/>
              <w:rPr>
                <w:rFonts w:ascii="宋体" w:hAnsi="宋体" w:cs="宋体" w:eastAsia="宋体" w:hint="default"/>
                <w:sz w:val="18"/>
                <w:szCs w:val="18"/>
              </w:rPr>
            </w:pPr>
            <w:r>
              <w:rPr>
                <w:rFonts w:ascii="宋体" w:hAnsi="宋体" w:cs="宋体" w:eastAsia="宋体" w:hint="default"/>
                <w:sz w:val="18"/>
                <w:szCs w:val="18"/>
              </w:rPr>
              <w:t>抵销后递延所得税资产</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36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25" w:right="0"/>
              <w:jc w:val="left"/>
              <w:rPr>
                <w:rFonts w:ascii="宋体" w:hAnsi="宋体" w:cs="宋体" w:eastAsia="宋体" w:hint="default"/>
                <w:sz w:val="18"/>
                <w:szCs w:val="18"/>
              </w:rPr>
            </w:pPr>
            <w:r>
              <w:rPr>
                <w:rFonts w:ascii="宋体" w:hAnsi="宋体" w:cs="宋体" w:eastAsia="宋体" w:hint="default"/>
                <w:sz w:val="18"/>
                <w:szCs w:val="18"/>
              </w:rPr>
              <w:t>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411" w:right="0"/>
              <w:jc w:val="left"/>
              <w:rPr>
                <w:rFonts w:ascii="宋体" w:hAnsi="宋体" w:cs="宋体" w:eastAsia="宋体" w:hint="default"/>
                <w:sz w:val="18"/>
                <w:szCs w:val="18"/>
              </w:rPr>
            </w:pPr>
            <w:r>
              <w:rPr>
                <w:rFonts w:ascii="宋体" w:hAnsi="宋体" w:cs="宋体" w:eastAsia="宋体" w:hint="default"/>
                <w:sz w:val="18"/>
                <w:szCs w:val="18"/>
              </w:rPr>
              <w:t>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21" w:right="0"/>
              <w:jc w:val="left"/>
              <w:rPr>
                <w:rFonts w:ascii="宋体" w:hAnsi="宋体" w:cs="宋体" w:eastAsia="宋体" w:hint="default"/>
                <w:sz w:val="18"/>
                <w:szCs w:val="18"/>
              </w:rPr>
            </w:pPr>
            <w:r>
              <w:rPr>
                <w:rFonts w:ascii="宋体" w:hAnsi="宋体" w:cs="宋体" w:eastAsia="宋体" w:hint="default"/>
                <w:sz w:val="18"/>
                <w:szCs w:val="18"/>
              </w:rPr>
              <w:t>或负债期初余额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19,186,898.97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16,706,171.01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10,612,394.23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8,333,230.71</w:t>
            </w:r>
          </w:p>
        </w:tc>
      </w:tr>
    </w:tbl>
    <w:p>
      <w:pPr>
        <w:spacing w:line="240" w:lineRule="auto" w:before="3"/>
        <w:rPr>
          <w:rFonts w:ascii="宋体" w:hAnsi="宋体" w:cs="宋体" w:eastAsia="宋体" w:hint="default"/>
          <w:sz w:val="19"/>
          <w:szCs w:val="19"/>
        </w:rPr>
      </w:pPr>
    </w:p>
    <w:p>
      <w:pPr>
        <w:pStyle w:val="Heading3"/>
        <w:spacing w:line="240" w:lineRule="auto" w:before="35"/>
        <w:ind w:right="1046"/>
        <w:jc w:val="left"/>
        <w:rPr>
          <w:b w:val="0"/>
          <w:bCs w:val="0"/>
        </w:rPr>
      </w:pPr>
      <w:bookmarkStart w:name="（4）未确认递延所得税资产明细" w:id="282"/>
      <w:bookmarkEnd w:id="28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66,289,569.87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59,392,059.66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29,256,393.06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14,273,133.90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14,684,584.52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10,555,722.24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2,749,562.29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2,444,045.04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112,980,109.74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86,664,960.84</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5）未确认递延所得税资产的可抵扣亏损将于以下年度到期" w:id="283"/>
      <w:bookmarkEnd w:id="28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356,243.44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6,153,999.17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6,153,999.17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8,713,534.99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8,713,534.99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10,071,771.12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10,071,771.12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23,850,321.20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25,599,859.22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1,071,572.56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8,496,651.72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年度以后</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16,428,370.83</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66,289,569.87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59,392,059.66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1046"/>
        <w:jc w:val="left"/>
        <w:rPr>
          <w:b w:val="0"/>
          <w:bCs w:val="0"/>
        </w:rPr>
      </w:pPr>
      <w:bookmarkStart w:name="20、其他非流动资产" w:id="284"/>
      <w:bookmarkEnd w:id="284"/>
      <w:r>
        <w:rPr>
          <w:b w:val="0"/>
          <w:bCs w:val="0"/>
        </w:rPr>
      </w:r>
      <w:r>
        <w:rPr>
          <w:rFonts w:ascii="Times New Roman" w:hAnsi="Times New Roman" w:cs="Times New Roman" w:eastAsia="Times New Roman" w:hint="default"/>
        </w:rPr>
        <w:t>20</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预付深圳市中集骏宇置业有限公司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65,887,610.00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52,887,100.00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减：一年内到期部分（见附注六、</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预付南京电网联建费用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预付深圳广田装饰集团股份有限公司款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13,189,000.00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66,887,610.00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66,076,100.00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left="573" w:right="1046"/>
        <w:jc w:val="left"/>
      </w:pPr>
      <w:r>
        <w:rPr/>
        <w:t>预付深圳市中集骏宇置业有限公司的款项内容为预付保障房项目款。</w:t>
      </w:r>
    </w:p>
    <w:p>
      <w:pPr>
        <w:spacing w:line="240" w:lineRule="auto" w:before="0"/>
        <w:rPr>
          <w:rFonts w:ascii="宋体" w:hAnsi="宋体" w:cs="宋体" w:eastAsia="宋体" w:hint="default"/>
          <w:sz w:val="20"/>
          <w:szCs w:val="20"/>
        </w:rPr>
      </w:pPr>
    </w:p>
    <w:p>
      <w:pPr>
        <w:pStyle w:val="Heading3"/>
        <w:spacing w:line="240" w:lineRule="auto" w:before="154"/>
        <w:ind w:left="153" w:right="1046"/>
        <w:jc w:val="left"/>
        <w:rPr>
          <w:b w:val="0"/>
          <w:bCs w:val="0"/>
        </w:rPr>
      </w:pPr>
      <w:bookmarkStart w:name="21、短期借款" w:id="285"/>
      <w:bookmarkEnd w:id="285"/>
      <w:r>
        <w:rPr>
          <w:b w:val="0"/>
          <w:bCs w:val="0"/>
        </w:rPr>
      </w:r>
      <w:r>
        <w:rPr>
          <w:rFonts w:ascii="Times New Roman" w:hAnsi="Times New Roman" w:cs="Times New Roman" w:eastAsia="Times New Roman" w:hint="default"/>
        </w:rPr>
        <w:t>21</w:t>
      </w:r>
      <w:r>
        <w:rPr/>
        <w:t>、短期借款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6"/>
        <w:jc w:val="left"/>
        <w:rPr>
          <w:b w:val="0"/>
          <w:bCs w:val="0"/>
        </w:rPr>
      </w:pPr>
      <w:bookmarkStart w:name="（1）短期借款分类" w:id="286"/>
      <w:bookmarkEnd w:id="28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212,924,886.00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427,174,723.13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288,940,095.92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74,360,871.01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464,174,723.13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576,225,852.93</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已逾期未偿还的短期借款情况" w:id="287"/>
      <w:bookmarkEnd w:id="28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line="240" w:lineRule="auto" w:before="10"/>
        <w:rPr>
          <w:rFonts w:ascii="宋体" w:hAnsi="宋体" w:cs="宋体" w:eastAsia="宋体" w:hint="default"/>
          <w:sz w:val="25"/>
          <w:szCs w:val="25"/>
        </w:rPr>
      </w:pPr>
    </w:p>
    <w:p>
      <w:pPr>
        <w:pStyle w:val="Heading3"/>
        <w:spacing w:line="240" w:lineRule="auto"/>
        <w:ind w:right="1046"/>
        <w:jc w:val="left"/>
        <w:rPr>
          <w:b w:val="0"/>
          <w:bCs w:val="0"/>
        </w:rPr>
      </w:pPr>
      <w:bookmarkStart w:name="22、应付票据" w:id="288"/>
      <w:bookmarkEnd w:id="288"/>
      <w:r>
        <w:rPr>
          <w:b w:val="0"/>
          <w:bCs w:val="0"/>
        </w:rPr>
      </w:r>
      <w:r>
        <w:rPr>
          <w:rFonts w:ascii="Times New Roman" w:hAnsi="Times New Roman" w:cs="Times New Roman" w:eastAsia="Times New Roman" w:hint="default"/>
        </w:rPr>
        <w:t>22</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39,136,984.29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25,953,720.06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39,136,984.29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25,953,720.06</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1046"/>
        <w:jc w:val="left"/>
        <w:rPr>
          <w:b w:val="0"/>
          <w:bCs w:val="0"/>
        </w:rPr>
      </w:pPr>
      <w:bookmarkStart w:name="23、应付账款" w:id="289"/>
      <w:bookmarkEnd w:id="289"/>
      <w:r>
        <w:rPr>
          <w:b w:val="0"/>
          <w:bCs w:val="0"/>
        </w:rPr>
      </w:r>
      <w:r>
        <w:rPr>
          <w:rFonts w:ascii="Times New Roman" w:hAnsi="Times New Roman" w:cs="Times New Roman" w:eastAsia="Times New Roman" w:hint="default"/>
        </w:rPr>
        <w:t>23</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应付账款列示" w:id="290"/>
      <w:bookmarkEnd w:id="29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403,974,448.45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303,053,748.34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15,863,273.62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28,237,752.42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4,686,267.10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11,413,782.00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18,072,391.55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11,438,075.52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442,596,380.72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354,143,358.28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2）账龄超过1年的重要应付账款" w:id="291"/>
      <w:bookmarkEnd w:id="29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安弗施无线射频系统（上海）有限公司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3,475,203.53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武汉中元通信股份有限公（</w:t>
            </w:r>
            <w:r>
              <w:rPr>
                <w:rFonts w:ascii="Times New Roman" w:hAnsi="Times New Roman" w:cs="Times New Roman" w:eastAsia="Times New Roman" w:hint="default"/>
                <w:sz w:val="18"/>
                <w:szCs w:val="18"/>
              </w:rPr>
              <w:t>710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厂）</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3,443,952.00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深圳市云海通讯股份有限公司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2,696,015.82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南京某单位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1,855,000.00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中天日立射频电缆有限公司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1,792,833.57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工程尾款、尚未结算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13,263,004.92</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4、预收款项" w:id="292"/>
      <w:bookmarkEnd w:id="292"/>
      <w:r>
        <w:rPr>
          <w:b w:val="0"/>
          <w:bCs w:val="0"/>
        </w:rPr>
      </w:r>
      <w:r>
        <w:rPr>
          <w:rFonts w:ascii="Times New Roman" w:hAnsi="Times New Roman" w:cs="Times New Roman" w:eastAsia="Times New Roman" w:hint="default"/>
        </w:rPr>
        <w:t>24</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预收款项列示" w:id="293"/>
      <w:bookmarkEnd w:id="29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52,541,774.07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72,759,832.77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6,623,484.37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8,365,953.87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134,107.81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2,402,152.90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478,535.22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190,053.97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59,777,901.47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83,717,993.51</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账龄超过1年的重要预收款项" w:id="294"/>
      <w:bookmarkEnd w:id="29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青岛海信网络科技股份有限公司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3,616,103.60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项目未完工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3,616,103.60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3）期末建造合同形成的已结算未完工项目情况" w:id="295"/>
      <w:bookmarkEnd w:id="29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4" w:right="1046"/>
        <w:jc w:val="left"/>
      </w:pPr>
      <w:r>
        <w:rPr/>
        <w:t>截至</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31</w:t>
      </w:r>
      <w:r>
        <w:rPr>
          <w:rFonts w:ascii="宋体" w:hAnsi="宋体" w:cs="宋体" w:eastAsia="宋体" w:hint="default"/>
          <w:spacing w:val="-56"/>
        </w:rPr>
        <w:t> </w:t>
      </w:r>
      <w:r>
        <w:rPr/>
        <w:t>日，预收青岛海信网络科技股份有限公司款项为</w:t>
      </w:r>
      <w:r>
        <w:rPr>
          <w:spacing w:val="-56"/>
        </w:rPr>
        <w:t> </w:t>
      </w:r>
      <w:r>
        <w:rPr>
          <w:rFonts w:ascii="宋体" w:hAnsi="宋体" w:cs="宋体" w:eastAsia="宋体" w:hint="default"/>
        </w:rPr>
        <w:t>5,424,155.40</w:t>
      </w:r>
      <w:r>
        <w:rPr>
          <w:rFonts w:ascii="宋体" w:hAnsi="宋体" w:cs="宋体" w:eastAsia="宋体" w:hint="default"/>
          <w:spacing w:val="-56"/>
        </w:rPr>
        <w:t> </w:t>
      </w:r>
      <w:r>
        <w:rPr/>
        <w:t>元、其中账龄超</w:t>
      </w:r>
    </w:p>
    <w:p>
      <w:pPr>
        <w:spacing w:line="240" w:lineRule="auto" w:before="10"/>
        <w:rPr>
          <w:rFonts w:ascii="宋体" w:hAnsi="宋体" w:cs="宋体" w:eastAsia="宋体" w:hint="default"/>
          <w:sz w:val="14"/>
          <w:szCs w:val="14"/>
        </w:rPr>
      </w:pPr>
    </w:p>
    <w:p>
      <w:pPr>
        <w:pStyle w:val="BodyText"/>
        <w:spacing w:line="408" w:lineRule="auto" w:before="0"/>
        <w:ind w:left="154" w:right="1199"/>
        <w:jc w:val="left"/>
      </w:pPr>
      <w:r>
        <w:rPr/>
        <w:t>过一年的预收款为</w:t>
      </w:r>
      <w:r>
        <w:rPr>
          <w:spacing w:val="-53"/>
        </w:rPr>
        <w:t> </w:t>
      </w:r>
      <w:r>
        <w:rPr>
          <w:rFonts w:ascii="宋体" w:hAnsi="宋体" w:cs="宋体" w:eastAsia="宋体" w:hint="default"/>
        </w:rPr>
        <w:t>3,616,103.60</w:t>
      </w:r>
      <w:r>
        <w:rPr>
          <w:rFonts w:ascii="宋体" w:hAnsi="宋体" w:cs="宋体" w:eastAsia="宋体" w:hint="default"/>
          <w:spacing w:val="-54"/>
        </w:rPr>
        <w:t> </w:t>
      </w:r>
      <w:r>
        <w:rPr/>
        <w:t>元，款项性质为预收青岛地铁一期项目的预收款，鉴于项目尚未完成， 该款项尚未结清。</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25、应付职工薪酬" w:id="296"/>
      <w:bookmarkEnd w:id="296"/>
      <w:r>
        <w:rPr>
          <w:b w:val="0"/>
          <w:bCs w:val="0"/>
        </w:rPr>
      </w:r>
      <w:r>
        <w:rPr>
          <w:rFonts w:ascii="Times New Roman" w:hAnsi="Times New Roman" w:cs="Times New Roman" w:eastAsia="Times New Roman" w:hint="default"/>
        </w:rPr>
        <w:t>25</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应付职工薪酬列示" w:id="297"/>
      <w:bookmarkEnd w:id="29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68,981,342.00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493,374,612.86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492,710,716.93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69,645,237.93</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375,239.58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26,548,410.68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26,185,401.27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738,248.99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2,092,278.72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2,092,278.72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69,356,581.58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522,015,302.26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520,988,396.92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70,383,486.92</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短期薪酬列示" w:id="298"/>
      <w:bookmarkEnd w:id="29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67,946,908.73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455,915,307.43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455,477,206.29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68,385,009.87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368,065.27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8,200,523.28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8,178,011.80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390,576.75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281,430.97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14,904,597.37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14,704,576.52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481,451.82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248,099.24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13,029,969.38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12,834,063.44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444,005.18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22,205.73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1,013,490.50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1,010,761.71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24,934.52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11,126.00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861,137.49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859,751.37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12,512.12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67,662.00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11,912,551.65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11,896,001.65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84,212.00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317,275.03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2,441,633.13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2,454,920.67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303,987.49</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68,981,342.00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493,374,612.86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492,710,716.93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69,645,237.93</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3）设定提存计划列示" w:id="299"/>
      <w:bookmarkEnd w:id="29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308,724.33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24,144,169.92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23,763,695.34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689,198.91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66,515.25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2,404,240.76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2,421,705.93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49,050.08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375,239.58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26,548,410.68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26,185,401.27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738,248.99</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left="154" w:right="1046" w:firstLine="420"/>
        <w:jc w:val="left"/>
      </w:pPr>
      <w:r>
        <w:rPr>
          <w:spacing w:val="-1"/>
        </w:rPr>
        <w:t>本公司按规定参加由政府机构设立的养老保险、失业保险计划，根据该等计划，本公司分别按员工基</w:t>
      </w:r>
      <w:r>
        <w:rPr/>
        <w:t> 本工资的</w:t>
      </w:r>
      <w:r>
        <w:rPr>
          <w:spacing w:val="-55"/>
        </w:rPr>
        <w:t> </w:t>
      </w:r>
      <w:r>
        <w:rPr>
          <w:rFonts w:ascii="宋体" w:hAnsi="宋体" w:cs="宋体" w:eastAsia="宋体" w:hint="default"/>
        </w:rPr>
        <w:t>14%</w:t>
      </w:r>
      <w:r>
        <w:rPr/>
        <w:t>、</w:t>
      </w:r>
      <w:r>
        <w:rPr>
          <w:rFonts w:ascii="宋体" w:hAnsi="宋体" w:cs="宋体" w:eastAsia="宋体" w:hint="default"/>
        </w:rPr>
        <w:t>2%</w:t>
      </w:r>
      <w:r>
        <w:rPr/>
        <w:t>每月向该等计划缴存费用。除上述每月缴存费用外，本公司不再承担进一步支付义务。</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46"/>
        <w:jc w:val="left"/>
      </w:pPr>
      <w:r>
        <w:rPr/>
        <w:t>相应的支出于发生时计入当期损益或相关资产的成本。</w:t>
      </w:r>
    </w:p>
    <w:p>
      <w:pPr>
        <w:spacing w:line="240" w:lineRule="auto" w:before="0"/>
        <w:rPr>
          <w:rFonts w:ascii="宋体" w:hAnsi="宋体" w:cs="宋体" w:eastAsia="宋体" w:hint="default"/>
          <w:sz w:val="20"/>
          <w:szCs w:val="20"/>
        </w:rPr>
      </w:pPr>
    </w:p>
    <w:p>
      <w:pPr>
        <w:pStyle w:val="Heading3"/>
        <w:spacing w:line="240" w:lineRule="auto" w:before="154"/>
        <w:ind w:left="153" w:right="1046"/>
        <w:jc w:val="left"/>
        <w:rPr>
          <w:b w:val="0"/>
          <w:bCs w:val="0"/>
        </w:rPr>
      </w:pPr>
      <w:bookmarkStart w:name="26、应交税费" w:id="300"/>
      <w:bookmarkEnd w:id="300"/>
      <w:r>
        <w:rPr>
          <w:b w:val="0"/>
          <w:bCs w:val="0"/>
        </w:rPr>
      </w:r>
      <w:r>
        <w:rPr>
          <w:rFonts w:ascii="Times New Roman" w:hAnsi="Times New Roman" w:cs="Times New Roman" w:eastAsia="Times New Roman" w:hint="default"/>
        </w:rPr>
        <w:t>26</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2,186,884.25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1,697,044.40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132,066.23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131,023.96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8,197,151.79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23,788,509.60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3,293,116.56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3,204,883.64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1,258,874.99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1,120,387.63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927,039.18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833,350.40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1,062,761.87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887,175.84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堤围费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43,960.64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772,778.75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738,183.67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17,830,673.62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32,444,519.78</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7、应付利息" w:id="301"/>
      <w:bookmarkEnd w:id="301"/>
      <w:r>
        <w:rPr>
          <w:b w:val="0"/>
          <w:bCs w:val="0"/>
        </w:rPr>
      </w:r>
      <w:r>
        <w:rPr>
          <w:rFonts w:ascii="Times New Roman" w:hAnsi="Times New Roman" w:cs="Times New Roman" w:eastAsia="Times New Roman" w:hint="default"/>
        </w:rPr>
        <w:t>27</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分期付息到期还本的长期借款利息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383,282.47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398,520.00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1,049,046.39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781,802.47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1,049,046.39</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8、其他应付款" w:id="302"/>
      <w:bookmarkEnd w:id="302"/>
      <w:r>
        <w:rPr>
          <w:b w:val="0"/>
          <w:bCs w:val="0"/>
        </w:rPr>
      </w:r>
      <w:r>
        <w:rPr>
          <w:rFonts w:ascii="Times New Roman" w:hAnsi="Times New Roman" w:cs="Times New Roman" w:eastAsia="Times New Roman" w:hint="default"/>
        </w:rPr>
        <w:t>28</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6"/>
        <w:jc w:val="left"/>
        <w:rPr>
          <w:b w:val="0"/>
          <w:bCs w:val="0"/>
        </w:rPr>
      </w:pPr>
      <w:bookmarkStart w:name="（1）按款项性质列示其他应付款" w:id="303"/>
      <w:bookmarkEnd w:id="303"/>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14,396,307.67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18,206,181.90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应付运输费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4,139,092.74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2,874,390.58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3,624,036.36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3,613,049.62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13,614,744.00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19,799,755.95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35,774,180.77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44,493,378.05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2）账龄超过1年的重要其他应付款" w:id="304"/>
      <w:bookmarkEnd w:id="304"/>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河南天海控股有限公司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11,555,735.63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鹤壁某单位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鹤壁市帝龙公司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13,555,735.63</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9、一年内到期的非流动负债" w:id="305"/>
      <w:bookmarkEnd w:id="305"/>
      <w:r>
        <w:rPr>
          <w:b w:val="0"/>
          <w:bCs w:val="0"/>
        </w:rPr>
      </w:r>
      <w:r>
        <w:rPr>
          <w:rFonts w:ascii="Times New Roman" w:hAnsi="Times New Roman" w:cs="Times New Roman" w:eastAsia="Times New Roman" w:hint="default"/>
        </w:rPr>
        <w:t>29</w:t>
      </w:r>
      <w:r>
        <w:rPr/>
        <w:t>、一年内到期的非流动负债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49,797,222.80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73,771,166.28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49,797,222.80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73,771,166.28</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74" w:right="1046"/>
        <w:jc w:val="left"/>
      </w:pPr>
      <w:r>
        <w:rPr/>
        <w:t>一年内到期的长期借款明细情况</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3222"/>
        <w:gridCol w:w="3222"/>
        <w:gridCol w:w="3224"/>
      </w:tblGrid>
      <w:tr>
        <w:trPr>
          <w:trHeight w:val="34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310"/>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年初数</w:t>
            </w:r>
          </w:p>
        </w:tc>
      </w:tr>
      <w:tr>
        <w:trPr>
          <w:trHeight w:val="34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48,064,000.00</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67,712,000.00</w:t>
            </w:r>
          </w:p>
        </w:tc>
      </w:tr>
      <w:tr>
        <w:trPr>
          <w:trHeight w:val="34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left="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1,733,222.80</w:t>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4"/>
              <w:jc w:val="right"/>
              <w:rPr>
                <w:rFonts w:ascii="Times New Roman" w:hAnsi="Times New Roman" w:cs="Times New Roman" w:eastAsia="Times New Roman" w:hint="default"/>
                <w:sz w:val="21"/>
                <w:szCs w:val="21"/>
              </w:rPr>
            </w:pPr>
            <w:r>
              <w:rPr>
                <w:rFonts w:ascii="Times New Roman"/>
                <w:spacing w:val="-1"/>
                <w:sz w:val="21"/>
              </w:rPr>
              <w:t>6,059,166.28</w:t>
            </w:r>
          </w:p>
        </w:tc>
      </w:tr>
      <w:tr>
        <w:trPr>
          <w:trHeight w:val="342" w:hRule="exact"/>
        </w:trPr>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71" w:lineRule="exact"/>
              <w:ind w:right="1310"/>
              <w:jc w:val="righ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3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b/>
                <w:spacing w:val="-1"/>
                <w:sz w:val="18"/>
              </w:rPr>
              <w:t>49,797,222.80</w:t>
            </w:r>
            <w:r>
              <w:rPr>
                <w:rFonts w:ascii="Times New Roman"/>
                <w:spacing w:val="-1"/>
                <w:sz w:val="18"/>
              </w:rPr>
            </w:r>
          </w:p>
        </w:tc>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
              <w:jc w:val="right"/>
              <w:rPr>
                <w:rFonts w:ascii="Times New Roman" w:hAnsi="Times New Roman" w:cs="Times New Roman" w:eastAsia="Times New Roman" w:hint="default"/>
                <w:sz w:val="21"/>
                <w:szCs w:val="21"/>
              </w:rPr>
            </w:pPr>
            <w:r>
              <w:rPr>
                <w:rFonts w:ascii="Times New Roman"/>
                <w:sz w:val="21"/>
              </w:rPr>
              <w:t>73,771,166.28</w:t>
            </w:r>
          </w:p>
        </w:tc>
      </w:tr>
    </w:tbl>
    <w:p>
      <w:pPr>
        <w:pStyle w:val="BodyText"/>
        <w:spacing w:line="408" w:lineRule="auto" w:before="63"/>
        <w:ind w:left="573" w:right="4873"/>
        <w:jc w:val="left"/>
      </w:pPr>
      <w:r>
        <w:rPr/>
        <w:t>注：一年内到期的长期借款中无逾期借款获得展期的借款。 金额前五名的一年内到期的长期借款</w:t>
      </w:r>
    </w:p>
    <w:tbl>
      <w:tblPr>
        <w:tblW w:w="0" w:type="auto"/>
        <w:jc w:val="left"/>
        <w:tblInd w:w="149" w:type="dxa"/>
        <w:tblLayout w:type="fixed"/>
        <w:tblCellMar>
          <w:top w:w="0" w:type="dxa"/>
          <w:left w:w="0" w:type="dxa"/>
          <w:bottom w:w="0" w:type="dxa"/>
          <w:right w:w="0" w:type="dxa"/>
        </w:tblCellMar>
        <w:tblLook w:val="01E0"/>
      </w:tblPr>
      <w:tblGrid>
        <w:gridCol w:w="1702"/>
        <w:gridCol w:w="1080"/>
        <w:gridCol w:w="1080"/>
        <w:gridCol w:w="720"/>
        <w:gridCol w:w="540"/>
        <w:gridCol w:w="1080"/>
        <w:gridCol w:w="1185"/>
        <w:gridCol w:w="1080"/>
        <w:gridCol w:w="1180"/>
      </w:tblGrid>
      <w:tr>
        <w:trPr>
          <w:trHeight w:val="342" w:hRule="exact"/>
        </w:trPr>
        <w:tc>
          <w:tcPr>
            <w:tcW w:w="1702" w:type="dxa"/>
            <w:vMerge w:val="restart"/>
            <w:tcBorders>
              <w:top w:val="single" w:sz="4" w:space="0" w:color="000000"/>
              <w:left w:val="single" w:sz="4" w:space="0" w:color="000000"/>
              <w:right w:val="single" w:sz="4" w:space="0" w:color="000000"/>
            </w:tcBorders>
          </w:tcPr>
          <w:p>
            <w:pPr>
              <w:pStyle w:val="TableParagraph"/>
              <w:spacing w:line="250" w:lineRule="exact"/>
              <w:ind w:left="445" w:right="0"/>
              <w:jc w:val="left"/>
              <w:rPr>
                <w:rFonts w:ascii="宋体" w:hAnsi="宋体" w:cs="宋体" w:eastAsia="宋体" w:hint="default"/>
                <w:sz w:val="20"/>
                <w:szCs w:val="20"/>
              </w:rPr>
            </w:pPr>
            <w:r>
              <w:rPr>
                <w:rFonts w:ascii="宋体" w:hAnsi="宋体" w:cs="宋体" w:eastAsia="宋体" w:hint="default"/>
                <w:sz w:val="20"/>
                <w:szCs w:val="20"/>
              </w:rPr>
              <w:t>贷款单位</w:t>
            </w:r>
          </w:p>
        </w:tc>
        <w:tc>
          <w:tcPr>
            <w:tcW w:w="1080" w:type="dxa"/>
            <w:vMerge w:val="restart"/>
            <w:tcBorders>
              <w:top w:val="single" w:sz="4" w:space="0" w:color="000000"/>
              <w:left w:val="single" w:sz="4" w:space="0" w:color="000000"/>
              <w:right w:val="single" w:sz="4" w:space="0" w:color="000000"/>
            </w:tcBorders>
          </w:tcPr>
          <w:p>
            <w:pPr>
              <w:pStyle w:val="TableParagraph"/>
              <w:spacing w:line="250" w:lineRule="exact"/>
              <w:ind w:left="34" w:right="0"/>
              <w:jc w:val="left"/>
              <w:rPr>
                <w:rFonts w:ascii="宋体" w:hAnsi="宋体" w:cs="宋体" w:eastAsia="宋体" w:hint="default"/>
                <w:sz w:val="20"/>
                <w:szCs w:val="20"/>
              </w:rPr>
            </w:pPr>
            <w:r>
              <w:rPr>
                <w:rFonts w:ascii="宋体" w:hAnsi="宋体" w:cs="宋体" w:eastAsia="宋体" w:hint="default"/>
                <w:sz w:val="20"/>
                <w:szCs w:val="20"/>
              </w:rPr>
              <w:t>借款起始日</w:t>
            </w:r>
          </w:p>
        </w:tc>
        <w:tc>
          <w:tcPr>
            <w:tcW w:w="1080" w:type="dxa"/>
            <w:vMerge w:val="restart"/>
            <w:tcBorders>
              <w:top w:val="single" w:sz="4" w:space="0" w:color="000000"/>
              <w:left w:val="single" w:sz="4" w:space="0" w:color="000000"/>
              <w:right w:val="single" w:sz="4" w:space="0" w:color="000000"/>
            </w:tcBorders>
          </w:tcPr>
          <w:p>
            <w:pPr>
              <w:pStyle w:val="TableParagraph"/>
              <w:spacing w:line="250" w:lineRule="exact"/>
              <w:ind w:left="34" w:right="0"/>
              <w:jc w:val="left"/>
              <w:rPr>
                <w:rFonts w:ascii="宋体" w:hAnsi="宋体" w:cs="宋体" w:eastAsia="宋体" w:hint="default"/>
                <w:sz w:val="20"/>
                <w:szCs w:val="20"/>
              </w:rPr>
            </w:pPr>
            <w:r>
              <w:rPr>
                <w:rFonts w:ascii="宋体" w:hAnsi="宋体" w:cs="宋体" w:eastAsia="宋体" w:hint="default"/>
                <w:sz w:val="20"/>
                <w:szCs w:val="20"/>
              </w:rPr>
              <w:t>借款终止日</w:t>
            </w:r>
          </w:p>
        </w:tc>
        <w:tc>
          <w:tcPr>
            <w:tcW w:w="720" w:type="dxa"/>
            <w:vMerge w:val="restart"/>
            <w:tcBorders>
              <w:top w:val="single" w:sz="4" w:space="0" w:color="000000"/>
              <w:left w:val="single" w:sz="4" w:space="0" w:color="000000"/>
              <w:right w:val="single" w:sz="4" w:space="0" w:color="000000"/>
            </w:tcBorders>
          </w:tcPr>
          <w:p>
            <w:pPr>
              <w:pStyle w:val="TableParagraph"/>
              <w:spacing w:line="250" w:lineRule="exact"/>
              <w:ind w:left="154" w:right="0"/>
              <w:jc w:val="left"/>
              <w:rPr>
                <w:rFonts w:ascii="宋体" w:hAnsi="宋体" w:cs="宋体" w:eastAsia="宋体" w:hint="default"/>
                <w:sz w:val="20"/>
                <w:szCs w:val="20"/>
              </w:rPr>
            </w:pPr>
            <w:r>
              <w:rPr>
                <w:rFonts w:ascii="宋体" w:hAnsi="宋体" w:cs="宋体" w:eastAsia="宋体" w:hint="default"/>
                <w:sz w:val="20"/>
                <w:szCs w:val="20"/>
              </w:rPr>
              <w:t>利率</w:t>
            </w:r>
          </w:p>
          <w:p>
            <w:pPr>
              <w:pStyle w:val="TableParagraph"/>
              <w:spacing w:line="240" w:lineRule="auto" w:before="50"/>
              <w:ind w:left="70" w:right="0"/>
              <w:jc w:val="left"/>
              <w:rPr>
                <w:rFonts w:ascii="宋体" w:hAnsi="宋体" w:cs="宋体" w:eastAsia="宋体" w:hint="default"/>
                <w:sz w:val="20"/>
                <w:szCs w:val="20"/>
              </w:rPr>
            </w:pPr>
            <w:r>
              <w:rPr>
                <w:rFonts w:ascii="宋体" w:hAnsi="宋体" w:cs="宋体" w:eastAsia="宋体" w:hint="default"/>
                <w:sz w:val="20"/>
                <w:szCs w:val="20"/>
              </w:rPr>
              <w:t>（</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540" w:type="dxa"/>
            <w:vMerge w:val="restart"/>
            <w:tcBorders>
              <w:top w:val="single" w:sz="4" w:space="0" w:color="000000"/>
              <w:left w:val="single" w:sz="4" w:space="0" w:color="000000"/>
              <w:right w:val="single" w:sz="4" w:space="0" w:color="000000"/>
            </w:tcBorders>
          </w:tcPr>
          <w:p>
            <w:pPr>
              <w:pStyle w:val="TableParagraph"/>
              <w:spacing w:line="250" w:lineRule="exact"/>
              <w:ind w:left="64" w:right="0"/>
              <w:jc w:val="left"/>
              <w:rPr>
                <w:rFonts w:ascii="宋体" w:hAnsi="宋体" w:cs="宋体" w:eastAsia="宋体" w:hint="default"/>
                <w:sz w:val="20"/>
                <w:szCs w:val="20"/>
              </w:rPr>
            </w:pPr>
            <w:r>
              <w:rPr>
                <w:rFonts w:ascii="宋体" w:hAnsi="宋体" w:cs="宋体" w:eastAsia="宋体" w:hint="default"/>
                <w:sz w:val="20"/>
                <w:szCs w:val="20"/>
              </w:rPr>
              <w:t>币种</w:t>
            </w:r>
          </w:p>
        </w:tc>
        <w:tc>
          <w:tcPr>
            <w:tcW w:w="2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期末数</w:t>
            </w:r>
          </w:p>
        </w:tc>
        <w:tc>
          <w:tcPr>
            <w:tcW w:w="2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年初数</w:t>
            </w:r>
          </w:p>
        </w:tc>
      </w:tr>
      <w:tr>
        <w:trPr>
          <w:trHeight w:val="342" w:hRule="exact"/>
        </w:trPr>
        <w:tc>
          <w:tcPr>
            <w:tcW w:w="1702"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108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34"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87" w:right="0"/>
              <w:jc w:val="left"/>
              <w:rPr>
                <w:rFonts w:ascii="宋体" w:hAnsi="宋体" w:cs="宋体" w:eastAsia="宋体" w:hint="default"/>
                <w:sz w:val="20"/>
                <w:szCs w:val="20"/>
              </w:rPr>
            </w:pPr>
            <w:r>
              <w:rPr>
                <w:rFonts w:ascii="宋体" w:hAnsi="宋体" w:cs="宋体" w:eastAsia="宋体" w:hint="default"/>
                <w:sz w:val="20"/>
                <w:szCs w:val="20"/>
              </w:rPr>
              <w:t>本币金额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34" w:right="0"/>
              <w:jc w:val="left"/>
              <w:rPr>
                <w:rFonts w:ascii="宋体" w:hAnsi="宋体" w:cs="宋体" w:eastAsia="宋体" w:hint="default"/>
                <w:sz w:val="20"/>
                <w:szCs w:val="20"/>
              </w:rPr>
            </w:pPr>
            <w:r>
              <w:rPr>
                <w:rFonts w:ascii="宋体" w:hAnsi="宋体" w:cs="宋体" w:eastAsia="宋体" w:hint="default"/>
                <w:sz w:val="20"/>
                <w:szCs w:val="20"/>
              </w:rPr>
              <w:t>外币金额</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83" w:right="0"/>
              <w:jc w:val="left"/>
              <w:rPr>
                <w:rFonts w:ascii="宋体" w:hAnsi="宋体" w:cs="宋体" w:eastAsia="宋体" w:hint="default"/>
                <w:sz w:val="20"/>
                <w:szCs w:val="20"/>
              </w:rPr>
            </w:pPr>
            <w:r>
              <w:rPr>
                <w:rFonts w:ascii="宋体" w:hAnsi="宋体" w:cs="宋体" w:eastAsia="宋体" w:hint="default"/>
                <w:sz w:val="20"/>
                <w:szCs w:val="20"/>
              </w:rPr>
              <w:t>本币金额</w:t>
            </w:r>
          </w:p>
        </w:tc>
      </w:tr>
      <w:tr>
        <w:trPr>
          <w:trHeight w:val="65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ind w:left="4" w:right="84"/>
              <w:jc w:val="left"/>
              <w:rPr>
                <w:rFonts w:ascii="宋体" w:hAnsi="宋体" w:cs="宋体" w:eastAsia="宋体" w:hint="default"/>
                <w:sz w:val="20"/>
                <w:szCs w:val="20"/>
              </w:rPr>
            </w:pPr>
            <w:r>
              <w:rPr>
                <w:rFonts w:ascii="宋体" w:hAnsi="宋体" w:cs="宋体" w:eastAsia="宋体" w:hint="default"/>
                <w:sz w:val="20"/>
                <w:szCs w:val="20"/>
              </w:rPr>
              <w:t>哈尔滨交通银行道</w:t>
            </w:r>
            <w:r>
              <w:rPr>
                <w:rFonts w:ascii="宋体" w:hAnsi="宋体" w:cs="宋体" w:eastAsia="宋体" w:hint="default"/>
                <w:w w:val="100"/>
                <w:sz w:val="20"/>
                <w:szCs w:val="20"/>
              </w:rPr>
              <w:t> </w:t>
            </w:r>
            <w:r>
              <w:rPr>
                <w:rFonts w:ascii="宋体" w:hAnsi="宋体" w:cs="宋体" w:eastAsia="宋体" w:hint="default"/>
                <w:sz w:val="20"/>
                <w:szCs w:val="20"/>
              </w:rPr>
              <w:t>里支行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2012.6.25</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2016.04.23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8"/>
              <w:jc w:val="right"/>
              <w:rPr>
                <w:rFonts w:ascii="Times New Roman" w:hAnsi="Times New Roman" w:cs="Times New Roman" w:eastAsia="Times New Roman" w:hint="default"/>
                <w:sz w:val="20"/>
                <w:szCs w:val="20"/>
              </w:rPr>
            </w:pPr>
            <w:r>
              <w:rPr>
                <w:rFonts w:ascii="Times New Roman"/>
                <w:sz w:val="20"/>
              </w:rPr>
              <w:t>7.36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CNY</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w w:val="100"/>
                <w:sz w:val="20"/>
              </w:rPr>
              <w:t>-</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spacing w:val="-1"/>
                <w:sz w:val="20"/>
              </w:rPr>
              <w:t>39,064,000.00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w w:val="100"/>
                <w:sz w:val="20"/>
              </w:rPr>
              <w:t>-</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spacing w:val="-1"/>
                <w:sz w:val="20"/>
              </w:rPr>
              <w:t>67,712,000.00</w:t>
            </w:r>
          </w:p>
        </w:tc>
      </w:tr>
      <w:tr>
        <w:trPr>
          <w:trHeight w:val="3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left"/>
              <w:rPr>
                <w:rFonts w:ascii="宋体" w:hAnsi="宋体" w:cs="宋体" w:eastAsia="宋体" w:hint="default"/>
                <w:sz w:val="20"/>
                <w:szCs w:val="20"/>
              </w:rPr>
            </w:pPr>
            <w:r>
              <w:rPr>
                <w:rFonts w:ascii="宋体" w:hAnsi="宋体" w:cs="宋体" w:eastAsia="宋体" w:hint="default"/>
                <w:sz w:val="20"/>
                <w:szCs w:val="20"/>
              </w:rPr>
              <w:t>交通银行东门支行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2013.10.17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2018.10.16</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8"/>
              <w:jc w:val="right"/>
              <w:rPr>
                <w:rFonts w:ascii="Times New Roman" w:hAnsi="Times New Roman" w:cs="Times New Roman" w:eastAsia="Times New Roman" w:hint="default"/>
                <w:sz w:val="20"/>
                <w:szCs w:val="20"/>
              </w:rPr>
            </w:pPr>
            <w:r>
              <w:rPr>
                <w:rFonts w:ascii="Times New Roman"/>
                <w:sz w:val="20"/>
              </w:rPr>
              <w:t>7.36</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CNY</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w w:val="100"/>
                <w:sz w:val="20"/>
              </w:rPr>
              <w:t>-</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spacing w:val="-1"/>
                <w:sz w:val="20"/>
              </w:rPr>
              <w:t>9,000,000.00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w w:val="100"/>
                <w:sz w:val="20"/>
              </w:rPr>
              <w:t>-</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spacing w:val="-1"/>
                <w:sz w:val="20"/>
              </w:rPr>
              <w:t>3,000,000.00</w:t>
            </w:r>
          </w:p>
        </w:tc>
      </w:tr>
      <w:tr>
        <w:trPr>
          <w:trHeight w:val="3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left"/>
              <w:rPr>
                <w:rFonts w:ascii="宋体" w:hAnsi="宋体" w:cs="宋体" w:eastAsia="宋体" w:hint="default"/>
                <w:sz w:val="20"/>
                <w:szCs w:val="20"/>
              </w:rPr>
            </w:pPr>
            <w:r>
              <w:rPr>
                <w:rFonts w:ascii="宋体" w:hAnsi="宋体" w:cs="宋体" w:eastAsia="宋体" w:hint="default"/>
                <w:sz w:val="20"/>
                <w:szCs w:val="20"/>
              </w:rPr>
              <w:t>南洋商业银行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2009.11.04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2014.11.3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8"/>
              <w:jc w:val="right"/>
              <w:rPr>
                <w:rFonts w:ascii="Times New Roman" w:hAnsi="Times New Roman" w:cs="Times New Roman" w:eastAsia="Times New Roman" w:hint="default"/>
                <w:sz w:val="20"/>
                <w:szCs w:val="20"/>
              </w:rPr>
            </w:pPr>
            <w:r>
              <w:rPr>
                <w:rFonts w:ascii="Times New Roman"/>
                <w:sz w:val="20"/>
              </w:rPr>
              <w:t>4.00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HKD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w w:val="100"/>
                <w:sz w:val="20"/>
              </w:rPr>
              <w:t>-</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w w:val="100"/>
                <w:sz w:val="20"/>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spacing w:val="-1"/>
                <w:sz w:val="20"/>
              </w:rPr>
              <w:t>1,588,639.66</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spacing w:val="-1"/>
                <w:sz w:val="20"/>
              </w:rPr>
              <w:t>1,248,988.50</w:t>
            </w:r>
          </w:p>
        </w:tc>
      </w:tr>
      <w:tr>
        <w:trPr>
          <w:trHeight w:val="34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4" w:right="0"/>
              <w:jc w:val="left"/>
              <w:rPr>
                <w:rFonts w:ascii="宋体" w:hAnsi="宋体" w:cs="宋体" w:eastAsia="宋体" w:hint="default"/>
                <w:sz w:val="20"/>
                <w:szCs w:val="20"/>
              </w:rPr>
            </w:pPr>
            <w:r>
              <w:rPr>
                <w:rFonts w:ascii="宋体" w:hAnsi="宋体" w:cs="宋体" w:eastAsia="宋体" w:hint="default"/>
                <w:sz w:val="20"/>
                <w:szCs w:val="20"/>
              </w:rPr>
              <w:t>南洋商业银行</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2012.12.03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Times New Roman" w:hAnsi="Times New Roman" w:cs="Times New Roman" w:eastAsia="Times New Roman" w:hint="default"/>
                <w:sz w:val="20"/>
                <w:szCs w:val="20"/>
              </w:rPr>
            </w:pPr>
            <w:r>
              <w:rPr>
                <w:rFonts w:ascii="Times New Roman"/>
                <w:sz w:val="20"/>
              </w:rPr>
              <w:t>2017.12.03</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78"/>
              <w:jc w:val="right"/>
              <w:rPr>
                <w:rFonts w:ascii="Times New Roman" w:hAnsi="Times New Roman" w:cs="Times New Roman" w:eastAsia="Times New Roman" w:hint="default"/>
                <w:sz w:val="20"/>
                <w:szCs w:val="20"/>
              </w:rPr>
            </w:pPr>
            <w:r>
              <w:rPr>
                <w:rFonts w:ascii="Times New Roman"/>
                <w:sz w:val="20"/>
              </w:rPr>
              <w:t>4.00</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Times New Roman" w:hAnsi="Times New Roman" w:cs="Times New Roman" w:eastAsia="Times New Roman" w:hint="default"/>
                <w:sz w:val="20"/>
                <w:szCs w:val="20"/>
              </w:rPr>
            </w:pPr>
            <w:r>
              <w:rPr>
                <w:rFonts w:ascii="Times New Roman"/>
                <w:sz w:val="20"/>
              </w:rPr>
              <w:t>HKD</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spacing w:val="-1"/>
                <w:sz w:val="20"/>
              </w:rPr>
              <w:t>2,197,012.04</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spacing w:val="-1"/>
                <w:sz w:val="20"/>
              </w:rPr>
              <w:t>1,733,222.80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spacing w:val="-1"/>
                <w:sz w:val="20"/>
              </w:rPr>
              <w:t>2,302,439.30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spacing w:val="-1"/>
                <w:sz w:val="20"/>
              </w:rPr>
              <w:t>1,810,177.78</w:t>
            </w:r>
          </w:p>
        </w:tc>
      </w:tr>
      <w:tr>
        <w:trPr>
          <w:trHeight w:val="34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20"/>
                <w:sz w:val="20"/>
                <w:szCs w:val="20"/>
              </w:rPr>
              <w:t> </w:t>
            </w:r>
            <w:r>
              <w:rPr>
                <w:rFonts w:ascii="宋体" w:hAnsi="宋体" w:cs="宋体" w:eastAsia="宋体" w:hint="default"/>
                <w:sz w:val="20"/>
                <w:szCs w:val="20"/>
              </w:rPr>
              <w:t>计</w:t>
            </w:r>
          </w:p>
        </w:tc>
        <w:tc>
          <w:tcPr>
            <w:tcW w:w="108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
        </w:tc>
        <w:tc>
          <w:tcPr>
            <w:tcW w:w="72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w w:val="100"/>
                <w:sz w:val="20"/>
              </w:rPr>
              <w:t>-</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right"/>
              <w:rPr>
                <w:rFonts w:ascii="Times New Roman" w:hAnsi="Times New Roman" w:cs="Times New Roman" w:eastAsia="Times New Roman" w:hint="default"/>
                <w:sz w:val="20"/>
                <w:szCs w:val="20"/>
              </w:rPr>
            </w:pPr>
            <w:r>
              <w:rPr>
                <w:rFonts w:ascii="Times New Roman"/>
                <w:spacing w:val="-1"/>
                <w:sz w:val="20"/>
              </w:rPr>
              <w:t>49,797,222.80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w w:val="100"/>
                <w:sz w:val="20"/>
              </w:rPr>
              <w:t>-</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3"/>
              <w:jc w:val="right"/>
              <w:rPr>
                <w:rFonts w:ascii="Times New Roman" w:hAnsi="Times New Roman" w:cs="Times New Roman" w:eastAsia="Times New Roman" w:hint="default"/>
                <w:sz w:val="20"/>
                <w:szCs w:val="20"/>
              </w:rPr>
            </w:pPr>
            <w:r>
              <w:rPr>
                <w:rFonts w:ascii="Times New Roman"/>
                <w:spacing w:val="-1"/>
                <w:sz w:val="20"/>
              </w:rPr>
              <w:t>73,771,166.28</w:t>
            </w:r>
          </w:p>
        </w:tc>
      </w:tr>
    </w:tbl>
    <w:p>
      <w:pPr>
        <w:spacing w:line="240" w:lineRule="auto" w:before="12"/>
        <w:rPr>
          <w:rFonts w:ascii="宋体" w:hAnsi="宋体" w:cs="宋体" w:eastAsia="宋体" w:hint="default"/>
          <w:sz w:val="17"/>
          <w:szCs w:val="17"/>
        </w:rPr>
      </w:pPr>
    </w:p>
    <w:p>
      <w:pPr>
        <w:pStyle w:val="Heading3"/>
        <w:spacing w:line="240" w:lineRule="auto" w:before="35"/>
        <w:ind w:right="1046"/>
        <w:jc w:val="left"/>
        <w:rPr>
          <w:b w:val="0"/>
          <w:bCs w:val="0"/>
        </w:rPr>
      </w:pPr>
      <w:bookmarkStart w:name="30、其他流动负债" w:id="306"/>
      <w:bookmarkEnd w:id="306"/>
      <w:r>
        <w:rPr>
          <w:b w:val="0"/>
          <w:bCs w:val="0"/>
        </w:rPr>
      </w:r>
      <w:r>
        <w:rPr>
          <w:rFonts w:ascii="Times New Roman" w:hAnsi="Times New Roman" w:cs="Times New Roman" w:eastAsia="Times New Roman" w:hint="default"/>
        </w:rPr>
        <w:t>30</w:t>
      </w:r>
      <w:r>
        <w:rPr/>
        <w:t>、其他流动负债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1,949,187.22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1,998,047.27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1,949,187.22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1,998,047.27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240" w:lineRule="auto" w:before="0"/>
        <w:ind w:left="573" w:right="1046"/>
        <w:jc w:val="left"/>
      </w:pPr>
      <w:r>
        <w:rPr/>
        <w:t>其他流动负债系德国子公司需在以后期间确认的项目服务费收入。</w:t>
      </w:r>
    </w:p>
    <w:p>
      <w:pPr>
        <w:spacing w:line="240" w:lineRule="auto" w:before="0"/>
        <w:rPr>
          <w:rFonts w:ascii="宋体" w:hAnsi="宋体" w:cs="宋体" w:eastAsia="宋体" w:hint="default"/>
          <w:sz w:val="20"/>
          <w:szCs w:val="20"/>
        </w:rPr>
      </w:pPr>
    </w:p>
    <w:p>
      <w:pPr>
        <w:pStyle w:val="Heading3"/>
        <w:spacing w:line="240" w:lineRule="auto" w:before="154"/>
        <w:ind w:left="153" w:right="1046"/>
        <w:jc w:val="left"/>
        <w:rPr>
          <w:b w:val="0"/>
          <w:bCs w:val="0"/>
        </w:rPr>
      </w:pPr>
      <w:bookmarkStart w:name="31、长期借款" w:id="307"/>
      <w:bookmarkEnd w:id="307"/>
      <w:r>
        <w:rPr>
          <w:b w:val="0"/>
          <w:bCs w:val="0"/>
        </w:rPr>
      </w:r>
      <w:r>
        <w:rPr>
          <w:rFonts w:ascii="Times New Roman" w:hAnsi="Times New Roman" w:cs="Times New Roman" w:eastAsia="Times New Roman" w:hint="default"/>
        </w:rPr>
        <w:t>31</w:t>
      </w:r>
      <w:r>
        <w:rPr/>
        <w:t>、长期借款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6"/>
        <w:jc w:val="left"/>
        <w:rPr>
          <w:b w:val="0"/>
          <w:bCs w:val="0"/>
        </w:rPr>
      </w:pPr>
      <w:bookmarkStart w:name="（1）长期借款分类" w:id="308"/>
      <w:bookmarkEnd w:id="308"/>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409,042,483.85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154,545,339.85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5,905,116.92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8,944,073.01</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减：一年内到期的长期借款（附注六、</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40</w:t>
            </w:r>
            <w:r>
              <w:rPr>
                <w:rFonts w:ascii="宋体" w:hAnsi="宋体" w:cs="宋体" w:eastAsia="宋体" w:hint="default"/>
                <w:sz w:val="18"/>
                <w:szCs w:val="18"/>
              </w:rPr>
              <w:t>）</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-49,797,222.80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-73,771,166.28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365,150,377.97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89,718,246.58</w:t>
            </w:r>
          </w:p>
        </w:tc>
      </w:tr>
    </w:tbl>
    <w:p>
      <w:pPr>
        <w:spacing w:line="360" w:lineRule="auto" w:before="51"/>
        <w:ind w:left="154" w:right="8592" w:firstLine="0"/>
        <w:jc w:val="left"/>
        <w:rPr>
          <w:rFonts w:ascii="宋体" w:hAnsi="宋体" w:cs="宋体" w:eastAsia="宋体" w:hint="default"/>
          <w:sz w:val="18"/>
          <w:szCs w:val="18"/>
        </w:rPr>
      </w:pPr>
      <w:r>
        <w:rPr>
          <w:rFonts w:ascii="宋体" w:hAnsi="宋体" w:cs="宋体" w:eastAsia="宋体" w:hint="default"/>
          <w:sz w:val="18"/>
          <w:szCs w:val="18"/>
        </w:rPr>
        <w:t>长期借款分类的说明： 其他说明，包括利率区间：</w:t>
      </w:r>
    </w:p>
    <w:p>
      <w:pPr>
        <w:pStyle w:val="BodyText"/>
        <w:spacing w:line="240" w:lineRule="auto" w:before="77"/>
        <w:ind w:left="574" w:right="1046"/>
        <w:jc w:val="left"/>
      </w:pPr>
      <w:r>
        <w:rPr/>
        <w:t>金额前五名的长期借款</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730"/>
        <w:gridCol w:w="992"/>
        <w:gridCol w:w="992"/>
        <w:gridCol w:w="710"/>
        <w:gridCol w:w="708"/>
        <w:gridCol w:w="1134"/>
        <w:gridCol w:w="1134"/>
        <w:gridCol w:w="1134"/>
        <w:gridCol w:w="1134"/>
      </w:tblGrid>
      <w:tr>
        <w:trPr>
          <w:trHeight w:val="342" w:hRule="exact"/>
        </w:trPr>
        <w:tc>
          <w:tcPr>
            <w:tcW w:w="1730" w:type="dxa"/>
            <w:vMerge w:val="restart"/>
            <w:tcBorders>
              <w:top w:val="single" w:sz="4" w:space="0" w:color="000000"/>
              <w:left w:val="single" w:sz="4" w:space="0" w:color="000000"/>
              <w:right w:val="single" w:sz="4" w:space="0" w:color="000000"/>
            </w:tcBorders>
          </w:tcPr>
          <w:p>
            <w:pPr>
              <w:pStyle w:val="TableParagraph"/>
              <w:spacing w:line="240" w:lineRule="auto" w:before="21"/>
              <w:ind w:left="499"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1"/>
              <w:ind w:left="40"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21"/>
              <w:ind w:left="41"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710" w:type="dxa"/>
            <w:vMerge w:val="restart"/>
            <w:tcBorders>
              <w:top w:val="single" w:sz="4" w:space="0" w:color="000000"/>
              <w:left w:val="single" w:sz="4" w:space="0" w:color="000000"/>
              <w:right w:val="single" w:sz="4" w:space="0" w:color="000000"/>
            </w:tcBorders>
          </w:tcPr>
          <w:p>
            <w:pPr>
              <w:pStyle w:val="TableParagraph"/>
              <w:spacing w:line="240" w:lineRule="auto" w:before="21"/>
              <w:ind w:left="169" w:right="0"/>
              <w:jc w:val="left"/>
              <w:rPr>
                <w:rFonts w:ascii="宋体" w:hAnsi="宋体" w:cs="宋体" w:eastAsia="宋体" w:hint="default"/>
                <w:sz w:val="18"/>
                <w:szCs w:val="18"/>
              </w:rPr>
            </w:pPr>
            <w:r>
              <w:rPr>
                <w:rFonts w:ascii="宋体" w:hAnsi="宋体" w:cs="宋体" w:eastAsia="宋体" w:hint="default"/>
                <w:sz w:val="18"/>
                <w:szCs w:val="18"/>
              </w:rPr>
              <w:t>利率</w:t>
            </w:r>
          </w:p>
          <w:p>
            <w:pPr>
              <w:pStyle w:val="TableParagraph"/>
              <w:spacing w:line="240" w:lineRule="auto" w:before="76"/>
              <w:ind w:left="9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21"/>
              <w:ind w:left="16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年初数</w:t>
            </w:r>
          </w:p>
        </w:tc>
      </w:tr>
      <w:tr>
        <w:trPr>
          <w:trHeight w:val="342" w:hRule="exact"/>
        </w:trPr>
        <w:tc>
          <w:tcPr>
            <w:tcW w:w="173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710"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1"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1"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01" w:right="0"/>
              <w:jc w:val="left"/>
              <w:rPr>
                <w:rFonts w:ascii="宋体" w:hAnsi="宋体" w:cs="宋体" w:eastAsia="宋体" w:hint="default"/>
                <w:sz w:val="18"/>
                <w:szCs w:val="18"/>
              </w:rPr>
            </w:pPr>
            <w:r>
              <w:rPr>
                <w:rFonts w:ascii="宋体" w:hAnsi="宋体" w:cs="宋体" w:eastAsia="宋体" w:hint="default"/>
                <w:sz w:val="18"/>
                <w:szCs w:val="18"/>
              </w:rPr>
              <w:t>本币金额</w:t>
            </w:r>
          </w:p>
        </w:tc>
      </w:tr>
      <w:tr>
        <w:trPr>
          <w:trHeight w:val="65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5"/>
              <w:jc w:val="left"/>
              <w:rPr>
                <w:rFonts w:ascii="宋体" w:hAnsi="宋体" w:cs="宋体" w:eastAsia="宋体" w:hint="default"/>
                <w:sz w:val="18"/>
                <w:szCs w:val="18"/>
              </w:rPr>
            </w:pPr>
            <w:r>
              <w:rPr>
                <w:rFonts w:ascii="宋体" w:hAnsi="宋体" w:cs="宋体" w:eastAsia="宋体" w:hint="default"/>
                <w:spacing w:val="9"/>
                <w:sz w:val="18"/>
                <w:szCs w:val="18"/>
              </w:rPr>
              <w:t>哈尔滨交通银行道里</w:t>
            </w:r>
            <w:r>
              <w:rPr>
                <w:rFonts w:ascii="宋体" w:hAnsi="宋体" w:cs="宋体" w:eastAsia="宋体" w:hint="default"/>
                <w:sz w:val="18"/>
                <w:szCs w:val="18"/>
              </w:rPr>
              <w:t> 支行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2012.6.25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2016.4.23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7.36-7.6</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CNY</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10,682,000.00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43"/>
              <w:jc w:val="right"/>
              <w:rPr>
                <w:rFonts w:ascii="Times New Roman" w:hAnsi="Times New Roman" w:cs="Times New Roman" w:eastAsia="Times New Roman" w:hint="default"/>
                <w:sz w:val="18"/>
                <w:szCs w:val="18"/>
              </w:rPr>
            </w:pPr>
            <w:r>
              <w:rPr>
                <w:rFonts w:ascii="Times New Roman"/>
                <w:spacing w:val="-1"/>
                <w:sz w:val="18"/>
              </w:rPr>
              <w:t>46,597,000.00</w:t>
            </w:r>
          </w:p>
        </w:tc>
      </w:tr>
      <w:tr>
        <w:trPr>
          <w:trHeight w:val="34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南洋商业银行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2012.12.03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2017.12.03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HKD</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5,288,242.01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4,171,894.12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7,485,254.05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5,884,906.73</w:t>
            </w:r>
          </w:p>
        </w:tc>
      </w:tr>
      <w:tr>
        <w:trPr>
          <w:trHeight w:val="34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交通银行东门支行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2013.10.17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2018.10.16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7.36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CNY</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51,925,189.85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37,236,339.85</w:t>
            </w:r>
          </w:p>
        </w:tc>
      </w:tr>
      <w:tr>
        <w:trPr>
          <w:trHeight w:val="65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中国进出口银行</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2016.1.7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CNY</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295,650,000.0</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德国</w:t>
            </w:r>
            <w:r>
              <w:rPr>
                <w:rFonts w:ascii="Times New Roman" w:hAnsi="Times New Roman" w:cs="Times New Roman" w:eastAsia="Times New Roman" w:hint="default"/>
                <w:sz w:val="18"/>
                <w:szCs w:val="18"/>
              </w:rPr>
              <w:t>Kfw</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2014.11.1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2034.9.30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2.55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EUR</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365,000.00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2,721,294.00</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7"/>
                <w:sz w:val="18"/>
                <w:szCs w:val="18"/>
              </w:rPr>
              <w:t> </w:t>
            </w:r>
            <w:r>
              <w:rPr>
                <w:rFonts w:ascii="宋体" w:hAnsi="宋体" w:cs="宋体" w:eastAsia="宋体" w:hint="default"/>
                <w:sz w:val="18"/>
                <w:szCs w:val="18"/>
              </w:rPr>
              <w:t>计</w:t>
            </w:r>
          </w:p>
        </w:tc>
        <w:tc>
          <w:tcPr>
            <w:tcW w:w="992"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365,150,377.9</w:t>
            </w:r>
          </w:p>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z w:val="18"/>
              </w:rPr>
              <w:t>7</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89,718,246.58</w:t>
            </w:r>
          </w:p>
        </w:tc>
      </w:tr>
    </w:tbl>
    <w:p>
      <w:pPr>
        <w:pStyle w:val="BodyText"/>
        <w:spacing w:line="240" w:lineRule="auto" w:before="63"/>
        <w:ind w:left="574" w:right="1046"/>
        <w:jc w:val="left"/>
      </w:pPr>
      <w:r>
        <w:rPr/>
        <w:t>①</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23</w:t>
      </w:r>
      <w:r>
        <w:rPr>
          <w:rFonts w:ascii="宋体" w:hAnsi="宋体" w:cs="宋体" w:eastAsia="宋体" w:hint="default"/>
          <w:spacing w:val="-53"/>
        </w:rPr>
        <w:t> </w:t>
      </w:r>
      <w:r>
        <w:rPr/>
        <w:t>日，哈尔滨海能达科技有限公司与交通银行股份有限公司哈尔滨道里支行签订了编</w:t>
      </w:r>
    </w:p>
    <w:p>
      <w:pPr>
        <w:spacing w:line="240" w:lineRule="auto" w:before="10"/>
        <w:rPr>
          <w:rFonts w:ascii="宋体" w:hAnsi="宋体" w:cs="宋体" w:eastAsia="宋体" w:hint="default"/>
          <w:sz w:val="14"/>
          <w:szCs w:val="14"/>
        </w:rPr>
      </w:pPr>
    </w:p>
    <w:p>
      <w:pPr>
        <w:pStyle w:val="BodyText"/>
        <w:spacing w:line="240" w:lineRule="auto" w:before="0"/>
        <w:ind w:right="1046"/>
        <w:jc w:val="left"/>
        <w:rPr>
          <w:rFonts w:ascii="宋体" w:hAnsi="宋体" w:cs="宋体" w:eastAsia="宋体" w:hint="default"/>
        </w:rPr>
      </w:pPr>
      <w:r>
        <w:rPr>
          <w:spacing w:val="-5"/>
        </w:rPr>
        <w:t>号为“20120423”号固定资产贷款合同，贷款限额为人民币</w:t>
      </w:r>
      <w:r>
        <w:rPr>
          <w:spacing w:val="-46"/>
        </w:rPr>
        <w:t> </w:t>
      </w:r>
      <w:r>
        <w:rPr>
          <w:rFonts w:ascii="宋体" w:hAnsi="宋体" w:cs="宋体" w:eastAsia="宋体" w:hint="default"/>
        </w:rPr>
        <w:t>200,000,000</w:t>
      </w:r>
      <w:r>
        <w:rPr>
          <w:rFonts w:ascii="宋体" w:hAnsi="宋体" w:cs="宋体" w:eastAsia="宋体" w:hint="default"/>
          <w:spacing w:val="-46"/>
        </w:rPr>
        <w:t> </w:t>
      </w:r>
      <w:r>
        <w:rPr>
          <w:spacing w:val="-12"/>
        </w:rPr>
        <w:t>元，可分次提款，贷款期限从</w:t>
      </w:r>
      <w:r>
        <w:rPr>
          <w:spacing w:val="-46"/>
        </w:rPr>
        <w:t> </w:t>
      </w:r>
      <w:r>
        <w:rPr>
          <w:rFonts w:ascii="宋体" w:hAnsi="宋体" w:cs="宋体" w:eastAsia="宋体" w:hint="default"/>
        </w:rPr>
        <w:t>2012</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年</w:t>
      </w:r>
      <w:r>
        <w:rPr>
          <w:spacing w:val="-53"/>
        </w:rPr>
        <w:t> </w:t>
      </w:r>
      <w:r>
        <w:rPr>
          <w:rFonts w:ascii="宋体" w:hAnsi="宋体" w:cs="宋体" w:eastAsia="宋体" w:hint="default"/>
        </w:rPr>
        <w:t>4</w:t>
      </w:r>
      <w:r>
        <w:rPr>
          <w:rFonts w:ascii="宋体" w:hAnsi="宋体" w:cs="宋体" w:eastAsia="宋体" w:hint="default"/>
          <w:spacing w:val="-52"/>
        </w:rPr>
        <w:t> </w:t>
      </w:r>
      <w:r>
        <w:rPr/>
        <w:t>月</w:t>
      </w:r>
      <w:r>
        <w:rPr>
          <w:spacing w:val="-53"/>
        </w:rPr>
        <w:t> </w:t>
      </w:r>
      <w:r>
        <w:rPr>
          <w:rFonts w:ascii="宋体" w:hAnsi="宋体" w:cs="宋体" w:eastAsia="宋体" w:hint="default"/>
          <w:spacing w:val="-1"/>
        </w:rPr>
        <w:t>2</w:t>
      </w:r>
      <w:r>
        <w:rPr>
          <w:rFonts w:ascii="宋体" w:hAnsi="宋体" w:cs="宋体" w:eastAsia="宋体" w:hint="default"/>
        </w:rPr>
        <w:t>3</w:t>
      </w:r>
      <w:r>
        <w:rPr>
          <w:rFonts w:ascii="宋体" w:hAnsi="宋体" w:cs="宋体" w:eastAsia="宋体" w:hint="default"/>
          <w:spacing w:val="-52"/>
        </w:rPr>
        <w:t> </w:t>
      </w:r>
      <w:r>
        <w:rPr>
          <w:spacing w:val="-2"/>
        </w:rPr>
        <w:t>日</w:t>
      </w:r>
      <w:r>
        <w:rPr/>
        <w:t>到</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3"/>
        </w:rPr>
        <w:t> </w:t>
      </w:r>
      <w:r>
        <w:rPr/>
        <w:t>月</w:t>
      </w:r>
      <w:r>
        <w:rPr>
          <w:spacing w:val="-53"/>
        </w:rPr>
        <w:t> </w:t>
      </w:r>
      <w:r>
        <w:rPr>
          <w:rFonts w:ascii="宋体" w:hAnsi="宋体" w:cs="宋体" w:eastAsia="宋体" w:hint="default"/>
          <w:spacing w:val="-1"/>
        </w:rPr>
        <w:t>2</w:t>
      </w:r>
      <w:r>
        <w:rPr>
          <w:rFonts w:ascii="宋体" w:hAnsi="宋体" w:cs="宋体" w:eastAsia="宋体" w:hint="default"/>
        </w:rPr>
        <w:t>3</w:t>
      </w:r>
      <w:r>
        <w:rPr>
          <w:rFonts w:ascii="宋体" w:hAnsi="宋体" w:cs="宋体" w:eastAsia="宋体" w:hint="default"/>
          <w:spacing w:val="-52"/>
        </w:rPr>
        <w:t> </w:t>
      </w:r>
      <w:r>
        <w:rPr/>
        <w:t>日</w:t>
      </w:r>
      <w:r>
        <w:rPr>
          <w:spacing w:val="-26"/>
        </w:rPr>
        <w:t>，</w:t>
      </w:r>
      <w:r>
        <w:rPr/>
        <w:t>该固定资产贷款由本公</w:t>
      </w:r>
      <w:r>
        <w:rPr>
          <w:spacing w:val="-26"/>
        </w:rPr>
        <w:t>司</w:t>
      </w:r>
      <w:r>
        <w:rPr/>
        <w:t>（保证合同号为保</w:t>
      </w:r>
      <w:r>
        <w:rPr>
          <w:spacing w:val="-52"/>
        </w:rPr>
        <w:t> </w:t>
      </w:r>
      <w:r>
        <w:rPr>
          <w:rFonts w:ascii="宋体" w:hAnsi="宋体" w:cs="宋体" w:eastAsia="宋体" w:hint="default"/>
        </w:rPr>
        <w:t>20120423</w:t>
      </w:r>
      <w:r>
        <w:rPr>
          <w:rFonts w:ascii="宋体" w:hAnsi="宋体" w:cs="宋体" w:eastAsia="宋体" w:hint="default"/>
          <w:spacing w:val="-1"/>
        </w:rPr>
        <w:t>-</w:t>
      </w:r>
      <w:r>
        <w:rPr>
          <w:rFonts w:ascii="宋体" w:hAnsi="宋体" w:cs="宋体" w:eastAsia="宋体" w:hint="default"/>
        </w:rPr>
        <w:t>1</w:t>
      </w:r>
      <w:r>
        <w:rPr>
          <w:spacing w:val="-105"/>
        </w:rPr>
        <w:t>）</w:t>
      </w:r>
      <w:r>
        <w:rPr>
          <w:spacing w:val="-26"/>
        </w:rPr>
        <w:t>、</w:t>
      </w:r>
      <w:r>
        <w:rPr>
          <w:spacing w:val="-2"/>
        </w:rPr>
        <w:t>哈</w:t>
      </w:r>
      <w:r>
        <w:rPr/>
        <w:t>尔滨</w:t>
      </w:r>
      <w:r>
        <w:rPr>
          <w:spacing w:val="1"/>
        </w:rPr>
        <w:t>侨</w:t>
      </w:r>
      <w:r>
        <w:rPr/>
        <w:t>航</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rPr>
          <w:rFonts w:ascii="宋体" w:hAnsi="宋体" w:cs="宋体" w:eastAsia="宋体" w:hint="default"/>
        </w:rPr>
      </w:pPr>
      <w:r>
        <w:rPr/>
        <w:t>通信设备有限公司提供保证（保证合同号为保</w:t>
      </w:r>
      <w:r>
        <w:rPr>
          <w:spacing w:val="-52"/>
        </w:rPr>
        <w:t> </w:t>
      </w:r>
      <w:r>
        <w:rPr>
          <w:rFonts w:ascii="宋体" w:hAnsi="宋体" w:cs="宋体" w:eastAsia="宋体" w:hint="default"/>
        </w:rPr>
        <w:t>20120423</w:t>
      </w:r>
      <w:r>
        <w:rPr>
          <w:rFonts w:ascii="宋体" w:hAnsi="宋体" w:cs="宋体" w:eastAsia="宋体" w:hint="default"/>
          <w:spacing w:val="-1"/>
        </w:rPr>
        <w:t>-</w:t>
      </w:r>
      <w:r>
        <w:rPr>
          <w:rFonts w:ascii="宋体" w:hAnsi="宋体" w:cs="宋体" w:eastAsia="宋体" w:hint="default"/>
        </w:rPr>
        <w:t>2</w:t>
      </w:r>
      <w:r>
        <w:rPr>
          <w:spacing w:val="-106"/>
        </w:rPr>
        <w:t>）</w:t>
      </w:r>
      <w:r>
        <w:rPr/>
        <w:t>，以权利证书编号“哈国用</w:t>
      </w:r>
      <w:r>
        <w:rPr>
          <w:spacing w:val="-53"/>
        </w:rPr>
        <w:t> </w:t>
      </w:r>
      <w:r>
        <w:rPr>
          <w:rFonts w:ascii="宋体" w:hAnsi="宋体" w:cs="宋体" w:eastAsia="宋体" w:hint="default"/>
        </w:rPr>
        <w:t>2011</w:t>
      </w:r>
      <w:r>
        <w:rPr>
          <w:rFonts w:ascii="宋体" w:hAnsi="宋体" w:cs="宋体" w:eastAsia="宋体" w:hint="default"/>
          <w:spacing w:val="-53"/>
        </w:rPr>
        <w:t> </w:t>
      </w:r>
      <w:r>
        <w:rPr/>
        <w:t>第</w:t>
      </w:r>
      <w:r>
        <w:rPr>
          <w:spacing w:val="-54"/>
        </w:rPr>
        <w:t> </w:t>
      </w:r>
      <w:r>
        <w:rPr>
          <w:rFonts w:ascii="宋体" w:hAnsi="宋体" w:cs="宋体" w:eastAsia="宋体" w:hint="default"/>
        </w:rPr>
        <w:t>09000260</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号”土地使用权作抵</w:t>
      </w:r>
      <w:r>
        <w:rPr>
          <w:spacing w:val="-26"/>
        </w:rPr>
        <w:t>押</w:t>
      </w:r>
      <w:r>
        <w:rPr/>
        <w:t>（抵押合同号为抵</w:t>
      </w:r>
      <w:r>
        <w:rPr>
          <w:spacing w:val="-52"/>
        </w:rPr>
        <w:t> </w:t>
      </w:r>
      <w:r>
        <w:rPr>
          <w:rFonts w:ascii="宋体" w:hAnsi="宋体" w:cs="宋体" w:eastAsia="宋体" w:hint="default"/>
        </w:rPr>
        <w:t>20120423</w:t>
      </w:r>
      <w:r>
        <w:rPr>
          <w:rFonts w:ascii="宋体" w:hAnsi="宋体" w:cs="宋体" w:eastAsia="宋体" w:hint="default"/>
          <w:spacing w:val="-1"/>
        </w:rPr>
        <w:t>-</w:t>
      </w:r>
      <w:r>
        <w:rPr>
          <w:rFonts w:ascii="宋体" w:hAnsi="宋体" w:cs="宋体" w:eastAsia="宋体" w:hint="default"/>
        </w:rPr>
        <w:t>1</w:t>
      </w:r>
      <w:r>
        <w:rPr>
          <w:spacing w:val="-105"/>
        </w:rPr>
        <w:t>）</w:t>
      </w:r>
      <w:r>
        <w:rPr>
          <w:spacing w:val="-26"/>
        </w:rPr>
        <w:t>。</w:t>
      </w:r>
      <w:r>
        <w:rPr>
          <w:spacing w:val="-2"/>
        </w:rPr>
        <w:t>截</w:t>
      </w:r>
      <w:r>
        <w:rPr/>
        <w:t>至</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2"/>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w:t>
      </w:r>
      <w:r>
        <w:rPr>
          <w:spacing w:val="-27"/>
        </w:rPr>
        <w:t>，</w:t>
      </w:r>
      <w:r>
        <w:rPr/>
        <w:t>哈尔滨海能达科技有限</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公司向交通银行股份有限公司哈尔滨道里支行累计借款余额为人民币</w:t>
      </w:r>
      <w:r>
        <w:rPr>
          <w:spacing w:val="-53"/>
        </w:rPr>
        <w:t> </w:t>
      </w:r>
      <w:r>
        <w:rPr>
          <w:rFonts w:ascii="宋体" w:hAnsi="宋体" w:cs="宋体" w:eastAsia="宋体" w:hint="default"/>
        </w:rPr>
        <w:t>49,746,000</w:t>
      </w:r>
      <w:r>
        <w:rPr>
          <w:rFonts w:ascii="宋体" w:hAnsi="宋体" w:cs="宋体" w:eastAsia="宋体" w:hint="default"/>
          <w:spacing w:val="-53"/>
        </w:rPr>
        <w:t> </w:t>
      </w:r>
      <w:r>
        <w:rPr/>
        <w:t>元，其中一年内到期的</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长期借款为人民币</w:t>
      </w:r>
      <w:r>
        <w:rPr>
          <w:spacing w:val="-53"/>
        </w:rPr>
        <w:t> </w:t>
      </w:r>
      <w:r>
        <w:rPr>
          <w:rFonts w:ascii="宋体" w:hAnsi="宋体" w:cs="宋体" w:eastAsia="宋体" w:hint="default"/>
        </w:rPr>
        <w:t>39,064,000</w:t>
      </w:r>
      <w:r>
        <w:rPr>
          <w:rFonts w:ascii="宋体" w:hAnsi="宋体" w:cs="宋体" w:eastAsia="宋体" w:hint="default"/>
          <w:spacing w:val="-54"/>
        </w:rPr>
        <w:t> </w:t>
      </w:r>
      <w:r>
        <w:rPr/>
        <w:t>元。上述借款按季支付利息，在实际提款日约定期限内等额还本。</w:t>
      </w:r>
    </w:p>
    <w:p>
      <w:pPr>
        <w:spacing w:line="240" w:lineRule="auto" w:before="10"/>
        <w:rPr>
          <w:rFonts w:ascii="宋体" w:hAnsi="宋体" w:cs="宋体" w:eastAsia="宋体" w:hint="default"/>
          <w:sz w:val="14"/>
          <w:szCs w:val="14"/>
        </w:rPr>
      </w:pPr>
    </w:p>
    <w:p>
      <w:pPr>
        <w:pStyle w:val="BodyText"/>
        <w:spacing w:line="240" w:lineRule="auto" w:before="0"/>
        <w:ind w:left="558" w:right="1776"/>
        <w:jc w:val="center"/>
      </w:pPr>
      <w:r>
        <w:rPr/>
        <w:t>②</w:t>
      </w:r>
      <w:r>
        <w:rPr>
          <w:rFonts w:ascii="宋体" w:hAnsi="宋体" w:cs="宋体" w:eastAsia="宋体" w:hint="default"/>
        </w:rPr>
        <w:t>2012</w:t>
      </w:r>
      <w:r>
        <w:rPr>
          <w:rFonts w:ascii="宋体" w:hAnsi="宋体" w:cs="宋体" w:eastAsia="宋体" w:hint="default"/>
          <w:spacing w:val="-54"/>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w:t>
      </w:r>
      <w:r>
        <w:rPr>
          <w:spacing w:val="-54"/>
        </w:rPr>
        <w:t> </w:t>
      </w:r>
      <w:r>
        <w:rPr>
          <w:rFonts w:ascii="宋体" w:hAnsi="宋体" w:cs="宋体" w:eastAsia="宋体" w:hint="default"/>
        </w:rPr>
        <w:t>20</w:t>
      </w:r>
      <w:r>
        <w:rPr>
          <w:rFonts w:ascii="宋体" w:hAnsi="宋体" w:cs="宋体" w:eastAsia="宋体" w:hint="default"/>
          <w:spacing w:val="-53"/>
        </w:rPr>
        <w:t> </w:t>
      </w:r>
      <w:r>
        <w:rPr/>
        <w:t>日，南洋商业银行与本公司之子公司海能达通信（香港）有限公司于签订了</w:t>
      </w:r>
    </w:p>
    <w:p>
      <w:pPr>
        <w:spacing w:after="0" w:line="240" w:lineRule="auto"/>
        <w:jc w:val="cente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18"/>
        <w:jc w:val="left"/>
      </w:pPr>
      <w:r>
        <w:rPr>
          <w:rFonts w:ascii="宋体" w:hAnsi="宋体" w:cs="宋体" w:eastAsia="宋体" w:hint="default"/>
        </w:rPr>
        <w:t>LO-685123000860/SFGS</w:t>
      </w:r>
      <w:r>
        <w:rPr>
          <w:rFonts w:ascii="宋体" w:hAnsi="宋体" w:cs="宋体" w:eastAsia="宋体" w:hint="default"/>
          <w:spacing w:val="-52"/>
        </w:rPr>
        <w:t> </w:t>
      </w:r>
      <w:r>
        <w:rPr>
          <w:spacing w:val="-7"/>
        </w:rPr>
        <w:t>借款合同，南洋商业银行为海能达通信（香港）有限公司提供</w:t>
      </w:r>
      <w:r>
        <w:rPr>
          <w:spacing w:val="-52"/>
        </w:rPr>
        <w:t> </w:t>
      </w:r>
      <w:r>
        <w:rPr>
          <w:rFonts w:ascii="宋体" w:hAnsi="宋体" w:cs="宋体" w:eastAsia="宋体" w:hint="default"/>
        </w:rPr>
        <w:t>1,200</w:t>
      </w:r>
      <w:r>
        <w:rPr>
          <w:rFonts w:ascii="宋体" w:hAnsi="宋体" w:cs="宋体" w:eastAsia="宋体" w:hint="default"/>
          <w:spacing w:val="-52"/>
        </w:rPr>
        <w:t> </w:t>
      </w:r>
      <w:r>
        <w:rPr/>
        <w:t>万元港币借款， 借款期限</w:t>
      </w:r>
      <w:r>
        <w:rPr>
          <w:spacing w:val="-53"/>
        </w:rPr>
        <w:t> </w:t>
      </w:r>
      <w:r>
        <w:rPr>
          <w:rFonts w:ascii="宋体" w:hAnsi="宋体" w:cs="宋体" w:eastAsia="宋体" w:hint="default"/>
        </w:rPr>
        <w:t>5</w:t>
      </w:r>
      <w:r>
        <w:rPr>
          <w:rFonts w:ascii="宋体" w:hAnsi="宋体" w:cs="宋体" w:eastAsia="宋体" w:hint="default"/>
          <w:spacing w:val="-54"/>
        </w:rPr>
        <w:t> </w:t>
      </w:r>
      <w:r>
        <w:rPr/>
        <w:t>年，每月底等额还款港币</w:t>
      </w:r>
      <w:r>
        <w:rPr>
          <w:spacing w:val="-54"/>
        </w:rPr>
        <w:t> </w:t>
      </w:r>
      <w:r>
        <w:rPr>
          <w:rFonts w:ascii="宋体" w:hAnsi="宋体" w:cs="宋体" w:eastAsia="宋体" w:hint="default"/>
        </w:rPr>
        <w:t>220,998.26</w:t>
      </w:r>
      <w:r>
        <w:rPr>
          <w:rFonts w:ascii="宋体" w:hAnsi="宋体" w:cs="宋体" w:eastAsia="宋体" w:hint="default"/>
          <w:spacing w:val="-53"/>
        </w:rPr>
        <w:t> </w:t>
      </w:r>
      <w:r>
        <w:rPr/>
        <w:t>元，利率</w:t>
      </w:r>
      <w:r>
        <w:rPr>
          <w:spacing w:val="-55"/>
        </w:rPr>
        <w:t> </w:t>
      </w:r>
      <w:r>
        <w:rPr>
          <w:rFonts w:ascii="宋体" w:hAnsi="宋体" w:cs="宋体" w:eastAsia="宋体" w:hint="default"/>
        </w:rPr>
        <w:t>4.00%</w:t>
      </w:r>
      <w:r>
        <w:rPr/>
        <w:t>。上述借款由</w:t>
      </w:r>
      <w:r>
        <w:rPr>
          <w:spacing w:val="-53"/>
        </w:rPr>
        <w:t> </w:t>
      </w:r>
      <w:r>
        <w:rPr>
          <w:rFonts w:ascii="宋体" w:hAnsi="宋体" w:cs="宋体" w:eastAsia="宋体" w:hint="default"/>
        </w:rPr>
        <w:t>The</w:t>
      </w:r>
      <w:r>
        <w:rPr>
          <w:rFonts w:ascii="宋体" w:hAnsi="宋体" w:cs="宋体" w:eastAsia="宋体" w:hint="default"/>
          <w:spacing w:val="-1"/>
        </w:rPr>
        <w:t> </w:t>
      </w:r>
      <w:r>
        <w:rPr>
          <w:rFonts w:ascii="宋体" w:hAnsi="宋体" w:cs="宋体" w:eastAsia="宋体" w:hint="default"/>
        </w:rPr>
        <w:t>Hong</w:t>
      </w:r>
      <w:r>
        <w:rPr>
          <w:rFonts w:ascii="宋体" w:hAnsi="宋体" w:cs="宋体" w:eastAsia="宋体" w:hint="default"/>
          <w:spacing w:val="-1"/>
        </w:rPr>
        <w:t> </w:t>
      </w:r>
      <w:r>
        <w:rPr>
          <w:rFonts w:ascii="宋体" w:hAnsi="宋体" w:cs="宋体" w:eastAsia="宋体" w:hint="default"/>
        </w:rPr>
        <w:t>Kong</w:t>
      </w:r>
      <w:r>
        <w:rPr>
          <w:rFonts w:ascii="宋体" w:hAnsi="宋体" w:cs="宋体" w:eastAsia="宋体" w:hint="default"/>
          <w:spacing w:val="-1"/>
        </w:rPr>
        <w:t> </w:t>
      </w:r>
      <w:r>
        <w:rPr>
          <w:rFonts w:ascii="宋体" w:hAnsi="宋体" w:cs="宋体" w:eastAsia="宋体" w:hint="default"/>
        </w:rPr>
        <w:t>Mortgage</w:t>
      </w:r>
      <w:r>
        <w:rPr>
          <w:rFonts w:ascii="宋体" w:hAnsi="宋体" w:cs="宋体" w:eastAsia="宋体" w:hint="default"/>
        </w:rPr>
        <w:t> Corporation</w:t>
      </w:r>
      <w:r>
        <w:rPr>
          <w:rFonts w:ascii="宋体" w:hAnsi="宋体" w:cs="宋体" w:eastAsia="宋体" w:hint="default"/>
          <w:spacing w:val="-12"/>
        </w:rPr>
        <w:t> </w:t>
      </w:r>
      <w:r>
        <w:rPr>
          <w:rFonts w:ascii="宋体" w:hAnsi="宋体" w:cs="宋体" w:eastAsia="宋体" w:hint="default"/>
        </w:rPr>
        <w:t>Limited</w:t>
      </w:r>
      <w:r>
        <w:rPr>
          <w:rFonts w:ascii="宋体" w:hAnsi="宋体" w:cs="宋体" w:eastAsia="宋体" w:hint="default"/>
          <w:spacing w:val="-12"/>
        </w:rPr>
        <w:t> </w:t>
      </w:r>
      <w:r>
        <w:rPr>
          <w:rFonts w:ascii="宋体" w:hAnsi="宋体" w:cs="宋体" w:eastAsia="宋体" w:hint="default"/>
        </w:rPr>
        <w:t>(HKMC)</w:t>
      </w:r>
      <w:r>
        <w:rPr/>
        <w:t>提供</w:t>
      </w:r>
      <w:r>
        <w:rPr>
          <w:spacing w:val="-55"/>
        </w:rPr>
        <w:t> </w:t>
      </w:r>
      <w:r>
        <w:rPr>
          <w:rFonts w:ascii="宋体" w:hAnsi="宋体" w:cs="宋体" w:eastAsia="宋体" w:hint="default"/>
        </w:rPr>
        <w:t>960</w:t>
      </w:r>
      <w:r>
        <w:rPr>
          <w:rFonts w:ascii="宋体" w:hAnsi="宋体" w:cs="宋体" w:eastAsia="宋体" w:hint="default"/>
          <w:spacing w:val="-53"/>
        </w:rPr>
        <w:t> </w:t>
      </w:r>
      <w:r>
        <w:rPr/>
        <w:t>万元港币保证，同时由陈清州就上述借款提供连带责任担保。截至 </w:t>
      </w:r>
      <w:r>
        <w:rPr>
          <w:rFonts w:ascii="宋体" w:hAnsi="宋体" w:cs="宋体" w:eastAsia="宋体" w:hint="default"/>
        </w:rPr>
        <w:t>2014</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日的长期借款余额为港币</w:t>
      </w:r>
      <w:r>
        <w:rPr>
          <w:spacing w:val="-53"/>
        </w:rPr>
        <w:t> </w:t>
      </w:r>
      <w:r>
        <w:rPr>
          <w:rFonts w:ascii="宋体" w:hAnsi="宋体" w:cs="宋体" w:eastAsia="宋体" w:hint="default"/>
        </w:rPr>
        <w:t>7,485,254.05</w:t>
      </w:r>
      <w:r>
        <w:rPr>
          <w:rFonts w:ascii="宋体" w:hAnsi="宋体" w:cs="宋体" w:eastAsia="宋体" w:hint="default"/>
          <w:spacing w:val="-54"/>
        </w:rPr>
        <w:t> </w:t>
      </w:r>
      <w:r>
        <w:rPr/>
        <w:t>元，其中一年内到期的长期借款为港币</w:t>
      </w:r>
    </w:p>
    <w:p>
      <w:pPr>
        <w:pStyle w:val="BodyText"/>
        <w:spacing w:line="240" w:lineRule="auto"/>
        <w:ind w:right="1046"/>
        <w:jc w:val="left"/>
      </w:pPr>
      <w:r>
        <w:rPr>
          <w:rFonts w:ascii="宋体" w:hAnsi="宋体" w:cs="宋体" w:eastAsia="宋体" w:hint="default"/>
        </w:rPr>
        <w:t>2,197,012.04</w:t>
      </w:r>
      <w:r>
        <w:rPr>
          <w:rFonts w:ascii="宋体" w:hAnsi="宋体" w:cs="宋体" w:eastAsia="宋体" w:hint="default"/>
          <w:spacing w:val="-53"/>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0" w:right="1132"/>
        <w:jc w:val="right"/>
      </w:pPr>
      <w:r>
        <w:rPr/>
        <w:t>③</w:t>
      </w:r>
      <w:r>
        <w:rPr>
          <w:rFonts w:ascii="宋体" w:hAnsi="宋体" w:cs="宋体" w:eastAsia="宋体" w:hint="default"/>
        </w:rPr>
        <w:t>2013</w:t>
      </w:r>
      <w:r>
        <w:rPr>
          <w:rFonts w:ascii="宋体" w:hAnsi="宋体" w:cs="宋体" w:eastAsia="宋体" w:hint="default"/>
          <w:spacing w:val="-48"/>
        </w:rPr>
        <w:t> </w:t>
      </w:r>
      <w:r>
        <w:rPr/>
        <w:t>年</w:t>
      </w:r>
      <w:r>
        <w:rPr>
          <w:spacing w:val="-48"/>
        </w:rPr>
        <w:t> </w:t>
      </w:r>
      <w:r>
        <w:rPr>
          <w:rFonts w:ascii="宋体" w:hAnsi="宋体" w:cs="宋体" w:eastAsia="宋体" w:hint="default"/>
        </w:rPr>
        <w:t>10</w:t>
      </w:r>
      <w:r>
        <w:rPr>
          <w:rFonts w:ascii="宋体" w:hAnsi="宋体" w:cs="宋体" w:eastAsia="宋体" w:hint="default"/>
          <w:spacing w:val="-48"/>
        </w:rPr>
        <w:t> </w:t>
      </w:r>
      <w:r>
        <w:rPr/>
        <w:t>月</w:t>
      </w:r>
      <w:r>
        <w:rPr>
          <w:spacing w:val="-48"/>
        </w:rPr>
        <w:t> </w:t>
      </w:r>
      <w:r>
        <w:rPr>
          <w:rFonts w:ascii="宋体" w:hAnsi="宋体" w:cs="宋体" w:eastAsia="宋体" w:hint="default"/>
        </w:rPr>
        <w:t>17</w:t>
      </w:r>
      <w:r>
        <w:rPr>
          <w:rFonts w:ascii="宋体" w:hAnsi="宋体" w:cs="宋体" w:eastAsia="宋体" w:hint="default"/>
          <w:spacing w:val="-47"/>
        </w:rPr>
        <w:t> </w:t>
      </w:r>
      <w:r>
        <w:rPr>
          <w:spacing w:val="-3"/>
        </w:rPr>
        <w:t>日，交通银行股份有限公司东门支行与本公司之子公司鹤壁天海电子信息系统有限</w:t>
      </w:r>
    </w:p>
    <w:p>
      <w:pPr>
        <w:spacing w:line="240" w:lineRule="auto" w:before="10"/>
        <w:rPr>
          <w:rFonts w:ascii="宋体" w:hAnsi="宋体" w:cs="宋体" w:eastAsia="宋体" w:hint="default"/>
          <w:sz w:val="14"/>
          <w:szCs w:val="14"/>
        </w:rPr>
      </w:pPr>
    </w:p>
    <w:p>
      <w:pPr>
        <w:pStyle w:val="BodyText"/>
        <w:spacing w:line="240" w:lineRule="auto" w:before="0"/>
        <w:ind w:right="1046"/>
        <w:jc w:val="left"/>
        <w:rPr>
          <w:rFonts w:ascii="宋体" w:hAnsi="宋体" w:cs="宋体" w:eastAsia="宋体" w:hint="default"/>
        </w:rPr>
      </w:pPr>
      <w:r>
        <w:rPr/>
        <w:t>公司签订了编号为“交银深</w:t>
      </w:r>
      <w:r>
        <w:rPr>
          <w:spacing w:val="-54"/>
        </w:rPr>
        <w:t> </w:t>
      </w:r>
      <w:r>
        <w:rPr>
          <w:rFonts w:ascii="宋体" w:hAnsi="宋体" w:cs="宋体" w:eastAsia="宋体" w:hint="default"/>
        </w:rPr>
        <w:t>20130928</w:t>
      </w:r>
      <w:r>
        <w:rPr>
          <w:rFonts w:ascii="宋体" w:hAnsi="宋体" w:cs="宋体" w:eastAsia="宋体" w:hint="default"/>
          <w:spacing w:val="-54"/>
        </w:rPr>
        <w:t> </w:t>
      </w:r>
      <w:r>
        <w:rPr/>
        <w:t>号”固定资产贷款合同，贷款额度人民币</w:t>
      </w:r>
      <w:r>
        <w:rPr>
          <w:spacing w:val="-53"/>
        </w:rPr>
        <w:t> </w:t>
      </w:r>
      <w:r>
        <w:rPr>
          <w:rFonts w:ascii="宋体" w:hAnsi="宋体" w:cs="宋体" w:eastAsia="宋体" w:hint="default"/>
        </w:rPr>
        <w:t>1</w:t>
      </w:r>
      <w:r>
        <w:rPr>
          <w:rFonts w:ascii="宋体" w:hAnsi="宋体" w:cs="宋体" w:eastAsia="宋体" w:hint="default"/>
          <w:spacing w:val="-53"/>
        </w:rPr>
        <w:t> </w:t>
      </w:r>
      <w:r>
        <w:rPr/>
        <w:t>亿元，贷款期限从</w:t>
      </w:r>
      <w:r>
        <w:rPr>
          <w:spacing w:val="-54"/>
        </w:rPr>
        <w:t> </w:t>
      </w:r>
      <w:r>
        <w:rPr>
          <w:rFonts w:ascii="宋体" w:hAnsi="宋体" w:cs="宋体" w:eastAsia="宋体" w:hint="default"/>
        </w:rPr>
        <w:t>2013</w:t>
      </w:r>
    </w:p>
    <w:p>
      <w:pPr>
        <w:spacing w:line="240" w:lineRule="auto" w:before="10"/>
        <w:rPr>
          <w:rFonts w:ascii="宋体" w:hAnsi="宋体" w:cs="宋体" w:eastAsia="宋体" w:hint="default"/>
          <w:sz w:val="14"/>
          <w:szCs w:val="14"/>
        </w:rPr>
      </w:pPr>
    </w:p>
    <w:p>
      <w:pPr>
        <w:pStyle w:val="BodyText"/>
        <w:spacing w:line="408" w:lineRule="auto" w:before="0"/>
        <w:ind w:right="1124"/>
        <w:jc w:val="left"/>
      </w:pP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17</w:t>
      </w:r>
      <w:r>
        <w:rPr>
          <w:rFonts w:ascii="宋体" w:hAnsi="宋体" w:cs="宋体" w:eastAsia="宋体" w:hint="default"/>
          <w:spacing w:val="-54"/>
        </w:rPr>
        <w:t> </w:t>
      </w:r>
      <w:r>
        <w:rPr/>
        <w:t>日至</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5"/>
        </w:rPr>
        <w:t> </w:t>
      </w:r>
      <w:r>
        <w:rPr>
          <w:rFonts w:ascii="宋体" w:hAnsi="宋体" w:cs="宋体" w:eastAsia="宋体" w:hint="default"/>
        </w:rPr>
        <w:t>10</w:t>
      </w:r>
      <w:r>
        <w:rPr>
          <w:rFonts w:ascii="宋体" w:hAnsi="宋体" w:cs="宋体" w:eastAsia="宋体" w:hint="default"/>
          <w:spacing w:val="-54"/>
        </w:rPr>
        <w:t> </w:t>
      </w:r>
      <w:r>
        <w:rPr/>
        <w:t>月</w:t>
      </w:r>
      <w:r>
        <w:rPr>
          <w:spacing w:val="-54"/>
        </w:rPr>
        <w:t> </w:t>
      </w:r>
      <w:r>
        <w:rPr>
          <w:rFonts w:ascii="宋体" w:hAnsi="宋体" w:cs="宋体" w:eastAsia="宋体" w:hint="default"/>
        </w:rPr>
        <w:t>16</w:t>
      </w:r>
      <w:r>
        <w:rPr>
          <w:rFonts w:ascii="宋体" w:hAnsi="宋体" w:cs="宋体" w:eastAsia="宋体" w:hint="default"/>
          <w:spacing w:val="-53"/>
        </w:rPr>
        <w:t> </w:t>
      </w:r>
      <w:r>
        <w:rPr/>
        <w:t>日。该笔贷款由鹤壁天海电子信息系统有限公司自有的土地使用权进行 </w:t>
      </w:r>
      <w:r>
        <w:rPr>
          <w:spacing w:val="-2"/>
        </w:rPr>
        <w:t>抵押，抵押合同号为“交银深抵</w:t>
      </w:r>
      <w:r>
        <w:rPr>
          <w:spacing w:val="-49"/>
        </w:rPr>
        <w:t> </w:t>
      </w:r>
      <w:r>
        <w:rPr>
          <w:rFonts w:ascii="宋体" w:hAnsi="宋体" w:cs="宋体" w:eastAsia="宋体" w:hint="default"/>
          <w:spacing w:val="-5"/>
        </w:rPr>
        <w:t>20130928</w:t>
      </w:r>
      <w:r>
        <w:rPr>
          <w:spacing w:val="-5"/>
        </w:rPr>
        <w:t>”，土地使用权证书编号为“鹤固用（</w:t>
      </w:r>
      <w:r>
        <w:rPr>
          <w:rFonts w:ascii="宋体" w:hAnsi="宋体" w:cs="宋体" w:eastAsia="宋体" w:hint="default"/>
          <w:spacing w:val="-5"/>
        </w:rPr>
        <w:t>2013</w:t>
      </w:r>
      <w:r>
        <w:rPr>
          <w:spacing w:val="-5"/>
        </w:rPr>
        <w:t>）第</w:t>
      </w:r>
      <w:r>
        <w:rPr>
          <w:spacing w:val="-50"/>
        </w:rPr>
        <w:t> </w:t>
      </w:r>
      <w:r>
        <w:rPr>
          <w:rFonts w:ascii="宋体" w:hAnsi="宋体" w:cs="宋体" w:eastAsia="宋体" w:hint="default"/>
        </w:rPr>
        <w:t>0115</w:t>
      </w:r>
      <w:r>
        <w:rPr>
          <w:rFonts w:ascii="宋体" w:hAnsi="宋体" w:cs="宋体" w:eastAsia="宋体" w:hint="default"/>
          <w:spacing w:val="-49"/>
        </w:rPr>
        <w:t> </w:t>
      </w:r>
      <w:r>
        <w:rPr>
          <w:spacing w:val="-3"/>
        </w:rPr>
        <w:t>号”。截至</w:t>
      </w:r>
      <w:r>
        <w:rPr/>
        <w:t> </w:t>
      </w:r>
      <w:r>
        <w:rPr>
          <w:rFonts w:ascii="宋体" w:hAnsi="宋体" w:cs="宋体" w:eastAsia="宋体" w:hint="default"/>
        </w:rPr>
        <w:t>2014</w:t>
      </w:r>
      <w:r>
        <w:rPr>
          <w:rFonts w:ascii="宋体" w:hAnsi="宋体" w:cs="宋体" w:eastAsia="宋体" w:hint="default"/>
          <w:spacing w:val="-59"/>
        </w:rPr>
        <w:t> </w:t>
      </w:r>
      <w:r>
        <w:rPr/>
        <w:t>年</w:t>
      </w:r>
      <w:r>
        <w:rPr>
          <w:spacing w:val="-58"/>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31</w:t>
      </w:r>
      <w:r>
        <w:rPr>
          <w:rFonts w:ascii="宋体" w:hAnsi="宋体" w:cs="宋体" w:eastAsia="宋体" w:hint="default"/>
          <w:spacing w:val="-58"/>
        </w:rPr>
        <w:t> </w:t>
      </w:r>
      <w:r>
        <w:rPr/>
        <w:t>日，鹤壁天海电子信息系统有限公司累计借款余额为人民币</w:t>
      </w:r>
      <w:r>
        <w:rPr>
          <w:spacing w:val="-58"/>
        </w:rPr>
        <w:t> </w:t>
      </w:r>
      <w:r>
        <w:rPr>
          <w:rFonts w:ascii="宋体" w:hAnsi="宋体" w:cs="宋体" w:eastAsia="宋体" w:hint="default"/>
        </w:rPr>
        <w:t>60,925,189.85</w:t>
      </w:r>
      <w:r>
        <w:rPr>
          <w:rFonts w:ascii="宋体" w:hAnsi="宋体" w:cs="宋体" w:eastAsia="宋体" w:hint="default"/>
          <w:spacing w:val="-58"/>
        </w:rPr>
        <w:t> </w:t>
      </w:r>
      <w:r>
        <w:rPr>
          <w:spacing w:val="-7"/>
        </w:rPr>
        <w:t>元，其中一年</w:t>
      </w:r>
    </w:p>
    <w:p>
      <w:pPr>
        <w:pStyle w:val="BodyText"/>
        <w:spacing w:line="408" w:lineRule="auto"/>
        <w:ind w:right="1199"/>
        <w:jc w:val="left"/>
      </w:pPr>
      <w:r>
        <w:rPr/>
        <w:t>内到期的长期借款为人民币</w:t>
      </w:r>
      <w:r>
        <w:rPr>
          <w:spacing w:val="-53"/>
        </w:rPr>
        <w:t> </w:t>
      </w:r>
      <w:r>
        <w:rPr>
          <w:rFonts w:ascii="宋体" w:hAnsi="宋体" w:cs="宋体" w:eastAsia="宋体" w:hint="default"/>
        </w:rPr>
        <w:t>9,000,000.00</w:t>
      </w:r>
      <w:r>
        <w:rPr>
          <w:rFonts w:ascii="宋体" w:hAnsi="宋体" w:cs="宋体" w:eastAsia="宋体" w:hint="default"/>
          <w:spacing w:val="-53"/>
        </w:rPr>
        <w:t> </w:t>
      </w:r>
      <w:r>
        <w:rPr/>
        <w:t>元。上述借款按季支付利息，在实际提款日约定期限内等额还 本。</w:t>
      </w:r>
    </w:p>
    <w:p>
      <w:pPr>
        <w:pStyle w:val="BodyText"/>
        <w:spacing w:line="240" w:lineRule="auto"/>
        <w:ind w:left="0" w:right="1132"/>
        <w:jc w:val="right"/>
      </w:pPr>
      <w:r>
        <w:rPr/>
        <w:t>④</w:t>
      </w:r>
      <w:r>
        <w:rPr>
          <w:rFonts w:ascii="宋体" w:hAnsi="宋体" w:cs="宋体" w:eastAsia="宋体" w:hint="default"/>
        </w:rPr>
        <w:t>2013</w:t>
      </w:r>
      <w:r>
        <w:rPr>
          <w:rFonts w:ascii="宋体" w:hAnsi="宋体" w:cs="宋体" w:eastAsia="宋体" w:hint="default"/>
          <w:spacing w:val="-70"/>
        </w:rPr>
        <w:t> </w:t>
      </w:r>
      <w:r>
        <w:rPr/>
        <w:t>年</w:t>
      </w:r>
      <w:r>
        <w:rPr>
          <w:spacing w:val="-70"/>
        </w:rPr>
        <w:t> </w:t>
      </w:r>
      <w:r>
        <w:rPr>
          <w:rFonts w:ascii="宋体" w:hAnsi="宋体" w:cs="宋体" w:eastAsia="宋体" w:hint="default"/>
        </w:rPr>
        <w:t>12</w:t>
      </w:r>
      <w:r>
        <w:rPr>
          <w:rFonts w:ascii="宋体" w:hAnsi="宋体" w:cs="宋体" w:eastAsia="宋体" w:hint="default"/>
          <w:spacing w:val="-70"/>
        </w:rPr>
        <w:t> </w:t>
      </w:r>
      <w:r>
        <w:rPr/>
        <w:t>月</w:t>
      </w:r>
      <w:r>
        <w:rPr>
          <w:spacing w:val="-70"/>
        </w:rPr>
        <w:t> </w:t>
      </w:r>
      <w:r>
        <w:rPr>
          <w:rFonts w:ascii="宋体" w:hAnsi="宋体" w:cs="宋体" w:eastAsia="宋体" w:hint="default"/>
        </w:rPr>
        <w:t>3</w:t>
      </w:r>
      <w:r>
        <w:rPr>
          <w:rFonts w:ascii="宋体" w:hAnsi="宋体" w:cs="宋体" w:eastAsia="宋体" w:hint="default"/>
          <w:spacing w:val="-69"/>
        </w:rPr>
        <w:t> </w:t>
      </w:r>
      <w:r>
        <w:rPr/>
        <w:t>日，中国进出口银行与公司签订了编号为“2020001042013112594”号固定资产借款</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合同，贷款额度人民币</w:t>
      </w:r>
      <w:r>
        <w:rPr>
          <w:spacing w:val="-55"/>
        </w:rPr>
        <w:t> </w:t>
      </w:r>
      <w:r>
        <w:rPr>
          <w:rFonts w:ascii="宋体" w:hAnsi="宋体" w:cs="宋体" w:eastAsia="宋体" w:hint="default"/>
        </w:rPr>
        <w:t>1.8</w:t>
      </w:r>
      <w:r>
        <w:rPr>
          <w:rFonts w:ascii="宋体" w:hAnsi="宋体" w:cs="宋体" w:eastAsia="宋体" w:hint="default"/>
          <w:spacing w:val="-55"/>
        </w:rPr>
        <w:t> </w:t>
      </w:r>
      <w:r>
        <w:rPr/>
        <w:t>亿元，贷款期限从</w:t>
      </w:r>
      <w:r>
        <w:rPr>
          <w:spacing w:val="-55"/>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1</w:t>
      </w:r>
      <w:r>
        <w:rPr>
          <w:rFonts w:ascii="宋体" w:hAnsi="宋体" w:cs="宋体" w:eastAsia="宋体" w:hint="default"/>
          <w:spacing w:val="-55"/>
        </w:rPr>
        <w:t> </w:t>
      </w:r>
      <w:r>
        <w:rPr/>
        <w:t>月</w:t>
      </w:r>
      <w:r>
        <w:rPr>
          <w:spacing w:val="-57"/>
        </w:rPr>
        <w:t> </w:t>
      </w:r>
      <w:r>
        <w:rPr>
          <w:rFonts w:ascii="宋体" w:hAnsi="宋体" w:cs="宋体" w:eastAsia="宋体" w:hint="default"/>
        </w:rPr>
        <w:t>7</w:t>
      </w:r>
      <w:r>
        <w:rPr>
          <w:rFonts w:ascii="宋体" w:hAnsi="宋体" w:cs="宋体" w:eastAsia="宋体" w:hint="default"/>
          <w:spacing w:val="-55"/>
        </w:rPr>
        <w:t> </w:t>
      </w:r>
      <w:r>
        <w:rPr/>
        <w:t>日至</w:t>
      </w:r>
      <w:r>
        <w:rPr>
          <w:spacing w:val="-56"/>
        </w:rPr>
        <w:t> </w:t>
      </w:r>
      <w:r>
        <w:rPr>
          <w:rFonts w:ascii="宋体" w:hAnsi="宋体" w:cs="宋体" w:eastAsia="宋体" w:hint="default"/>
        </w:rPr>
        <w:t>2016</w:t>
      </w:r>
      <w:r>
        <w:rPr>
          <w:rFonts w:ascii="宋体" w:hAnsi="宋体" w:cs="宋体" w:eastAsia="宋体" w:hint="default"/>
          <w:spacing w:val="-56"/>
        </w:rPr>
        <w:t> </w:t>
      </w:r>
      <w:r>
        <w:rPr/>
        <w:t>年</w:t>
      </w:r>
      <w:r>
        <w:rPr>
          <w:spacing w:val="-57"/>
        </w:rPr>
        <w:t> </w:t>
      </w:r>
      <w:r>
        <w:rPr>
          <w:rFonts w:ascii="宋体" w:hAnsi="宋体" w:cs="宋体" w:eastAsia="宋体" w:hint="default"/>
        </w:rPr>
        <w:t>1</w:t>
      </w:r>
      <w:r>
        <w:rPr>
          <w:rFonts w:ascii="宋体" w:hAnsi="宋体" w:cs="宋体" w:eastAsia="宋体" w:hint="default"/>
          <w:spacing w:val="-56"/>
        </w:rPr>
        <w:t> </w:t>
      </w:r>
      <w:r>
        <w:rPr/>
        <w:t>月</w:t>
      </w:r>
      <w:r>
        <w:rPr>
          <w:spacing w:val="-55"/>
        </w:rPr>
        <w:t> </w:t>
      </w:r>
      <w:r>
        <w:rPr>
          <w:rFonts w:ascii="宋体" w:hAnsi="宋体" w:cs="宋体" w:eastAsia="宋体" w:hint="default"/>
        </w:rPr>
        <w:t>7</w:t>
      </w:r>
      <w:r>
        <w:rPr>
          <w:rFonts w:ascii="宋体" w:hAnsi="宋体" w:cs="宋体" w:eastAsia="宋体" w:hint="default"/>
          <w:spacing w:val="-55"/>
        </w:rPr>
        <w:t> </w:t>
      </w:r>
      <w:r>
        <w:rPr/>
        <w:t>日。该笔贷款由深圳市海</w:t>
      </w:r>
    </w:p>
    <w:p>
      <w:pPr>
        <w:spacing w:line="240" w:lineRule="auto" w:before="10"/>
        <w:rPr>
          <w:rFonts w:ascii="宋体" w:hAnsi="宋体" w:cs="宋体" w:eastAsia="宋体" w:hint="default"/>
          <w:sz w:val="14"/>
          <w:szCs w:val="14"/>
        </w:rPr>
      </w:pPr>
    </w:p>
    <w:p>
      <w:pPr>
        <w:pStyle w:val="BodyText"/>
        <w:spacing w:line="408" w:lineRule="auto" w:before="0"/>
        <w:ind w:right="1046"/>
        <w:jc w:val="left"/>
      </w:pPr>
      <w:r>
        <w:rPr/>
        <w:t>能达通信有限公司自有房屋（权利证书编号“深房地字第</w:t>
      </w:r>
      <w:r>
        <w:rPr>
          <w:spacing w:val="-54"/>
        </w:rPr>
        <w:t> </w:t>
      </w:r>
      <w:r>
        <w:rPr>
          <w:rFonts w:ascii="宋体" w:hAnsi="宋体" w:cs="宋体" w:eastAsia="宋体" w:hint="default"/>
        </w:rPr>
        <w:t>6000585547</w:t>
      </w:r>
      <w:r>
        <w:rPr>
          <w:rFonts w:ascii="宋体" w:hAnsi="宋体" w:cs="宋体" w:eastAsia="宋体" w:hint="default"/>
          <w:spacing w:val="-54"/>
        </w:rPr>
        <w:t> </w:t>
      </w:r>
      <w:r>
        <w:rPr/>
        <w:t>号”土地使用权）进行抵押，抵押 </w:t>
      </w:r>
      <w:r>
        <w:rPr>
          <w:spacing w:val="-3"/>
        </w:rPr>
        <w:t>合同号为“2020001042013112594DY01”。该笔贷款同时由法定代表人陈清洲先生进行保证，保证合同号为</w:t>
      </w:r>
      <w:r>
        <w:rPr>
          <w:spacing w:val="-62"/>
        </w:rPr>
        <w:t> </w:t>
      </w:r>
      <w:r>
        <w:rPr>
          <w:spacing w:val="-62"/>
        </w:rPr>
      </w:r>
      <w:r>
        <w:rPr>
          <w:spacing w:val="-4"/>
        </w:rPr>
        <w:t>“2020001042013112594BZ01”，保证额度为</w:t>
      </w:r>
      <w:r>
        <w:rPr>
          <w:spacing w:val="-49"/>
        </w:rPr>
        <w:t> </w:t>
      </w:r>
      <w:r>
        <w:rPr>
          <w:rFonts w:ascii="宋体" w:hAnsi="宋体" w:cs="宋体" w:eastAsia="宋体" w:hint="default"/>
        </w:rPr>
        <w:t>3.5</w:t>
      </w:r>
      <w:r>
        <w:rPr>
          <w:rFonts w:ascii="宋体" w:hAnsi="宋体" w:cs="宋体" w:eastAsia="宋体" w:hint="default"/>
          <w:spacing w:val="-50"/>
        </w:rPr>
        <w:t> </w:t>
      </w:r>
      <w:r>
        <w:rPr/>
        <w:t>亿元。截至</w:t>
      </w:r>
      <w:r>
        <w:rPr>
          <w:spacing w:val="-50"/>
        </w:rPr>
        <w:t> </w:t>
      </w:r>
      <w:r>
        <w:rPr>
          <w:rFonts w:ascii="宋体" w:hAnsi="宋体" w:cs="宋体" w:eastAsia="宋体" w:hint="default"/>
        </w:rPr>
        <w:t>2014</w:t>
      </w:r>
      <w:r>
        <w:rPr>
          <w:rFonts w:ascii="宋体" w:hAnsi="宋体" w:cs="宋体" w:eastAsia="宋体" w:hint="default"/>
          <w:spacing w:val="-50"/>
        </w:rPr>
        <w:t> </w:t>
      </w:r>
      <w:r>
        <w:rPr/>
        <w:t>年</w:t>
      </w:r>
      <w:r>
        <w:rPr>
          <w:spacing w:val="-51"/>
        </w:rPr>
        <w:t> </w:t>
      </w:r>
      <w:r>
        <w:rPr>
          <w:rFonts w:ascii="宋体" w:hAnsi="宋体" w:cs="宋体" w:eastAsia="宋体" w:hint="default"/>
        </w:rPr>
        <w:t>12</w:t>
      </w:r>
      <w:r>
        <w:rPr>
          <w:rFonts w:ascii="宋体" w:hAnsi="宋体" w:cs="宋体" w:eastAsia="宋体" w:hint="default"/>
          <w:spacing w:val="-50"/>
        </w:rPr>
        <w:t> </w:t>
      </w:r>
      <w:r>
        <w:rPr/>
        <w:t>月</w:t>
      </w:r>
      <w:r>
        <w:rPr>
          <w:spacing w:val="-51"/>
        </w:rPr>
        <w:t> </w:t>
      </w:r>
      <w:r>
        <w:rPr>
          <w:rFonts w:ascii="宋体" w:hAnsi="宋体" w:cs="宋体" w:eastAsia="宋体" w:hint="default"/>
        </w:rPr>
        <w:t>31</w:t>
      </w:r>
      <w:r>
        <w:rPr>
          <w:rFonts w:ascii="宋体" w:hAnsi="宋体" w:cs="宋体" w:eastAsia="宋体" w:hint="default"/>
          <w:spacing w:val="-49"/>
        </w:rPr>
        <w:t> </w:t>
      </w:r>
      <w:r>
        <w:rPr>
          <w:spacing w:val="-1"/>
        </w:rPr>
        <w:t>日，公司共取得长期借款</w:t>
      </w:r>
    </w:p>
    <w:p>
      <w:pPr>
        <w:pStyle w:val="BodyText"/>
        <w:spacing w:line="240" w:lineRule="auto"/>
        <w:ind w:right="1046"/>
        <w:jc w:val="left"/>
      </w:pPr>
      <w:r>
        <w:rPr>
          <w:rFonts w:ascii="宋体" w:hAnsi="宋体" w:cs="宋体" w:eastAsia="宋体" w:hint="default"/>
        </w:rPr>
        <w:t>295,650,000.00</w:t>
      </w:r>
      <w:r>
        <w:rPr>
          <w:rFonts w:ascii="宋体" w:hAnsi="宋体" w:cs="宋体" w:eastAsia="宋体" w:hint="default"/>
          <w:spacing w:val="-54"/>
        </w:rPr>
        <w:t> </w:t>
      </w:r>
      <w:r>
        <w:rPr/>
        <w:t>元。上述借款按季支付利息，到期还本。</w:t>
      </w:r>
    </w:p>
    <w:p>
      <w:pPr>
        <w:spacing w:line="240" w:lineRule="auto" w:before="0"/>
        <w:rPr>
          <w:rFonts w:ascii="宋体" w:hAnsi="宋体" w:cs="宋体" w:eastAsia="宋体" w:hint="default"/>
          <w:sz w:val="20"/>
          <w:szCs w:val="20"/>
        </w:rPr>
      </w:pPr>
    </w:p>
    <w:p>
      <w:pPr>
        <w:pStyle w:val="Heading3"/>
        <w:spacing w:line="240" w:lineRule="auto" w:before="154"/>
        <w:ind w:left="153" w:right="1046"/>
        <w:jc w:val="left"/>
        <w:rPr>
          <w:b w:val="0"/>
          <w:bCs w:val="0"/>
        </w:rPr>
      </w:pPr>
      <w:bookmarkStart w:name="32、长期应付款" w:id="309"/>
      <w:bookmarkEnd w:id="309"/>
      <w:r>
        <w:rPr>
          <w:b w:val="0"/>
          <w:bCs w:val="0"/>
        </w:rPr>
      </w:r>
      <w:r>
        <w:rPr>
          <w:rFonts w:ascii="Times New Roman" w:hAnsi="Times New Roman" w:cs="Times New Roman" w:eastAsia="Times New Roman" w:hint="default"/>
        </w:rPr>
        <w:t>32</w:t>
      </w:r>
      <w:r>
        <w:rPr/>
        <w:t>、长期应付款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按款项性质列示长期应付款" w:id="310"/>
      <w:bookmarkEnd w:id="310"/>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33、长期应付职工薪酬" w:id="311"/>
      <w:bookmarkEnd w:id="311"/>
      <w:r>
        <w:rPr>
          <w:b w:val="0"/>
          <w:bCs w:val="0"/>
        </w:rPr>
      </w:r>
      <w:r>
        <w:rPr>
          <w:rFonts w:ascii="Times New Roman" w:hAnsi="Times New Roman" w:cs="Times New Roman" w:eastAsia="Times New Roman" w:hint="default"/>
        </w:rPr>
        <w:t>33</w:t>
      </w:r>
      <w:r>
        <w:rPr/>
        <w:t>、长期应付职工薪酬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长期应付职工薪酬表" w:id="312"/>
      <w:bookmarkEnd w:id="312"/>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二、辞退福利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2,343,605.08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2,959,596.91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2,343,605.08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2,959,596.91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2）设定受益计划变动情况" w:id="313"/>
      <w:bookmarkEnd w:id="313"/>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34、专项应付款" w:id="314"/>
      <w:bookmarkEnd w:id="314"/>
      <w:r>
        <w:rPr>
          <w:b w:val="0"/>
          <w:bCs w:val="0"/>
        </w:rPr>
      </w:r>
      <w:r>
        <w:rPr>
          <w:rFonts w:ascii="Times New Roman" w:hAnsi="Times New Roman" w:cs="Times New Roman" w:eastAsia="Times New Roman" w:hint="default"/>
        </w:rPr>
        <w:t>34</w:t>
      </w:r>
      <w:r>
        <w:rPr/>
        <w:t>、专项应付款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6"/>
        <w:jc w:val="left"/>
        <w:rPr>
          <w:b w:val="0"/>
          <w:bCs w:val="0"/>
        </w:rPr>
      </w:pPr>
      <w:bookmarkStart w:name="35、预计负债" w:id="315"/>
      <w:bookmarkEnd w:id="315"/>
      <w:r>
        <w:rPr>
          <w:b w:val="0"/>
          <w:bCs w:val="0"/>
        </w:rPr>
      </w:r>
      <w:r>
        <w:rPr>
          <w:rFonts w:ascii="Times New Roman" w:hAnsi="Times New Roman" w:cs="Times New Roman" w:eastAsia="Times New Roman" w:hint="default"/>
        </w:rPr>
        <w:t>35</w:t>
      </w:r>
      <w:r>
        <w:rPr/>
        <w:t>、预计负债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3,727,800.00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4,209,450.00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产品质量保证</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4,653,124.13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4,749,185.68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15,366,750.88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13,777,428.11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23,747,675.01</w:t>
            </w:r>
          </w:p>
        </w:tc>
        <w:tc>
          <w:tcPr>
            <w:tcW w:w="239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22,736,063.79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spacing w:line="240" w:lineRule="auto" w:before="12"/>
        <w:rPr>
          <w:rFonts w:ascii="宋体" w:hAnsi="宋体" w:cs="宋体" w:eastAsia="宋体" w:hint="default"/>
          <w:sz w:val="12"/>
          <w:szCs w:val="12"/>
        </w:rPr>
      </w:pPr>
    </w:p>
    <w:p>
      <w:pPr>
        <w:pStyle w:val="BodyText"/>
        <w:spacing w:line="240" w:lineRule="auto" w:before="0"/>
        <w:ind w:left="574" w:right="1046"/>
        <w:jc w:val="left"/>
      </w:pPr>
      <w:r>
        <w:rPr/>
        <w:t>预计负债</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928"/>
        <w:gridCol w:w="1929"/>
        <w:gridCol w:w="1927"/>
        <w:gridCol w:w="1929"/>
        <w:gridCol w:w="1928"/>
      </w:tblGrid>
      <w:tr>
        <w:trPr>
          <w:trHeight w:val="34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年初数</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58" w:right="0"/>
              <w:jc w:val="left"/>
              <w:rPr>
                <w:rFonts w:ascii="宋体" w:hAnsi="宋体" w:cs="宋体" w:eastAsia="宋体" w:hint="default"/>
                <w:sz w:val="20"/>
                <w:szCs w:val="20"/>
              </w:rPr>
            </w:pPr>
            <w:r>
              <w:rPr>
                <w:rFonts w:ascii="宋体" w:hAnsi="宋体" w:cs="宋体" w:eastAsia="宋体" w:hint="default"/>
                <w:sz w:val="20"/>
                <w:szCs w:val="20"/>
              </w:rPr>
              <w:t>本年增加</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557" w:right="0"/>
              <w:jc w:val="left"/>
              <w:rPr>
                <w:rFonts w:ascii="宋体" w:hAnsi="宋体" w:cs="宋体" w:eastAsia="宋体" w:hint="default"/>
                <w:sz w:val="20"/>
                <w:szCs w:val="20"/>
              </w:rPr>
            </w:pPr>
            <w:r>
              <w:rPr>
                <w:rFonts w:ascii="宋体" w:hAnsi="宋体" w:cs="宋体" w:eastAsia="宋体" w:hint="default"/>
                <w:sz w:val="20"/>
                <w:szCs w:val="20"/>
              </w:rPr>
              <w:t>本年减少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期末数</w:t>
            </w:r>
          </w:p>
        </w:tc>
      </w:tr>
      <w:tr>
        <w:trPr>
          <w:trHeight w:val="34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海外维修基金</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11,454,981.94</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6,261,233.44</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3,316,455.82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14,399,759.56</w:t>
            </w:r>
          </w:p>
        </w:tc>
      </w:tr>
      <w:tr>
        <w:trPr>
          <w:trHeight w:val="34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产品质量保证</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4,749,185.68</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723,394.11</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819,455.66</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4,653,124.13</w:t>
            </w:r>
          </w:p>
        </w:tc>
      </w:tr>
      <w:tr>
        <w:trPr>
          <w:trHeight w:val="34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待履行义务</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1,396,367.17</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346,147.09</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1,297,414.94</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445,099.32</w:t>
            </w:r>
          </w:p>
        </w:tc>
      </w:tr>
      <w:tr>
        <w:trPr>
          <w:trHeight w:val="34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专利侵权</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4,209,450.00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pacing w:val="-1"/>
                <w:sz w:val="20"/>
              </w:rPr>
              <w:t>-481,650.00</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w w:val="100"/>
                <w:sz w:val="20"/>
              </w:rPr>
              <w:t>-</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3,727,800.00</w:t>
            </w:r>
          </w:p>
        </w:tc>
      </w:tr>
      <w:tr>
        <w:trPr>
          <w:trHeight w:val="34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其</w:t>
            </w:r>
            <w:r>
              <w:rPr>
                <w:rFonts w:ascii="宋体" w:hAnsi="宋体" w:cs="宋体" w:eastAsia="宋体" w:hint="default"/>
                <w:spacing w:val="60"/>
                <w:sz w:val="20"/>
                <w:szCs w:val="20"/>
              </w:rPr>
              <w:t> </w:t>
            </w:r>
            <w:r>
              <w:rPr>
                <w:rFonts w:ascii="宋体" w:hAnsi="宋体" w:cs="宋体" w:eastAsia="宋体" w:hint="default"/>
                <w:sz w:val="20"/>
                <w:szCs w:val="20"/>
              </w:rPr>
              <w:t>他</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20"/>
                <w:szCs w:val="20"/>
              </w:rPr>
            </w:pPr>
            <w:r>
              <w:rPr>
                <w:rFonts w:ascii="Times New Roman"/>
                <w:spacing w:val="-1"/>
                <w:sz w:val="20"/>
              </w:rPr>
              <w:t>926,079.00</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
              <w:jc w:val="right"/>
              <w:rPr>
                <w:rFonts w:ascii="Times New Roman" w:hAnsi="Times New Roman" w:cs="Times New Roman" w:eastAsia="Times New Roman" w:hint="default"/>
                <w:sz w:val="20"/>
                <w:szCs w:val="20"/>
              </w:rPr>
            </w:pPr>
            <w:r>
              <w:rPr>
                <w:rFonts w:ascii="Times New Roman"/>
                <w:spacing w:val="-1"/>
                <w:sz w:val="20"/>
              </w:rPr>
              <w:t>-105,963.00</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20"/>
                <w:szCs w:val="20"/>
              </w:rPr>
            </w:pPr>
            <w:r>
              <w:rPr>
                <w:rFonts w:ascii="Times New Roman"/>
                <w:spacing w:val="-1"/>
                <w:sz w:val="20"/>
              </w:rPr>
              <w:t>298,224.00</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20"/>
                <w:szCs w:val="20"/>
              </w:rPr>
            </w:pPr>
            <w:r>
              <w:rPr>
                <w:rFonts w:ascii="Times New Roman"/>
                <w:spacing w:val="-1"/>
                <w:sz w:val="20"/>
              </w:rPr>
              <w:t>521,892.00</w:t>
            </w:r>
          </w:p>
        </w:tc>
      </w:tr>
      <w:tr>
        <w:trPr>
          <w:trHeight w:val="342" w:hRule="exact"/>
        </w:trPr>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718" w:right="0"/>
              <w:jc w:val="left"/>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0"/>
                <w:sz w:val="20"/>
                <w:szCs w:val="20"/>
              </w:rPr>
              <w:t> </w:t>
            </w:r>
            <w:r>
              <w:rPr>
                <w:rFonts w:ascii="宋体" w:hAnsi="宋体" w:cs="宋体" w:eastAsia="宋体" w:hint="default"/>
                <w:sz w:val="20"/>
                <w:szCs w:val="20"/>
              </w:rPr>
              <w:t>计</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22,736,063.79</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spacing w:val="-1"/>
                <w:sz w:val="20"/>
              </w:rPr>
              <w:t>6,743,161.64</w:t>
            </w:r>
          </w:p>
        </w:tc>
        <w:tc>
          <w:tcPr>
            <w:tcW w:w="1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5,731,550.42</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
              <w:jc w:val="right"/>
              <w:rPr>
                <w:rFonts w:ascii="Times New Roman" w:hAnsi="Times New Roman" w:cs="Times New Roman" w:eastAsia="Times New Roman" w:hint="default"/>
                <w:sz w:val="20"/>
                <w:szCs w:val="20"/>
              </w:rPr>
            </w:pPr>
            <w:r>
              <w:rPr>
                <w:rFonts w:ascii="Times New Roman"/>
                <w:spacing w:val="-1"/>
                <w:sz w:val="20"/>
              </w:rPr>
              <w:t>23,747,675.01</w:t>
            </w:r>
          </w:p>
        </w:tc>
      </w:tr>
    </w:tbl>
    <w:p>
      <w:pPr>
        <w:pStyle w:val="BodyText"/>
        <w:spacing w:line="408" w:lineRule="auto" w:before="63"/>
        <w:ind w:left="154" w:right="1214" w:firstLine="420"/>
        <w:jc w:val="both"/>
      </w:pPr>
      <w:r>
        <w:rPr/>
        <w:t>（</w:t>
      </w:r>
      <w:r>
        <w:rPr>
          <w:rFonts w:ascii="宋体" w:hAnsi="宋体" w:cs="宋体" w:eastAsia="宋体" w:hint="default"/>
        </w:rPr>
        <w:t>1</w:t>
      </w:r>
      <w:r>
        <w:rPr/>
        <w:t>）为了推进海外销售市场，本公司结合自身实际情况，将销往海外的产品售后维修转由海外各地 的经销商来负责，因而在经销商协议中根据销售收入计提一定比例（</w:t>
      </w:r>
      <w:r>
        <w:rPr>
          <w:rFonts w:ascii="宋体" w:hAnsi="宋体" w:cs="宋体" w:eastAsia="宋体" w:hint="default"/>
        </w:rPr>
        <w:t>0%-3.5%</w:t>
      </w:r>
      <w:r>
        <w:rPr/>
        <w:t>）的维修基金供海外经销商 使用。海外维修基金期末余额为根据经销商协议结算计提但尚未使用的海外维修基金余额。</w:t>
      </w:r>
    </w:p>
    <w:p>
      <w:pPr>
        <w:pStyle w:val="BodyText"/>
        <w:spacing w:line="240" w:lineRule="auto"/>
        <w:ind w:left="574" w:right="1046"/>
        <w:jc w:val="left"/>
      </w:pPr>
      <w:r>
        <w:rPr/>
        <w:t>（</w:t>
      </w:r>
      <w:r>
        <w:rPr>
          <w:rFonts w:ascii="宋体" w:hAnsi="宋体" w:cs="宋体" w:eastAsia="宋体" w:hint="default"/>
        </w:rPr>
        <w:t>2</w:t>
      </w:r>
      <w:r>
        <w:rPr/>
        <w:t>）产品质量保证主要是德国子公司根据销售收入</w:t>
      </w:r>
      <w:r>
        <w:rPr>
          <w:spacing w:val="-55"/>
        </w:rPr>
        <w:t> </w:t>
      </w:r>
      <w:r>
        <w:rPr>
          <w:rFonts w:ascii="宋体" w:hAnsi="宋体" w:cs="宋体" w:eastAsia="宋体" w:hint="default"/>
        </w:rPr>
        <w:t>1.5%</w:t>
      </w:r>
      <w:r>
        <w:rPr/>
        <w:t>计提的产品质量保证金。</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w:t>
      </w:r>
      <w:r>
        <w:rPr>
          <w:rFonts w:ascii="宋体" w:hAnsi="宋体" w:cs="宋体" w:eastAsia="宋体" w:hint="default"/>
        </w:rPr>
        <w:t>3</w:t>
      </w:r>
      <w:r>
        <w:rPr/>
        <w:t>）项目中的其他主要是德国子公司计提的预计合同罚款。</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w:t>
      </w:r>
      <w:r>
        <w:rPr>
          <w:rFonts w:ascii="宋体" w:hAnsi="宋体" w:cs="宋体" w:eastAsia="宋体" w:hint="default"/>
        </w:rPr>
        <w:t>4</w:t>
      </w:r>
      <w:r>
        <w:rPr/>
        <w:t>）本年增加数的负数主要是德国子公司汇率变动影响数。</w:t>
      </w:r>
    </w:p>
    <w:p>
      <w:pPr>
        <w:spacing w:line="240" w:lineRule="auto" w:before="0"/>
        <w:rPr>
          <w:rFonts w:ascii="宋体" w:hAnsi="宋体" w:cs="宋体" w:eastAsia="宋体" w:hint="default"/>
          <w:sz w:val="20"/>
          <w:szCs w:val="20"/>
        </w:rPr>
      </w:pPr>
    </w:p>
    <w:p>
      <w:pPr>
        <w:pStyle w:val="Heading3"/>
        <w:spacing w:line="240" w:lineRule="auto" w:before="154"/>
        <w:ind w:left="153" w:right="1046"/>
        <w:jc w:val="left"/>
        <w:rPr>
          <w:b w:val="0"/>
          <w:bCs w:val="0"/>
        </w:rPr>
      </w:pPr>
      <w:bookmarkStart w:name="36、递延收益" w:id="316"/>
      <w:bookmarkEnd w:id="316"/>
      <w:r>
        <w:rPr>
          <w:b w:val="0"/>
          <w:bCs w:val="0"/>
        </w:rPr>
      </w:r>
      <w:r>
        <w:rPr>
          <w:rFonts w:ascii="Times New Roman" w:hAnsi="Times New Roman" w:cs="Times New Roman" w:eastAsia="Times New Roman" w:hint="default"/>
        </w:rPr>
        <w:t>36</w:t>
      </w:r>
      <w:r>
        <w:rPr/>
        <w:t>、递延收益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58,181,549.51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14,986,400.00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18,846,171.73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54,321,777.78</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58,181,549.51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14,986,400.00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18,846,171.73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54,321,777.78</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369"/>
        <w:gridCol w:w="1367"/>
        <w:gridCol w:w="1367"/>
        <w:gridCol w:w="1367"/>
        <w:gridCol w:w="1367"/>
        <w:gridCol w:w="1355"/>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6"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8" w:right="0"/>
              <w:jc w:val="left"/>
              <w:rPr>
                <w:rFonts w:ascii="宋体" w:hAnsi="宋体" w:cs="宋体" w:eastAsia="宋体" w:hint="default"/>
                <w:sz w:val="18"/>
                <w:szCs w:val="18"/>
              </w:rPr>
            </w:pPr>
            <w:r>
              <w:rPr>
                <w:rFonts w:ascii="宋体" w:hAnsi="宋体" w:cs="宋体" w:eastAsia="宋体" w:hint="default"/>
                <w:sz w:val="18"/>
                <w:szCs w:val="18"/>
              </w:rPr>
              <w:t>本期新增补助金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本期计入营业外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0.120003pt;margin-top:384.439972pt;width:83.2pt;height:31.2pt;mso-position-horizontal-relative:page;mso-position-vertical-relative:page;z-index:-1064344" type="#_x0000_t202" filled="false" stroked="false">
            <v:textbox inset="0,0,0,0">
              <w:txbxContent>
                <w:p>
                  <w:pPr>
                    <w:spacing w:line="240" w:lineRule="auto" w:before="7"/>
                    <w:rPr>
                      <w:rFonts w:ascii="Times New Roman" w:hAnsi="Times New Roman" w:cs="Times New Roman" w:eastAsia="Times New Roman" w:hint="default"/>
                      <w:sz w:val="24"/>
                      <w:szCs w:val="24"/>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号】</w:t>
                  </w:r>
                </w:p>
              </w:txbxContent>
            </v:textbox>
            <w10:wrap type="none"/>
          </v:shape>
        </w:pict>
      </w:r>
      <w:r>
        <w:rPr/>
        <w:pict>
          <v:shape style="position:absolute;margin-left:119.120003pt;margin-top:710.459961pt;width:74.2pt;height:14.6pt;mso-position-horizontal-relative:page;mso-position-vertical-relative:page;z-index:-106432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5.300003pt;margin-top:384.439972pt;width:68pt;height:31.2pt;mso-position-horizontal-relative:page;mso-position-vertical-relative:page;z-index:-1064296" coordorigin="2506,7689" coordsize="1360,624">
            <v:shape style="position:absolute;left:2506;top:7689;width:1360;height:624" coordorigin="2506,7689" coordsize="1360,624" path="m2506,8313l3866,8313,3866,7689,2506,7689,2506,8313xe" filled="true" fillcolor="#ffffff" stroked="false">
              <v:path arrowok="t"/>
              <v:fill type="solid"/>
            </v:shape>
            <w10:wrap type="none"/>
          </v:group>
        </w:pict>
      </w:r>
      <w:r>
        <w:rPr/>
        <w:pict>
          <v:group style="position:absolute;margin-left:125.300003pt;margin-top:710.459961pt;width:68pt;height:14.6pt;mso-position-horizontal-relative:page;mso-position-vertical-relative:page;z-index:-1064272" coordorigin="2506,14209" coordsize="1360,292">
            <v:shape style="position:absolute;left:2506;top:14209;width:1360;height:292" coordorigin="2506,14209" coordsize="1360,292" path="m2506,14501l3866,14501,3866,14209,2506,14209,2506,14501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229"/>
        <w:gridCol w:w="1141"/>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407"/>
              <w:jc w:val="right"/>
              <w:rPr>
                <w:rFonts w:ascii="宋体" w:hAnsi="宋体" w:cs="宋体" w:eastAsia="宋体" w:hint="default"/>
                <w:sz w:val="18"/>
                <w:szCs w:val="18"/>
              </w:rPr>
            </w:pPr>
            <w:r>
              <w:rPr>
                <w:rFonts w:ascii="宋体" w:hAnsi="宋体" w:cs="宋体" w:eastAsia="宋体" w:hint="default"/>
                <w:sz w:val="18"/>
                <w:szCs w:val="18"/>
              </w:rPr>
              <w:t>益相关</w:t>
            </w:r>
          </w:p>
        </w:tc>
      </w:tr>
      <w:tr>
        <w:trPr>
          <w:trHeight w:val="2586" w:hRule="exact"/>
        </w:trPr>
        <w:tc>
          <w:tcPr>
            <w:tcW w:w="1367" w:type="dxa"/>
            <w:tcBorders>
              <w:top w:val="single" w:sz="4" w:space="0" w:color="000000"/>
              <w:left w:val="single" w:sz="4" w:space="0" w:color="000000"/>
              <w:bottom w:val="single" w:sz="4" w:space="0" w:color="000000"/>
              <w:right w:val="single" w:sz="9" w:space="0" w:color="FFFFFF"/>
            </w:tcBorders>
          </w:tcPr>
          <w:p>
            <w:pPr>
              <w:pStyle w:val="TableParagraph"/>
              <w:spacing w:line="314"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国家重大专项项 目拨款</w:t>
            </w:r>
            <w:r>
              <w:rPr>
                <w:rFonts w:ascii="Times New Roman" w:hAnsi="Times New Roman" w:cs="Times New Roman" w:eastAsia="Times New Roman" w:hint="default"/>
                <w:sz w:val="18"/>
                <w:szCs w:val="18"/>
              </w:rPr>
              <w:t>-</w:t>
            </w:r>
            <w:r>
              <w:rPr>
                <w:rFonts w:ascii="宋体" w:hAnsi="宋体" w:cs="宋体" w:eastAsia="宋体" w:hint="default"/>
                <w:sz w:val="18"/>
                <w:szCs w:val="18"/>
              </w:rPr>
              <w:t>宽带多 媒体集群系统技 术验证（中速模 </w:t>
            </w:r>
            <w:r>
              <w:rPr>
                <w:rFonts w:ascii="宋体" w:hAnsi="宋体" w:cs="宋体" w:eastAsia="宋体" w:hint="default"/>
                <w:spacing w:val="-12"/>
                <w:sz w:val="18"/>
                <w:szCs w:val="18"/>
              </w:rPr>
              <w:t>式）（公安一所）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课题编号</w:t>
            </w:r>
          </w:p>
          <w:p>
            <w:pPr>
              <w:pStyle w:val="TableParagraph"/>
              <w:spacing w:line="240" w:lineRule="auto" w:before="60"/>
              <w:ind w:left="22" w:right="0"/>
              <w:jc w:val="left"/>
              <w:rPr>
                <w:rFonts w:ascii="Times New Roman" w:hAnsi="Times New Roman" w:cs="Times New Roman" w:eastAsia="Times New Roman" w:hint="default"/>
                <w:sz w:val="18"/>
                <w:szCs w:val="18"/>
              </w:rPr>
            </w:pPr>
            <w:r>
              <w:rPr>
                <w:rFonts w:ascii="Times New Roman"/>
                <w:sz w:val="18"/>
              </w:rPr>
              <w:t>2011ZX03004-00</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4</w:t>
            </w:r>
          </w:p>
        </w:tc>
        <w:tc>
          <w:tcPr>
            <w:tcW w:w="1369" w:type="dxa"/>
            <w:gridSpan w:val="2"/>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519" w:right="0"/>
              <w:jc w:val="left"/>
              <w:rPr>
                <w:rFonts w:ascii="Times New Roman" w:hAnsi="Times New Roman" w:cs="Times New Roman" w:eastAsia="Times New Roman" w:hint="default"/>
                <w:sz w:val="18"/>
                <w:szCs w:val="18"/>
              </w:rPr>
            </w:pPr>
            <w:r>
              <w:rPr>
                <w:rFonts w:ascii="Times New Roman"/>
                <w:sz w:val="18"/>
              </w:rPr>
              <w:t>285,433.76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285,433.76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43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国家重大专项： 面向行业专网应 用的带宽可变频 点可变无线射频 芯片研发资金</w:t>
            </w:r>
          </w:p>
          <w:p>
            <w:pPr>
              <w:pStyle w:val="TableParagraph"/>
              <w:spacing w:line="319" w:lineRule="auto" w:before="19"/>
              <w:ind w:left="22" w:right="72"/>
              <w:jc w:val="both"/>
              <w:rPr>
                <w:rFonts w:ascii="宋体" w:hAnsi="宋体" w:cs="宋体" w:eastAsia="宋体" w:hint="default"/>
                <w:sz w:val="18"/>
                <w:szCs w:val="18"/>
              </w:rPr>
            </w:pPr>
            <w:r>
              <w:rPr>
                <w:rFonts w:ascii="宋体" w:hAnsi="宋体" w:cs="宋体" w:eastAsia="宋体" w:hint="default"/>
                <w:sz w:val="18"/>
                <w:szCs w:val="18"/>
              </w:rPr>
              <w:t>（中国科学院微 电子研究所）</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2,181,705.94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1,963,535.00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218,170.94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right="43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Times New Roman" w:hAnsi="Times New Roman" w:cs="Times New Roman" w:eastAsia="Times New Roman" w:hint="default"/>
                <w:sz w:val="18"/>
                <w:szCs w:val="18"/>
              </w:rPr>
            </w:pPr>
            <w:r>
              <w:rPr>
                <w:rFonts w:ascii="宋体" w:hAnsi="宋体" w:cs="宋体" w:eastAsia="宋体" w:hint="default"/>
                <w:sz w:val="18"/>
                <w:szCs w:val="18"/>
              </w:rPr>
              <w:t>财政局新一代数 字集群通信设备 研发和产业化项 目进度款</w:t>
            </w:r>
            <w:r>
              <w:rPr>
                <w:rFonts w:ascii="Times New Roman" w:hAnsi="Times New Roman" w:cs="Times New Roman" w:eastAsia="Times New Roman" w:hint="default"/>
                <w:sz w:val="18"/>
                <w:szCs w:val="18"/>
              </w:rPr>
              <w:t>[</w:t>
            </w:r>
            <w:r>
              <w:rPr>
                <w:rFonts w:ascii="宋体" w:hAnsi="宋体" w:cs="宋体" w:eastAsia="宋体" w:hint="default"/>
                <w:sz w:val="18"/>
                <w:szCs w:val="18"/>
              </w:rPr>
              <w:t>深发 </w:t>
            </w:r>
            <w:r>
              <w:rPr>
                <w:rFonts w:ascii="宋体" w:hAnsi="宋体" w:cs="宋体" w:eastAsia="宋体" w:hint="default"/>
                <w:spacing w:val="-6"/>
                <w:sz w:val="18"/>
                <w:szCs w:val="18"/>
              </w:rPr>
              <w:t>改（</w:t>
            </w:r>
            <w:r>
              <w:rPr>
                <w:rFonts w:ascii="Times New Roman" w:hAnsi="Times New Roman" w:cs="Times New Roman" w:eastAsia="Times New Roman" w:hint="default"/>
                <w:spacing w:val="-6"/>
                <w:sz w:val="18"/>
                <w:szCs w:val="18"/>
              </w:rPr>
              <w:t>2010)128</w:t>
            </w:r>
          </w:p>
        </w:tc>
        <w:tc>
          <w:tcPr>
            <w:tcW w:w="229" w:type="dxa"/>
            <w:tcBorders>
              <w:top w:val="single" w:sz="4" w:space="0" w:color="000000"/>
              <w:left w:val="single" w:sz="4" w:space="0" w:color="000000"/>
              <w:bottom w:val="single" w:sz="4" w:space="0" w:color="000000"/>
              <w:right w:val="nil" w:sz="6" w:space="0" w:color="auto"/>
            </w:tcBorders>
          </w:tcPr>
          <w:p>
            <w:pPr/>
          </w:p>
        </w:tc>
        <w:tc>
          <w:tcPr>
            <w:tcW w:w="1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2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深圳市财政局 </w:t>
            </w:r>
            <w:r>
              <w:rPr>
                <w:rFonts w:ascii="Times New Roman" w:hAnsi="Times New Roman" w:cs="Times New Roman" w:eastAsia="Times New Roman" w:hint="default"/>
                <w:sz w:val="18"/>
                <w:szCs w:val="18"/>
              </w:rPr>
              <w:t>“</w:t>
            </w:r>
            <w:r>
              <w:rPr>
                <w:rFonts w:ascii="宋体" w:hAnsi="宋体" w:cs="宋体" w:eastAsia="宋体" w:hint="default"/>
                <w:sz w:val="18"/>
                <w:szCs w:val="18"/>
              </w:rPr>
              <w:t>新一代数字集 群通信设备研发 和产业化项目</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工程项目进度款 </w:t>
            </w:r>
            <w:r>
              <w:rPr>
                <w:rFonts w:ascii="Times New Roman" w:hAnsi="Times New Roman" w:cs="Times New Roman" w:eastAsia="Times New Roman" w:hint="default"/>
                <w:sz w:val="18"/>
                <w:szCs w:val="18"/>
              </w:rPr>
              <w:t>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万，深发改</w:t>
            </w:r>
          </w:p>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4,292,500.00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3,782,500.00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43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数字对讲机器关 键设备及芯片研 究产业化，工信 部财函【</w:t>
            </w:r>
            <w:r>
              <w:rPr>
                <w:rFonts w:ascii="Times New Roman" w:hAnsi="Times New Roman" w:cs="Times New Roman" w:eastAsia="Times New Roman" w:hint="default"/>
                <w:sz w:val="18"/>
                <w:szCs w:val="18"/>
              </w:rPr>
              <w:t>2011</w:t>
            </w:r>
            <w:r>
              <w:rPr>
                <w:rFonts w:ascii="宋体" w:hAnsi="宋体" w:cs="宋体" w:eastAsia="宋体" w:hint="default"/>
                <w:sz w:val="18"/>
                <w:szCs w:val="18"/>
              </w:rPr>
              <w:t>】 </w:t>
            </w:r>
            <w:r>
              <w:rPr>
                <w:rFonts w:ascii="Times New Roman" w:hAnsi="Times New Roman" w:cs="Times New Roman" w:eastAsia="Times New Roman" w:hint="default"/>
                <w:sz w:val="18"/>
                <w:szCs w:val="18"/>
              </w:rPr>
              <w:t>506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2,419,999.91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560,000.04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1,859,999.87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粤财教【</w:t>
            </w:r>
            <w:r>
              <w:rPr>
                <w:rFonts w:ascii="Times New Roman" w:hAnsi="Times New Roman" w:cs="Times New Roman" w:eastAsia="Times New Roman" w:hint="default"/>
                <w:sz w:val="18"/>
                <w:szCs w:val="18"/>
              </w:rPr>
              <w:t>2011</w:t>
            </w:r>
            <w:r>
              <w:rPr>
                <w:rFonts w:ascii="宋体" w:hAnsi="宋体" w:cs="宋体" w:eastAsia="宋体" w:hint="default"/>
                <w:sz w:val="18"/>
                <w:szCs w:val="18"/>
              </w:rPr>
              <w:t>】 </w:t>
            </w:r>
            <w:r>
              <w:rPr>
                <w:rFonts w:ascii="Times New Roman" w:hAnsi="Times New Roman" w:cs="Times New Roman" w:eastAsia="Times New Roman" w:hint="default"/>
                <w:sz w:val="18"/>
                <w:szCs w:val="18"/>
              </w:rPr>
              <w:t>362 </w:t>
            </w:r>
            <w:r>
              <w:rPr>
                <w:rFonts w:ascii="宋体" w:hAnsi="宋体" w:cs="宋体" w:eastAsia="宋体" w:hint="default"/>
                <w:sz w:val="18"/>
                <w:szCs w:val="18"/>
              </w:rPr>
              <w:t>号，</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省 部产学研结合重 大项目（第一 </w:t>
            </w:r>
            <w:r>
              <w:rPr>
                <w:rFonts w:ascii="宋体" w:hAnsi="宋体" w:cs="宋体" w:eastAsia="宋体" w:hint="default"/>
                <w:spacing w:val="-17"/>
                <w:sz w:val="18"/>
                <w:szCs w:val="18"/>
              </w:rPr>
              <w:t>批），产业技术研</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究与开发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2"/>
              <w:jc w:val="both"/>
              <w:rPr>
                <w:rFonts w:ascii="宋体" w:hAnsi="宋体" w:cs="宋体" w:eastAsia="宋体" w:hint="default"/>
                <w:sz w:val="18"/>
                <w:szCs w:val="18"/>
              </w:rPr>
            </w:pPr>
            <w:r>
              <w:rPr>
                <w:rFonts w:ascii="宋体" w:hAnsi="宋体" w:cs="宋体" w:eastAsia="宋体" w:hint="default"/>
                <w:spacing w:val="-5"/>
                <w:sz w:val="18"/>
                <w:szCs w:val="18"/>
              </w:rPr>
              <w:t>工信部财【</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z w:val="18"/>
                <w:szCs w:val="18"/>
              </w:rPr>
              <w:t>407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号电子产业 发展基金，安全</w:t>
            </w:r>
          </w:p>
        </w:tc>
        <w:tc>
          <w:tcPr>
            <w:tcW w:w="229" w:type="dxa"/>
            <w:tcBorders>
              <w:top w:val="single" w:sz="4" w:space="0" w:color="000000"/>
              <w:left w:val="single" w:sz="4" w:space="0" w:color="000000"/>
              <w:bottom w:val="single" w:sz="4" w:space="0" w:color="000000"/>
              <w:right w:val="nil" w:sz="6" w:space="0" w:color="auto"/>
            </w:tcBorders>
          </w:tcPr>
          <w:p>
            <w:pPr/>
          </w:p>
        </w:tc>
        <w:tc>
          <w:tcPr>
            <w:tcW w:w="1141"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3,942,039.35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1,358,696.35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2,583,343.00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right="432"/>
              <w:jc w:val="righ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19.120003pt;margin-top:549.459961pt;width:74.2pt;height:31.2pt;mso-position-horizontal-relative:page;mso-position-vertical-relative:page;z-index:-1064248" type="#_x0000_t202" filled="false" stroked="false">
            <v:textbox inset="0,0,0,0">
              <w:txbxContent>
                <w:p>
                  <w:pPr>
                    <w:spacing w:line="205"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5.300003pt;margin-top:549.459961pt;width:68pt;height:31.2pt;mso-position-horizontal-relative:page;mso-position-vertical-relative:page;z-index:-1064224" coordorigin="2506,10989" coordsize="1360,624">
            <v:shape style="position:absolute;left:2506;top:10989;width:1360;height:624" coordorigin="2506,10989" coordsize="1360,624" path="m2506,11613l3866,11613,3866,10989,2506,10989,2506,11613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296"/>
        <w:gridCol w:w="1073"/>
        <w:gridCol w:w="1367"/>
        <w:gridCol w:w="1367"/>
        <w:gridCol w:w="1368"/>
        <w:gridCol w:w="1367"/>
        <w:gridCol w:w="1367"/>
      </w:tblGrid>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可靠集群通信系 统在城市管理专 网的应用示范</w:t>
            </w:r>
          </w:p>
        </w:tc>
        <w:tc>
          <w:tcPr>
            <w:tcW w:w="1369"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000-00010415</w:t>
            </w:r>
            <w:r>
              <w:rPr>
                <w:rFonts w:ascii="宋体" w:hAnsi="宋体" w:cs="宋体" w:eastAsia="宋体" w:hint="default"/>
                <w:sz w:val="18"/>
                <w:szCs w:val="18"/>
              </w:rPr>
              <w:t>，</w:t>
            </w:r>
          </w:p>
          <w:p>
            <w:pPr>
              <w:pStyle w:val="TableParagraph"/>
              <w:spacing w:line="309" w:lineRule="auto" w:before="62"/>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年战略性新 兴产业发展专项 资金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91" w:right="0"/>
              <w:jc w:val="left"/>
              <w:rPr>
                <w:rFonts w:ascii="Times New Roman" w:hAnsi="Times New Roman" w:cs="Times New Roman" w:eastAsia="Times New Roman" w:hint="default"/>
                <w:sz w:val="18"/>
                <w:szCs w:val="18"/>
              </w:rPr>
            </w:pPr>
            <w:r>
              <w:rPr>
                <w:rFonts w:ascii="Times New Roman"/>
                <w:sz w:val="18"/>
              </w:rPr>
              <w:t>1,833,333.29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500,000.04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1,333,333.25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000-00010450</w:t>
            </w:r>
            <w:r>
              <w:rPr>
                <w:rFonts w:ascii="宋体" w:hAnsi="宋体" w:cs="宋体" w:eastAsia="宋体" w:hint="default"/>
                <w:sz w:val="18"/>
                <w:szCs w:val="18"/>
              </w:rPr>
              <w:t>，</w:t>
            </w:r>
          </w:p>
          <w:p>
            <w:pPr>
              <w:pStyle w:val="TableParagraph"/>
              <w:spacing w:line="309" w:lineRule="auto" w:before="6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年战略性新 兴产业发展专项 资金，深发改</w:t>
            </w:r>
          </w:p>
          <w:p>
            <w:pPr>
              <w:pStyle w:val="TableParagraph"/>
              <w:spacing w:line="240" w:lineRule="auto" w:before="25"/>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866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1,180,673.54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1,180,673.54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重大专项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课 题深圳市配套拨 款（新一代宽带 无线移动通信 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289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年第四批扶 持计划（新一代 信息技术产业类 发展专项资金） 深发改 </w:t>
            </w:r>
            <w:r>
              <w:rPr>
                <w:rFonts w:ascii="Times New Roman" w:hAnsi="Times New Roman" w:cs="Times New Roman" w:eastAsia="Times New Roman" w:hint="default"/>
                <w:sz w:val="18"/>
                <w:szCs w:val="18"/>
              </w:rPr>
              <w:t>[2012]1421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19" w:lineRule="auto" w:before="1"/>
              <w:ind w:left="22" w:right="72"/>
              <w:jc w:val="both"/>
              <w:rPr>
                <w:rFonts w:ascii="宋体" w:hAnsi="宋体" w:cs="宋体" w:eastAsia="宋体" w:hint="default"/>
                <w:sz w:val="18"/>
                <w:szCs w:val="18"/>
              </w:rPr>
            </w:pPr>
            <w:r>
              <w:rPr>
                <w:rFonts w:ascii="宋体" w:hAnsi="宋体" w:cs="宋体" w:eastAsia="宋体" w:hint="default"/>
                <w:sz w:val="18"/>
                <w:szCs w:val="18"/>
              </w:rPr>
              <w:t>深圳数字集群技 术工程实验室项 目资金。</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1,999,992.00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3,000,008.00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TETRA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数字集 群系统关键技术 研究与应用，深 </w:t>
            </w:r>
            <w:r>
              <w:rPr>
                <w:rFonts w:ascii="宋体" w:hAnsi="宋体" w:cs="宋体" w:eastAsia="宋体" w:hint="default"/>
                <w:spacing w:val="-5"/>
                <w:sz w:val="18"/>
                <w:szCs w:val="18"/>
              </w:rPr>
              <w:t>科技创新【</w:t>
            </w:r>
            <w:r>
              <w:rPr>
                <w:rFonts w:ascii="Times New Roman" w:hAnsi="Times New Roman" w:cs="Times New Roman" w:eastAsia="Times New Roman" w:hint="default"/>
                <w:spacing w:val="-5"/>
                <w:sz w:val="18"/>
                <w:szCs w:val="18"/>
              </w:rPr>
              <w:t>2012</w:t>
            </w:r>
            <w:r>
              <w:rPr>
                <w:rFonts w:ascii="Times New Roman" w:hAnsi="Times New Roman" w:cs="Times New Roman" w:eastAsia="Times New Roman" w:hint="default"/>
                <w:spacing w:val="-39"/>
                <w:sz w:val="18"/>
                <w:szCs w:val="18"/>
              </w:rPr>
              <w:t> </w:t>
            </w:r>
            <w:r>
              <w:rPr>
                <w:rFonts w:ascii="Times New Roman" w:hAnsi="Times New Roman" w:cs="Times New Roman" w:eastAsia="Times New Roman" w:hint="default"/>
                <w:sz w:val="18"/>
                <w:szCs w:val="18"/>
              </w:rPr>
              <w:t>318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号文件</w:t>
            </w:r>
          </w:p>
        </w:tc>
        <w:tc>
          <w:tcPr>
            <w:tcW w:w="296" w:type="dxa"/>
            <w:tcBorders>
              <w:top w:val="single" w:sz="4" w:space="0" w:color="000000"/>
              <w:left w:val="single" w:sz="4" w:space="0" w:color="000000"/>
              <w:bottom w:val="single" w:sz="4" w:space="0" w:color="000000"/>
              <w:right w:val="nil" w:sz="6" w:space="0" w:color="auto"/>
            </w:tcBorders>
          </w:tcPr>
          <w:p>
            <w:pPr/>
          </w:p>
        </w:tc>
        <w:tc>
          <w:tcPr>
            <w:tcW w:w="1073"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4" w:right="0"/>
              <w:jc w:val="left"/>
              <w:rPr>
                <w:rFonts w:ascii="Times New Roman" w:hAnsi="Times New Roman" w:cs="Times New Roman" w:eastAsia="Times New Roman" w:hint="default"/>
                <w:sz w:val="18"/>
                <w:szCs w:val="18"/>
              </w:rPr>
            </w:pPr>
            <w:r>
              <w:rPr>
                <w:rFonts w:ascii="Times New Roman"/>
                <w:sz w:val="18"/>
              </w:rPr>
              <w:t>550,000.00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275,000.03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274,999.97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年电子产业 发展基金配套项 目，深经贸信息 计财字【</w:t>
            </w:r>
            <w:r>
              <w:rPr>
                <w:rFonts w:ascii="Times New Roman" w:hAnsi="Times New Roman" w:cs="Times New Roman" w:eastAsia="Times New Roman" w:hint="default"/>
                <w:sz w:val="18"/>
                <w:szCs w:val="18"/>
              </w:rPr>
              <w:t>2012</w:t>
            </w:r>
            <w:r>
              <w:rPr>
                <w:rFonts w:ascii="宋体" w:hAnsi="宋体" w:cs="宋体" w:eastAsia="宋体" w:hint="default"/>
                <w:sz w:val="18"/>
                <w:szCs w:val="18"/>
              </w:rPr>
              <w:t>】 </w:t>
            </w:r>
            <w:r>
              <w:rPr>
                <w:rFonts w:ascii="Times New Roman" w:hAnsi="Times New Roman" w:cs="Times New Roman" w:eastAsia="Times New Roman" w:hint="default"/>
                <w:sz w:val="18"/>
                <w:szCs w:val="18"/>
              </w:rPr>
              <w:t>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1,045,000.00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380,000.03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664,999.97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6"/>
              <w:jc w:val="both"/>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年国家重大 </w:t>
            </w:r>
            <w:r>
              <w:rPr>
                <w:rFonts w:ascii="宋体" w:hAnsi="宋体" w:cs="宋体" w:eastAsia="宋体" w:hint="default"/>
                <w:spacing w:val="-7"/>
                <w:sz w:val="18"/>
                <w:szCs w:val="18"/>
              </w:rPr>
              <w:t>专项配套（</w:t>
            </w:r>
            <w:r>
              <w:rPr>
                <w:rFonts w:ascii="Times New Roman" w:hAnsi="Times New Roman" w:cs="Times New Roman" w:eastAsia="Times New Roman" w:hint="default"/>
                <w:spacing w:val="-7"/>
                <w:sz w:val="18"/>
                <w:szCs w:val="18"/>
              </w:rPr>
              <w:t>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课 题：宽带多媒体 集群系统技术验 </w:t>
            </w:r>
            <w:r>
              <w:rPr>
                <w:rFonts w:ascii="宋体" w:hAnsi="宋体" w:cs="宋体" w:eastAsia="宋体" w:hint="default"/>
                <w:spacing w:val="-12"/>
                <w:sz w:val="18"/>
                <w:szCs w:val="18"/>
              </w:rPr>
              <w:t>证（中速模式））</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2,930,000.00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年经信委应</w:t>
            </w:r>
          </w:p>
        </w:tc>
        <w:tc>
          <w:tcPr>
            <w:tcW w:w="1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92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0"/>
              <w:ind w:left="22" w:right="23"/>
              <w:jc w:val="both"/>
              <w:rPr>
                <w:rFonts w:ascii="宋体" w:hAnsi="宋体" w:cs="宋体" w:eastAsia="宋体" w:hint="default"/>
                <w:sz w:val="18"/>
                <w:szCs w:val="18"/>
              </w:rPr>
            </w:pPr>
            <w:r>
              <w:rPr>
                <w:rFonts w:ascii="宋体" w:hAnsi="宋体" w:cs="宋体" w:eastAsia="宋体" w:hint="default"/>
                <w:sz w:val="18"/>
                <w:szCs w:val="18"/>
              </w:rPr>
              <w:t>用示范项目（支 持</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GPS/</w:t>
            </w:r>
            <w:r>
              <w:rPr>
                <w:rFonts w:ascii="宋体" w:hAnsi="宋体" w:cs="宋体" w:eastAsia="宋体" w:hint="default"/>
                <w:sz w:val="18"/>
                <w:szCs w:val="18"/>
              </w:rPr>
              <w:t>北斗双模 的新一代专业数 字集群系统在公 共安全领域的应 用示范</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年产学研</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警用数字集群</w:t>
            </w:r>
          </w:p>
          <w:p>
            <w:pPr>
              <w:pStyle w:val="TableParagraph"/>
              <w:spacing w:line="240" w:lineRule="auto" w:before="75"/>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PDT</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与</w:t>
            </w:r>
          </w:p>
          <w:p>
            <w:pPr>
              <w:pStyle w:val="TableParagraph"/>
              <w:spacing w:line="240" w:lineRule="auto" w:before="6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TD-SCDMA</w:t>
            </w:r>
            <w:r>
              <w:rPr>
                <w:rFonts w:ascii="宋体" w:hAnsi="宋体" w:cs="宋体" w:eastAsia="宋体" w:hint="default"/>
                <w:sz w:val="18"/>
                <w:szCs w:val="18"/>
              </w:rPr>
              <w:t>）通</w:t>
            </w:r>
          </w:p>
          <w:p>
            <w:pPr>
              <w:pStyle w:val="TableParagraph"/>
              <w:spacing w:line="319" w:lineRule="auto" w:before="63"/>
              <w:ind w:left="22" w:right="72"/>
              <w:jc w:val="both"/>
              <w:rPr>
                <w:rFonts w:ascii="宋体" w:hAnsi="宋体" w:cs="宋体" w:eastAsia="宋体" w:hint="default"/>
                <w:sz w:val="18"/>
                <w:szCs w:val="18"/>
              </w:rPr>
            </w:pPr>
            <w:r>
              <w:rPr>
                <w:rFonts w:ascii="宋体" w:hAnsi="宋体" w:cs="宋体" w:eastAsia="宋体" w:hint="default"/>
                <w:sz w:val="18"/>
                <w:szCs w:val="18"/>
              </w:rPr>
              <w:t>信系统关键技术 研究与应用示范 项目补贴款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1,372,800.00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187,200.00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9"/>
              <w:jc w:val="both"/>
              <w:rPr>
                <w:rFonts w:ascii="宋体" w:hAnsi="宋体" w:cs="宋体" w:eastAsia="宋体" w:hint="default"/>
                <w:sz w:val="18"/>
                <w:szCs w:val="18"/>
              </w:rPr>
            </w:pPr>
            <w:r>
              <w:rPr>
                <w:rFonts w:ascii="宋体" w:hAnsi="宋体" w:cs="宋体" w:eastAsia="宋体" w:hint="default"/>
                <w:sz w:val="18"/>
                <w:szCs w:val="18"/>
              </w:rPr>
              <w:t>深圳市战略性新 兴产业发展专项 资金，</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第五 批，深发改</w:t>
            </w:r>
          </w:p>
          <w:p>
            <w:pPr>
              <w:pStyle w:val="TableParagraph"/>
              <w:spacing w:line="240" w:lineRule="auto" w:before="23"/>
              <w:ind w:left="22"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2013</w:t>
            </w:r>
            <w:r>
              <w:rPr>
                <w:rFonts w:ascii="宋体" w:hAnsi="宋体" w:cs="宋体" w:eastAsia="宋体" w:hint="default"/>
                <w:sz w:val="18"/>
                <w:szCs w:val="18"/>
              </w:rPr>
              <w:t>】</w:t>
            </w:r>
            <w:r>
              <w:rPr>
                <w:rFonts w:ascii="Times New Roman" w:hAnsi="Times New Roman" w:cs="Times New Roman" w:eastAsia="Times New Roman" w:hint="default"/>
                <w:sz w:val="18"/>
                <w:szCs w:val="18"/>
              </w:rPr>
              <w:t>1601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海能达科技园节 能技术改造应用 综合项目扶持资 金 深龙循环 </w:t>
            </w:r>
            <w:r>
              <w:rPr>
                <w:rFonts w:ascii="Times New Roman" w:hAnsi="Times New Roman" w:cs="Times New Roman" w:eastAsia="Times New Roman" w:hint="default"/>
                <w:sz w:val="18"/>
                <w:szCs w:val="18"/>
              </w:rPr>
              <w:t>[2014]3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32,698.08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410,301.92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年度深圳市 企业技术中心提 升资助</w:t>
            </w:r>
            <w:r>
              <w:rPr>
                <w:rFonts w:ascii="Times New Roman" w:hAnsi="Times New Roman" w:cs="Times New Roman" w:eastAsia="Times New Roman" w:hint="default"/>
                <w:sz w:val="18"/>
                <w:szCs w:val="18"/>
              </w:rPr>
              <w:t>,</w:t>
            </w:r>
            <w:r>
              <w:rPr>
                <w:rFonts w:ascii="宋体" w:hAnsi="宋体" w:cs="宋体" w:eastAsia="宋体" w:hint="default"/>
                <w:sz w:val="18"/>
                <w:szCs w:val="18"/>
              </w:rPr>
              <w:t>深经贸信 息计财字 </w:t>
            </w:r>
            <w:r>
              <w:rPr>
                <w:rFonts w:ascii="Times New Roman" w:hAnsi="Times New Roman" w:cs="Times New Roman" w:eastAsia="Times New Roman" w:hint="default"/>
                <w:sz w:val="18"/>
                <w:szCs w:val="18"/>
              </w:rPr>
              <w:t>[2013]267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799,998.00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1,200,002.00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新一代专业数字 集群通信系统 </w:t>
            </w:r>
            <w:r>
              <w:rPr>
                <w:rFonts w:ascii="Times New Roman" w:hAnsi="Times New Roman" w:cs="Times New Roman" w:eastAsia="Times New Roman" w:hint="default"/>
                <w:sz w:val="18"/>
                <w:szCs w:val="18"/>
              </w:rPr>
              <w:t>(TETRA)</w:t>
            </w:r>
            <w:r>
              <w:rPr>
                <w:rFonts w:ascii="宋体" w:hAnsi="宋体" w:cs="宋体" w:eastAsia="宋体" w:hint="default"/>
                <w:sz w:val="18"/>
                <w:szCs w:val="18"/>
              </w:rPr>
              <w:t>在公用 事业领域的应用 示范</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鹤壁退二进三土 地补偿款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10,943,350.00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222,350.00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10,721,000.00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国防科工委</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号文件</w:t>
            </w:r>
          </w:p>
          <w:p>
            <w:pPr>
              <w:pStyle w:val="TableParagraph"/>
              <w:spacing w:line="302" w:lineRule="auto" w:before="63"/>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2164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项目技改收 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7,425,820.66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928,077.60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6,497,743.06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工业和信息化部 电子信息产业发 展基金资助款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129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（城市轨道交通 专用通信和指挥 调度系统应用示 范项目）</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7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基于多网互联 的地铁调度指挥 系统</w:t>
            </w:r>
            <w:r>
              <w:rPr>
                <w:rFonts w:ascii="Times New Roman" w:hAnsi="Times New Roman" w:cs="Times New Roman" w:eastAsia="Times New Roman" w:hint="default"/>
                <w:sz w:val="18"/>
                <w:szCs w:val="18"/>
              </w:rPr>
              <w:t>” </w:t>
            </w:r>
            <w:r>
              <w:rPr>
                <w:rFonts w:ascii="宋体" w:hAnsi="宋体" w:cs="宋体" w:eastAsia="宋体" w:hint="default"/>
                <w:sz w:val="18"/>
                <w:szCs w:val="18"/>
              </w:rPr>
              <w:t>深科技创 新（</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139 </w:t>
            </w:r>
            <w:r>
              <w:rPr>
                <w:rFonts w:ascii="宋体" w:hAnsi="宋体" w:cs="宋体" w:eastAsia="宋体" w:hint="default"/>
                <w:sz w:val="18"/>
                <w:szCs w:val="18"/>
              </w:rPr>
              <w:t>号文件</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 科技研发资金项 目</w:t>
            </w:r>
            <w:r>
              <w:rPr>
                <w:rFonts w:ascii="Times New Roman" w:hAnsi="Times New Roman" w:cs="Times New Roman" w:eastAsia="Times New Roman" w:hint="default"/>
                <w:sz w:val="18"/>
                <w:szCs w:val="18"/>
              </w:rPr>
              <w:t>"</w:t>
            </w:r>
            <w:r>
              <w:rPr>
                <w:rFonts w:ascii="宋体" w:hAnsi="宋体" w:cs="宋体" w:eastAsia="宋体" w:hint="default"/>
                <w:sz w:val="18"/>
                <w:szCs w:val="18"/>
              </w:rPr>
              <w:t>资助金</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589,000.00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松北区财政局企 业扶持资金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72"/>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年区县</w:t>
            </w:r>
            <w:r>
              <w:rPr>
                <w:rFonts w:ascii="Times New Roman" w:hAnsi="Times New Roman" w:cs="Times New Roman" w:eastAsia="Times New Roman" w:hint="default"/>
                <w:sz w:val="18"/>
                <w:szCs w:val="18"/>
              </w:rPr>
              <w:t>(</w:t>
            </w:r>
            <w:r>
              <w:rPr>
                <w:rFonts w:ascii="宋体" w:hAnsi="宋体" w:cs="宋体" w:eastAsia="宋体" w:hint="default"/>
                <w:sz w:val="18"/>
                <w:szCs w:val="18"/>
              </w:rPr>
              <w:t>市</w:t>
            </w:r>
            <w:r>
              <w:rPr>
                <w:rFonts w:ascii="Times New Roman" w:hAnsi="Times New Roman" w:cs="Times New Roman" w:eastAsia="Times New Roman" w:hint="default"/>
                <w:sz w:val="18"/>
                <w:szCs w:val="18"/>
              </w:rPr>
              <w:t>) </w:t>
            </w:r>
            <w:r>
              <w:rPr>
                <w:rFonts w:ascii="宋体" w:hAnsi="宋体" w:cs="宋体" w:eastAsia="宋体" w:hint="default"/>
                <w:sz w:val="18"/>
                <w:szCs w:val="18"/>
              </w:rPr>
              <w:t>重大攻关科技经 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松北区财政局第 二批新型工业化 资金 哈工信发 </w:t>
            </w:r>
            <w:r>
              <w:rPr>
                <w:rFonts w:ascii="Times New Roman" w:hAnsi="Times New Roman" w:cs="Times New Roman" w:eastAsia="Times New Roman" w:hint="default"/>
                <w:sz w:val="18"/>
                <w:szCs w:val="18"/>
              </w:rPr>
              <w:t>[2013]108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8"/>
              <w:jc w:val="both"/>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年市第二批 应用技术研究与 开发资金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8"/>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年松北区应 用技术研究与开 发资金 哈松高 联</w:t>
            </w:r>
            <w:r>
              <w:rPr>
                <w:rFonts w:ascii="Times New Roman" w:hAnsi="Times New Roman" w:cs="Times New Roman" w:eastAsia="Times New Roman" w:hint="default"/>
                <w:sz w:val="18"/>
                <w:szCs w:val="18"/>
              </w:rPr>
              <w:t>[2014]3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龙岗科技园绿色 园区补贴，深经 贸信息预算字 </w:t>
            </w:r>
            <w:r>
              <w:rPr>
                <w:rFonts w:ascii="Times New Roman" w:hAnsi="Times New Roman" w:cs="Times New Roman" w:eastAsia="Times New Roman" w:hint="default"/>
                <w:sz w:val="18"/>
                <w:szCs w:val="18"/>
              </w:rPr>
              <w:t>[2014]56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2,901,400.00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2,901,400.00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海事机合开研发 项目财政拨款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2,003,693.06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926,590.80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1,347,102.26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58,181,549.51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14,986,400.00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18,846,171.73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54,321,777.78</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3"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3"/>
        <w:spacing w:line="240" w:lineRule="auto"/>
        <w:ind w:left="153" w:right="1046"/>
        <w:jc w:val="left"/>
        <w:rPr>
          <w:b w:val="0"/>
          <w:bCs w:val="0"/>
        </w:rPr>
      </w:pPr>
      <w:bookmarkStart w:name="37、股本" w:id="317"/>
      <w:bookmarkEnd w:id="317"/>
      <w:r>
        <w:rPr>
          <w:b w:val="0"/>
          <w:bCs w:val="0"/>
        </w:rPr>
      </w:r>
      <w:r>
        <w:rPr>
          <w:rFonts w:ascii="Times New Roman" w:hAnsi="Times New Roman" w:cs="Times New Roman" w:eastAsia="Times New Roman" w:hint="default"/>
        </w:rPr>
        <w:t>37</w:t>
      </w:r>
      <w:r>
        <w:rPr/>
        <w:t>、股本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7"/>
        <w:gridCol w:w="5982"/>
        <w:gridCol w:w="1195"/>
      </w:tblGrid>
      <w:tr>
        <w:trPr>
          <w:trHeight w:val="402" w:hRule="exact"/>
        </w:trPr>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6"/>
        <w:gridCol w:w="1196"/>
        <w:gridCol w:w="1196"/>
        <w:gridCol w:w="1197"/>
        <w:gridCol w:w="1195"/>
        <w:gridCol w:w="1197"/>
        <w:gridCol w:w="1196"/>
        <w:gridCol w:w="1195"/>
      </w:tblGrid>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278,000,000.00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417,000,000.00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9" w:right="0"/>
              <w:jc w:val="left"/>
              <w:rPr>
                <w:rFonts w:ascii="Times New Roman" w:hAnsi="Times New Roman" w:cs="Times New Roman" w:eastAsia="Times New Roman" w:hint="default"/>
                <w:sz w:val="18"/>
                <w:szCs w:val="18"/>
              </w:rPr>
            </w:pPr>
            <w:r>
              <w:rPr>
                <w:rFonts w:ascii="Times New Roman"/>
                <w:sz w:val="18"/>
              </w:rPr>
              <w:t>1,515,650.00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418,515,650.00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696,515,650.00</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0" w:right="1162"/>
        <w:jc w:val="right"/>
        <w:rPr>
          <w:rFonts w:ascii="宋体" w:hAnsi="宋体" w:cs="宋体" w:eastAsia="宋体" w:hint="default"/>
        </w:rPr>
      </w:pPr>
      <w:r>
        <w:rPr/>
        <w:t>注</w:t>
      </w:r>
      <w:r>
        <w:rPr>
          <w:spacing w:val="-105"/>
        </w:rPr>
        <w:t>：</w:t>
      </w:r>
      <w:r>
        <w:rPr/>
        <w:t>（</w:t>
      </w:r>
      <w:r>
        <w:rPr>
          <w:rFonts w:ascii="宋体" w:hAnsi="宋体" w:cs="宋体" w:eastAsia="宋体" w:hint="default"/>
        </w:rPr>
        <w:t>1</w:t>
      </w:r>
      <w:r>
        <w:rPr/>
        <w:t>）</w:t>
      </w:r>
      <w:r>
        <w:rPr>
          <w:spacing w:val="-2"/>
        </w:rPr>
        <w:t>公</w:t>
      </w:r>
      <w:r>
        <w:rPr/>
        <w:t>司</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2"/>
        </w:rPr>
        <w:t>第</w:t>
      </w:r>
      <w:r>
        <w:rPr/>
        <w:t>一次临时股东大会决议通过</w:t>
      </w:r>
      <w:r>
        <w:rPr>
          <w:spacing w:val="-52"/>
        </w:rPr>
        <w:t> </w:t>
      </w:r>
      <w:r>
        <w:rPr>
          <w:rFonts w:ascii="宋体" w:hAnsi="宋体" w:cs="宋体" w:eastAsia="宋体" w:hint="default"/>
        </w:rPr>
        <w:t>2014</w:t>
      </w:r>
      <w:r>
        <w:rPr>
          <w:rFonts w:ascii="宋体" w:hAnsi="宋体" w:cs="宋体" w:eastAsia="宋体" w:hint="default"/>
          <w:spacing w:val="-53"/>
        </w:rPr>
        <w:t> </w:t>
      </w:r>
      <w:r>
        <w:rPr>
          <w:spacing w:val="-2"/>
        </w:rPr>
        <w:t>年</w:t>
      </w:r>
      <w:r>
        <w:rPr/>
        <w:t>半年度权益分派方案，按每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w:t>
      </w:r>
      <w:r>
        <w:rPr>
          <w:spacing w:val="-2"/>
        </w:rPr>
        <w:t>转</w:t>
      </w:r>
      <w:r>
        <w:rPr/>
        <w:t>增</w:t>
      </w:r>
      <w:r>
        <w:rPr>
          <w:spacing w:val="-53"/>
        </w:rPr>
        <w:t> </w:t>
      </w:r>
      <w:r>
        <w:rPr>
          <w:rFonts w:ascii="宋体" w:hAnsi="宋体" w:cs="宋体" w:eastAsia="宋体" w:hint="default"/>
        </w:rPr>
        <w:t>15</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rPr>
          <w:rFonts w:ascii="宋体" w:hAnsi="宋体" w:cs="宋体" w:eastAsia="宋体" w:hint="default"/>
        </w:rPr>
      </w:pPr>
      <w:r>
        <w:rPr/>
        <w:t>股的比例，以资本公积向全体股东转增股份总额</w:t>
      </w:r>
      <w:r>
        <w:rPr>
          <w:spacing w:val="-54"/>
        </w:rPr>
        <w:t> </w:t>
      </w:r>
      <w:r>
        <w:rPr>
          <w:rFonts w:ascii="宋体" w:hAnsi="宋体" w:cs="宋体" w:eastAsia="宋体" w:hint="default"/>
        </w:rPr>
        <w:t>41,700</w:t>
      </w:r>
      <w:r>
        <w:rPr>
          <w:rFonts w:ascii="宋体" w:hAnsi="宋体" w:cs="宋体" w:eastAsia="宋体" w:hint="default"/>
          <w:spacing w:val="-54"/>
        </w:rPr>
        <w:t> </w:t>
      </w:r>
      <w:r>
        <w:rPr/>
        <w:t>万股，每股面值</w:t>
      </w:r>
      <w:r>
        <w:rPr>
          <w:spacing w:val="-54"/>
        </w:rPr>
        <w:t> </w:t>
      </w:r>
      <w:r>
        <w:rPr>
          <w:rFonts w:ascii="宋体" w:hAnsi="宋体" w:cs="宋体" w:eastAsia="宋体" w:hint="default"/>
        </w:rPr>
        <w:t>1</w:t>
      </w:r>
      <w:r>
        <w:rPr>
          <w:rFonts w:ascii="宋体" w:hAnsi="宋体" w:cs="宋体" w:eastAsia="宋体" w:hint="default"/>
          <w:spacing w:val="-53"/>
        </w:rPr>
        <w:t> </w:t>
      </w:r>
      <w:r>
        <w:rPr/>
        <w:t>元，计增加股本人民币</w:t>
      </w:r>
      <w:r>
        <w:rPr>
          <w:spacing w:val="-53"/>
        </w:rPr>
        <w:t> </w:t>
      </w:r>
      <w:r>
        <w:rPr>
          <w:rFonts w:ascii="宋体" w:hAnsi="宋体" w:cs="宋体" w:eastAsia="宋体" w:hint="default"/>
        </w:rPr>
        <w:t>41,700</w:t>
      </w:r>
    </w:p>
    <w:p>
      <w:pPr>
        <w:spacing w:line="240" w:lineRule="auto" w:before="10"/>
        <w:rPr>
          <w:rFonts w:ascii="宋体" w:hAnsi="宋体" w:cs="宋体" w:eastAsia="宋体" w:hint="default"/>
          <w:sz w:val="14"/>
          <w:szCs w:val="14"/>
        </w:rPr>
      </w:pPr>
    </w:p>
    <w:p>
      <w:pPr>
        <w:pStyle w:val="BodyText"/>
        <w:spacing w:line="408" w:lineRule="auto" w:before="0"/>
        <w:ind w:left="154" w:right="1125"/>
        <w:jc w:val="left"/>
      </w:pPr>
      <w:r>
        <w:rPr/>
        <w:t>万元，转增基准日期为</w:t>
      </w:r>
      <w:r>
        <w:rPr>
          <w:spacing w:val="-56"/>
        </w:rPr>
        <w:t> </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9</w:t>
      </w:r>
      <w:r>
        <w:rPr>
          <w:rFonts w:ascii="宋体" w:hAnsi="宋体" w:cs="宋体" w:eastAsia="宋体" w:hint="default"/>
          <w:spacing w:val="-56"/>
        </w:rPr>
        <w:t> </w:t>
      </w:r>
      <w:r>
        <w:rPr/>
        <w:t>月</w:t>
      </w:r>
      <w:r>
        <w:rPr>
          <w:spacing w:val="-58"/>
        </w:rPr>
        <w:t> </w:t>
      </w:r>
      <w:r>
        <w:rPr>
          <w:rFonts w:ascii="宋体" w:hAnsi="宋体" w:cs="宋体" w:eastAsia="宋体" w:hint="default"/>
        </w:rPr>
        <w:t>15</w:t>
      </w:r>
      <w:r>
        <w:rPr>
          <w:rFonts w:ascii="宋体" w:hAnsi="宋体" w:cs="宋体" w:eastAsia="宋体" w:hint="default"/>
          <w:spacing w:val="-56"/>
        </w:rPr>
        <w:t> </w:t>
      </w:r>
      <w:r>
        <w:rPr/>
        <w:t>日，变更后注册资本为人民币</w:t>
      </w:r>
      <w:r>
        <w:rPr>
          <w:spacing w:val="-56"/>
        </w:rPr>
        <w:t> </w:t>
      </w:r>
      <w:r>
        <w:rPr>
          <w:rFonts w:ascii="宋体" w:hAnsi="宋体" w:cs="宋体" w:eastAsia="宋体" w:hint="default"/>
        </w:rPr>
        <w:t>695,000,000</w:t>
      </w:r>
      <w:r>
        <w:rPr>
          <w:rFonts w:ascii="宋体" w:hAnsi="宋体" w:cs="宋体" w:eastAsia="宋体" w:hint="default"/>
          <w:spacing w:val="-56"/>
        </w:rPr>
        <w:t> </w:t>
      </w:r>
      <w:r>
        <w:rPr/>
        <w:t>元。此次转增股份业经 瑞华会计师事务所审验，并出具瑞华验字</w:t>
      </w:r>
      <w:r>
        <w:rPr>
          <w:rFonts w:ascii="宋体" w:hAnsi="宋体" w:cs="宋体" w:eastAsia="宋体" w:hint="default"/>
        </w:rPr>
        <w:t>[2015]48110001</w:t>
      </w:r>
      <w:r>
        <w:rPr>
          <w:rFonts w:ascii="宋体" w:hAnsi="宋体" w:cs="宋体" w:eastAsia="宋体" w:hint="default"/>
          <w:spacing w:val="-55"/>
        </w:rPr>
        <w:t> </w:t>
      </w:r>
      <w:r>
        <w:rPr/>
        <w:t>号验资报告。</w:t>
      </w:r>
    </w:p>
    <w:p>
      <w:pPr>
        <w:pStyle w:val="BodyText"/>
        <w:spacing w:line="408" w:lineRule="auto"/>
        <w:ind w:left="154" w:right="1132" w:firstLine="420"/>
        <w:jc w:val="both"/>
      </w:pPr>
      <w:r>
        <w:rPr/>
        <w:t>（</w:t>
      </w: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30</w:t>
      </w:r>
      <w:r>
        <w:rPr>
          <w:rFonts w:ascii="宋体" w:hAnsi="宋体" w:cs="宋体" w:eastAsia="宋体" w:hint="default"/>
          <w:spacing w:val="-54"/>
        </w:rPr>
        <w:t> </w:t>
      </w:r>
      <w:r>
        <w:rPr/>
        <w:t>日，公司第二届董事会第十一次会议审议通过了《关于股票期权激励计划首次 </w:t>
      </w:r>
      <w:r>
        <w:rPr>
          <w:spacing w:val="-3"/>
        </w:rPr>
        <w:t>授予第一个行权期可行权的议案》，公司股票期权激励计划第一个行权期采用自主行权的方式行权，公司</w:t>
      </w:r>
      <w:r>
        <w:rPr>
          <w:spacing w:val="-74"/>
        </w:rPr>
        <w:t> </w:t>
      </w:r>
      <w:r>
        <w:rPr>
          <w:spacing w:val="-74"/>
        </w:rPr>
      </w:r>
      <w:r>
        <w:rPr/>
        <w:t>自主行权第一个行权期为：</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日至</w:t>
      </w:r>
      <w:r>
        <w:rPr>
          <w:spacing w:val="-55"/>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4"/>
        </w:rPr>
        <w:t> </w:t>
      </w:r>
      <w:r>
        <w:rPr>
          <w:spacing w:val="-7"/>
        </w:rPr>
        <w:t>日。截至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spacing w:val="-4"/>
        </w:rPr>
        <w:t>日，已发生自主行</w:t>
      </w:r>
    </w:p>
    <w:p>
      <w:pPr>
        <w:pStyle w:val="BodyText"/>
        <w:spacing w:line="240" w:lineRule="auto"/>
        <w:ind w:right="1046"/>
        <w:jc w:val="left"/>
      </w:pPr>
      <w:r>
        <w:rPr/>
        <w:t>权</w:t>
      </w:r>
      <w:r>
        <w:rPr>
          <w:spacing w:val="-53"/>
        </w:rPr>
        <w:t> </w:t>
      </w:r>
      <w:r>
        <w:rPr>
          <w:rFonts w:ascii="宋体" w:hAnsi="宋体" w:cs="宋体" w:eastAsia="宋体" w:hint="default"/>
        </w:rPr>
        <w:t>1,515,650</w:t>
      </w:r>
      <w:r>
        <w:rPr>
          <w:rFonts w:ascii="宋体" w:hAnsi="宋体" w:cs="宋体" w:eastAsia="宋体" w:hint="default"/>
          <w:spacing w:val="-52"/>
        </w:rPr>
        <w:t> </w:t>
      </w:r>
      <w:r>
        <w:rPr/>
        <w:t>股。</w:t>
      </w:r>
    </w:p>
    <w:p>
      <w:pPr>
        <w:spacing w:line="240" w:lineRule="auto" w:before="0"/>
        <w:rPr>
          <w:rFonts w:ascii="宋体" w:hAnsi="宋体" w:cs="宋体" w:eastAsia="宋体" w:hint="default"/>
          <w:sz w:val="20"/>
          <w:szCs w:val="20"/>
        </w:rPr>
      </w:pPr>
    </w:p>
    <w:p>
      <w:pPr>
        <w:pStyle w:val="Heading3"/>
        <w:spacing w:line="240" w:lineRule="auto" w:before="154"/>
        <w:ind w:right="1046"/>
        <w:jc w:val="left"/>
        <w:rPr>
          <w:b w:val="0"/>
          <w:bCs w:val="0"/>
        </w:rPr>
      </w:pPr>
      <w:bookmarkStart w:name="38、资本公积" w:id="318"/>
      <w:bookmarkEnd w:id="318"/>
      <w:r>
        <w:rPr>
          <w:b w:val="0"/>
          <w:bCs w:val="0"/>
        </w:rPr>
      </w:r>
      <w:r>
        <w:rPr>
          <w:rFonts w:ascii="Times New Roman" w:hAnsi="Times New Roman" w:cs="Times New Roman" w:eastAsia="Times New Roman" w:hint="default"/>
        </w:rPr>
        <w:t>38</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1,268,039,896.06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11,443,783.12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862,483,679.18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7,720,000.00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2,760,690.52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4,959,309.48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1,275,759,896.06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11,443,783.12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419,760,690.52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867,442,988.66</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12"/>
          <w:szCs w:val="12"/>
        </w:rPr>
      </w:pPr>
    </w:p>
    <w:p>
      <w:pPr>
        <w:pStyle w:val="BodyText"/>
        <w:spacing w:line="240" w:lineRule="auto" w:before="0"/>
        <w:ind w:left="574" w:right="1046"/>
        <w:jc w:val="left"/>
        <w:rPr>
          <w:rFonts w:ascii="宋体" w:hAnsi="宋体" w:cs="宋体" w:eastAsia="宋体" w:hint="default"/>
        </w:rPr>
      </w:pPr>
      <w:r>
        <w:rPr/>
        <w:t>注（</w:t>
      </w:r>
      <w:r>
        <w:rPr>
          <w:rFonts w:ascii="宋体" w:hAnsi="宋体" w:cs="宋体" w:eastAsia="宋体" w:hint="default"/>
        </w:rPr>
        <w:t>1</w:t>
      </w:r>
      <w:r>
        <w:rPr/>
        <w:t>）公司</w:t>
      </w:r>
      <w:r>
        <w:rPr>
          <w:spacing w:val="-55"/>
        </w:rPr>
        <w:t> </w:t>
      </w:r>
      <w:r>
        <w:rPr>
          <w:rFonts w:ascii="宋体" w:hAnsi="宋体" w:cs="宋体" w:eastAsia="宋体" w:hint="default"/>
        </w:rPr>
        <w:t>2014</w:t>
      </w:r>
      <w:r>
        <w:rPr>
          <w:rFonts w:ascii="宋体" w:hAnsi="宋体" w:cs="宋体" w:eastAsia="宋体" w:hint="default"/>
          <w:spacing w:val="-52"/>
        </w:rPr>
        <w:t> </w:t>
      </w:r>
      <w:r>
        <w:rPr/>
        <w:t>年第一次临时股东大会决议通过</w:t>
      </w:r>
      <w:r>
        <w:rPr>
          <w:spacing w:val="-53"/>
        </w:rPr>
        <w:t> </w:t>
      </w:r>
      <w:r>
        <w:rPr>
          <w:rFonts w:ascii="宋体" w:hAnsi="宋体" w:cs="宋体" w:eastAsia="宋体" w:hint="default"/>
        </w:rPr>
        <w:t>2014</w:t>
      </w:r>
      <w:r>
        <w:rPr>
          <w:rFonts w:ascii="宋体" w:hAnsi="宋体" w:cs="宋体" w:eastAsia="宋体" w:hint="default"/>
          <w:spacing w:val="-54"/>
        </w:rPr>
        <w:t> </w:t>
      </w:r>
      <w:r>
        <w:rPr/>
        <w:t>年半年度权益分派方案，按每</w:t>
      </w:r>
      <w:r>
        <w:rPr>
          <w:spacing w:val="-53"/>
        </w:rPr>
        <w:t> </w:t>
      </w:r>
      <w:r>
        <w:rPr>
          <w:rFonts w:ascii="宋体" w:hAnsi="宋体" w:cs="宋体" w:eastAsia="宋体" w:hint="default"/>
        </w:rPr>
        <w:t>10</w:t>
      </w:r>
      <w:r>
        <w:rPr>
          <w:rFonts w:ascii="宋体" w:hAnsi="宋体" w:cs="宋体" w:eastAsia="宋体" w:hint="default"/>
          <w:spacing w:val="-53"/>
        </w:rPr>
        <w:t> </w:t>
      </w:r>
      <w:r>
        <w:rPr/>
        <w:t>股转增</w:t>
      </w:r>
      <w:r>
        <w:rPr>
          <w:spacing w:val="-55"/>
        </w:rPr>
        <w:t> </w:t>
      </w:r>
      <w:r>
        <w:rPr>
          <w:rFonts w:ascii="宋体" w:hAnsi="宋体" w:cs="宋体" w:eastAsia="宋体" w:hint="default"/>
        </w:rPr>
        <w:t>15</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rPr>
          <w:rFonts w:ascii="宋体" w:hAnsi="宋体" w:cs="宋体" w:eastAsia="宋体" w:hint="default"/>
        </w:rPr>
      </w:pPr>
      <w:r>
        <w:rPr/>
        <w:t>股的比例，以资本公积向全体股东转增股份总额</w:t>
      </w:r>
      <w:r>
        <w:rPr>
          <w:spacing w:val="-53"/>
        </w:rPr>
        <w:t> </w:t>
      </w:r>
      <w:r>
        <w:rPr>
          <w:rFonts w:ascii="宋体" w:hAnsi="宋体" w:cs="宋体" w:eastAsia="宋体" w:hint="default"/>
        </w:rPr>
        <w:t>41,700</w:t>
      </w:r>
      <w:r>
        <w:rPr>
          <w:rFonts w:ascii="宋体" w:hAnsi="宋体" w:cs="宋体" w:eastAsia="宋体" w:hint="default"/>
          <w:spacing w:val="-54"/>
        </w:rPr>
        <w:t> </w:t>
      </w:r>
      <w:r>
        <w:rPr/>
        <w:t>万股，每股面值</w:t>
      </w:r>
      <w:r>
        <w:rPr>
          <w:spacing w:val="-54"/>
        </w:rPr>
        <w:t> </w:t>
      </w:r>
      <w:r>
        <w:rPr>
          <w:rFonts w:ascii="宋体" w:hAnsi="宋体" w:cs="宋体" w:eastAsia="宋体" w:hint="default"/>
        </w:rPr>
        <w:t>1</w:t>
      </w:r>
      <w:r>
        <w:rPr>
          <w:rFonts w:ascii="宋体" w:hAnsi="宋体" w:cs="宋体" w:eastAsia="宋体" w:hint="default"/>
          <w:spacing w:val="-53"/>
        </w:rPr>
        <w:t> </w:t>
      </w:r>
      <w:r>
        <w:rPr/>
        <w:t>元，计增加股本人民币</w:t>
      </w:r>
      <w:r>
        <w:rPr>
          <w:spacing w:val="-53"/>
        </w:rPr>
        <w:t> </w:t>
      </w:r>
      <w:r>
        <w:rPr>
          <w:rFonts w:ascii="宋体" w:hAnsi="宋体" w:cs="宋体" w:eastAsia="宋体" w:hint="default"/>
        </w:rPr>
        <w:t>41,700</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万元，转增基准日期为</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w:t>
      </w:r>
    </w:p>
    <w:p>
      <w:pPr>
        <w:spacing w:line="240" w:lineRule="auto" w:before="10"/>
        <w:rPr>
          <w:rFonts w:ascii="宋体" w:hAnsi="宋体" w:cs="宋体" w:eastAsia="宋体" w:hint="default"/>
          <w:sz w:val="14"/>
          <w:szCs w:val="14"/>
        </w:rPr>
      </w:pPr>
    </w:p>
    <w:p>
      <w:pPr>
        <w:pStyle w:val="BodyText"/>
        <w:spacing w:line="408" w:lineRule="auto" w:before="0"/>
        <w:ind w:left="154" w:right="1132" w:firstLine="420"/>
        <w:jc w:val="both"/>
      </w:pPr>
      <w:r>
        <w:rPr/>
        <w:t>（</w:t>
      </w: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10</w:t>
      </w:r>
      <w:r>
        <w:rPr>
          <w:rFonts w:ascii="宋体" w:hAnsi="宋体" w:cs="宋体" w:eastAsia="宋体" w:hint="default"/>
          <w:spacing w:val="-53"/>
        </w:rPr>
        <w:t> </w:t>
      </w:r>
      <w:r>
        <w:rPr/>
        <w:t>月</w:t>
      </w:r>
      <w:r>
        <w:rPr>
          <w:spacing w:val="-54"/>
        </w:rPr>
        <w:t> </w:t>
      </w:r>
      <w:r>
        <w:rPr>
          <w:rFonts w:ascii="宋体" w:hAnsi="宋体" w:cs="宋体" w:eastAsia="宋体" w:hint="default"/>
        </w:rPr>
        <w:t>30</w:t>
      </w:r>
      <w:r>
        <w:rPr>
          <w:rFonts w:ascii="宋体" w:hAnsi="宋体" w:cs="宋体" w:eastAsia="宋体" w:hint="default"/>
          <w:spacing w:val="-54"/>
        </w:rPr>
        <w:t> </w:t>
      </w:r>
      <w:r>
        <w:rPr/>
        <w:t>日，公司第二届董事会第十一次会议审议通过了《关于股票期权激励计划首次 </w:t>
      </w:r>
      <w:r>
        <w:rPr>
          <w:spacing w:val="-3"/>
        </w:rPr>
        <w:t>授予第一个行权期可行权的议案》，公司股票期权激励计划第一个行权期采用自主行权的方式行权，公司</w:t>
      </w:r>
      <w:r>
        <w:rPr>
          <w:spacing w:val="-74"/>
        </w:rPr>
        <w:t> </w:t>
      </w:r>
      <w:r>
        <w:rPr>
          <w:spacing w:val="-74"/>
        </w:rPr>
      </w:r>
      <w:r>
        <w:rPr/>
        <w:t>自主行权第一个行权期为：</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日至</w:t>
      </w:r>
      <w:r>
        <w:rPr>
          <w:spacing w:val="-55"/>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4"/>
        </w:rPr>
        <w:t> </w:t>
      </w:r>
      <w:r>
        <w:rPr>
          <w:spacing w:val="-7"/>
        </w:rPr>
        <w:t>日。截至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spacing w:val="-4"/>
        </w:rPr>
        <w:t>日，已发生自主行</w:t>
      </w:r>
    </w:p>
    <w:p>
      <w:pPr>
        <w:pStyle w:val="BodyText"/>
        <w:spacing w:line="240" w:lineRule="auto"/>
        <w:ind w:left="154" w:right="1046"/>
        <w:jc w:val="left"/>
      </w:pPr>
      <w:r>
        <w:rPr/>
        <w:t>权</w:t>
      </w:r>
      <w:r>
        <w:rPr>
          <w:spacing w:val="-60"/>
        </w:rPr>
        <w:t> </w:t>
      </w:r>
      <w:r>
        <w:rPr>
          <w:rFonts w:ascii="宋体" w:hAnsi="宋体" w:cs="宋体" w:eastAsia="宋体" w:hint="default"/>
        </w:rPr>
        <w:t>1,515,650</w:t>
      </w:r>
      <w:r>
        <w:rPr>
          <w:rFonts w:ascii="宋体" w:hAnsi="宋体" w:cs="宋体" w:eastAsia="宋体" w:hint="default"/>
          <w:spacing w:val="-59"/>
        </w:rPr>
        <w:t> </w:t>
      </w:r>
      <w:r>
        <w:rPr/>
        <w:t>股，形成资本溢价</w:t>
      </w:r>
      <w:r>
        <w:rPr>
          <w:spacing w:val="-60"/>
        </w:rPr>
        <w:t> </w:t>
      </w:r>
      <w:r>
        <w:rPr>
          <w:rFonts w:ascii="宋体" w:hAnsi="宋体" w:cs="宋体" w:eastAsia="宋体" w:hint="default"/>
        </w:rPr>
        <w:t>11,443,783.12</w:t>
      </w:r>
      <w:r>
        <w:rPr>
          <w:rFonts w:ascii="宋体" w:hAnsi="宋体" w:cs="宋体" w:eastAsia="宋体" w:hint="default"/>
          <w:spacing w:val="-59"/>
        </w:rPr>
        <w:t> </w:t>
      </w:r>
      <w:r>
        <w:rPr/>
        <w:t>元、冲减年初记入以权益结算的股份支付权益工具公允价</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值</w:t>
      </w:r>
      <w:r>
        <w:rPr>
          <w:spacing w:val="-60"/>
        </w:rPr>
        <w:t> </w:t>
      </w:r>
      <w:r>
        <w:rPr>
          <w:rFonts w:ascii="宋体" w:hAnsi="宋体" w:cs="宋体" w:eastAsia="宋体" w:hint="default"/>
        </w:rPr>
        <w:t>2,040,690.52</w:t>
      </w:r>
      <w:r>
        <w:rPr>
          <w:rFonts w:ascii="宋体" w:hAnsi="宋体" w:cs="宋体" w:eastAsia="宋体" w:hint="default"/>
          <w:spacing w:val="-60"/>
        </w:rPr>
        <w:t> </w:t>
      </w:r>
      <w:r>
        <w:rPr/>
        <w:t>元。此外，注销已离职员工股票期权</w:t>
      </w:r>
      <w:r>
        <w:rPr>
          <w:spacing w:val="-60"/>
        </w:rPr>
        <w:t> </w:t>
      </w:r>
      <w:r>
        <w:rPr>
          <w:rFonts w:ascii="宋体" w:hAnsi="宋体" w:cs="宋体" w:eastAsia="宋体" w:hint="default"/>
        </w:rPr>
        <w:t>53.8</w:t>
      </w:r>
      <w:r>
        <w:rPr>
          <w:rFonts w:ascii="宋体" w:hAnsi="宋体" w:cs="宋体" w:eastAsia="宋体" w:hint="default"/>
          <w:spacing w:val="-60"/>
        </w:rPr>
        <w:t> </w:t>
      </w:r>
      <w:r>
        <w:rPr/>
        <w:t>万份，冲减年初记入以权益结算的股份支付权</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益工具公允价值</w:t>
      </w:r>
      <w:r>
        <w:rPr>
          <w:spacing w:val="-54"/>
        </w:rPr>
        <w:t> </w:t>
      </w:r>
      <w:r>
        <w:rPr>
          <w:rFonts w:ascii="宋体" w:hAnsi="宋体" w:cs="宋体" w:eastAsia="宋体" w:hint="default"/>
        </w:rPr>
        <w:t>72</w:t>
      </w:r>
      <w:r>
        <w:rPr>
          <w:rFonts w:ascii="宋体" w:hAnsi="宋体" w:cs="宋体" w:eastAsia="宋体" w:hint="default"/>
          <w:spacing w:val="-54"/>
        </w:rPr>
        <w:t> </w:t>
      </w:r>
      <w:r>
        <w:rPr/>
        <w:t>万元。</w:t>
      </w:r>
    </w:p>
    <w:p>
      <w:pPr>
        <w:spacing w:line="240" w:lineRule="auto" w:before="0"/>
        <w:rPr>
          <w:rFonts w:ascii="宋体" w:hAnsi="宋体" w:cs="宋体" w:eastAsia="宋体" w:hint="default"/>
          <w:sz w:val="20"/>
          <w:szCs w:val="20"/>
        </w:rPr>
      </w:pPr>
    </w:p>
    <w:p>
      <w:pPr>
        <w:pStyle w:val="Heading3"/>
        <w:spacing w:line="240" w:lineRule="auto" w:before="155"/>
        <w:ind w:right="1046"/>
        <w:jc w:val="left"/>
        <w:rPr>
          <w:b w:val="0"/>
          <w:bCs w:val="0"/>
        </w:rPr>
      </w:pPr>
      <w:bookmarkStart w:name="39、其他综合收益" w:id="319"/>
      <w:bookmarkEnd w:id="319"/>
      <w:r>
        <w:rPr>
          <w:b w:val="0"/>
          <w:bCs w:val="0"/>
        </w:rPr>
      </w:r>
      <w:r>
        <w:rPr>
          <w:rFonts w:ascii="Times New Roman" w:hAnsi="Times New Roman" w:cs="Times New Roman" w:eastAsia="Times New Roman" w:hint="default"/>
        </w:rPr>
        <w:t>39</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1"/>
        <w:gridCol w:w="935"/>
        <w:gridCol w:w="936"/>
        <w:gridCol w:w="935"/>
        <w:gridCol w:w="797"/>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7"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29"/>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7"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1"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1"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2,669,177.37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-5,569,815.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1151"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-5,569,815.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93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-2,900,63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8.49</w:t>
            </w: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2,669,177.37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-5,569,815.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-5,569,815.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-2,900,63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8.49</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61"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left"/>
              <w:rPr>
                <w:rFonts w:ascii="Times New Roman" w:hAnsi="Times New Roman" w:cs="Times New Roman" w:eastAsia="Times New Roman" w:hint="default"/>
                <w:sz w:val="18"/>
                <w:szCs w:val="18"/>
              </w:rPr>
            </w:pPr>
            <w:r>
              <w:rPr>
                <w:rFonts w:ascii="Times New Roman"/>
                <w:sz w:val="18"/>
              </w:rPr>
              <w:t>2,669,177.37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-5,569,815.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1151"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-5,569,815.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86</w:t>
            </w:r>
          </w:p>
        </w:tc>
        <w:tc>
          <w:tcPr>
            <w:tcW w:w="93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-2,900,63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8.49</w:t>
            </w:r>
          </w:p>
        </w:tc>
      </w:tr>
      <w:tr>
        <w:trPr>
          <w:trHeight w:val="392"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1"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1"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40、专项储备" w:id="320"/>
      <w:bookmarkEnd w:id="320"/>
      <w:r>
        <w:rPr>
          <w:b w:val="0"/>
          <w:bCs w:val="0"/>
        </w:rPr>
      </w:r>
      <w:r>
        <w:rPr>
          <w:rFonts w:ascii="Times New Roman" w:hAnsi="Times New Roman" w:cs="Times New Roman" w:eastAsia="Times New Roman" w:hint="default"/>
        </w:rPr>
        <w:t>40</w:t>
      </w:r>
      <w:r>
        <w:rPr/>
        <w:t>、专项储备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安全生产费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693,375.11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1,423,983.26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1,646,523.23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470,835.14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693,375.11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1,423,983.26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1,646,523.23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470,835.14</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41、盈余公积" w:id="321"/>
      <w:bookmarkEnd w:id="321"/>
      <w:r>
        <w:rPr>
          <w:b w:val="0"/>
          <w:bCs w:val="0"/>
        </w:rPr>
      </w:r>
      <w:r>
        <w:rPr>
          <w:rFonts w:ascii="Times New Roman" w:hAnsi="Times New Roman" w:cs="Times New Roman" w:eastAsia="Times New Roman" w:hint="default"/>
        </w:rPr>
        <w:t>41</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45,340,614.54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6,210,494.81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51,551,109.35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45,340,614.54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6,210,494.81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51,551,109.35</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300" w:lineRule="auto" w:before="115"/>
        <w:ind w:left="153" w:right="1200" w:firstLine="73"/>
        <w:jc w:val="left"/>
        <w:rPr>
          <w:rFonts w:ascii="宋体" w:hAnsi="宋体" w:cs="宋体" w:eastAsia="宋体" w:hint="default"/>
          <w:sz w:val="18"/>
          <w:szCs w:val="18"/>
        </w:rPr>
      </w:pPr>
      <w:r>
        <w:rPr>
          <w:rFonts w:ascii="宋体" w:hAnsi="宋体" w:cs="宋体" w:eastAsia="宋体" w:hint="default"/>
          <w:sz w:val="18"/>
          <w:szCs w:val="18"/>
        </w:rPr>
        <w:t>注：根据公司法、章程的规定，本公司按净利润的</w:t>
      </w:r>
      <w:r>
        <w:rPr>
          <w:rFonts w:ascii="Times New Roman" w:hAnsi="Times New Roman" w:cs="Times New Roman" w:eastAsia="Times New Roman" w:hint="default"/>
          <w:sz w:val="18"/>
          <w:szCs w:val="18"/>
        </w:rPr>
        <w:t>10%</w:t>
      </w:r>
      <w:r>
        <w:rPr>
          <w:rFonts w:ascii="宋体" w:hAnsi="宋体" w:cs="宋体" w:eastAsia="宋体" w:hint="default"/>
          <w:sz w:val="18"/>
          <w:szCs w:val="18"/>
        </w:rPr>
        <w:t>提取法定盈余公积金。法定盈余公积累计额为本公司注册资本</w:t>
      </w:r>
      <w:r>
        <w:rPr>
          <w:rFonts w:ascii="Times New Roman" w:hAnsi="Times New Roman" w:cs="Times New Roman" w:eastAsia="Times New Roman" w:hint="default"/>
          <w:sz w:val="18"/>
          <w:szCs w:val="18"/>
        </w:rPr>
        <w:t>50% </w:t>
      </w:r>
      <w:r>
        <w:rPr>
          <w:rFonts w:ascii="宋体" w:hAnsi="宋体" w:cs="宋体" w:eastAsia="宋体" w:hint="default"/>
          <w:sz w:val="18"/>
          <w:szCs w:val="18"/>
        </w:rPr>
        <w:t>以上的，可不再提取。</w:t>
      </w:r>
    </w:p>
    <w:p>
      <w:pPr>
        <w:pStyle w:val="BodyText"/>
        <w:spacing w:line="408" w:lineRule="auto" w:before="84"/>
        <w:ind w:right="1046" w:firstLine="420"/>
        <w:jc w:val="left"/>
      </w:pPr>
      <w:r>
        <w:rPr>
          <w:spacing w:val="-1"/>
        </w:rPr>
        <w:t>本公司在提取法定盈余公积金后，可提取任意盈余公积金。经批准，任意盈余公积金可用于弥补以前</w:t>
      </w:r>
      <w:r>
        <w:rPr/>
        <w:t> 年度亏损或增加股本。</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42、未分配利润" w:id="322"/>
      <w:bookmarkEnd w:id="322"/>
      <w:r>
        <w:rPr>
          <w:b w:val="0"/>
          <w:bCs w:val="0"/>
        </w:rPr>
      </w:r>
      <w:r>
        <w:rPr>
          <w:rFonts w:ascii="Times New Roman" w:hAnsi="Times New Roman" w:cs="Times New Roman" w:eastAsia="Times New Roman" w:hint="default"/>
        </w:rPr>
        <w:t>42</w:t>
      </w:r>
      <w:r>
        <w:rPr/>
        <w:t>、未分配利润</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375,458,969.89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275,312,286.10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375,458,969.89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275,312,286.10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43,265,565.47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135,071,189.78</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6,210,494.81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21,024,505.99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22,240,000.00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390,274,040.55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375,458,969.89</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line="240" w:lineRule="auto" w:before="12"/>
        <w:rPr>
          <w:rFonts w:ascii="宋体" w:hAnsi="宋体" w:cs="宋体" w:eastAsia="宋体" w:hint="default"/>
          <w:sz w:val="12"/>
          <w:szCs w:val="12"/>
        </w:rPr>
      </w:pPr>
    </w:p>
    <w:p>
      <w:pPr>
        <w:pStyle w:val="BodyText"/>
        <w:spacing w:line="240" w:lineRule="auto" w:before="0"/>
        <w:ind w:left="574" w:right="1046"/>
        <w:jc w:val="left"/>
      </w:pPr>
      <w:r>
        <w:rPr/>
        <w:t>（</w:t>
      </w:r>
      <w:r>
        <w:rPr>
          <w:rFonts w:ascii="宋体" w:hAnsi="宋体" w:cs="宋体" w:eastAsia="宋体" w:hint="default"/>
        </w:rPr>
        <w:t>1</w:t>
      </w:r>
      <w:r>
        <w:rPr/>
        <w:t>）由于《企业会计准则》及其相关新规定进行追溯调整，影响期初未分配利润</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w:t>
      </w:r>
      <w:r>
        <w:rPr>
          <w:rFonts w:ascii="宋体" w:hAnsi="宋体" w:cs="宋体" w:eastAsia="宋体" w:hint="default"/>
        </w:rPr>
        <w:t>2</w:t>
      </w:r>
      <w:r>
        <w:rPr/>
        <w:t>）由于会计政策变更，影响期初未分配利润</w:t>
      </w:r>
      <w:r>
        <w:rPr>
          <w:spacing w:val="-53"/>
        </w:rPr>
        <w:t> </w:t>
      </w:r>
      <w:r>
        <w:rPr>
          <w:rFonts w:ascii="宋体" w:hAnsi="宋体" w:cs="宋体" w:eastAsia="宋体" w:hint="default"/>
        </w:rPr>
        <w:t>0.00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w:t>
      </w:r>
      <w:r>
        <w:rPr>
          <w:rFonts w:ascii="宋体" w:hAnsi="宋体" w:cs="宋体" w:eastAsia="宋体" w:hint="default"/>
        </w:rPr>
        <w:t>3</w:t>
      </w:r>
      <w:r>
        <w:rPr/>
        <w:t>）由于重大会计差错更正，影响期初未分配利润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w:t>
      </w:r>
      <w:r>
        <w:rPr>
          <w:rFonts w:ascii="宋体" w:hAnsi="宋体" w:cs="宋体" w:eastAsia="宋体" w:hint="default"/>
        </w:rPr>
        <w:t>4</w:t>
      </w:r>
      <w:r>
        <w:rPr/>
        <w:t>）由于同一控制导致的合并范围变更，影响期初未分配利润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w:t>
      </w:r>
      <w:r>
        <w:rPr>
          <w:rFonts w:ascii="宋体" w:hAnsi="宋体" w:cs="宋体" w:eastAsia="宋体" w:hint="default"/>
        </w:rPr>
        <w:t>5</w:t>
      </w:r>
      <w:r>
        <w:rPr/>
        <w:t>）其他调整合计影响期初未分配利润</w:t>
      </w:r>
      <w:r>
        <w:rPr>
          <w:spacing w:val="-55"/>
        </w:rPr>
        <w:t> </w:t>
      </w:r>
      <w:r>
        <w:rPr>
          <w:rFonts w:ascii="宋体" w:hAnsi="宋体" w:cs="宋体" w:eastAsia="宋体" w:hint="default"/>
        </w:rPr>
        <w:t>0.00</w:t>
      </w:r>
      <w:r>
        <w:rPr>
          <w:rFonts w:ascii="宋体" w:hAnsi="宋体" w:cs="宋体" w:eastAsia="宋体" w:hint="default"/>
          <w:spacing w:val="-56"/>
        </w:rPr>
        <w:t> </w:t>
      </w:r>
      <w:r>
        <w:rPr/>
        <w:t>元。</w:t>
      </w:r>
    </w:p>
    <w:p>
      <w:pPr>
        <w:spacing w:line="240" w:lineRule="auto" w:before="0"/>
        <w:rPr>
          <w:rFonts w:ascii="宋体" w:hAnsi="宋体" w:cs="宋体" w:eastAsia="宋体" w:hint="default"/>
          <w:sz w:val="20"/>
          <w:szCs w:val="20"/>
        </w:rPr>
      </w:pPr>
    </w:p>
    <w:p>
      <w:pPr>
        <w:pStyle w:val="Heading3"/>
        <w:spacing w:line="240" w:lineRule="auto" w:before="154"/>
        <w:ind w:right="1046"/>
        <w:jc w:val="left"/>
        <w:rPr>
          <w:b w:val="0"/>
          <w:bCs w:val="0"/>
        </w:rPr>
      </w:pPr>
      <w:bookmarkStart w:name="43、营业收入和营业成本" w:id="323"/>
      <w:bookmarkEnd w:id="323"/>
      <w:r>
        <w:rPr>
          <w:b w:val="0"/>
          <w:bCs w:val="0"/>
        </w:rPr>
      </w:r>
      <w:r>
        <w:rPr>
          <w:rFonts w:ascii="Times New Roman" w:hAnsi="Times New Roman" w:cs="Times New Roman" w:eastAsia="Times New Roman" w:hint="default"/>
        </w:rPr>
        <w:t>43</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1,910,880,123.50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1,103,674,683.72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1,650,936,604.20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871,784,842.92</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38,502,469.86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18,390,970.30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32,458,805.61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9,829,105.24</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1,949,382,593.36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1,122,065,654.02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1,683,395,409.81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881,613,948.16</w:t>
            </w:r>
          </w:p>
        </w:tc>
      </w:tr>
    </w:tbl>
    <w:p>
      <w:pPr>
        <w:spacing w:line="240" w:lineRule="auto" w:before="3"/>
        <w:rPr>
          <w:rFonts w:ascii="宋体" w:hAnsi="宋体" w:cs="宋体" w:eastAsia="宋体" w:hint="default"/>
          <w:sz w:val="19"/>
          <w:szCs w:val="19"/>
        </w:rPr>
      </w:pPr>
    </w:p>
    <w:p>
      <w:pPr>
        <w:pStyle w:val="Heading3"/>
        <w:spacing w:line="240" w:lineRule="auto" w:before="35"/>
        <w:ind w:right="1046"/>
        <w:jc w:val="left"/>
        <w:rPr>
          <w:b w:val="0"/>
          <w:bCs w:val="0"/>
        </w:rPr>
      </w:pPr>
      <w:bookmarkStart w:name="44、营业税金及附加" w:id="324"/>
      <w:bookmarkEnd w:id="324"/>
      <w:r>
        <w:rPr>
          <w:b w:val="0"/>
          <w:bCs w:val="0"/>
        </w:rPr>
      </w:r>
      <w:r>
        <w:rPr>
          <w:rFonts w:ascii="Times New Roman" w:hAnsi="Times New Roman" w:cs="Times New Roman" w:eastAsia="Times New Roman" w:hint="default"/>
        </w:rPr>
        <w:t>44</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1,027,899.19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935,446.51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6,062,378.23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8,636,293.07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4,330,270.17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6,168,780.77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57,102.10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97,420.39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11,477,649.69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15,837,940.74</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74" w:right="1046"/>
        <w:jc w:val="left"/>
      </w:pPr>
      <w:r>
        <w:rPr/>
        <w:t>注：各项营业税金及附加的计缴标准详见第六节、税项。</w:t>
      </w:r>
    </w:p>
    <w:p>
      <w:pPr>
        <w:spacing w:line="240" w:lineRule="auto" w:before="0"/>
        <w:rPr>
          <w:rFonts w:ascii="宋体" w:hAnsi="宋体" w:cs="宋体" w:eastAsia="宋体" w:hint="default"/>
          <w:sz w:val="20"/>
          <w:szCs w:val="20"/>
        </w:rPr>
      </w:pPr>
    </w:p>
    <w:p>
      <w:pPr>
        <w:pStyle w:val="Heading3"/>
        <w:spacing w:line="240" w:lineRule="auto" w:before="154"/>
        <w:ind w:left="153" w:right="1046"/>
        <w:jc w:val="left"/>
        <w:rPr>
          <w:b w:val="0"/>
          <w:bCs w:val="0"/>
        </w:rPr>
      </w:pPr>
      <w:bookmarkStart w:name="45、销售费用" w:id="325"/>
      <w:bookmarkEnd w:id="325"/>
      <w:r>
        <w:rPr>
          <w:b w:val="0"/>
          <w:bCs w:val="0"/>
        </w:rPr>
      </w:r>
      <w:r>
        <w:rPr>
          <w:rFonts w:ascii="Times New Roman" w:hAnsi="Times New Roman" w:cs="Times New Roman" w:eastAsia="Times New Roman" w:hint="default"/>
        </w:rPr>
        <w:t>45</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124,785,030.02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109,330,918.15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54,323,126.27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44,300,051.50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10,966,571.90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8,392,595.78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35,683,696.05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28,511,335.97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15,501,321.89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9,958,857.88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27,554,068.84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28,520,282.92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4,452,172.68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6,071,759.95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13,961,075.83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15,366,017.43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5,985,838.53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4,622,047.47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5,363,195.48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7,733,572.79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47,641,926.45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34,718,302.94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346,218,023.94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297,525,742.78</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46、管理费用" w:id="326"/>
      <w:bookmarkEnd w:id="326"/>
      <w:r>
        <w:rPr>
          <w:b w:val="0"/>
          <w:bCs w:val="0"/>
        </w:rPr>
      </w:r>
      <w:r>
        <w:rPr>
          <w:rFonts w:ascii="Times New Roman" w:hAnsi="Times New Roman" w:cs="Times New Roman" w:eastAsia="Times New Roman" w:hint="default"/>
        </w:rPr>
        <w:t>46</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研发费用支出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140,573,615.04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146,449,409.19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141,911,912.06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108,337,142.91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14,382,487.81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11,966,535.02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5,270,834.47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4,395,348.78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5,186,811.04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5,603,899.23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7,421,982.18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6,567,539.55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房租费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6,360,720.86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4,029,672.53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6,538,482.56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6,178,331.72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2,158,590.84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4,195,631.65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59,430,309.96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60,615,567.22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389,235,746.82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358,339,077.80</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47、财务费用" w:id="327"/>
      <w:bookmarkEnd w:id="327"/>
      <w:r>
        <w:rPr>
          <w:b w:val="0"/>
          <w:bCs w:val="0"/>
        </w:rPr>
      </w:r>
      <w:r>
        <w:rPr>
          <w:rFonts w:ascii="Times New Roman" w:hAnsi="Times New Roman" w:cs="Times New Roman" w:eastAsia="Times New Roman" w:hint="default"/>
        </w:rPr>
        <w:t>47</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49,862,030.73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29,189,057.25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3,345,957.05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8,733,140.81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减：利息资本化金额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10,058,056.67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5,754,408.06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31,325,566.15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5,071,253.63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减：汇兑损益资本化金额</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5,255,750.62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4,186,631.16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460,623.19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151,761.34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73,499,956.97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24,111,154.51</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left="154" w:right="1095" w:firstLine="420"/>
        <w:jc w:val="left"/>
      </w:pPr>
      <w:r>
        <w:rPr/>
        <w:t>财务费用较上年增长</w:t>
      </w:r>
      <w:r>
        <w:rPr>
          <w:spacing w:val="-52"/>
        </w:rPr>
        <w:t> </w:t>
      </w:r>
      <w:r>
        <w:rPr>
          <w:rFonts w:ascii="宋体" w:hAnsi="宋体" w:cs="宋体" w:eastAsia="宋体" w:hint="default"/>
        </w:rPr>
        <w:t>204.84%</w:t>
      </w:r>
      <w:r>
        <w:rPr/>
        <w:t>，主</w:t>
      </w:r>
      <w:r>
        <w:rPr>
          <w:spacing w:val="-2"/>
        </w:rPr>
        <w:t>要</w:t>
      </w:r>
      <w:r>
        <w:rPr/>
        <w:t>原因系</w:t>
      </w:r>
      <w:r>
        <w:rPr>
          <w:spacing w:val="-105"/>
        </w:rPr>
        <w:t>：</w:t>
      </w:r>
      <w:r>
        <w:rPr/>
        <w:t>（</w:t>
      </w:r>
      <w:r>
        <w:rPr>
          <w:rFonts w:ascii="宋体" w:hAnsi="宋体" w:cs="宋体" w:eastAsia="宋体" w:hint="default"/>
          <w:spacing w:val="-1"/>
        </w:rPr>
        <w:t>1</w:t>
      </w:r>
      <w:r>
        <w:rPr/>
        <w:t>）银行借款较上年增长及本期票据贴现增加导致利息 支出增加</w:t>
      </w:r>
      <w:r>
        <w:rPr>
          <w:spacing w:val="-52"/>
        </w:rPr>
        <w:t> </w:t>
      </w:r>
      <w:r>
        <w:rPr>
          <w:rFonts w:ascii="宋体" w:hAnsi="宋体" w:cs="宋体" w:eastAsia="宋体" w:hint="default"/>
        </w:rPr>
        <w:t>20,672,973.48</w:t>
      </w:r>
      <w:r>
        <w:rPr>
          <w:rFonts w:ascii="宋体" w:hAnsi="宋体" w:cs="宋体" w:eastAsia="宋体" w:hint="default"/>
          <w:spacing w:val="-53"/>
        </w:rPr>
        <w:t> </w:t>
      </w:r>
      <w:r>
        <w:rPr/>
        <w:t>元</w:t>
      </w:r>
      <w:r>
        <w:rPr>
          <w:spacing w:val="-105"/>
        </w:rPr>
        <w:t>；</w:t>
      </w:r>
      <w:r>
        <w:rPr/>
        <w:t>（</w:t>
      </w:r>
      <w:r>
        <w:rPr>
          <w:rFonts w:ascii="宋体" w:hAnsi="宋体" w:cs="宋体" w:eastAsia="宋体" w:hint="default"/>
        </w:rPr>
        <w:t>2</w:t>
      </w:r>
      <w:r>
        <w:rPr/>
        <w:t>）</w:t>
      </w:r>
      <w:r>
        <w:rPr>
          <w:spacing w:val="-2"/>
        </w:rPr>
        <w:t>本</w:t>
      </w:r>
      <w:r>
        <w:rPr/>
        <w:t>年度因欧元、英镑贬值导致汇兑损失较上年增加</w:t>
      </w:r>
      <w:r>
        <w:rPr>
          <w:spacing w:val="-52"/>
        </w:rPr>
        <w:t> </w:t>
      </w:r>
      <w:r>
        <w:rPr>
          <w:rFonts w:ascii="宋体" w:hAnsi="宋体" w:cs="宋体" w:eastAsia="宋体" w:hint="default"/>
        </w:rPr>
        <w:t>26,254,312.52</w:t>
      </w:r>
      <w:r>
        <w:rPr>
          <w:rFonts w:ascii="宋体" w:hAnsi="宋体" w:cs="宋体" w:eastAsia="宋体" w:hint="default"/>
          <w:spacing w:val="-52"/>
        </w:rPr>
        <w:t> </w:t>
      </w:r>
      <w:r>
        <w:rPr>
          <w:spacing w:val="-2"/>
        </w:rPr>
        <w:t>元</w:t>
      </w:r>
      <w:r>
        <w:rPr/>
        <w:t>。</w:t>
      </w:r>
    </w:p>
    <w:p>
      <w:pPr>
        <w:spacing w:line="240" w:lineRule="auto" w:before="8"/>
        <w:rPr>
          <w:rFonts w:ascii="宋体" w:hAnsi="宋体" w:cs="宋体" w:eastAsia="宋体" w:hint="default"/>
          <w:sz w:val="20"/>
          <w:szCs w:val="20"/>
        </w:rPr>
      </w:pPr>
    </w:p>
    <w:p>
      <w:pPr>
        <w:pStyle w:val="Heading3"/>
        <w:spacing w:line="240" w:lineRule="auto"/>
        <w:ind w:right="1046"/>
        <w:jc w:val="left"/>
        <w:rPr>
          <w:b w:val="0"/>
          <w:bCs w:val="0"/>
        </w:rPr>
      </w:pPr>
      <w:bookmarkStart w:name="48、资产减值损失" w:id="328"/>
      <w:bookmarkEnd w:id="328"/>
      <w:r>
        <w:rPr>
          <w:b w:val="0"/>
          <w:bCs w:val="0"/>
        </w:rPr>
      </w:r>
      <w:r>
        <w:rPr>
          <w:rFonts w:ascii="Times New Roman" w:hAnsi="Times New Roman" w:cs="Times New Roman" w:eastAsia="Times New Roman" w:hint="default"/>
        </w:rPr>
        <w:t>48</w:t>
      </w:r>
      <w:r>
        <w:rPr/>
        <w:t>、资产减值损失</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22,578,855.23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19,978,382.40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10,429,453.09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10,886,534.05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825,180.00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33,008,308.32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31,690,096.45</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49、投资收益" w:id="329"/>
      <w:bookmarkEnd w:id="329"/>
      <w:r>
        <w:rPr>
          <w:b w:val="0"/>
          <w:bCs w:val="0"/>
        </w:rPr>
      </w:r>
      <w:r>
        <w:rPr>
          <w:rFonts w:ascii="Times New Roman" w:hAnsi="Times New Roman" w:cs="Times New Roman" w:eastAsia="Times New Roman" w:hint="default"/>
        </w:rPr>
        <w:t>49</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8"/>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6,848,468.46</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购买银行理财产品取得的投资收益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2,751,327.45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859,600.80</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2,751,327.45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7,708,069.26</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50、营业外收入" w:id="330"/>
      <w:bookmarkEnd w:id="330"/>
      <w:r>
        <w:rPr>
          <w:b w:val="0"/>
          <w:bCs w:val="0"/>
        </w:rPr>
      </w:r>
      <w:r>
        <w:rPr>
          <w:rFonts w:ascii="Times New Roman" w:hAnsi="Times New Roman" w:cs="Times New Roman" w:eastAsia="Times New Roman" w:hint="default"/>
        </w:rPr>
        <w:t>50</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50,780.69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382,700.40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50,780.69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50,780.69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382,700.40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50,780.69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83,554,548.36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74,579,595.25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39,241,863.19</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1,308,854.14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2,380,109.10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1,308,854.14</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84,914,183.19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77,342,404.75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40,601,498.02</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本期发生金额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上期发生金额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65" w:right="0"/>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增值税退税款</w:t>
            </w:r>
            <w:r>
              <w:rPr>
                <w:rFonts w:ascii="Times New Roman" w:hAnsi="Times New Roman" w:cs="Times New Roman" w:eastAsia="Times New Roman" w:hint="default"/>
                <w:sz w:val="18"/>
                <w:szCs w:val="18"/>
              </w:rPr>
              <w:t>*1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44,312,685.17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43,879,321.47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补贴收入</w:t>
            </w:r>
            <w:r>
              <w:rPr>
                <w:rFonts w:ascii="Times New Roman" w:hAnsi="Times New Roman" w:cs="Times New Roman" w:eastAsia="Times New Roman" w:hint="default"/>
                <w:sz w:val="18"/>
                <w:szCs w:val="18"/>
              </w:rPr>
              <w:t>*2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39,241,863.19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30,700,273.78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83,554,548.36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74,579,595.25</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240" w:lineRule="auto" w:before="0"/>
        <w:ind w:left="574" w:right="1046"/>
        <w:jc w:val="left"/>
      </w:pPr>
      <w:r>
        <w:rPr>
          <w:rFonts w:ascii="宋体" w:hAnsi="宋体" w:cs="宋体" w:eastAsia="宋体" w:hint="default"/>
        </w:rPr>
        <w:t>*1</w:t>
      </w:r>
      <w:r>
        <w:rPr/>
        <w:t>、增值税退税款</w:t>
      </w:r>
    </w:p>
    <w:p>
      <w:pPr>
        <w:spacing w:line="240" w:lineRule="auto" w:before="10"/>
        <w:rPr>
          <w:rFonts w:ascii="宋体" w:hAnsi="宋体" w:cs="宋体" w:eastAsia="宋体" w:hint="default"/>
          <w:sz w:val="14"/>
          <w:szCs w:val="14"/>
        </w:rPr>
      </w:pPr>
    </w:p>
    <w:p>
      <w:pPr>
        <w:pStyle w:val="BodyText"/>
        <w:spacing w:line="408" w:lineRule="auto" w:before="0"/>
        <w:ind w:right="1121" w:firstLine="420"/>
        <w:jc w:val="left"/>
      </w:pPr>
      <w:r>
        <w:rPr/>
        <w:t>（</w:t>
      </w:r>
      <w:r>
        <w:rPr>
          <w:rFonts w:ascii="宋体" w:hAnsi="宋体" w:cs="宋体" w:eastAsia="宋体" w:hint="default"/>
        </w:rPr>
        <w:t>1</w:t>
      </w:r>
      <w:r>
        <w:rPr/>
        <w:t>）本公司增值税减免系根据国务院</w:t>
      </w:r>
      <w:r>
        <w:rPr>
          <w:spacing w:val="-53"/>
        </w:rPr>
        <w:t> </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4"/>
        </w:rPr>
        <w:t> </w:t>
      </w:r>
      <w:r>
        <w:rPr/>
        <w:t>月</w:t>
      </w:r>
      <w:r>
        <w:rPr>
          <w:spacing w:val="-54"/>
        </w:rPr>
        <w:t> </w:t>
      </w:r>
      <w:r>
        <w:rPr>
          <w:rFonts w:ascii="宋体" w:hAnsi="宋体" w:cs="宋体" w:eastAsia="宋体" w:hint="default"/>
        </w:rPr>
        <w:t>28</w:t>
      </w:r>
      <w:r>
        <w:rPr>
          <w:rFonts w:ascii="宋体" w:hAnsi="宋体" w:cs="宋体" w:eastAsia="宋体" w:hint="default"/>
          <w:spacing w:val="-53"/>
        </w:rPr>
        <w:t> </w:t>
      </w:r>
      <w:r>
        <w:rPr/>
        <w:t>日下发的《进一步鼓励软件产业和集成电路产 </w:t>
      </w:r>
      <w:r>
        <w:rPr>
          <w:spacing w:val="-7"/>
        </w:rPr>
        <w:t>业发展的若干政策》（国发</w:t>
      </w:r>
      <w:r>
        <w:rPr>
          <w:rFonts w:ascii="宋体" w:hAnsi="宋体" w:cs="宋体" w:eastAsia="宋体" w:hint="default"/>
          <w:spacing w:val="-7"/>
        </w:rPr>
        <w:t>[2011]4</w:t>
      </w:r>
      <w:r>
        <w:rPr>
          <w:rFonts w:ascii="宋体" w:hAnsi="宋体" w:cs="宋体" w:eastAsia="宋体" w:hint="default"/>
          <w:spacing w:val="-44"/>
        </w:rPr>
        <w:t> </w:t>
      </w:r>
      <w:r>
        <w:rPr>
          <w:spacing w:val="-1"/>
        </w:rPr>
        <w:t>号文件）及财税</w:t>
      </w:r>
      <w:r>
        <w:rPr>
          <w:rFonts w:ascii="宋体" w:hAnsi="宋体" w:cs="宋体" w:eastAsia="宋体" w:hint="default"/>
          <w:spacing w:val="-1"/>
        </w:rPr>
        <w:t>[2011]100</w:t>
      </w:r>
      <w:r>
        <w:rPr>
          <w:rFonts w:ascii="宋体" w:hAnsi="宋体" w:cs="宋体" w:eastAsia="宋体" w:hint="default"/>
          <w:spacing w:val="-45"/>
        </w:rPr>
        <w:t> </w:t>
      </w:r>
      <w:r>
        <w:rPr/>
        <w:t>号文及深圳市南山区国家税务局批复和龙岗 区国家税务局批复文件执行，</w:t>
      </w:r>
      <w:r>
        <w:rPr>
          <w:rFonts w:ascii="宋体" w:hAnsi="宋体" w:cs="宋体" w:eastAsia="宋体" w:hint="default"/>
        </w:rPr>
        <w:t>2014</w:t>
      </w:r>
      <w:r>
        <w:rPr>
          <w:rFonts w:ascii="宋体" w:hAnsi="宋体" w:cs="宋体" w:eastAsia="宋体" w:hint="default"/>
          <w:spacing w:val="-54"/>
        </w:rPr>
        <w:t> </w:t>
      </w:r>
      <w:r>
        <w:rPr/>
        <w:t>年共收到增值税退税款</w:t>
      </w:r>
      <w:r>
        <w:rPr>
          <w:spacing w:val="-53"/>
        </w:rPr>
        <w:t> </w:t>
      </w:r>
      <w:r>
        <w:rPr>
          <w:rFonts w:ascii="宋体" w:hAnsi="宋体" w:cs="宋体" w:eastAsia="宋体" w:hint="default"/>
        </w:rPr>
        <w:t>26,488,449.90</w:t>
      </w:r>
      <w:r>
        <w:rPr>
          <w:rFonts w:ascii="宋体" w:hAnsi="宋体" w:cs="宋体" w:eastAsia="宋体" w:hint="default"/>
          <w:spacing w:val="-53"/>
        </w:rPr>
        <w:t> </w:t>
      </w:r>
      <w:r>
        <w:rPr/>
        <w:t>元。</w:t>
      </w:r>
    </w:p>
    <w:p>
      <w:pPr>
        <w:pStyle w:val="BodyText"/>
        <w:spacing w:line="240" w:lineRule="auto"/>
        <w:ind w:left="574" w:right="1046"/>
        <w:jc w:val="left"/>
      </w:pPr>
      <w:r>
        <w:rPr/>
        <w:t>（</w:t>
      </w:r>
      <w:r>
        <w:rPr>
          <w:rFonts w:ascii="宋体" w:hAnsi="宋体" w:cs="宋体" w:eastAsia="宋体" w:hint="default"/>
        </w:rPr>
        <w:t>2</w:t>
      </w:r>
      <w:r>
        <w:rPr/>
        <w:t>）本公司之子公司深圳市安智捷科技有限公司增值税减免系根据国务院</w:t>
      </w:r>
      <w:r>
        <w:rPr>
          <w:spacing w:val="-53"/>
        </w:rPr>
        <w:t> </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日下发的</w:t>
      </w:r>
    </w:p>
    <w:p>
      <w:pPr>
        <w:spacing w:line="240" w:lineRule="auto" w:before="10"/>
        <w:rPr>
          <w:rFonts w:ascii="宋体" w:hAnsi="宋体" w:cs="宋体" w:eastAsia="宋体" w:hint="default"/>
          <w:sz w:val="14"/>
          <w:szCs w:val="14"/>
        </w:rPr>
      </w:pPr>
    </w:p>
    <w:p>
      <w:pPr>
        <w:pStyle w:val="BodyText"/>
        <w:spacing w:line="408" w:lineRule="auto" w:before="0"/>
        <w:ind w:left="154" w:right="1119"/>
        <w:jc w:val="left"/>
      </w:pPr>
      <w:r>
        <w:rPr>
          <w:spacing w:val="-4"/>
        </w:rPr>
        <w:t>《进一步鼓励软件产业和集成电路产业发展的若干政策》（国发</w:t>
      </w:r>
      <w:r>
        <w:rPr>
          <w:rFonts w:ascii="宋体" w:hAnsi="宋体" w:cs="宋体" w:eastAsia="宋体" w:hint="default"/>
          <w:spacing w:val="-4"/>
        </w:rPr>
        <w:t>[2011]4</w:t>
      </w:r>
      <w:r>
        <w:rPr>
          <w:rFonts w:ascii="宋体" w:hAnsi="宋体" w:cs="宋体" w:eastAsia="宋体" w:hint="default"/>
          <w:spacing w:val="-41"/>
        </w:rPr>
        <w:t> </w:t>
      </w:r>
      <w:r>
        <w:rPr>
          <w:spacing w:val="-1"/>
        </w:rPr>
        <w:t>号文件）及财税</w:t>
      </w:r>
      <w:r>
        <w:rPr>
          <w:rFonts w:ascii="宋体" w:hAnsi="宋体" w:cs="宋体" w:eastAsia="宋体" w:hint="default"/>
          <w:spacing w:val="-1"/>
        </w:rPr>
        <w:t>[2011]100</w:t>
      </w:r>
      <w:r>
        <w:rPr>
          <w:rFonts w:ascii="宋体" w:hAnsi="宋体" w:cs="宋体" w:eastAsia="宋体" w:hint="default"/>
          <w:spacing w:val="-40"/>
        </w:rPr>
        <w:t> </w:t>
      </w:r>
      <w:r>
        <w:rPr/>
        <w:t>号文及</w:t>
      </w:r>
      <w:r>
        <w:rPr>
          <w:spacing w:val="-103"/>
        </w:rPr>
        <w:t> </w:t>
      </w:r>
      <w:r>
        <w:rPr/>
        <w:t>深圳市南山区国家税务局文件批复执行，</w:t>
      </w:r>
      <w:r>
        <w:rPr>
          <w:rFonts w:ascii="宋体" w:hAnsi="宋体" w:cs="宋体" w:eastAsia="宋体" w:hint="default"/>
        </w:rPr>
        <w:t>2014</w:t>
      </w:r>
      <w:r>
        <w:rPr>
          <w:rFonts w:ascii="宋体" w:hAnsi="宋体" w:cs="宋体" w:eastAsia="宋体" w:hint="default"/>
          <w:spacing w:val="-54"/>
        </w:rPr>
        <w:t> </w:t>
      </w:r>
      <w:r>
        <w:rPr/>
        <w:t>年共收到增值税退税款</w:t>
      </w:r>
      <w:r>
        <w:rPr>
          <w:spacing w:val="-54"/>
        </w:rPr>
        <w:t> </w:t>
      </w:r>
      <w:r>
        <w:rPr>
          <w:rFonts w:ascii="宋体" w:hAnsi="宋体" w:cs="宋体" w:eastAsia="宋体" w:hint="default"/>
        </w:rPr>
        <w:t>14,383,349.35</w:t>
      </w:r>
      <w:r>
        <w:rPr>
          <w:rFonts w:ascii="宋体" w:hAnsi="宋体" w:cs="宋体" w:eastAsia="宋体" w:hint="default"/>
          <w:spacing w:val="-53"/>
        </w:rPr>
        <w:t> </w:t>
      </w:r>
      <w:r>
        <w:rPr/>
        <w:t>元。</w:t>
      </w:r>
    </w:p>
    <w:p>
      <w:pPr>
        <w:pStyle w:val="BodyText"/>
        <w:spacing w:line="240" w:lineRule="auto"/>
        <w:ind w:left="574" w:right="1046"/>
        <w:jc w:val="left"/>
      </w:pPr>
      <w:r>
        <w:rPr/>
        <w:t>（</w:t>
      </w:r>
      <w:r>
        <w:rPr>
          <w:rFonts w:ascii="宋体" w:hAnsi="宋体" w:cs="宋体" w:eastAsia="宋体" w:hint="default"/>
        </w:rPr>
        <w:t>3</w:t>
      </w:r>
      <w:r>
        <w:rPr/>
        <w:t>）本公司之子公司哈尔滨海能达科技有限公司增值税减免系根据国务院</w:t>
      </w:r>
      <w:r>
        <w:rPr>
          <w:spacing w:val="-53"/>
        </w:rPr>
        <w:t> </w:t>
      </w:r>
      <w:r>
        <w:rPr>
          <w:rFonts w:ascii="宋体" w:hAnsi="宋体" w:cs="宋体" w:eastAsia="宋体" w:hint="default"/>
        </w:rPr>
        <w:t>2011</w:t>
      </w:r>
      <w:r>
        <w:rPr>
          <w:rFonts w:ascii="宋体" w:hAnsi="宋体" w:cs="宋体" w:eastAsia="宋体" w:hint="default"/>
          <w:spacing w:val="-54"/>
        </w:rPr>
        <w:t> </w:t>
      </w:r>
      <w:r>
        <w:rPr/>
        <w:t>年</w:t>
      </w:r>
      <w:r>
        <w:rPr>
          <w:spacing w:val="-55"/>
        </w:rPr>
        <w:t> </w:t>
      </w:r>
      <w:r>
        <w:rPr>
          <w:rFonts w:ascii="宋体" w:hAnsi="宋体" w:cs="宋体" w:eastAsia="宋体" w:hint="default"/>
        </w:rPr>
        <w:t>2</w:t>
      </w:r>
      <w:r>
        <w:rPr>
          <w:rFonts w:ascii="宋体" w:hAnsi="宋体" w:cs="宋体" w:eastAsia="宋体" w:hint="default"/>
          <w:spacing w:val="-53"/>
        </w:rPr>
        <w:t> </w:t>
      </w:r>
      <w:r>
        <w:rPr/>
        <w:t>月</w:t>
      </w:r>
      <w:r>
        <w:rPr>
          <w:spacing w:val="-55"/>
        </w:rPr>
        <w:t> </w:t>
      </w:r>
      <w:r>
        <w:rPr>
          <w:rFonts w:ascii="宋体" w:hAnsi="宋体" w:cs="宋体" w:eastAsia="宋体" w:hint="default"/>
        </w:rPr>
        <w:t>28</w:t>
      </w:r>
      <w:r>
        <w:rPr>
          <w:rFonts w:ascii="宋体" w:hAnsi="宋体" w:cs="宋体" w:eastAsia="宋体" w:hint="default"/>
          <w:spacing w:val="-53"/>
        </w:rPr>
        <w:t> </w:t>
      </w:r>
      <w:r>
        <w:rPr/>
        <w:t>日下发的</w:t>
      </w:r>
    </w:p>
    <w:p>
      <w:pPr>
        <w:spacing w:line="240" w:lineRule="auto" w:before="10"/>
        <w:rPr>
          <w:rFonts w:ascii="宋体" w:hAnsi="宋体" w:cs="宋体" w:eastAsia="宋体" w:hint="default"/>
          <w:sz w:val="14"/>
          <w:szCs w:val="14"/>
        </w:rPr>
      </w:pPr>
    </w:p>
    <w:p>
      <w:pPr>
        <w:pStyle w:val="BodyText"/>
        <w:spacing w:line="408" w:lineRule="auto" w:before="0"/>
        <w:ind w:left="154" w:right="1119"/>
        <w:jc w:val="left"/>
      </w:pPr>
      <w:r>
        <w:rPr>
          <w:spacing w:val="-4"/>
        </w:rPr>
        <w:t>《进一步鼓励软件产业和集成电路产业发展的若干政策》（国发</w:t>
      </w:r>
      <w:r>
        <w:rPr>
          <w:rFonts w:ascii="宋体" w:hAnsi="宋体" w:cs="宋体" w:eastAsia="宋体" w:hint="default"/>
          <w:spacing w:val="-4"/>
        </w:rPr>
        <w:t>[2011]4</w:t>
      </w:r>
      <w:r>
        <w:rPr>
          <w:rFonts w:ascii="宋体" w:hAnsi="宋体" w:cs="宋体" w:eastAsia="宋体" w:hint="default"/>
          <w:spacing w:val="-41"/>
        </w:rPr>
        <w:t> </w:t>
      </w:r>
      <w:r>
        <w:rPr>
          <w:spacing w:val="-1"/>
        </w:rPr>
        <w:t>号文件）及财税</w:t>
      </w:r>
      <w:r>
        <w:rPr>
          <w:rFonts w:ascii="宋体" w:hAnsi="宋体" w:cs="宋体" w:eastAsia="宋体" w:hint="default"/>
          <w:spacing w:val="-1"/>
        </w:rPr>
        <w:t>[2011]100</w:t>
      </w:r>
      <w:r>
        <w:rPr>
          <w:rFonts w:ascii="宋体" w:hAnsi="宋体" w:cs="宋体" w:eastAsia="宋体" w:hint="default"/>
          <w:spacing w:val="-40"/>
        </w:rPr>
        <w:t> </w:t>
      </w:r>
      <w:r>
        <w:rPr/>
        <w:t>号文及</w:t>
      </w:r>
      <w:r>
        <w:rPr>
          <w:spacing w:val="-103"/>
        </w:rPr>
        <w:t> </w:t>
      </w:r>
      <w:r>
        <w:rPr/>
        <w:t>黑龙江省国家税务局公告和哈尔滨市松北区国税局文件批复执行，</w:t>
      </w:r>
      <w:r>
        <w:rPr>
          <w:rFonts w:ascii="宋体" w:hAnsi="宋体" w:cs="宋体" w:eastAsia="宋体" w:hint="default"/>
        </w:rPr>
        <w:t>2014</w:t>
      </w:r>
      <w:r>
        <w:rPr>
          <w:rFonts w:ascii="宋体" w:hAnsi="宋体" w:cs="宋体" w:eastAsia="宋体" w:hint="default"/>
          <w:spacing w:val="-54"/>
        </w:rPr>
        <w:t> </w:t>
      </w:r>
      <w:r>
        <w:rPr/>
        <w:t>年共收到增值税退税款 </w:t>
      </w:r>
      <w:r>
        <w:rPr>
          <w:rFonts w:ascii="宋体" w:hAnsi="宋体" w:cs="宋体" w:eastAsia="宋体" w:hint="default"/>
        </w:rPr>
        <w:t>3,440,885.92</w:t>
      </w:r>
      <w:r>
        <w:rPr>
          <w:rFonts w:ascii="宋体" w:hAnsi="宋体" w:cs="宋体" w:eastAsia="宋体" w:hint="default"/>
          <w:spacing w:val="-52"/>
        </w:rPr>
        <w:t> </w:t>
      </w:r>
      <w:r>
        <w:rPr/>
        <w:t>元。</w:t>
      </w:r>
    </w:p>
    <w:p>
      <w:pPr>
        <w:pStyle w:val="BodyText"/>
        <w:spacing w:line="240" w:lineRule="auto"/>
        <w:ind w:left="574" w:right="1046"/>
        <w:jc w:val="left"/>
      </w:pPr>
      <w:r>
        <w:rPr>
          <w:rFonts w:ascii="宋体" w:hAnsi="宋体" w:cs="宋体" w:eastAsia="宋体" w:hint="default"/>
        </w:rPr>
        <w:t>*2</w:t>
      </w:r>
      <w:r>
        <w:rPr/>
        <w:t>、补贴收入</w:t>
      </w:r>
    </w:p>
    <w:p>
      <w:pPr>
        <w:spacing w:line="240" w:lineRule="auto" w:before="10"/>
        <w:rPr>
          <w:rFonts w:ascii="宋体" w:hAnsi="宋体" w:cs="宋体" w:eastAsia="宋体" w:hint="default"/>
          <w:sz w:val="14"/>
          <w:szCs w:val="14"/>
        </w:rPr>
      </w:pPr>
    </w:p>
    <w:p>
      <w:pPr>
        <w:pStyle w:val="BodyText"/>
        <w:spacing w:line="240" w:lineRule="auto" w:before="0"/>
        <w:ind w:left="574" w:right="1046"/>
        <w:jc w:val="left"/>
      </w:pPr>
      <w:r>
        <w:rPr>
          <w:rFonts w:ascii="宋体" w:hAnsi="宋体" w:cs="宋体" w:eastAsia="宋体" w:hint="default"/>
        </w:rPr>
        <w:t>2014</w:t>
      </w:r>
      <w:r>
        <w:rPr>
          <w:rFonts w:ascii="宋体" w:hAnsi="宋体" w:cs="宋体" w:eastAsia="宋体" w:hint="default"/>
          <w:spacing w:val="-53"/>
        </w:rPr>
        <w:t> </w:t>
      </w:r>
      <w:r>
        <w:rPr/>
        <w:t>年度补贴收入</w:t>
      </w:r>
      <w:r>
        <w:rPr>
          <w:spacing w:val="-55"/>
        </w:rPr>
        <w:t> </w:t>
      </w:r>
      <w:r>
        <w:rPr>
          <w:rFonts w:ascii="宋体" w:hAnsi="宋体" w:cs="宋体" w:eastAsia="宋体" w:hint="default"/>
        </w:rPr>
        <w:t>39,241,863.19</w:t>
      </w:r>
      <w:r>
        <w:rPr>
          <w:rFonts w:ascii="宋体" w:hAnsi="宋体" w:cs="宋体" w:eastAsia="宋体" w:hint="default"/>
          <w:spacing w:val="-54"/>
        </w:rPr>
        <w:t> </w:t>
      </w:r>
      <w:r>
        <w:rPr/>
        <w:t>元，主要补助收入明细如下：</w:t>
      </w:r>
    </w:p>
    <w:p>
      <w:pPr>
        <w:spacing w:line="240" w:lineRule="auto" w:before="10"/>
        <w:rPr>
          <w:rFonts w:ascii="宋体" w:hAnsi="宋体" w:cs="宋体" w:eastAsia="宋体" w:hint="default"/>
          <w:sz w:val="14"/>
          <w:szCs w:val="14"/>
        </w:rPr>
      </w:pPr>
    </w:p>
    <w:p>
      <w:pPr>
        <w:pStyle w:val="BodyText"/>
        <w:spacing w:line="408" w:lineRule="auto" w:before="0"/>
        <w:ind w:right="1206" w:firstLine="420"/>
        <w:jc w:val="left"/>
      </w:pPr>
      <w:r>
        <w:rPr/>
        <w:t>（</w:t>
      </w:r>
      <w:r>
        <w:rPr>
          <w:rFonts w:ascii="宋体" w:hAnsi="宋体" w:cs="宋体" w:eastAsia="宋体" w:hint="default"/>
        </w:rPr>
        <w:t>1</w:t>
      </w:r>
      <w:r>
        <w:rPr/>
        <w:t>）</w:t>
      </w:r>
      <w:r>
        <w:rPr>
          <w:rFonts w:ascii="宋体" w:hAnsi="宋体" w:cs="宋体" w:eastAsia="宋体" w:hint="default"/>
        </w:rPr>
        <w:t>2014</w:t>
      </w:r>
      <w:r>
        <w:rPr>
          <w:rFonts w:ascii="宋体" w:hAnsi="宋体" w:cs="宋体" w:eastAsia="宋体" w:hint="default"/>
          <w:spacing w:val="-46"/>
        </w:rPr>
        <w:t> </w:t>
      </w:r>
      <w:r>
        <w:rPr>
          <w:spacing w:val="-1"/>
        </w:rPr>
        <w:t>年科技专项资金（</w:t>
      </w:r>
      <w:r>
        <w:rPr>
          <w:rFonts w:ascii="宋体" w:hAnsi="宋体" w:cs="宋体" w:eastAsia="宋体" w:hint="default"/>
          <w:spacing w:val="-1"/>
        </w:rPr>
        <w:t>2013</w:t>
      </w:r>
      <w:r>
        <w:rPr>
          <w:rFonts w:ascii="宋体" w:hAnsi="宋体" w:cs="宋体" w:eastAsia="宋体" w:hint="default"/>
          <w:spacing w:val="-44"/>
        </w:rPr>
        <w:t> </w:t>
      </w:r>
      <w:r>
        <w:rPr>
          <w:spacing w:val="-4"/>
        </w:rPr>
        <w:t>年第二批资助项目），南山区产业联盟资助项目资金，本期确认补</w:t>
      </w:r>
      <w:r>
        <w:rPr/>
        <w:t> 贴收入</w:t>
      </w:r>
      <w:r>
        <w:rPr>
          <w:spacing w:val="-52"/>
        </w:rPr>
        <w:t> </w:t>
      </w:r>
      <w:r>
        <w:rPr>
          <w:rFonts w:ascii="宋体" w:hAnsi="宋体" w:cs="宋体" w:eastAsia="宋体" w:hint="default"/>
        </w:rPr>
        <w:t>1,290,000.00</w:t>
      </w:r>
      <w:r>
        <w:rPr>
          <w:rFonts w:ascii="宋体" w:hAnsi="宋体" w:cs="宋体" w:eastAsia="宋体" w:hint="default"/>
          <w:spacing w:val="-53"/>
        </w:rPr>
        <w:t> </w:t>
      </w:r>
      <w:r>
        <w:rPr/>
        <w:t>元</w:t>
      </w:r>
    </w:p>
    <w:p>
      <w:pPr>
        <w:pStyle w:val="BodyText"/>
        <w:spacing w:line="240" w:lineRule="auto"/>
        <w:ind w:left="574" w:right="1046"/>
        <w:jc w:val="left"/>
      </w:pPr>
      <w:r>
        <w:rPr/>
        <w:t>（</w:t>
      </w:r>
      <w:r>
        <w:rPr>
          <w:rFonts w:ascii="宋体" w:hAnsi="宋体" w:cs="宋体" w:eastAsia="宋体" w:hint="default"/>
        </w:rPr>
        <w:t>2</w:t>
      </w:r>
      <w:r>
        <w:rPr/>
        <w:t>）根据深圳市财政局文件，</w:t>
      </w:r>
      <w:r>
        <w:rPr>
          <w:rFonts w:ascii="宋体" w:hAnsi="宋体" w:cs="宋体" w:eastAsia="宋体" w:hint="default"/>
        </w:rPr>
        <w:t>2013</w:t>
      </w:r>
      <w:r>
        <w:rPr>
          <w:rFonts w:ascii="宋体" w:hAnsi="宋体" w:cs="宋体" w:eastAsia="宋体" w:hint="default"/>
          <w:spacing w:val="-55"/>
        </w:rPr>
        <w:t> </w:t>
      </w:r>
      <w:r>
        <w:rPr/>
        <w:t>年度深圳品牌培育专项资，本期确认补贴收入</w:t>
      </w:r>
      <w:r>
        <w:rPr>
          <w:spacing w:val="-54"/>
        </w:rPr>
        <w:t> </w:t>
      </w:r>
      <w:r>
        <w:rPr>
          <w:rFonts w:ascii="宋体" w:hAnsi="宋体" w:cs="宋体" w:eastAsia="宋体" w:hint="default"/>
        </w:rPr>
        <w:t>900,000.00</w:t>
      </w:r>
      <w:r>
        <w:rPr>
          <w:rFonts w:ascii="宋体" w:hAnsi="宋体" w:cs="宋体" w:eastAsia="宋体" w:hint="default"/>
          <w:spacing w:val="-55"/>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574" w:right="1046"/>
        <w:jc w:val="left"/>
      </w:pPr>
      <w:r>
        <w:rPr/>
        <w:t>（</w:t>
      </w:r>
      <w:r>
        <w:rPr>
          <w:rFonts w:ascii="宋体" w:hAnsi="宋体" w:cs="宋体" w:eastAsia="宋体" w:hint="default"/>
        </w:rPr>
        <w:t>3</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11</w:t>
      </w:r>
      <w:r>
        <w:rPr>
          <w:rFonts w:ascii="宋体" w:hAnsi="宋体" w:cs="宋体" w:eastAsia="宋体" w:hint="default"/>
          <w:spacing w:val="-53"/>
        </w:rPr>
        <w:t> </w:t>
      </w:r>
      <w:r>
        <w:rPr/>
        <w:t>月</w:t>
      </w:r>
      <w:r>
        <w:rPr>
          <w:spacing w:val="-54"/>
        </w:rPr>
        <w:t> </w:t>
      </w:r>
      <w:r>
        <w:rPr>
          <w:rFonts w:ascii="宋体" w:hAnsi="宋体" w:cs="宋体" w:eastAsia="宋体" w:hint="default"/>
        </w:rPr>
        <w:t>10</w:t>
      </w:r>
      <w:r>
        <w:rPr>
          <w:rFonts w:ascii="宋体" w:hAnsi="宋体" w:cs="宋体" w:eastAsia="宋体" w:hint="default"/>
          <w:spacing w:val="-54"/>
        </w:rPr>
        <w:t> </w:t>
      </w:r>
      <w:r>
        <w:rPr/>
        <w:t>日收到深圳市财政关于</w:t>
      </w:r>
      <w:r>
        <w:rPr>
          <w:rFonts w:ascii="宋体" w:hAnsi="宋体" w:cs="宋体" w:eastAsia="宋体" w:hint="default"/>
        </w:rPr>
        <w:t>"</w:t>
      </w:r>
      <w:r>
        <w:rPr/>
        <w:t>深圳市工业设计业发展专项资金</w:t>
      </w:r>
      <w:r>
        <w:rPr>
          <w:spacing w:val="-53"/>
        </w:rPr>
        <w:t> </w:t>
      </w:r>
      <w:r>
        <w:rPr>
          <w:rFonts w:ascii="宋体" w:hAnsi="宋体" w:cs="宋体" w:eastAsia="宋体" w:hint="default"/>
        </w:rPr>
        <w:t>2013</w:t>
      </w:r>
      <w:r>
        <w:rPr>
          <w:rFonts w:ascii="宋体" w:hAnsi="宋体" w:cs="宋体" w:eastAsia="宋体" w:hint="default"/>
          <w:spacing w:val="-54"/>
        </w:rPr>
        <w:t> </w:t>
      </w:r>
      <w:r>
        <w:rPr/>
        <w:t>年工业设计创新</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攻关成果转化应用</w:t>
      </w:r>
      <w:r>
        <w:rPr>
          <w:rFonts w:ascii="宋体" w:hAnsi="宋体" w:cs="宋体" w:eastAsia="宋体" w:hint="default"/>
        </w:rPr>
        <w:t>"</w:t>
      </w:r>
      <w:r>
        <w:rPr/>
        <w:t>资助款，本期确认补贴收入</w:t>
      </w:r>
      <w:r>
        <w:rPr>
          <w:spacing w:val="-53"/>
        </w:rPr>
        <w:t> </w:t>
      </w:r>
      <w:r>
        <w:rPr>
          <w:rFonts w:ascii="宋体" w:hAnsi="宋体" w:cs="宋体" w:eastAsia="宋体" w:hint="default"/>
        </w:rPr>
        <w:t>1,200,000.00</w:t>
      </w:r>
      <w:r>
        <w:rPr>
          <w:rFonts w:ascii="宋体" w:hAnsi="宋体" w:cs="宋体" w:eastAsia="宋体" w:hint="default"/>
          <w:spacing w:val="-55"/>
        </w:rPr>
        <w:t> </w:t>
      </w:r>
      <w:r>
        <w:rPr/>
        <w:t>元；</w:t>
      </w:r>
    </w:p>
    <w:p>
      <w:pPr>
        <w:spacing w:line="240" w:lineRule="auto" w:before="10"/>
        <w:rPr>
          <w:rFonts w:ascii="宋体" w:hAnsi="宋体" w:cs="宋体" w:eastAsia="宋体" w:hint="default"/>
          <w:sz w:val="14"/>
          <w:szCs w:val="14"/>
        </w:rPr>
      </w:pPr>
    </w:p>
    <w:p>
      <w:pPr>
        <w:pStyle w:val="BodyText"/>
        <w:spacing w:line="408" w:lineRule="auto" w:before="0"/>
        <w:ind w:right="1364" w:firstLine="420"/>
        <w:jc w:val="left"/>
      </w:pPr>
      <w:r>
        <w:rPr/>
        <w:t>（</w:t>
      </w:r>
      <w:r>
        <w:rPr>
          <w:rFonts w:ascii="宋体" w:hAnsi="宋体" w:cs="宋体" w:eastAsia="宋体" w:hint="default"/>
        </w:rPr>
        <w:t>4</w:t>
      </w:r>
      <w:r>
        <w:rPr/>
        <w:t>）收到</w:t>
      </w:r>
      <w:r>
        <w:rPr>
          <w:spacing w:val="-47"/>
        </w:rPr>
        <w:t> </w:t>
      </w:r>
      <w:r>
        <w:rPr>
          <w:rFonts w:ascii="宋体" w:hAnsi="宋体" w:cs="宋体" w:eastAsia="宋体" w:hint="default"/>
          <w:spacing w:val="-1"/>
        </w:rPr>
        <w:t>2014</w:t>
      </w:r>
      <w:r>
        <w:rPr>
          <w:rFonts w:ascii="宋体" w:hAnsi="宋体" w:cs="宋体" w:eastAsia="宋体" w:hint="default"/>
          <w:spacing w:val="-45"/>
        </w:rPr>
        <w:t> </w:t>
      </w:r>
      <w:r>
        <w:rPr>
          <w:spacing w:val="-1"/>
        </w:rPr>
        <w:t>人才安居补贴专项资金（</w:t>
      </w:r>
      <w:r>
        <w:rPr>
          <w:rFonts w:ascii="宋体" w:hAnsi="宋体" w:cs="宋体" w:eastAsia="宋体" w:hint="default"/>
          <w:spacing w:val="-1"/>
        </w:rPr>
        <w:t>2014</w:t>
      </w:r>
      <w:r>
        <w:rPr>
          <w:rFonts w:ascii="宋体" w:hAnsi="宋体" w:cs="宋体" w:eastAsia="宋体" w:hint="default"/>
          <w:spacing w:val="-45"/>
        </w:rPr>
        <w:t> </w:t>
      </w:r>
      <w:r>
        <w:rPr>
          <w:spacing w:val="-5"/>
        </w:rPr>
        <w:t>年企事业单位人才住房补贴款），本期确认补贴收入</w:t>
      </w:r>
      <w:r>
        <w:rPr/>
        <w:t> </w:t>
      </w:r>
      <w:r>
        <w:rPr>
          <w:rFonts w:ascii="宋体" w:hAnsi="宋体" w:cs="宋体" w:eastAsia="宋体" w:hint="default"/>
        </w:rPr>
        <w:t>600,000.00</w:t>
      </w:r>
      <w:r>
        <w:rPr>
          <w:rFonts w:ascii="宋体" w:hAnsi="宋体" w:cs="宋体" w:eastAsia="宋体" w:hint="default"/>
          <w:spacing w:val="-52"/>
        </w:rPr>
        <w:t> </w:t>
      </w:r>
      <w:r>
        <w:rPr/>
        <w:t>元；</w:t>
      </w:r>
    </w:p>
    <w:p>
      <w:pPr>
        <w:pStyle w:val="BodyText"/>
        <w:spacing w:line="240" w:lineRule="auto"/>
        <w:ind w:left="574" w:right="1046"/>
        <w:jc w:val="left"/>
      </w:pPr>
      <w:r>
        <w:rPr/>
        <w:t>（</w:t>
      </w:r>
      <w:r>
        <w:rPr>
          <w:rFonts w:ascii="宋体" w:hAnsi="宋体" w:cs="宋体" w:eastAsia="宋体" w:hint="default"/>
        </w:rPr>
        <w:t>5</w:t>
      </w:r>
      <w:r>
        <w:rPr/>
        <w:t>）收到深圳市南山区财政局关于</w:t>
      </w:r>
      <w:r>
        <w:rPr>
          <w:spacing w:val="-54"/>
        </w:rPr>
        <w:t> </w:t>
      </w:r>
      <w:r>
        <w:rPr>
          <w:rFonts w:ascii="宋体" w:hAnsi="宋体" w:cs="宋体" w:eastAsia="宋体" w:hint="default"/>
        </w:rPr>
        <w:t>2014</w:t>
      </w:r>
      <w:r>
        <w:rPr>
          <w:rFonts w:ascii="宋体" w:hAnsi="宋体" w:cs="宋体" w:eastAsia="宋体" w:hint="default"/>
          <w:spacing w:val="-53"/>
        </w:rPr>
        <w:t> </w:t>
      </w:r>
      <w:r>
        <w:rPr/>
        <w:t>年经济发展补贴款，本期确认补贴收入</w:t>
      </w:r>
      <w:r>
        <w:rPr>
          <w:spacing w:val="-53"/>
        </w:rPr>
        <w:t> </w:t>
      </w:r>
      <w:r>
        <w:rPr>
          <w:rFonts w:ascii="宋体" w:hAnsi="宋体" w:cs="宋体" w:eastAsia="宋体" w:hint="default"/>
        </w:rPr>
        <w:t>3,090,000.00</w:t>
      </w:r>
      <w:r>
        <w:rPr>
          <w:rFonts w:ascii="宋体" w:hAnsi="宋体" w:cs="宋体" w:eastAsia="宋体" w:hint="default"/>
          <w:spacing w:val="-54"/>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574" w:right="1046"/>
        <w:jc w:val="left"/>
      </w:pPr>
      <w:r>
        <w:rPr/>
        <w:t>（</w:t>
      </w:r>
      <w:r>
        <w:rPr>
          <w:rFonts w:ascii="宋体" w:hAnsi="宋体" w:cs="宋体" w:eastAsia="宋体" w:hint="default"/>
        </w:rPr>
        <w:t>6</w:t>
      </w:r>
      <w:r>
        <w:rPr/>
        <w:t>）收到鹤壁国家经济技术开发区管委会支付</w:t>
      </w:r>
      <w:r>
        <w:rPr>
          <w:spacing w:val="-54"/>
        </w:rPr>
        <w:t> </w:t>
      </w:r>
      <w:r>
        <w:rPr>
          <w:rFonts w:ascii="宋体" w:hAnsi="宋体" w:cs="宋体" w:eastAsia="宋体" w:hint="default"/>
        </w:rPr>
        <w:t>2014</w:t>
      </w:r>
      <w:r>
        <w:rPr>
          <w:rFonts w:ascii="宋体" w:hAnsi="宋体" w:cs="宋体" w:eastAsia="宋体" w:hint="default"/>
          <w:spacing w:val="-55"/>
        </w:rPr>
        <w:t> </w:t>
      </w:r>
      <w:r>
        <w:rPr/>
        <w:t>年度贴息补贴资金，本期确认补贴收入</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rFonts w:ascii="宋体" w:hAnsi="宋体" w:cs="宋体" w:eastAsia="宋体" w:hint="default"/>
        </w:rPr>
        <w:t>10,000,000.00</w:t>
      </w:r>
      <w:r>
        <w:rPr>
          <w:rFonts w:ascii="宋体" w:hAnsi="宋体" w:cs="宋体" w:eastAsia="宋体" w:hint="default"/>
          <w:spacing w:val="-52"/>
        </w:rPr>
        <w:t> </w:t>
      </w:r>
      <w:r>
        <w:rPr/>
        <w:t>元</w:t>
      </w:r>
    </w:p>
    <w:p>
      <w:pPr>
        <w:spacing w:line="240" w:lineRule="auto" w:before="10"/>
        <w:rPr>
          <w:rFonts w:ascii="宋体" w:hAnsi="宋体" w:cs="宋体" w:eastAsia="宋体" w:hint="default"/>
          <w:sz w:val="14"/>
          <w:szCs w:val="14"/>
        </w:rPr>
      </w:pPr>
    </w:p>
    <w:p>
      <w:pPr>
        <w:pStyle w:val="BodyText"/>
        <w:spacing w:line="408" w:lineRule="auto" w:before="0"/>
        <w:ind w:right="1116" w:firstLine="420"/>
        <w:jc w:val="left"/>
      </w:pPr>
      <w:r>
        <w:rPr/>
        <w:t>本期由递延收益转入营业外收入科目共</w:t>
      </w:r>
      <w:r>
        <w:rPr>
          <w:spacing w:val="-64"/>
        </w:rPr>
        <w:t> </w:t>
      </w:r>
      <w:r>
        <w:rPr>
          <w:rFonts w:ascii="宋体" w:hAnsi="宋体" w:cs="宋体" w:eastAsia="宋体" w:hint="default"/>
        </w:rPr>
        <w:t>18,846,171.73</w:t>
      </w:r>
      <w:r>
        <w:rPr>
          <w:rFonts w:ascii="宋体" w:hAnsi="宋体" w:cs="宋体" w:eastAsia="宋体" w:hint="default"/>
          <w:spacing w:val="-64"/>
        </w:rPr>
        <w:t> </w:t>
      </w:r>
      <w:r>
        <w:rPr/>
        <w:t>元，可参阅第七节、</w:t>
      </w:r>
      <w:r>
        <w:rPr>
          <w:rFonts w:ascii="宋体" w:hAnsi="宋体" w:cs="宋体" w:eastAsia="宋体" w:hint="default"/>
        </w:rPr>
        <w:t>36</w:t>
      </w:r>
      <w:r>
        <w:rPr/>
        <w:t>“递延收益”的相关内 容。</w:t>
      </w:r>
    </w:p>
    <w:p>
      <w:pPr>
        <w:spacing w:after="0" w:line="40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51、营业外支出" w:id="331"/>
      <w:bookmarkEnd w:id="331"/>
      <w:r>
        <w:rPr>
          <w:b w:val="0"/>
          <w:bCs w:val="0"/>
        </w:rPr>
      </w:r>
      <w:r>
        <w:rPr>
          <w:rFonts w:ascii="Times New Roman" w:hAnsi="Times New Roman" w:cs="Times New Roman" w:eastAsia="Times New Roman" w:hint="default"/>
        </w:rPr>
        <w:t>51</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251,042.08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1,527,814.36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251,042.08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251,042.08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1,527,814.36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251,042.08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1,384,765.73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433,305.81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1,384,765.73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150,231.56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153,772.86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150,231.56</w:t>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1,786,039.37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2,114,893.03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1,786,039.37</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52、所得税费用" w:id="332"/>
      <w:bookmarkEnd w:id="332"/>
      <w:r>
        <w:rPr>
          <w:b w:val="0"/>
          <w:bCs w:val="0"/>
        </w:rPr>
      </w:r>
      <w:r>
        <w:rPr>
          <w:rFonts w:ascii="Times New Roman" w:hAnsi="Times New Roman" w:cs="Times New Roman" w:eastAsia="Times New Roman" w:hint="default"/>
        </w:rPr>
        <w:t>52</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所得税费用表" w:id="333"/>
      <w:bookmarkEnd w:id="33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16,271,862.63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20,547,647.83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219,296.77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1,594,192.74</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16,491,159.40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22,141,840.57</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会计利润与所得税费用调整过程" w:id="334"/>
      <w:bookmarkEnd w:id="33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59,756,724.87</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5,975,672.49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9,175,495.04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59,576.25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6,730,044.82</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17,954,475.06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-5,449,629.20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16,491,159.40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53、现金流量表项目" w:id="335"/>
      <w:bookmarkEnd w:id="335"/>
      <w:r>
        <w:rPr>
          <w:b w:val="0"/>
          <w:bCs w:val="0"/>
        </w:rPr>
      </w:r>
      <w:r>
        <w:rPr>
          <w:rFonts w:ascii="Times New Roman" w:hAnsi="Times New Roman" w:cs="Times New Roman" w:eastAsia="Times New Roman" w:hint="default"/>
        </w:rPr>
        <w:t>53</w:t>
      </w:r>
      <w:r>
        <w:rPr/>
        <w:t>、现金流量表项目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收到的其他与经营活动有关的现金" w:id="336"/>
      <w:bookmarkEnd w:id="33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3,345,957.05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10,130,334.56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政府补贴款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35,382,091.46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48,068,695.31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保证金存款的净收回</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3,321,807.81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931,956.85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39,660,005.36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61,520,837.68</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支付的其他与经营活动有关的现金" w:id="337"/>
      <w:bookmarkEnd w:id="33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91,144,221.55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84,864,089.41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214,093,976.16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180,374,448.21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保证金存款的净支付</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8,676,316.06</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往来款等付现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19,886,137.55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9,836,761.97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333,800,651.32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275,075,299.59</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3）收到的其他与投资活动有关的现金" w:id="338"/>
      <w:bookmarkEnd w:id="33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收购河南子公司的净现金流入</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681,850.31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681,850.31</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4）支付的其他与投资活动有关的现金" w:id="339"/>
      <w:bookmarkEnd w:id="33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5）收到的其他与筹资活动有关的现金" w:id="340"/>
      <w:bookmarkEnd w:id="34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6）支付的其他与筹资活动有关的现金" w:id="341"/>
      <w:bookmarkEnd w:id="34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贷款担保费及额度管理费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258,427.00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河南子公司偿还借款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5,634,425.84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123,496,558.03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group style="position:absolute;margin-left:223.339996pt;margin-top:418.669983pt;width:151.25pt;height:20.8pt;mso-position-horizontal-relative:page;mso-position-vertical-relative:page;z-index:-1064200" coordorigin="4467,8373" coordsize="3025,416">
            <v:group style="position:absolute;left:4478;top:8385;width:2;height:393" coordorigin="4478,8385" coordsize="2,393">
              <v:shape style="position:absolute;left:4478;top:8385;width:2;height:393" coordorigin="4478,8385" coordsize="0,393" path="m4478,8385l4478,8778e" filled="false" stroked="true" strokeweight="1.140pt" strokecolor="#ffffff">
                <v:path arrowok="t"/>
              </v:shape>
            </v:group>
            <v:group style="position:absolute;left:4490;top:8385;width:3002;height:393" coordorigin="4490,8385" coordsize="3002,393">
              <v:shape style="position:absolute;left:4490;top:8385;width:3002;height:393" coordorigin="4490,8385" coordsize="3002,393" path="m4490,8778l7491,8778,7491,8385,4490,8385,4490,877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5,892,852.84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123,496,558.03</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54、现金流量表补充资料" w:id="342"/>
      <w:bookmarkEnd w:id="342"/>
      <w:r>
        <w:rPr>
          <w:b w:val="0"/>
          <w:bCs w:val="0"/>
        </w:rPr>
      </w:r>
      <w:r>
        <w:rPr>
          <w:rFonts w:ascii="Times New Roman" w:hAnsi="Times New Roman" w:cs="Times New Roman" w:eastAsia="Times New Roman" w:hint="default"/>
        </w:rPr>
        <w:t>54</w:t>
      </w:r>
      <w:r>
        <w:rPr/>
        <w:t>、现金流量表补充资料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46"/>
        <w:jc w:val="left"/>
        <w:rPr>
          <w:b w:val="0"/>
          <w:bCs w:val="0"/>
        </w:rPr>
      </w:pPr>
      <w:bookmarkStart w:name="（1）现金流量表补充资料" w:id="343"/>
      <w:bookmarkEnd w:id="34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1055"/>
        <w:gridCol w:w="2014"/>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43,265,565.47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135,071,189.78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33,008,308.32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31,690,096.45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56,271,897.83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47,483,438.15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30,969,187.40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20,139,418.25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13,723,197.90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4,940,919.75</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200,261.39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1,145,113.96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89" w:right="0"/>
              <w:jc w:val="left"/>
              <w:rPr>
                <w:rFonts w:ascii="Times New Roman" w:hAnsi="Times New Roman" w:cs="Times New Roman" w:eastAsia="Times New Roman" w:hint="default"/>
                <w:sz w:val="18"/>
                <w:szCs w:val="18"/>
              </w:rPr>
            </w:pPr>
            <w:r>
              <w:rPr>
                <w:rFonts w:ascii="Times New Roman"/>
                <w:sz w:val="18"/>
              </w:rPr>
              <w:t>62,521,717.24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26,435,915.61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019" w:right="0"/>
              <w:jc w:val="left"/>
              <w:rPr>
                <w:rFonts w:ascii="Times New Roman" w:hAnsi="Times New Roman" w:cs="Times New Roman" w:eastAsia="Times New Roman" w:hint="default"/>
                <w:sz w:val="18"/>
                <w:szCs w:val="18"/>
              </w:rPr>
            </w:pPr>
            <w:r>
              <w:rPr>
                <w:rFonts w:ascii="Times New Roman"/>
                <w:sz w:val="18"/>
              </w:rPr>
              <w:t>-2,751,327.45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-7,708,069.26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5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201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981" w:right="0"/>
              <w:jc w:val="left"/>
              <w:rPr>
                <w:rFonts w:ascii="Times New Roman" w:hAnsi="Times New Roman" w:cs="Times New Roman" w:eastAsia="Times New Roman" w:hint="default"/>
                <w:sz w:val="18"/>
                <w:szCs w:val="18"/>
              </w:rPr>
            </w:pPr>
            <w:r>
              <w:rPr>
                <w:rFonts w:ascii="Times New Roman"/>
                <w:sz w:val="18"/>
              </w:rPr>
              <w:t>-2,480,727.96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1,062,478.15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-35,162,812.79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-49,487,208.50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9" w:right="0"/>
              <w:jc w:val="left"/>
              <w:rPr>
                <w:rFonts w:ascii="Times New Roman" w:hAnsi="Times New Roman" w:cs="Times New Roman" w:eastAsia="Times New Roman" w:hint="default"/>
                <w:sz w:val="18"/>
                <w:szCs w:val="18"/>
              </w:rPr>
            </w:pPr>
            <w:r>
              <w:rPr>
                <w:rFonts w:ascii="Times New Roman"/>
                <w:sz w:val="18"/>
              </w:rPr>
              <w:t>-164,023,729.97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-239,209,474.82</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89" w:right="0"/>
              <w:jc w:val="left"/>
              <w:rPr>
                <w:rFonts w:ascii="Times New Roman" w:hAnsi="Times New Roman" w:cs="Times New Roman" w:eastAsia="Times New Roman" w:hint="default"/>
                <w:sz w:val="18"/>
                <w:szCs w:val="18"/>
              </w:rPr>
            </w:pPr>
            <w:r>
              <w:rPr>
                <w:rFonts w:ascii="Times New Roman"/>
                <w:sz w:val="18"/>
              </w:rPr>
              <w:t>80,795,671.43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97,318,000.05</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-299,138.79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7,720,000.00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05" w:right="0"/>
              <w:jc w:val="left"/>
              <w:rPr>
                <w:rFonts w:ascii="Times New Roman" w:hAnsi="Times New Roman" w:cs="Times New Roman" w:eastAsia="Times New Roman" w:hint="default"/>
                <w:sz w:val="18"/>
                <w:szCs w:val="18"/>
              </w:rPr>
            </w:pPr>
            <w:r>
              <w:rPr>
                <w:rFonts w:ascii="Times New Roman"/>
                <w:sz w:val="18"/>
              </w:rPr>
              <w:t>116,038,070.02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76,601,817.57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441,367,521.63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487,721,088.30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899" w:right="0"/>
              <w:jc w:val="left"/>
              <w:rPr>
                <w:rFonts w:ascii="Times New Roman" w:hAnsi="Times New Roman" w:cs="Times New Roman" w:eastAsia="Times New Roman" w:hint="default"/>
                <w:sz w:val="18"/>
                <w:szCs w:val="18"/>
              </w:rPr>
            </w:pPr>
            <w:r>
              <w:rPr>
                <w:rFonts w:ascii="Times New Roman"/>
                <w:sz w:val="18"/>
              </w:rPr>
              <w:t>487,721,088.30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454,980,069.70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29" w:right="0"/>
              <w:jc w:val="left"/>
              <w:rPr>
                <w:rFonts w:ascii="Times New Roman" w:hAnsi="Times New Roman" w:cs="Times New Roman" w:eastAsia="Times New Roman" w:hint="default"/>
                <w:sz w:val="18"/>
                <w:szCs w:val="18"/>
              </w:rPr>
            </w:pPr>
            <w:r>
              <w:rPr>
                <w:rFonts w:ascii="Times New Roman"/>
                <w:sz w:val="18"/>
              </w:rPr>
              <w:t>-46,353,566.67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32,741,018.60</w:t>
            </w:r>
          </w:p>
        </w:tc>
      </w:tr>
    </w:tbl>
    <w:p>
      <w:pPr>
        <w:spacing w:line="240" w:lineRule="auto" w:before="3"/>
        <w:rPr>
          <w:rFonts w:ascii="宋体" w:hAnsi="宋体" w:cs="宋体" w:eastAsia="宋体" w:hint="default"/>
          <w:sz w:val="19"/>
          <w:szCs w:val="19"/>
        </w:rPr>
      </w:pPr>
    </w:p>
    <w:p>
      <w:pPr>
        <w:pStyle w:val="Heading3"/>
        <w:spacing w:line="240" w:lineRule="auto" w:before="35"/>
        <w:ind w:right="1046"/>
        <w:jc w:val="left"/>
        <w:rPr>
          <w:b w:val="0"/>
          <w:bCs w:val="0"/>
        </w:rPr>
      </w:pPr>
      <w:bookmarkStart w:name="（2）本期支付的取得子公司的现金净额" w:id="344"/>
      <w:bookmarkEnd w:id="34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19,987,504.63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其中：南京宙达通信技术有限公司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9,197,504.63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深圳市运联通通信服务有限公司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10,790,000.00</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6,816,029.68</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其中：南京宙达通信技术有限公司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746,138.63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深圳市运联通通信服务有限公司</w:t>
            </w:r>
          </w:p>
        </w:tc>
        <w:tc>
          <w:tcPr>
            <w:tcW w:w="4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6,069,891.05</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13,171,474.95</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3）本期收到的处置子公司的现金净额" w:id="345"/>
      <w:bookmarkEnd w:id="34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4）现金和现金等价物的构成" w:id="346"/>
      <w:bookmarkEnd w:id="34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441,367,521.63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487,721,088.30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152,799.61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368,333.28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395,710,375.28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487,352,755.02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45,504,346.74</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441,367,521.63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487,721,088.30</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55、所有权或使用权受到限制的资产" w:id="347"/>
      <w:bookmarkEnd w:id="347"/>
      <w:r>
        <w:rPr>
          <w:b w:val="0"/>
          <w:bCs w:val="0"/>
        </w:rPr>
      </w:r>
      <w:r>
        <w:rPr>
          <w:rFonts w:ascii="Times New Roman" w:hAnsi="Times New Roman" w:cs="Times New Roman" w:eastAsia="Times New Roman" w:hint="default"/>
        </w:rPr>
        <w:t>55</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33,985,905.75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银行承兑汇票、保函及信用证保证金</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277,916,035.74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用于担保、抵押的资产</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78,517,087.97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银行贷款抵押</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390,419,029.46</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56、外币货币性项目" w:id="348"/>
      <w:bookmarkEnd w:id="348"/>
      <w:r>
        <w:rPr>
          <w:b w:val="0"/>
          <w:bCs w:val="0"/>
        </w:rPr>
      </w:r>
      <w:r>
        <w:rPr>
          <w:rFonts w:ascii="Times New Roman" w:hAnsi="Times New Roman" w:cs="Times New Roman" w:eastAsia="Times New Roman" w:hint="default"/>
        </w:rPr>
        <w:t>56</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外币货币性项目" w:id="349"/>
      <w:bookmarkEnd w:id="349"/>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129,199,547.98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8,944,423.52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54,730,927.52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5,705,991.34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42,541,589.04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2,692,867.62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2,124,403.27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新索尔</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5,172,738.17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2.0558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10,634,115.13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7,415,577.89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6,284,022.79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59,651,972.57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365,010,420.15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23,975,724.77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178,753,413.60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12,661,471.96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9,988,635.22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5,180,044.15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49,436,787.36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365,000.00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2,721,294.00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5,288,242.01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4,171,894.12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2,197,012.04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1,733,222.80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54,810,910.10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43,240,326.98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489,466.96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2,995,048.33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5,981,676.60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44,596,988.06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43,870.13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418,683.36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285,318.75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225,087.96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46,248.83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282,996.59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94,291.25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702,997.84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28,954.30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276,331.15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378,000.00</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41,769.00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其中：港币</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9,179,711.05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0.7889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7,241,874.05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2,096,988.40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6.1190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12,831,472.02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480,838.25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7.4556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3,584,937.66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82,567.81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9.5437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788,002.41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15,124.99</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75,888.12</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59" w:lineRule="auto" w:before="35"/>
        <w:ind w:left="153" w:right="1046"/>
        <w:jc w:val="left"/>
        <w:rPr>
          <w:b w:val="0"/>
          <w:bCs w:val="0"/>
        </w:rPr>
      </w:pPr>
      <w:bookmarkStart w:name="（2）境外经营实体说明，包括对于重要的境外经营实体，应披露其境外主要经营地、记账" w:id="350"/>
      <w:bookmarkEnd w:id="350"/>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136"/>
        <w:gridCol w:w="1560"/>
        <w:gridCol w:w="1559"/>
        <w:gridCol w:w="2074"/>
      </w:tblGrid>
      <w:tr>
        <w:trPr>
          <w:trHeight w:val="342" w:hRule="exact"/>
        </w:trPr>
        <w:tc>
          <w:tcPr>
            <w:tcW w:w="4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名</w:t>
            </w:r>
            <w:r>
              <w:rPr>
                <w:rFonts w:ascii="宋体" w:hAnsi="宋体" w:cs="宋体" w:eastAsia="宋体" w:hint="default"/>
                <w:spacing w:val="60"/>
                <w:sz w:val="20"/>
                <w:szCs w:val="20"/>
              </w:rPr>
              <w:t> </w:t>
            </w:r>
            <w:r>
              <w:rPr>
                <w:rFonts w:ascii="宋体" w:hAnsi="宋体" w:cs="宋体" w:eastAsia="宋体" w:hint="default"/>
                <w:sz w:val="20"/>
                <w:szCs w:val="20"/>
              </w:rPr>
              <w:t>称</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主要经营地</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记账本位币</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选择依据</w:t>
            </w:r>
          </w:p>
        </w:tc>
      </w:tr>
      <w:tr>
        <w:trPr>
          <w:trHeight w:val="342" w:hRule="exact"/>
        </w:trPr>
        <w:tc>
          <w:tcPr>
            <w:tcW w:w="4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海能达通信（香港）有限公司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香港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港币</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所在国币种</w:t>
            </w:r>
          </w:p>
        </w:tc>
      </w:tr>
      <w:tr>
        <w:trPr>
          <w:trHeight w:val="654" w:hRule="exact"/>
        </w:trPr>
        <w:tc>
          <w:tcPr>
            <w:tcW w:w="4136"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51"/>
              <w:ind w:left="4" w:right="5"/>
              <w:jc w:val="left"/>
              <w:rPr>
                <w:rFonts w:ascii="Times New Roman" w:hAnsi="Times New Roman" w:cs="Times New Roman" w:eastAsia="Times New Roman" w:hint="default"/>
                <w:sz w:val="20"/>
                <w:szCs w:val="20"/>
              </w:rPr>
            </w:pPr>
            <w:r>
              <w:rPr>
                <w:rFonts w:ascii="Times New Roman"/>
                <w:sz w:val="20"/>
              </w:rPr>
              <w:t>HYT North America,Inc. / HYTERA</w:t>
            </w:r>
            <w:r>
              <w:rPr>
                <w:rFonts w:ascii="Times New Roman"/>
                <w:spacing w:val="47"/>
                <w:sz w:val="20"/>
              </w:rPr>
              <w:t> </w:t>
            </w:r>
            <w:r>
              <w:rPr>
                <w:rFonts w:ascii="Times New Roman"/>
                <w:sz w:val="20"/>
              </w:rPr>
              <w:t>AMERICA</w:t>
            </w:r>
            <w:r>
              <w:rPr>
                <w:rFonts w:ascii="Times New Roman"/>
                <w:w w:val="100"/>
                <w:sz w:val="20"/>
              </w:rPr>
              <w:t> </w:t>
            </w:r>
            <w:r>
              <w:rPr>
                <w:rFonts w:ascii="Times New Roman"/>
                <w:sz w:val="20"/>
              </w:rPr>
              <w:t>INCORPORATED</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美国</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美元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所在国币种</w:t>
            </w:r>
          </w:p>
        </w:tc>
      </w:tr>
      <w:tr>
        <w:trPr>
          <w:trHeight w:val="342" w:hRule="exact"/>
        </w:trPr>
        <w:tc>
          <w:tcPr>
            <w:tcW w:w="4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Hytera Mobilfunk</w:t>
            </w:r>
            <w:r>
              <w:rPr>
                <w:rFonts w:ascii="Times New Roman"/>
                <w:spacing w:val="-2"/>
                <w:sz w:val="20"/>
              </w:rPr>
              <w:t> </w:t>
            </w:r>
            <w:r>
              <w:rPr>
                <w:rFonts w:ascii="Times New Roman"/>
                <w:sz w:val="20"/>
              </w:rPr>
              <w:t>GmbH</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德国</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欧元</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所在国币种</w:t>
            </w:r>
          </w:p>
        </w:tc>
      </w:tr>
      <w:tr>
        <w:trPr>
          <w:trHeight w:val="342" w:hRule="exact"/>
        </w:trPr>
        <w:tc>
          <w:tcPr>
            <w:tcW w:w="4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Hytera Communications (UK)</w:t>
            </w:r>
            <w:r>
              <w:rPr>
                <w:rFonts w:ascii="Times New Roman" w:hAnsi="Times New Roman" w:cs="Times New Roman" w:eastAsia="Times New Roman" w:hint="default"/>
                <w:spacing w:val="-6"/>
                <w:sz w:val="20"/>
                <w:szCs w:val="20"/>
              </w:rPr>
              <w:t> </w:t>
            </w:r>
            <w:r>
              <w:rPr>
                <w:rFonts w:ascii="Times New Roman" w:hAnsi="Times New Roman" w:cs="Times New Roman" w:eastAsia="Times New Roman" w:hint="default"/>
                <w:sz w:val="20"/>
                <w:szCs w:val="20"/>
              </w:rPr>
              <w:t>Co.</w:t>
            </w:r>
            <w:r>
              <w:rPr>
                <w:rFonts w:ascii="宋体" w:hAnsi="宋体" w:cs="宋体" w:eastAsia="宋体" w:hint="default"/>
                <w:sz w:val="20"/>
                <w:szCs w:val="20"/>
              </w:rPr>
              <w:t>，</w:t>
            </w:r>
            <w:r>
              <w:rPr>
                <w:rFonts w:ascii="Times New Roman" w:hAnsi="Times New Roman" w:cs="Times New Roman" w:eastAsia="Times New Roman" w:hint="default"/>
                <w:sz w:val="20"/>
                <w:szCs w:val="20"/>
              </w:rPr>
              <w:t>Ltd</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英国</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英镑</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所在国币种</w:t>
            </w:r>
          </w:p>
        </w:tc>
      </w:tr>
      <w:tr>
        <w:trPr>
          <w:trHeight w:val="342" w:hRule="exact"/>
        </w:trPr>
        <w:tc>
          <w:tcPr>
            <w:tcW w:w="4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Hytera Communications (Australia)Pty</w:t>
            </w:r>
            <w:r>
              <w:rPr>
                <w:rFonts w:ascii="Times New Roman"/>
                <w:spacing w:val="-8"/>
                <w:sz w:val="20"/>
              </w:rPr>
              <w:t> </w:t>
            </w:r>
            <w:r>
              <w:rPr>
                <w:rFonts w:ascii="Times New Roman"/>
                <w:sz w:val="20"/>
              </w:rPr>
              <w:t>Ltd</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澳大利亚</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1"/>
              <w:jc w:val="center"/>
              <w:rPr>
                <w:rFonts w:ascii="宋体" w:hAnsi="宋体" w:cs="宋体" w:eastAsia="宋体" w:hint="default"/>
                <w:sz w:val="20"/>
                <w:szCs w:val="20"/>
              </w:rPr>
            </w:pPr>
            <w:r>
              <w:rPr>
                <w:rFonts w:ascii="宋体" w:hAnsi="宋体" w:cs="宋体" w:eastAsia="宋体" w:hint="default"/>
                <w:sz w:val="20"/>
                <w:szCs w:val="20"/>
              </w:rPr>
              <w:t>澳币</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所在国币种</w:t>
            </w:r>
          </w:p>
        </w:tc>
      </w:tr>
      <w:tr>
        <w:trPr>
          <w:trHeight w:val="343" w:hRule="exact"/>
        </w:trPr>
        <w:tc>
          <w:tcPr>
            <w:tcW w:w="4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left"/>
              <w:rPr>
                <w:rFonts w:ascii="Times New Roman" w:hAnsi="Times New Roman" w:cs="Times New Roman" w:eastAsia="Times New Roman" w:hint="default"/>
                <w:sz w:val="20"/>
                <w:szCs w:val="20"/>
              </w:rPr>
            </w:pPr>
            <w:r>
              <w:rPr>
                <w:rFonts w:ascii="Times New Roman"/>
                <w:sz w:val="20"/>
              </w:rPr>
              <w:t>Hytera Communications DO BRASIL</w:t>
            </w:r>
            <w:r>
              <w:rPr>
                <w:rFonts w:ascii="Times New Roman"/>
                <w:spacing w:val="-9"/>
                <w:sz w:val="20"/>
              </w:rPr>
              <w:t> </w:t>
            </w:r>
            <w:r>
              <w:rPr>
                <w:rFonts w:ascii="Times New Roman"/>
                <w:sz w:val="20"/>
              </w:rPr>
              <w:t>LTDA</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巴西</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雷亚尔</w:t>
            </w:r>
          </w:p>
        </w:tc>
        <w:tc>
          <w:tcPr>
            <w:tcW w:w="2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所在国币种</w:t>
            </w:r>
          </w:p>
        </w:tc>
      </w:tr>
    </w:tbl>
    <w:p>
      <w:pPr>
        <w:spacing w:line="240" w:lineRule="auto" w:before="2"/>
        <w:rPr>
          <w:rFonts w:ascii="宋体" w:hAnsi="宋体" w:cs="宋体" w:eastAsia="宋体" w:hint="default"/>
          <w:sz w:val="19"/>
          <w:szCs w:val="19"/>
        </w:rPr>
      </w:pPr>
    </w:p>
    <w:p>
      <w:pPr>
        <w:spacing w:line="487" w:lineRule="auto" w:before="35"/>
        <w:ind w:left="153" w:right="8329" w:firstLine="0"/>
        <w:jc w:val="left"/>
        <w:rPr>
          <w:rFonts w:ascii="宋体" w:hAnsi="宋体" w:cs="宋体" w:eastAsia="宋体" w:hint="default"/>
          <w:sz w:val="21"/>
          <w:szCs w:val="21"/>
        </w:rPr>
      </w:pPr>
      <w:bookmarkStart w:name="57、其他" w:id="351"/>
      <w:bookmarkEnd w:id="351"/>
      <w:r>
        <w:rPr/>
      </w:r>
      <w:r>
        <w:rPr>
          <w:rFonts w:ascii="Times New Roman" w:hAnsi="Times New Roman" w:cs="Times New Roman" w:eastAsia="Times New Roman" w:hint="default"/>
          <w:b/>
          <w:bCs/>
          <w:sz w:val="21"/>
          <w:szCs w:val="21"/>
        </w:rPr>
        <w:t>57</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52"/>
      <w:bookmarkEnd w:id="352"/>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53"/>
      <w:bookmarkEnd w:id="35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3"/>
        <w:spacing w:line="240" w:lineRule="auto" w:before="83"/>
        <w:ind w:left="153" w:right="1046"/>
        <w:jc w:val="left"/>
        <w:rPr>
          <w:b w:val="0"/>
          <w:bCs w:val="0"/>
        </w:rPr>
      </w:pPr>
      <w:bookmarkStart w:name="（1）本期发生的非同一控制下企业合并" w:id="354"/>
      <w:bookmarkEnd w:id="354"/>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62"/>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南京宙达通 信技术有限 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9,197,504.63</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1,661,538.46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48" w:right="0"/>
              <w:jc w:val="left"/>
              <w:rPr>
                <w:rFonts w:ascii="Times New Roman" w:hAnsi="Times New Roman" w:cs="Times New Roman" w:eastAsia="Times New Roman" w:hint="default"/>
                <w:sz w:val="18"/>
                <w:szCs w:val="18"/>
              </w:rPr>
            </w:pPr>
            <w:r>
              <w:rPr>
                <w:rFonts w:ascii="Times New Roman"/>
                <w:sz w:val="18"/>
              </w:rPr>
              <w:t>-35,467.96</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9"/>
              <w:jc w:val="both"/>
              <w:rPr>
                <w:rFonts w:ascii="宋体" w:hAnsi="宋体" w:cs="宋体" w:eastAsia="宋体" w:hint="default"/>
                <w:sz w:val="18"/>
                <w:szCs w:val="18"/>
              </w:rPr>
            </w:pPr>
            <w:r>
              <w:rPr>
                <w:rFonts w:ascii="宋体" w:hAnsi="宋体" w:cs="宋体" w:eastAsia="宋体" w:hint="default"/>
                <w:sz w:val="18"/>
                <w:szCs w:val="18"/>
              </w:rPr>
              <w:t>深圳市运联 通通信服务 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10,790,000.0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取得控制权</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12"/>
          <w:szCs w:val="12"/>
        </w:rPr>
      </w:pPr>
    </w:p>
    <w:p>
      <w:pPr>
        <w:pStyle w:val="BodyText"/>
        <w:spacing w:line="408" w:lineRule="auto" w:before="0"/>
        <w:ind w:right="1132" w:firstLine="420"/>
        <w:jc w:val="both"/>
      </w:pPr>
      <w:r>
        <w:rPr/>
        <w:t>①南京宙达通信技术有限公司</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3"/>
        </w:rPr>
        <w:t> </w:t>
      </w:r>
      <w:r>
        <w:rPr/>
        <w:t>日，公司第二届董事会第七次会议，审议通过了《关于 收购南京宙达通信技术有限公司</w:t>
      </w:r>
      <w:r>
        <w:rPr>
          <w:spacing w:val="-37"/>
        </w:rPr>
        <w:t> </w:t>
      </w:r>
      <w:r>
        <w:rPr>
          <w:rFonts w:ascii="宋体" w:hAnsi="宋体" w:cs="宋体" w:eastAsia="宋体" w:hint="default"/>
          <w:spacing w:val="-4"/>
        </w:rPr>
        <w:t>100%</w:t>
      </w:r>
      <w:r>
        <w:rPr>
          <w:spacing w:val="-4"/>
        </w:rPr>
        <w:t>股权的议案》，同意通过全资孙公司鹤壁市新元电子有限公司（以下</w:t>
      </w:r>
      <w:r>
        <w:rPr>
          <w:spacing w:val="-94"/>
        </w:rPr>
        <w:t> </w:t>
      </w:r>
      <w:r>
        <w:rPr>
          <w:spacing w:val="-94"/>
        </w:rPr>
      </w:r>
      <w:r>
        <w:rPr>
          <w:spacing w:val="-1"/>
        </w:rPr>
        <w:t>简称“新元电子”）收购南京宙达通信技术有限公司（以下简称“宙达通信”）</w:t>
      </w:r>
      <w:r>
        <w:rPr>
          <w:rFonts w:ascii="宋体" w:hAnsi="宋体" w:cs="宋体" w:eastAsia="宋体" w:hint="default"/>
          <w:spacing w:val="-1"/>
        </w:rPr>
        <w:t>100%</w:t>
      </w:r>
      <w:r>
        <w:rPr>
          <w:spacing w:val="-1"/>
        </w:rPr>
        <w:t>股权。本次股权收购</w:t>
      </w:r>
      <w:r>
        <w:rPr>
          <w:spacing w:val="-83"/>
        </w:rPr>
        <w:t> </w:t>
      </w:r>
      <w:r>
        <w:rPr>
          <w:spacing w:val="-83"/>
        </w:rPr>
      </w:r>
      <w:r>
        <w:rPr/>
        <w:t>价格以宙达通信</w:t>
      </w:r>
      <w:r>
        <w:rPr>
          <w:spacing w:val="-57"/>
        </w:rPr>
        <w:t> </w:t>
      </w:r>
      <w:r>
        <w:rPr>
          <w:rFonts w:ascii="宋体" w:hAnsi="宋体" w:cs="宋体" w:eastAsia="宋体" w:hint="default"/>
        </w:rPr>
        <w:t>2013</w:t>
      </w:r>
      <w:r>
        <w:rPr>
          <w:rFonts w:ascii="宋体" w:hAnsi="宋体" w:cs="宋体" w:eastAsia="宋体" w:hint="default"/>
          <w:spacing w:val="-58"/>
        </w:rPr>
        <w:t> </w:t>
      </w:r>
      <w:r>
        <w:rPr/>
        <w:t>年度经审计的财务报表及</w:t>
      </w:r>
      <w:r>
        <w:rPr>
          <w:spacing w:val="-57"/>
        </w:rPr>
        <w:t> </w:t>
      </w:r>
      <w:r>
        <w:rPr>
          <w:rFonts w:ascii="宋体" w:hAnsi="宋体" w:cs="宋体" w:eastAsia="宋体" w:hint="default"/>
        </w:rPr>
        <w:t>2014</w:t>
      </w:r>
      <w:r>
        <w:rPr>
          <w:rFonts w:ascii="宋体" w:hAnsi="宋体" w:cs="宋体" w:eastAsia="宋体" w:hint="default"/>
          <w:spacing w:val="-58"/>
        </w:rPr>
        <w:t> </w:t>
      </w:r>
      <w:r>
        <w:rPr/>
        <w:t>年</w:t>
      </w:r>
      <w:r>
        <w:rPr>
          <w:spacing w:val="-59"/>
        </w:rPr>
        <w:t> </w:t>
      </w:r>
      <w:r>
        <w:rPr>
          <w:rFonts w:ascii="宋体" w:hAnsi="宋体" w:cs="宋体" w:eastAsia="宋体" w:hint="default"/>
        </w:rPr>
        <w:t>1-2</w:t>
      </w:r>
      <w:r>
        <w:rPr>
          <w:rFonts w:ascii="宋体" w:hAnsi="宋体" w:cs="宋体" w:eastAsia="宋体" w:hint="default"/>
          <w:spacing w:val="-57"/>
        </w:rPr>
        <w:t> </w:t>
      </w:r>
      <w:r>
        <w:rPr/>
        <w:t>月的财务报表为作价参考依据，确定收购价格</w:t>
      </w:r>
    </w:p>
    <w:p>
      <w:pPr>
        <w:pStyle w:val="BodyText"/>
        <w:spacing w:line="240" w:lineRule="auto"/>
        <w:ind w:right="1046"/>
        <w:jc w:val="left"/>
      </w:pPr>
      <w:r>
        <w:rPr/>
        <w:t>为</w:t>
      </w:r>
      <w:r>
        <w:rPr>
          <w:spacing w:val="-53"/>
        </w:rPr>
        <w:t> </w:t>
      </w:r>
      <w:r>
        <w:rPr>
          <w:rFonts w:ascii="宋体" w:hAnsi="宋体" w:cs="宋体" w:eastAsia="宋体" w:hint="default"/>
        </w:rPr>
        <w:t>1000</w:t>
      </w:r>
      <w:r>
        <w:rPr>
          <w:rFonts w:ascii="宋体" w:hAnsi="宋体" w:cs="宋体" w:eastAsia="宋体" w:hint="default"/>
          <w:spacing w:val="-52"/>
        </w:rPr>
        <w:t> </w:t>
      </w:r>
      <w:r>
        <w:rPr/>
        <w:t>万</w:t>
      </w:r>
      <w:r>
        <w:rPr>
          <w:spacing w:val="-2"/>
        </w:rPr>
        <w:t>元</w:t>
      </w:r>
      <w:r>
        <w:rPr/>
        <w:t>人民币。</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2"/>
        </w:rPr>
        <w:t> </w:t>
      </w:r>
      <w:r>
        <w:rPr/>
        <w:t>月</w:t>
      </w:r>
      <w:r>
        <w:rPr>
          <w:spacing w:val="-54"/>
        </w:rPr>
        <w:t> </w:t>
      </w:r>
      <w:r>
        <w:rPr>
          <w:rFonts w:ascii="宋体" w:hAnsi="宋体" w:cs="宋体" w:eastAsia="宋体" w:hint="default"/>
        </w:rPr>
        <w:t>21</w:t>
      </w:r>
      <w:r>
        <w:rPr>
          <w:rFonts w:ascii="宋体" w:hAnsi="宋体" w:cs="宋体" w:eastAsia="宋体" w:hint="default"/>
          <w:spacing w:val="-53"/>
        </w:rPr>
        <w:t> </w:t>
      </w:r>
      <w:r>
        <w:rPr/>
        <w:t>日，公司与宙达通信原</w:t>
      </w:r>
      <w:r>
        <w:rPr>
          <w:spacing w:val="-52"/>
        </w:rPr>
        <w:t> </w:t>
      </w:r>
      <w:r>
        <w:rPr>
          <w:rFonts w:ascii="宋体" w:hAnsi="宋体" w:cs="宋体" w:eastAsia="宋体" w:hint="default"/>
        </w:rPr>
        <w:t>4</w:t>
      </w:r>
      <w:r>
        <w:rPr>
          <w:rFonts w:ascii="宋体" w:hAnsi="宋体" w:cs="宋体" w:eastAsia="宋体" w:hint="default"/>
          <w:spacing w:val="-52"/>
        </w:rPr>
        <w:t> </w:t>
      </w:r>
      <w:r>
        <w:rPr/>
        <w:t>位自然人</w:t>
      </w:r>
      <w:r>
        <w:rPr>
          <w:spacing w:val="-2"/>
        </w:rPr>
        <w:t>股</w:t>
      </w:r>
      <w:r>
        <w:rPr/>
        <w:t>东签订了《股权转让合同</w:t>
      </w:r>
      <w:r>
        <w:rPr>
          <w:spacing w:val="-105"/>
        </w:rPr>
        <w:t>》</w:t>
      </w:r>
      <w:r>
        <w:rPr/>
        <w:t>，约</w:t>
      </w:r>
    </w:p>
    <w:p>
      <w:pPr>
        <w:spacing w:line="240" w:lineRule="auto" w:before="10"/>
        <w:rPr>
          <w:rFonts w:ascii="宋体" w:hAnsi="宋体" w:cs="宋体" w:eastAsia="宋体" w:hint="default"/>
          <w:sz w:val="14"/>
          <w:szCs w:val="14"/>
        </w:rPr>
      </w:pPr>
    </w:p>
    <w:p>
      <w:pPr>
        <w:pStyle w:val="BodyText"/>
        <w:spacing w:line="408" w:lineRule="auto" w:before="0"/>
        <w:ind w:right="1046"/>
        <w:jc w:val="left"/>
      </w:pPr>
      <w:r>
        <w:rPr/>
        <w:t>定公司以人民币</w:t>
      </w:r>
      <w:r>
        <w:rPr>
          <w:spacing w:val="-53"/>
        </w:rPr>
        <w:t> </w:t>
      </w:r>
      <w:r>
        <w:rPr>
          <w:rFonts w:ascii="宋体" w:hAnsi="宋体" w:cs="宋体" w:eastAsia="宋体" w:hint="default"/>
        </w:rPr>
        <w:t>1000</w:t>
      </w:r>
      <w:r>
        <w:rPr>
          <w:rFonts w:ascii="宋体" w:hAnsi="宋体" w:cs="宋体" w:eastAsia="宋体" w:hint="default"/>
          <w:spacing w:val="-54"/>
        </w:rPr>
        <w:t> </w:t>
      </w:r>
      <w:r>
        <w:rPr/>
        <w:t>万元收购宙达通信</w:t>
      </w:r>
      <w:r>
        <w:rPr>
          <w:spacing w:val="-54"/>
        </w:rPr>
        <w:t> </w:t>
      </w:r>
      <w:r>
        <w:rPr>
          <w:rFonts w:ascii="宋体" w:hAnsi="宋体" w:cs="宋体" w:eastAsia="宋体" w:hint="default"/>
        </w:rPr>
        <w:t>100%</w:t>
      </w:r>
      <w:r>
        <w:rPr/>
        <w:t>股权。</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5</w:t>
      </w:r>
      <w:r>
        <w:rPr>
          <w:rFonts w:ascii="宋体" w:hAnsi="宋体" w:cs="宋体" w:eastAsia="宋体" w:hint="default"/>
          <w:spacing w:val="-53"/>
        </w:rPr>
        <w:t> </w:t>
      </w:r>
      <w:r>
        <w:rPr/>
        <w:t>月</w:t>
      </w:r>
      <w:r>
        <w:rPr>
          <w:spacing w:val="-55"/>
        </w:rPr>
        <w:t> </w:t>
      </w:r>
      <w:r>
        <w:rPr>
          <w:rFonts w:ascii="宋体" w:hAnsi="宋体" w:cs="宋体" w:eastAsia="宋体" w:hint="default"/>
        </w:rPr>
        <w:t>23</w:t>
      </w:r>
      <w:r>
        <w:rPr>
          <w:rFonts w:ascii="宋体" w:hAnsi="宋体" w:cs="宋体" w:eastAsia="宋体" w:hint="default"/>
          <w:spacing w:val="-53"/>
        </w:rPr>
        <w:t> </w:t>
      </w:r>
      <w:r>
        <w:rPr/>
        <w:t>日，公司就上述收购事宜办结股权移 </w:t>
      </w:r>
      <w:r>
        <w:rPr>
          <w:spacing w:val="-1"/>
        </w:rPr>
        <w:t>交手续，并完成了相应的工商登记变更手续，领取了股权变更后的营业执照。至此，公司直接持有宙达通</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46"/>
        <w:jc w:val="left"/>
      </w:pPr>
      <w:r>
        <w:rPr/>
        <w:t>信</w:t>
      </w:r>
      <w:r>
        <w:rPr>
          <w:spacing w:val="-54"/>
        </w:rPr>
        <w:t> </w:t>
      </w:r>
      <w:r>
        <w:rPr>
          <w:rFonts w:ascii="宋体" w:hAnsi="宋体" w:cs="宋体" w:eastAsia="宋体" w:hint="default"/>
        </w:rPr>
        <w:t>100%</w:t>
      </w:r>
      <w:r>
        <w:rPr/>
        <w:t>股权，宙达通信正式纳入公司的合并范围。</w:t>
      </w:r>
    </w:p>
    <w:p>
      <w:pPr>
        <w:spacing w:line="240" w:lineRule="auto" w:before="10"/>
        <w:rPr>
          <w:rFonts w:ascii="宋体" w:hAnsi="宋体" w:cs="宋体" w:eastAsia="宋体" w:hint="default"/>
          <w:sz w:val="14"/>
          <w:szCs w:val="14"/>
        </w:rPr>
      </w:pPr>
    </w:p>
    <w:p>
      <w:pPr>
        <w:pStyle w:val="BodyText"/>
        <w:spacing w:line="408" w:lineRule="auto" w:before="0"/>
        <w:ind w:right="1123" w:firstLine="420"/>
        <w:jc w:val="left"/>
      </w:pPr>
      <w:r>
        <w:rPr/>
        <w:t>②</w:t>
      </w:r>
      <w:r>
        <w:rPr>
          <w:spacing w:val="9"/>
        </w:rPr>
        <w:t> </w:t>
      </w:r>
      <w:r>
        <w:rPr>
          <w:rFonts w:ascii="宋体" w:hAnsi="宋体" w:cs="宋体" w:eastAsia="宋体" w:hint="default"/>
        </w:rPr>
        <w:t>2014</w:t>
      </w:r>
      <w:r>
        <w:rPr>
          <w:rFonts w:ascii="宋体" w:hAnsi="宋体" w:cs="宋体" w:eastAsia="宋体" w:hint="default"/>
          <w:spacing w:val="-49"/>
        </w:rPr>
        <w:t> </w:t>
      </w:r>
      <w:r>
        <w:rPr/>
        <w:t>年</w:t>
      </w:r>
      <w:r>
        <w:rPr>
          <w:spacing w:val="-51"/>
        </w:rPr>
        <w:t> </w:t>
      </w:r>
      <w:r>
        <w:rPr>
          <w:rFonts w:ascii="宋体" w:hAnsi="宋体" w:cs="宋体" w:eastAsia="宋体" w:hint="default"/>
        </w:rPr>
        <w:t>12</w:t>
      </w:r>
      <w:r>
        <w:rPr>
          <w:rFonts w:ascii="宋体" w:hAnsi="宋体" w:cs="宋体" w:eastAsia="宋体" w:hint="default"/>
          <w:spacing w:val="-48"/>
        </w:rPr>
        <w:t> </w:t>
      </w:r>
      <w:r>
        <w:rPr/>
        <w:t>月</w:t>
      </w:r>
      <w:r>
        <w:rPr>
          <w:spacing w:val="-51"/>
        </w:rPr>
        <w:t> </w:t>
      </w:r>
      <w:r>
        <w:rPr>
          <w:rFonts w:ascii="宋体" w:hAnsi="宋体" w:cs="宋体" w:eastAsia="宋体" w:hint="default"/>
        </w:rPr>
        <w:t>2</w:t>
      </w:r>
      <w:r>
        <w:rPr>
          <w:rFonts w:ascii="宋体" w:hAnsi="宋体" w:cs="宋体" w:eastAsia="宋体" w:hint="default"/>
          <w:spacing w:val="-48"/>
        </w:rPr>
        <w:t> </w:t>
      </w:r>
      <w:r>
        <w:rPr>
          <w:spacing w:val="-3"/>
        </w:rPr>
        <w:t>日，公司召开第二届董事会第十四次会议审议通过了《关于收购深圳市运联通通信</w:t>
      </w:r>
      <w:r>
        <w:rPr/>
        <w:t> 服务有限公司</w:t>
      </w:r>
      <w:r>
        <w:rPr>
          <w:spacing w:val="-42"/>
        </w:rPr>
        <w:t> </w:t>
      </w:r>
      <w:r>
        <w:rPr>
          <w:rFonts w:ascii="宋体" w:hAnsi="宋体" w:cs="宋体" w:eastAsia="宋体" w:hint="default"/>
          <w:spacing w:val="-3"/>
        </w:rPr>
        <w:t>100%</w:t>
      </w:r>
      <w:r>
        <w:rPr>
          <w:spacing w:val="-3"/>
        </w:rPr>
        <w:t>股权的议案》，同意公司使用自有资金收购深圳市运联通通信服务有限公司（以下简称</w:t>
      </w:r>
      <w:r>
        <w:rPr>
          <w:spacing w:val="-98"/>
        </w:rPr>
        <w:t> </w:t>
      </w:r>
      <w:r>
        <w:rPr>
          <w:spacing w:val="-98"/>
        </w:rPr>
      </w:r>
      <w:r>
        <w:rPr>
          <w:spacing w:val="-3"/>
        </w:rPr>
        <w:t>“运联通”）</w:t>
      </w:r>
      <w:r>
        <w:rPr>
          <w:rFonts w:ascii="宋体" w:hAnsi="宋体" w:cs="宋体" w:eastAsia="宋体" w:hint="default"/>
          <w:spacing w:val="-3"/>
        </w:rPr>
        <w:t>100%</w:t>
      </w:r>
      <w:r>
        <w:rPr>
          <w:spacing w:val="-3"/>
        </w:rPr>
        <w:t>股权。</w:t>
      </w:r>
      <w:r>
        <w:rPr>
          <w:rFonts w:ascii="宋体" w:hAnsi="宋体" w:cs="宋体" w:eastAsia="宋体" w:hint="default"/>
          <w:spacing w:val="-3"/>
        </w:rPr>
        <w:t>2014</w:t>
      </w:r>
      <w:r>
        <w:rPr>
          <w:rFonts w:ascii="宋体" w:hAnsi="宋体" w:cs="宋体" w:eastAsia="宋体" w:hint="default"/>
          <w:spacing w:val="-59"/>
        </w:rPr>
        <w:t> </w:t>
      </w:r>
      <w:r>
        <w:rPr/>
        <w:t>年</w:t>
      </w:r>
      <w:r>
        <w:rPr>
          <w:spacing w:val="-59"/>
        </w:rPr>
        <w:t> </w:t>
      </w:r>
      <w:r>
        <w:rPr>
          <w:rFonts w:ascii="宋体" w:hAnsi="宋体" w:cs="宋体" w:eastAsia="宋体" w:hint="default"/>
        </w:rPr>
        <w:t>12</w:t>
      </w:r>
      <w:r>
        <w:rPr>
          <w:rFonts w:ascii="宋体" w:hAnsi="宋体" w:cs="宋体" w:eastAsia="宋体" w:hint="default"/>
          <w:spacing w:val="-59"/>
        </w:rPr>
        <w:t> </w:t>
      </w:r>
      <w:r>
        <w:rPr/>
        <w:t>月</w:t>
      </w:r>
      <w:r>
        <w:rPr>
          <w:spacing w:val="-59"/>
        </w:rPr>
        <w:t> </w:t>
      </w:r>
      <w:r>
        <w:rPr>
          <w:rFonts w:ascii="宋体" w:hAnsi="宋体" w:cs="宋体" w:eastAsia="宋体" w:hint="default"/>
        </w:rPr>
        <w:t>10</w:t>
      </w:r>
      <w:r>
        <w:rPr>
          <w:rFonts w:ascii="宋体" w:hAnsi="宋体" w:cs="宋体" w:eastAsia="宋体" w:hint="default"/>
          <w:spacing w:val="-58"/>
        </w:rPr>
        <w:t> </w:t>
      </w:r>
      <w:r>
        <w:rPr/>
        <w:t>日，经深圳联合产权交易所公告确认，深圳市对外经济贸易投资 有限公司持有的运联通</w:t>
      </w:r>
      <w:r>
        <w:rPr>
          <w:spacing w:val="-54"/>
        </w:rPr>
        <w:t> </w:t>
      </w:r>
      <w:r>
        <w:rPr>
          <w:rFonts w:ascii="宋体" w:hAnsi="宋体" w:cs="宋体" w:eastAsia="宋体" w:hint="default"/>
        </w:rPr>
        <w:t>100%</w:t>
      </w:r>
      <w:r>
        <w:rPr/>
        <w:t>股权最终以人民币</w:t>
      </w:r>
      <w:r>
        <w:rPr>
          <w:spacing w:val="-54"/>
        </w:rPr>
        <w:t> </w:t>
      </w:r>
      <w:r>
        <w:rPr>
          <w:rFonts w:ascii="宋体" w:hAnsi="宋体" w:cs="宋体" w:eastAsia="宋体" w:hint="default"/>
        </w:rPr>
        <w:t>1079</w:t>
      </w:r>
      <w:r>
        <w:rPr>
          <w:rFonts w:ascii="宋体" w:hAnsi="宋体" w:cs="宋体" w:eastAsia="宋体" w:hint="default"/>
          <w:spacing w:val="-55"/>
        </w:rPr>
        <w:t> </w:t>
      </w:r>
      <w:r>
        <w:rPr/>
        <w:t>万元的价格协议转让给海能达通信股份有限公司。公 司已完成股权转让事宜的办理，并于</w:t>
      </w:r>
      <w:r>
        <w:rPr>
          <w:spacing w:val="-53"/>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日取得了深圳市市场监督管理局颁发的《企业法人 </w:t>
      </w:r>
      <w:r>
        <w:rPr>
          <w:spacing w:val="-6"/>
        </w:rPr>
        <w:t>营业执照》。至此，公司直接持有运联通</w:t>
      </w:r>
      <w:r>
        <w:rPr>
          <w:spacing w:val="-29"/>
        </w:rPr>
        <w:t> </w:t>
      </w:r>
      <w:r>
        <w:rPr>
          <w:rFonts w:ascii="宋体" w:hAnsi="宋体" w:cs="宋体" w:eastAsia="宋体" w:hint="default"/>
          <w:spacing w:val="-1"/>
        </w:rPr>
        <w:t>100%</w:t>
      </w:r>
      <w:r>
        <w:rPr>
          <w:spacing w:val="-1"/>
        </w:rPr>
        <w:t>股权，运联通正式成为我公司全资子公司。</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2）合并成本及商誉" w:id="355"/>
      <w:bookmarkEnd w:id="355"/>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70"/>
        <w:gridCol w:w="2836"/>
        <w:gridCol w:w="2409"/>
      </w:tblGrid>
      <w:tr>
        <w:trPr>
          <w:trHeight w:val="65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60"/>
                <w:sz w:val="20"/>
                <w:szCs w:val="20"/>
              </w:rPr>
              <w:t> </w:t>
            </w:r>
            <w:r>
              <w:rPr>
                <w:rFonts w:ascii="宋体" w:hAnsi="宋体" w:cs="宋体" w:eastAsia="宋体" w:hint="default"/>
                <w:sz w:val="20"/>
                <w:szCs w:val="20"/>
              </w:rPr>
              <w:t>目</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213" w:right="0"/>
              <w:jc w:val="left"/>
              <w:rPr>
                <w:rFonts w:ascii="宋体" w:hAnsi="宋体" w:cs="宋体" w:eastAsia="宋体" w:hint="default"/>
                <w:sz w:val="20"/>
                <w:szCs w:val="20"/>
              </w:rPr>
            </w:pPr>
            <w:r>
              <w:rPr>
                <w:rFonts w:ascii="宋体" w:hAnsi="宋体" w:cs="宋体" w:eastAsia="宋体" w:hint="default"/>
                <w:sz w:val="20"/>
                <w:szCs w:val="20"/>
              </w:rPr>
              <w:t>南京宙达通信技术有限公司</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899" w:right="96" w:hanging="800"/>
              <w:jc w:val="left"/>
              <w:rPr>
                <w:rFonts w:ascii="宋体" w:hAnsi="宋体" w:cs="宋体" w:eastAsia="宋体" w:hint="default"/>
                <w:sz w:val="20"/>
                <w:szCs w:val="20"/>
              </w:rPr>
            </w:pPr>
            <w:r>
              <w:rPr>
                <w:rFonts w:ascii="宋体" w:hAnsi="宋体" w:cs="宋体" w:eastAsia="宋体" w:hint="default"/>
                <w:sz w:val="20"/>
                <w:szCs w:val="20"/>
              </w:rPr>
              <w:t>深圳市运联通通信服务有</w:t>
            </w:r>
            <w:r>
              <w:rPr>
                <w:rFonts w:ascii="宋体" w:hAnsi="宋体" w:cs="宋体" w:eastAsia="宋体" w:hint="default"/>
                <w:w w:val="100"/>
                <w:sz w:val="20"/>
                <w:szCs w:val="20"/>
              </w:rPr>
              <w:t> </w:t>
            </w:r>
            <w:r>
              <w:rPr>
                <w:rFonts w:ascii="宋体" w:hAnsi="宋体" w:cs="宋体" w:eastAsia="宋体" w:hint="default"/>
                <w:sz w:val="20"/>
                <w:szCs w:val="20"/>
              </w:rPr>
              <w:t>限公司</w:t>
            </w:r>
          </w:p>
        </w:tc>
      </w:tr>
      <w:tr>
        <w:trPr>
          <w:trHeight w:val="34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合并成本</w:t>
            </w:r>
          </w:p>
        </w:tc>
        <w:tc>
          <w:tcPr>
            <w:tcW w:w="2836" w:type="dxa"/>
            <w:tcBorders>
              <w:top w:val="single" w:sz="4" w:space="0" w:color="000000"/>
              <w:left w:val="single" w:sz="4" w:space="0" w:color="000000"/>
              <w:bottom w:val="single" w:sz="4" w:space="0" w:color="000000"/>
              <w:right w:val="single" w:sz="4" w:space="0" w:color="000000"/>
            </w:tcBorders>
          </w:tcPr>
          <w:p>
            <w:pPr/>
          </w:p>
        </w:tc>
        <w:tc>
          <w:tcPr>
            <w:tcW w:w="240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现金</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9,197,504.63</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10,790,000.00</w:t>
            </w:r>
          </w:p>
        </w:tc>
      </w:tr>
      <w:tr>
        <w:trPr>
          <w:trHeight w:val="34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其他</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合并成本合计</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9,197,504.63</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10,790,000.00</w:t>
            </w:r>
          </w:p>
        </w:tc>
      </w:tr>
      <w:tr>
        <w:trPr>
          <w:trHeight w:val="342"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减：取得的可辨认净资产公允价值份额</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1,128,955.68</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8,772,157.97</w:t>
            </w:r>
          </w:p>
        </w:tc>
      </w:tr>
      <w:tr>
        <w:trPr>
          <w:trHeight w:val="654"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71" w:lineRule="auto" w:before="5"/>
              <w:ind w:left="4" w:right="97"/>
              <w:jc w:val="left"/>
              <w:rPr>
                <w:rFonts w:ascii="宋体" w:hAnsi="宋体" w:cs="宋体" w:eastAsia="宋体" w:hint="default"/>
                <w:sz w:val="20"/>
                <w:szCs w:val="20"/>
              </w:rPr>
            </w:pPr>
            <w:r>
              <w:rPr>
                <w:rFonts w:ascii="宋体" w:hAnsi="宋体" w:cs="宋体" w:eastAsia="宋体" w:hint="default"/>
                <w:sz w:val="20"/>
                <w:szCs w:val="20"/>
              </w:rPr>
              <w:t>商誉</w:t>
            </w:r>
            <w:r>
              <w:rPr>
                <w:rFonts w:ascii="Times New Roman" w:hAnsi="Times New Roman" w:cs="Times New Roman" w:eastAsia="Times New Roman" w:hint="default"/>
                <w:sz w:val="20"/>
                <w:szCs w:val="20"/>
              </w:rPr>
              <w:t>/</w:t>
            </w:r>
            <w:r>
              <w:rPr>
                <w:rFonts w:ascii="宋体" w:hAnsi="宋体" w:cs="宋体" w:eastAsia="宋体" w:hint="default"/>
                <w:sz w:val="20"/>
                <w:szCs w:val="20"/>
              </w:rPr>
              <w:t>合并成本小于取得的可辨认净资产公允</w:t>
            </w:r>
            <w:r>
              <w:rPr>
                <w:rFonts w:ascii="宋体" w:hAnsi="宋体" w:cs="宋体" w:eastAsia="宋体" w:hint="default"/>
                <w:w w:val="100"/>
                <w:sz w:val="20"/>
                <w:szCs w:val="20"/>
              </w:rPr>
              <w:t> </w:t>
            </w:r>
            <w:r>
              <w:rPr>
                <w:rFonts w:ascii="宋体" w:hAnsi="宋体" w:cs="宋体" w:eastAsia="宋体" w:hint="default"/>
                <w:sz w:val="20"/>
                <w:szCs w:val="20"/>
              </w:rPr>
              <w:t>价值份额的金额</w:t>
            </w:r>
          </w:p>
        </w:tc>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8,068,548.95</w:t>
            </w:r>
          </w:p>
        </w:tc>
        <w:tc>
          <w:tcPr>
            <w:tcW w:w="24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2,017,842.03</w:t>
            </w:r>
          </w:p>
        </w:tc>
      </w:tr>
    </w:tbl>
    <w:p>
      <w:pPr>
        <w:spacing w:line="240" w:lineRule="auto" w:before="2"/>
        <w:rPr>
          <w:rFonts w:ascii="宋体" w:hAnsi="宋体" w:cs="宋体" w:eastAsia="宋体" w:hint="default"/>
          <w:b/>
          <w:bCs/>
          <w:sz w:val="19"/>
          <w:szCs w:val="19"/>
        </w:rPr>
      </w:pPr>
    </w:p>
    <w:p>
      <w:pPr>
        <w:pStyle w:val="Heading3"/>
        <w:spacing w:line="240" w:lineRule="auto" w:before="35"/>
        <w:ind w:right="1046"/>
        <w:jc w:val="left"/>
        <w:rPr>
          <w:b w:val="0"/>
          <w:bCs w:val="0"/>
        </w:rPr>
      </w:pPr>
      <w:bookmarkStart w:name="（3）被购买方于购买日可辨认资产、负债" w:id="356"/>
      <w:bookmarkEnd w:id="356"/>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85"/>
        <w:gridCol w:w="1844"/>
        <w:gridCol w:w="1843"/>
        <w:gridCol w:w="1701"/>
        <w:gridCol w:w="1842"/>
      </w:tblGrid>
      <w:tr>
        <w:trPr>
          <w:trHeight w:val="342"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0"/>
                <w:szCs w:val="20"/>
              </w:rPr>
            </w:pPr>
            <w:r>
              <w:rPr>
                <w:rFonts w:ascii="宋体" w:hAnsi="宋体" w:cs="宋体" w:eastAsia="宋体" w:hint="default"/>
                <w:sz w:val="20"/>
                <w:szCs w:val="20"/>
              </w:rPr>
              <w:t>项</w:t>
            </w:r>
            <w:r>
              <w:rPr>
                <w:rFonts w:ascii="宋体" w:hAnsi="宋体" w:cs="宋体" w:eastAsia="宋体" w:hint="default"/>
                <w:spacing w:val="60"/>
                <w:sz w:val="20"/>
                <w:szCs w:val="20"/>
              </w:rPr>
              <w:t> </w:t>
            </w:r>
            <w:r>
              <w:rPr>
                <w:rFonts w:ascii="宋体" w:hAnsi="宋体" w:cs="宋体" w:eastAsia="宋体" w:hint="default"/>
                <w:sz w:val="20"/>
                <w:szCs w:val="20"/>
              </w:rPr>
              <w:t>目</w:t>
            </w:r>
          </w:p>
        </w:tc>
        <w:tc>
          <w:tcPr>
            <w:tcW w:w="36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637" w:right="0"/>
              <w:jc w:val="left"/>
              <w:rPr>
                <w:rFonts w:ascii="宋体" w:hAnsi="宋体" w:cs="宋体" w:eastAsia="宋体" w:hint="default"/>
                <w:sz w:val="20"/>
                <w:szCs w:val="20"/>
              </w:rPr>
            </w:pPr>
            <w:r>
              <w:rPr>
                <w:rFonts w:ascii="宋体" w:hAnsi="宋体" w:cs="宋体" w:eastAsia="宋体" w:hint="default"/>
                <w:sz w:val="20"/>
                <w:szCs w:val="20"/>
              </w:rPr>
              <w:t>南京宙达通信技术有限公司</w:t>
            </w:r>
          </w:p>
        </w:tc>
        <w:tc>
          <w:tcPr>
            <w:tcW w:w="354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365" w:right="0"/>
              <w:jc w:val="left"/>
              <w:rPr>
                <w:rFonts w:ascii="宋体" w:hAnsi="宋体" w:cs="宋体" w:eastAsia="宋体" w:hint="default"/>
                <w:sz w:val="20"/>
                <w:szCs w:val="20"/>
              </w:rPr>
            </w:pPr>
            <w:r>
              <w:rPr>
                <w:rFonts w:ascii="宋体" w:hAnsi="宋体" w:cs="宋体" w:eastAsia="宋体" w:hint="default"/>
                <w:sz w:val="20"/>
                <w:szCs w:val="20"/>
              </w:rPr>
              <w:t>深圳市运联通通信服务有限公司</w:t>
            </w:r>
          </w:p>
        </w:tc>
      </w:tr>
      <w:tr>
        <w:trPr>
          <w:trHeight w:val="654" w:hRule="exact"/>
        </w:trPr>
        <w:tc>
          <w:tcPr>
            <w:tcW w:w="1985" w:type="dxa"/>
            <w:vMerge/>
            <w:tcBorders>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516" w:right="514" w:firstLine="99"/>
              <w:jc w:val="left"/>
              <w:rPr>
                <w:rFonts w:ascii="宋体" w:hAnsi="宋体" w:cs="宋体" w:eastAsia="宋体" w:hint="default"/>
                <w:sz w:val="20"/>
                <w:szCs w:val="20"/>
              </w:rPr>
            </w:pPr>
            <w:r>
              <w:rPr>
                <w:rFonts w:ascii="宋体" w:hAnsi="宋体" w:cs="宋体" w:eastAsia="宋体" w:hint="default"/>
                <w:sz w:val="20"/>
                <w:szCs w:val="20"/>
              </w:rPr>
              <w:t>购买日</w:t>
            </w:r>
            <w:r>
              <w:rPr>
                <w:rFonts w:ascii="宋体" w:hAnsi="宋体" w:cs="宋体" w:eastAsia="宋体" w:hint="default"/>
                <w:w w:val="100"/>
                <w:sz w:val="20"/>
                <w:szCs w:val="20"/>
              </w:rPr>
              <w:t> </w:t>
            </w:r>
            <w:r>
              <w:rPr>
                <w:rFonts w:ascii="宋体" w:hAnsi="宋体" w:cs="宋体" w:eastAsia="宋体" w:hint="default"/>
                <w:sz w:val="20"/>
                <w:szCs w:val="20"/>
              </w:rPr>
              <w:t>公允价值</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516" w:right="515" w:firstLine="99"/>
              <w:jc w:val="left"/>
              <w:rPr>
                <w:rFonts w:ascii="宋体" w:hAnsi="宋体" w:cs="宋体" w:eastAsia="宋体" w:hint="default"/>
                <w:sz w:val="20"/>
                <w:szCs w:val="20"/>
              </w:rPr>
            </w:pPr>
            <w:r>
              <w:rPr>
                <w:rFonts w:ascii="宋体" w:hAnsi="宋体" w:cs="宋体" w:eastAsia="宋体" w:hint="default"/>
                <w:sz w:val="20"/>
                <w:szCs w:val="20"/>
              </w:rPr>
              <w:t>购买日</w:t>
            </w:r>
            <w:r>
              <w:rPr>
                <w:rFonts w:ascii="宋体" w:hAnsi="宋体" w:cs="宋体" w:eastAsia="宋体" w:hint="default"/>
                <w:w w:val="100"/>
                <w:sz w:val="20"/>
                <w:szCs w:val="20"/>
              </w:rPr>
              <w:t> </w:t>
            </w:r>
            <w:r>
              <w:rPr>
                <w:rFonts w:ascii="宋体" w:hAnsi="宋体" w:cs="宋体" w:eastAsia="宋体" w:hint="default"/>
                <w:sz w:val="20"/>
                <w:szCs w:val="20"/>
              </w:rPr>
              <w:t>账面价值</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445" w:right="442" w:firstLine="99"/>
              <w:jc w:val="left"/>
              <w:rPr>
                <w:rFonts w:ascii="宋体" w:hAnsi="宋体" w:cs="宋体" w:eastAsia="宋体" w:hint="default"/>
                <w:sz w:val="20"/>
                <w:szCs w:val="20"/>
              </w:rPr>
            </w:pPr>
            <w:r>
              <w:rPr>
                <w:rFonts w:ascii="宋体" w:hAnsi="宋体" w:cs="宋体" w:eastAsia="宋体" w:hint="default"/>
                <w:sz w:val="20"/>
                <w:szCs w:val="20"/>
              </w:rPr>
              <w:t>购买日</w:t>
            </w:r>
            <w:r>
              <w:rPr>
                <w:rFonts w:ascii="宋体" w:hAnsi="宋体" w:cs="宋体" w:eastAsia="宋体" w:hint="default"/>
                <w:w w:val="100"/>
                <w:sz w:val="20"/>
                <w:szCs w:val="20"/>
              </w:rPr>
              <w:t> </w:t>
            </w:r>
            <w:r>
              <w:rPr>
                <w:rFonts w:ascii="宋体" w:hAnsi="宋体" w:cs="宋体" w:eastAsia="宋体" w:hint="default"/>
                <w:sz w:val="20"/>
                <w:szCs w:val="20"/>
              </w:rPr>
              <w:t>公允价值</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5"/>
              <w:ind w:left="515" w:right="512" w:firstLine="100"/>
              <w:jc w:val="left"/>
              <w:rPr>
                <w:rFonts w:ascii="宋体" w:hAnsi="宋体" w:cs="宋体" w:eastAsia="宋体" w:hint="default"/>
                <w:sz w:val="20"/>
                <w:szCs w:val="20"/>
              </w:rPr>
            </w:pPr>
            <w:r>
              <w:rPr>
                <w:rFonts w:ascii="宋体" w:hAnsi="宋体" w:cs="宋体" w:eastAsia="宋体" w:hint="default"/>
                <w:sz w:val="20"/>
                <w:szCs w:val="20"/>
              </w:rPr>
              <w:t>购买日</w:t>
            </w:r>
            <w:r>
              <w:rPr>
                <w:rFonts w:ascii="宋体" w:hAnsi="宋体" w:cs="宋体" w:eastAsia="宋体" w:hint="default"/>
                <w:w w:val="100"/>
                <w:sz w:val="20"/>
                <w:szCs w:val="20"/>
              </w:rPr>
              <w:t> </w:t>
            </w:r>
            <w:r>
              <w:rPr>
                <w:rFonts w:ascii="宋体" w:hAnsi="宋体" w:cs="宋体" w:eastAsia="宋体" w:hint="default"/>
                <w:sz w:val="20"/>
                <w:szCs w:val="20"/>
              </w:rPr>
              <w:t>账面价值</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资产：</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746,138.63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7" w:right="0"/>
              <w:jc w:val="left"/>
              <w:rPr>
                <w:rFonts w:ascii="Times New Roman" w:hAnsi="Times New Roman" w:cs="Times New Roman" w:eastAsia="Times New Roman" w:hint="default"/>
                <w:sz w:val="20"/>
                <w:szCs w:val="20"/>
              </w:rPr>
            </w:pPr>
            <w:r>
              <w:rPr>
                <w:rFonts w:ascii="Times New Roman"/>
                <w:sz w:val="20"/>
              </w:rPr>
              <w:t>746,138.63</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6,069,891.05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6,069,891.05</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应收款项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1,208,934.65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7" w:right="0"/>
              <w:jc w:val="left"/>
              <w:rPr>
                <w:rFonts w:ascii="Times New Roman" w:hAnsi="Times New Roman" w:cs="Times New Roman" w:eastAsia="Times New Roman" w:hint="default"/>
                <w:sz w:val="20"/>
                <w:szCs w:val="20"/>
              </w:rPr>
            </w:pPr>
            <w:r>
              <w:rPr>
                <w:rFonts w:ascii="Times New Roman"/>
                <w:sz w:val="20"/>
              </w:rPr>
              <w:t>1,208,934.65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315,881.57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315,881.57</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存货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836,972.49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7" w:right="0"/>
              <w:jc w:val="left"/>
              <w:rPr>
                <w:rFonts w:ascii="Times New Roman" w:hAnsi="Times New Roman" w:cs="Times New Roman" w:eastAsia="Times New Roman" w:hint="default"/>
                <w:sz w:val="20"/>
                <w:szCs w:val="20"/>
              </w:rPr>
            </w:pPr>
            <w:r>
              <w:rPr>
                <w:rFonts w:ascii="Times New Roman"/>
                <w:sz w:val="20"/>
              </w:rPr>
              <w:t>836,972.49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935,914.37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935,914.37</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423,719.29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7" w:right="0"/>
              <w:jc w:val="left"/>
              <w:rPr>
                <w:rFonts w:ascii="Times New Roman" w:hAnsi="Times New Roman" w:cs="Times New Roman" w:eastAsia="Times New Roman" w:hint="default"/>
                <w:sz w:val="20"/>
                <w:szCs w:val="20"/>
              </w:rPr>
            </w:pPr>
            <w:r>
              <w:rPr>
                <w:rFonts w:ascii="Times New Roman"/>
                <w:sz w:val="20"/>
              </w:rPr>
              <w:t>423,719.29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2,385,116.96</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2,385,116.96</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其他非流动资产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104,173.59</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7" w:right="0"/>
              <w:jc w:val="left"/>
              <w:rPr>
                <w:rFonts w:ascii="Times New Roman" w:hAnsi="Times New Roman" w:cs="Times New Roman" w:eastAsia="Times New Roman" w:hint="default"/>
                <w:sz w:val="20"/>
                <w:szCs w:val="20"/>
              </w:rPr>
            </w:pPr>
            <w:r>
              <w:rPr>
                <w:rFonts w:ascii="Times New Roman"/>
                <w:sz w:val="20"/>
              </w:rPr>
              <w:t>104,173.59</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负债：</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701"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应付款项</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1,164,502.40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7" w:right="0"/>
              <w:jc w:val="left"/>
              <w:rPr>
                <w:rFonts w:ascii="Times New Roman" w:hAnsi="Times New Roman" w:cs="Times New Roman" w:eastAsia="Times New Roman" w:hint="default"/>
                <w:sz w:val="20"/>
                <w:szCs w:val="20"/>
              </w:rPr>
            </w:pPr>
            <w:r>
              <w:rPr>
                <w:rFonts w:ascii="Times New Roman"/>
                <w:sz w:val="20"/>
              </w:rPr>
              <w:t>1,164,502.40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645,613.98</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645,613.98</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应付职工薪酬</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223,985.20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7" w:right="0"/>
              <w:jc w:val="left"/>
              <w:rPr>
                <w:rFonts w:ascii="Times New Roman" w:hAnsi="Times New Roman" w:cs="Times New Roman" w:eastAsia="Times New Roman" w:hint="default"/>
                <w:sz w:val="20"/>
                <w:szCs w:val="20"/>
              </w:rPr>
            </w:pPr>
            <w:r>
              <w:rPr>
                <w:rFonts w:ascii="Times New Roman"/>
                <w:sz w:val="20"/>
              </w:rPr>
              <w:t>223,985.20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245,265.11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245,265.11</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递延所得税负债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其他负债</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802,495.37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07" w:right="0"/>
              <w:jc w:val="left"/>
              <w:rPr>
                <w:rFonts w:ascii="Times New Roman" w:hAnsi="Times New Roman" w:cs="Times New Roman" w:eastAsia="Times New Roman" w:hint="default"/>
                <w:sz w:val="20"/>
                <w:szCs w:val="20"/>
              </w:rPr>
            </w:pPr>
            <w:r>
              <w:rPr>
                <w:rFonts w:ascii="Times New Roman"/>
                <w:sz w:val="20"/>
              </w:rPr>
              <w:t>802,495.37</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43,766.89</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43,766.89</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1,128,955.68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7" w:right="0"/>
              <w:jc w:val="left"/>
              <w:rPr>
                <w:rFonts w:ascii="Times New Roman" w:hAnsi="Times New Roman" w:cs="Times New Roman" w:eastAsia="Times New Roman" w:hint="default"/>
                <w:sz w:val="20"/>
                <w:szCs w:val="20"/>
              </w:rPr>
            </w:pPr>
            <w:r>
              <w:rPr>
                <w:rFonts w:ascii="Times New Roman"/>
                <w:sz w:val="20"/>
              </w:rPr>
              <w:t>1,128,955.68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8,772,157.97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8,772,157.97</w:t>
            </w:r>
          </w:p>
        </w:tc>
      </w:tr>
      <w:tr>
        <w:trPr>
          <w:trHeight w:val="342"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减：少数股东权益</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w w:val="100"/>
                <w:sz w:val="20"/>
              </w:rPr>
              <w:t>-</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w w:val="100"/>
                <w:sz w:val="20"/>
              </w:rPr>
              <w:t>-</w:t>
            </w:r>
          </w:p>
        </w:tc>
      </w:tr>
      <w:tr>
        <w:trPr>
          <w:trHeight w:val="34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4" w:right="0"/>
              <w:jc w:val="left"/>
              <w:rPr>
                <w:rFonts w:ascii="宋体" w:hAnsi="宋体" w:cs="宋体" w:eastAsia="宋体" w:hint="default"/>
                <w:sz w:val="20"/>
                <w:szCs w:val="20"/>
              </w:rPr>
            </w:pPr>
            <w:r>
              <w:rPr>
                <w:rFonts w:ascii="宋体" w:hAnsi="宋体" w:cs="宋体" w:eastAsia="宋体" w:hint="default"/>
                <w:sz w:val="20"/>
                <w:szCs w:val="20"/>
              </w:rPr>
              <w:t>取得的净资产</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
              <w:jc w:val="right"/>
              <w:rPr>
                <w:rFonts w:ascii="Times New Roman" w:hAnsi="Times New Roman" w:cs="Times New Roman" w:eastAsia="Times New Roman" w:hint="default"/>
                <w:sz w:val="20"/>
                <w:szCs w:val="20"/>
              </w:rPr>
            </w:pPr>
            <w:r>
              <w:rPr>
                <w:rFonts w:ascii="Times New Roman"/>
                <w:spacing w:val="-1"/>
                <w:sz w:val="20"/>
              </w:rPr>
              <w:t>1,128,955.68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7" w:right="0"/>
              <w:jc w:val="left"/>
              <w:rPr>
                <w:rFonts w:ascii="Times New Roman" w:hAnsi="Times New Roman" w:cs="Times New Roman" w:eastAsia="Times New Roman" w:hint="default"/>
                <w:sz w:val="20"/>
                <w:szCs w:val="20"/>
              </w:rPr>
            </w:pPr>
            <w:r>
              <w:rPr>
                <w:rFonts w:ascii="Times New Roman"/>
                <w:sz w:val="20"/>
              </w:rPr>
              <w:t>1,128,955.68</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pacing w:val="-1"/>
                <w:sz w:val="20"/>
              </w:rPr>
              <w:t>8,772,157.97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8,772,157.97</w:t>
            </w:r>
          </w:p>
        </w:tc>
      </w:tr>
    </w:tbl>
    <w:p>
      <w:pPr>
        <w:spacing w:after="0" w:line="240" w:lineRule="auto"/>
        <w:jc w:val="right"/>
        <w:rPr>
          <w:rFonts w:ascii="Times New Roman" w:hAnsi="Times New Roman" w:cs="Times New Roman" w:eastAsia="Times New Roman" w:hint="default"/>
          <w:sz w:val="20"/>
          <w:szCs w:val="20"/>
        </w:rPr>
        <w:sectPr>
          <w:pgSz w:w="11910" w:h="16840"/>
          <w:pgMar w:header="747" w:footer="979" w:top="1060" w:bottom="1160" w:left="980" w:right="0"/>
        </w:sectPr>
      </w:pPr>
    </w:p>
    <w:p>
      <w:pPr>
        <w:spacing w:line="240" w:lineRule="auto" w:before="13"/>
        <w:rPr>
          <w:rFonts w:ascii="宋体" w:hAnsi="宋体" w:cs="宋体" w:eastAsia="宋体" w:hint="default"/>
          <w:b/>
          <w:bCs/>
          <w:sz w:val="25"/>
          <w:szCs w:val="25"/>
        </w:rPr>
      </w:pPr>
    </w:p>
    <w:p>
      <w:pPr>
        <w:spacing w:line="360" w:lineRule="auto" w:before="44"/>
        <w:ind w:left="153"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pStyle w:val="BodyText"/>
        <w:spacing w:line="408" w:lineRule="auto" w:before="78"/>
        <w:ind w:left="573" w:right="1018"/>
        <w:jc w:val="left"/>
      </w:pPr>
      <w:r>
        <w:rPr>
          <w:spacing w:val="-3"/>
        </w:rPr>
        <w:t>本公司采用估值技术来确定购买日的公允价值。主要资产的评估方法为成本法，价值类型为市场价值。</w:t>
      </w:r>
      <w:r>
        <w:rPr>
          <w:spacing w:val="-98"/>
        </w:rPr>
        <w:t> </w:t>
      </w:r>
      <w:r>
        <w:rPr>
          <w:spacing w:val="-98"/>
        </w:rPr>
      </w:r>
      <w:r>
        <w:rPr>
          <w:rFonts w:ascii="宋体" w:hAnsi="宋体" w:cs="宋体" w:eastAsia="宋体" w:hint="default"/>
        </w:rPr>
        <w:t>2</w:t>
      </w:r>
      <w:r>
        <w:rPr/>
        <w:t>、其他原因的合并范围变动</w:t>
      </w:r>
    </w:p>
    <w:p>
      <w:pPr>
        <w:pStyle w:val="BodyText"/>
        <w:spacing w:line="240" w:lineRule="auto"/>
        <w:ind w:left="573" w:right="0"/>
        <w:jc w:val="left"/>
      </w:pPr>
      <w:r>
        <w:rPr/>
        <w:t>（</w:t>
      </w:r>
      <w:r>
        <w:rPr>
          <w:rFonts w:ascii="宋体" w:hAnsi="宋体" w:cs="宋体" w:eastAsia="宋体" w:hint="default"/>
        </w:rPr>
        <w:t>1</w:t>
      </w:r>
      <w:r>
        <w:rPr>
          <w:spacing w:val="-38"/>
        </w:rPr>
        <w:t>）</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8</w:t>
      </w:r>
      <w:r>
        <w:rPr>
          <w:rFonts w:ascii="宋体" w:hAnsi="宋体" w:cs="宋体" w:eastAsia="宋体" w:hint="default"/>
          <w:spacing w:val="-52"/>
        </w:rPr>
        <w:t> </w:t>
      </w:r>
      <w:r>
        <w:rPr/>
        <w:t>月</w:t>
      </w:r>
      <w:r>
        <w:rPr>
          <w:spacing w:val="-54"/>
        </w:rPr>
        <w:t> </w:t>
      </w:r>
      <w:r>
        <w:rPr>
          <w:rFonts w:ascii="宋体" w:hAnsi="宋体" w:cs="宋体" w:eastAsia="宋体" w:hint="default"/>
        </w:rPr>
        <w:t>13</w:t>
      </w:r>
      <w:r>
        <w:rPr>
          <w:rFonts w:ascii="宋体" w:hAnsi="宋体" w:cs="宋体" w:eastAsia="宋体" w:hint="default"/>
          <w:spacing w:val="-52"/>
        </w:rPr>
        <w:t> </w:t>
      </w:r>
      <w:r>
        <w:rPr/>
        <w:t>日</w:t>
      </w:r>
      <w:r>
        <w:rPr>
          <w:spacing w:val="-2"/>
        </w:rPr>
        <w:t>公</w:t>
      </w:r>
      <w:r>
        <w:rPr/>
        <w:t>司第二届董事会第三次会议审议通过</w:t>
      </w:r>
      <w:r>
        <w:rPr>
          <w:spacing w:val="-38"/>
        </w:rPr>
        <w:t>了</w:t>
      </w:r>
      <w:r>
        <w:rPr/>
        <w:t>《关于设立澳大利亚子公司的议案</w:t>
      </w:r>
      <w:r>
        <w:rPr>
          <w:spacing w:val="-105"/>
        </w:rPr>
        <w:t>》</w:t>
      </w:r>
      <w:r>
        <w:rPr/>
        <w:t>，</w:t>
      </w:r>
    </w:p>
    <w:p>
      <w:pPr>
        <w:spacing w:line="240" w:lineRule="auto" w:before="10"/>
        <w:rPr>
          <w:rFonts w:ascii="宋体" w:hAnsi="宋体" w:cs="宋体" w:eastAsia="宋体" w:hint="default"/>
          <w:sz w:val="14"/>
          <w:szCs w:val="14"/>
        </w:rPr>
      </w:pPr>
    </w:p>
    <w:p>
      <w:pPr>
        <w:pStyle w:val="BodyText"/>
        <w:spacing w:line="408" w:lineRule="auto" w:before="0"/>
        <w:ind w:right="1126"/>
        <w:jc w:val="left"/>
      </w:pPr>
      <w:r>
        <w:rPr/>
        <w:t>同意公司使用自有资金</w:t>
      </w:r>
      <w:r>
        <w:rPr>
          <w:spacing w:val="-52"/>
        </w:rPr>
        <w:t> </w:t>
      </w:r>
      <w:r>
        <w:rPr>
          <w:rFonts w:ascii="宋体" w:hAnsi="宋体" w:cs="宋体" w:eastAsia="宋体" w:hint="default"/>
        </w:rPr>
        <w:t>50</w:t>
      </w:r>
      <w:r>
        <w:rPr>
          <w:rFonts w:ascii="宋体" w:hAnsi="宋体" w:cs="宋体" w:eastAsia="宋体" w:hint="default"/>
          <w:spacing w:val="-52"/>
        </w:rPr>
        <w:t> </w:t>
      </w:r>
      <w:r>
        <w:rPr>
          <w:spacing w:val="-5"/>
        </w:rPr>
        <w:t>万美元设立澳大利亚子公司。</w:t>
      </w:r>
      <w:r>
        <w:rPr>
          <w:rFonts w:ascii="宋体" w:hAnsi="宋体" w:cs="宋体" w:eastAsia="宋体" w:hint="default"/>
          <w:spacing w:val="-5"/>
        </w:rPr>
        <w:t>2013</w:t>
      </w:r>
      <w:r>
        <w:rPr>
          <w:rFonts w:ascii="宋体" w:hAnsi="宋体" w:cs="宋体" w:eastAsia="宋体" w:hint="default"/>
          <w:spacing w:val="-53"/>
        </w:rPr>
        <w:t> </w:t>
      </w:r>
      <w:r>
        <w:rPr/>
        <w:t>年</w:t>
      </w:r>
      <w:r>
        <w:rPr>
          <w:spacing w:val="-53"/>
        </w:rPr>
        <w:t> </w:t>
      </w:r>
      <w:r>
        <w:rPr>
          <w:rFonts w:ascii="宋体" w:hAnsi="宋体" w:cs="宋体" w:eastAsia="宋体" w:hint="default"/>
        </w:rPr>
        <w:t>9</w:t>
      </w:r>
      <w:r>
        <w:rPr>
          <w:rFonts w:ascii="宋体" w:hAnsi="宋体" w:cs="宋体" w:eastAsia="宋体" w:hint="default"/>
          <w:spacing w:val="-52"/>
        </w:rPr>
        <w:t> </w:t>
      </w:r>
      <w:r>
        <w:rPr/>
        <w:t>月</w:t>
      </w:r>
      <w:r>
        <w:rPr>
          <w:spacing w:val="-54"/>
        </w:rPr>
        <w:t> </w:t>
      </w:r>
      <w:r>
        <w:rPr>
          <w:rFonts w:ascii="宋体" w:hAnsi="宋体" w:cs="宋体" w:eastAsia="宋体" w:hint="default"/>
        </w:rPr>
        <w:t>18</w:t>
      </w:r>
      <w:r>
        <w:rPr>
          <w:rFonts w:ascii="宋体" w:hAnsi="宋体" w:cs="宋体" w:eastAsia="宋体" w:hint="default"/>
          <w:spacing w:val="-52"/>
        </w:rPr>
        <w:t> </w:t>
      </w:r>
      <w:r>
        <w:rPr/>
        <w:t>日澳大利亚证劵和投资委员会核准 </w:t>
      </w:r>
      <w:r>
        <w:rPr>
          <w:spacing w:val="-1"/>
        </w:rPr>
        <w:t>并颁发了海能达通信（澳大利亚）有限公司注册登记证明文件。公司名称：海能达通信（澳大利亚）有限</w:t>
      </w:r>
      <w:r>
        <w:rPr>
          <w:spacing w:val="-83"/>
        </w:rPr>
        <w:t> </w:t>
      </w:r>
      <w:r>
        <w:rPr>
          <w:spacing w:val="-83"/>
        </w:rPr>
      </w:r>
      <w:r>
        <w:rPr/>
        <w:t>公司；注册号：</w:t>
      </w:r>
      <w:r>
        <w:rPr>
          <w:rFonts w:ascii="宋体" w:hAnsi="宋体" w:cs="宋体" w:eastAsia="宋体" w:hint="default"/>
        </w:rPr>
        <w:t>165879701</w:t>
      </w:r>
      <w:r>
        <w:rPr/>
        <w:t>；地址：澳大利亚昆士兰州；公司类型：股份有限责任公司。公司主营业务为 专业无线通信产品的销售和服务。该投资款已于</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4"/>
        </w:rPr>
        <w:t> </w:t>
      </w:r>
      <w:r>
        <w:rPr/>
        <w:t>月</w:t>
      </w:r>
      <w:r>
        <w:rPr>
          <w:spacing w:val="-54"/>
        </w:rPr>
        <w:t> </w:t>
      </w:r>
      <w:r>
        <w:rPr>
          <w:rFonts w:ascii="宋体" w:hAnsi="宋体" w:cs="宋体" w:eastAsia="宋体" w:hint="default"/>
        </w:rPr>
        <w:t>2</w:t>
      </w:r>
      <w:r>
        <w:rPr>
          <w:rFonts w:ascii="宋体" w:hAnsi="宋体" w:cs="宋体" w:eastAsia="宋体" w:hint="default"/>
          <w:spacing w:val="-53"/>
        </w:rPr>
        <w:t> </w:t>
      </w:r>
      <w:r>
        <w:rPr/>
        <w:t>日支付。</w:t>
      </w:r>
    </w:p>
    <w:p>
      <w:pPr>
        <w:pStyle w:val="BodyText"/>
        <w:spacing w:line="408" w:lineRule="auto"/>
        <w:ind w:right="1216" w:firstLine="420"/>
        <w:jc w:val="both"/>
      </w:pPr>
      <w:r>
        <w:rPr/>
        <w:t>（</w:t>
      </w:r>
      <w:r>
        <w:rPr>
          <w:rFonts w:ascii="宋体" w:hAnsi="宋体" w:cs="宋体" w:eastAsia="宋体" w:hint="default"/>
        </w:rPr>
        <w:t>2</w:t>
      </w:r>
      <w:r>
        <w:rPr/>
        <w:t>）</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8</w:t>
      </w:r>
      <w:r>
        <w:rPr>
          <w:rFonts w:ascii="宋体" w:hAnsi="宋体" w:cs="宋体" w:eastAsia="宋体" w:hint="default"/>
          <w:spacing w:val="-53"/>
        </w:rPr>
        <w:t> </w:t>
      </w:r>
      <w:r>
        <w:rPr/>
        <w:t>月</w:t>
      </w:r>
      <w:r>
        <w:rPr>
          <w:spacing w:val="-55"/>
        </w:rPr>
        <w:t> </w:t>
      </w:r>
      <w:r>
        <w:rPr>
          <w:rFonts w:ascii="宋体" w:hAnsi="宋体" w:cs="宋体" w:eastAsia="宋体" w:hint="default"/>
        </w:rPr>
        <w:t>14</w:t>
      </w:r>
      <w:r>
        <w:rPr>
          <w:rFonts w:ascii="宋体" w:hAnsi="宋体" w:cs="宋体" w:eastAsia="宋体" w:hint="default"/>
          <w:spacing w:val="-53"/>
        </w:rPr>
        <w:t> </w:t>
      </w:r>
      <w:r>
        <w:rPr/>
        <w:t>日，公司以自有资金</w:t>
      </w:r>
      <w:r>
        <w:rPr>
          <w:spacing w:val="-53"/>
        </w:rPr>
        <w:t> </w:t>
      </w:r>
      <w:r>
        <w:rPr>
          <w:rFonts w:ascii="宋体" w:hAnsi="宋体" w:cs="宋体" w:eastAsia="宋体" w:hint="default"/>
        </w:rPr>
        <w:t>200</w:t>
      </w:r>
      <w:r>
        <w:rPr>
          <w:rFonts w:ascii="宋体" w:hAnsi="宋体" w:cs="宋体" w:eastAsia="宋体" w:hint="default"/>
          <w:spacing w:val="-54"/>
        </w:rPr>
        <w:t> </w:t>
      </w:r>
      <w:r>
        <w:rPr/>
        <w:t>万雷亚尔（</w:t>
      </w:r>
      <w:r>
        <w:rPr>
          <w:rFonts w:ascii="宋体" w:hAnsi="宋体" w:cs="宋体" w:eastAsia="宋体" w:hint="default"/>
        </w:rPr>
        <w:t>89</w:t>
      </w:r>
      <w:r>
        <w:rPr>
          <w:rFonts w:ascii="宋体" w:hAnsi="宋体" w:cs="宋体" w:eastAsia="宋体" w:hint="default"/>
          <w:spacing w:val="-53"/>
        </w:rPr>
        <w:t> </w:t>
      </w:r>
      <w:r>
        <w:rPr/>
        <w:t>万美元）投资设立巴西子公司，子公司 名称：</w:t>
      </w:r>
      <w:r>
        <w:rPr>
          <w:rFonts w:ascii="宋体" w:hAnsi="宋体" w:cs="宋体" w:eastAsia="宋体" w:hint="default"/>
        </w:rPr>
        <w:t>Hytera Comunication do Brazil</w:t>
      </w:r>
      <w:r>
        <w:rPr>
          <w:rFonts w:ascii="宋体" w:hAnsi="宋体" w:cs="宋体" w:eastAsia="宋体" w:hint="default"/>
          <w:spacing w:val="-8"/>
        </w:rPr>
        <w:t> </w:t>
      </w:r>
      <w:r>
        <w:rPr>
          <w:rFonts w:ascii="宋体" w:hAnsi="宋体" w:cs="宋体" w:eastAsia="宋体" w:hint="default"/>
        </w:rPr>
        <w:t>Ltda.</w:t>
      </w:r>
      <w:r>
        <w:rPr/>
        <w:t>。注册号：</w:t>
      </w:r>
      <w:r>
        <w:rPr>
          <w:rFonts w:ascii="宋体" w:hAnsi="宋体" w:cs="宋体" w:eastAsia="宋体" w:hint="default"/>
        </w:rPr>
        <w:t>17.521.666/0001-98</w:t>
      </w:r>
      <w:r>
        <w:rPr/>
        <w:t>；地址：巴西圣保罗州； 公司类型：有限责任公司。公司主营业务为专业无线通信产品的销售和服务。</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4）购买日之前持有的股权按照公允价值重新计量产生的利得或损失" w:id="357"/>
      <w:bookmarkEnd w:id="357"/>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6"/>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left="153" w:right="1046"/>
        <w:jc w:val="left"/>
        <w:rPr>
          <w:b w:val="0"/>
          <w:bCs w:val="0"/>
        </w:rPr>
      </w:pPr>
      <w:bookmarkStart w:name="（5）购买日或合并当期期末无法合理确定合并对价或被购买方可辨认资产、负债公允价值" w:id="358"/>
      <w:bookmarkEnd w:id="358"/>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6）其他说明" w:id="359"/>
      <w:bookmarkEnd w:id="359"/>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046"/>
        <w:jc w:val="left"/>
        <w:rPr>
          <w:b w:val="0"/>
          <w:bCs w:val="0"/>
        </w:rPr>
      </w:pPr>
      <w:bookmarkStart w:name="2、同一控制下企业合并" w:id="360"/>
      <w:bookmarkEnd w:id="360"/>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3、反向购买" w:id="361"/>
      <w:bookmarkEnd w:id="36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4、处置子公司" w:id="362"/>
      <w:bookmarkEnd w:id="36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line="338" w:lineRule="auto" w:before="116"/>
        <w:ind w:left="15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是否存在通过多次交易分步处置对子公司投资且在本期丧失控制权的情形</w:t>
      </w:r>
    </w:p>
    <w:p>
      <w:pPr>
        <w:spacing w:before="43"/>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5、其他原因的合并范围变动" w:id="363"/>
      <w:bookmarkEnd w:id="36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053" w:firstLine="0"/>
        <w:jc w:val="left"/>
        <w:rPr>
          <w:rFonts w:ascii="宋体" w:hAnsi="宋体" w:cs="宋体" w:eastAsia="宋体" w:hint="default"/>
          <w:sz w:val="21"/>
          <w:szCs w:val="21"/>
        </w:rPr>
      </w:pPr>
      <w:bookmarkStart w:name="6、其他" w:id="364"/>
      <w:bookmarkEnd w:id="364"/>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365"/>
      <w:bookmarkEnd w:id="365"/>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366"/>
      <w:bookmarkEnd w:id="366"/>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3"/>
        <w:spacing w:line="240" w:lineRule="auto" w:before="83"/>
        <w:ind w:left="153" w:right="1046"/>
        <w:jc w:val="left"/>
        <w:rPr>
          <w:b w:val="0"/>
          <w:bCs w:val="0"/>
        </w:rPr>
      </w:pPr>
      <w:bookmarkStart w:name="（1）企业集团的构成" w:id="367"/>
      <w:bookmarkEnd w:id="36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53"/>
              <w:jc w:val="left"/>
              <w:rPr>
                <w:rFonts w:ascii="Times New Roman" w:hAnsi="Times New Roman" w:cs="Times New Roman" w:eastAsia="Times New Roman" w:hint="default"/>
                <w:sz w:val="18"/>
                <w:szCs w:val="18"/>
              </w:rPr>
            </w:pPr>
            <w:r>
              <w:rPr>
                <w:rFonts w:ascii="Times New Roman"/>
                <w:sz w:val="18"/>
              </w:rPr>
              <w:t>HYT</w:t>
            </w:r>
            <w:r>
              <w:rPr>
                <w:rFonts w:ascii="Times New Roman"/>
                <w:spacing w:val="-4"/>
                <w:sz w:val="18"/>
              </w:rPr>
              <w:t> </w:t>
            </w:r>
            <w:r>
              <w:rPr>
                <w:rFonts w:ascii="Times New Roman"/>
                <w:sz w:val="18"/>
              </w:rPr>
              <w:t>North</w:t>
            </w:r>
            <w:r>
              <w:rPr>
                <w:rFonts w:ascii="Times New Roman"/>
                <w:sz w:val="18"/>
              </w:rPr>
              <w:t> America,</w:t>
            </w:r>
            <w:r>
              <w:rPr>
                <w:rFonts w:ascii="Times New Roman"/>
                <w:spacing w:val="-5"/>
                <w:sz w:val="18"/>
              </w:rPr>
              <w:t> </w:t>
            </w:r>
            <w:r>
              <w:rPr>
                <w:rFonts w:ascii="Times New Roman"/>
                <w:sz w:val="18"/>
              </w:rPr>
              <w:t>Inc.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07"/>
              <w:jc w:val="left"/>
              <w:rPr>
                <w:rFonts w:ascii="Times New Roman" w:hAnsi="Times New Roman" w:cs="Times New Roman" w:eastAsia="Times New Roman" w:hint="default"/>
                <w:sz w:val="18"/>
                <w:szCs w:val="18"/>
              </w:rPr>
            </w:pPr>
            <w:r>
              <w:rPr>
                <w:rFonts w:ascii="Times New Roman"/>
                <w:sz w:val="18"/>
              </w:rPr>
              <w:t>Hytera Communications (UK)Co.,Ltd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22"/>
              <w:jc w:val="left"/>
              <w:rPr>
                <w:rFonts w:ascii="Times New Roman" w:hAnsi="Times New Roman" w:cs="Times New Roman" w:eastAsia="Times New Roman" w:hint="default"/>
                <w:sz w:val="18"/>
                <w:szCs w:val="18"/>
              </w:rPr>
            </w:pPr>
            <w:r>
              <w:rPr>
                <w:rFonts w:ascii="Times New Roman"/>
                <w:sz w:val="18"/>
              </w:rPr>
              <w:t>Hytera Communications (Australia)Pty</w:t>
            </w:r>
            <w:r>
              <w:rPr>
                <w:rFonts w:ascii="Times New Roman"/>
                <w:spacing w:val="-3"/>
                <w:sz w:val="18"/>
              </w:rPr>
              <w:t> </w:t>
            </w:r>
            <w:r>
              <w:rPr>
                <w:rFonts w:ascii="Times New Roman"/>
                <w:sz w:val="18"/>
              </w:rPr>
              <w:t>Ltd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澳大利亚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77"/>
              <w:jc w:val="left"/>
              <w:rPr>
                <w:rFonts w:ascii="Times New Roman" w:hAnsi="Times New Roman" w:cs="Times New Roman" w:eastAsia="Times New Roman" w:hint="default"/>
                <w:sz w:val="18"/>
                <w:szCs w:val="18"/>
              </w:rPr>
            </w:pPr>
            <w:r>
              <w:rPr>
                <w:rFonts w:ascii="Times New Roman"/>
                <w:sz w:val="18"/>
              </w:rPr>
              <w:t>Hytera Communication DO</w:t>
            </w:r>
            <w:r>
              <w:rPr>
                <w:rFonts w:ascii="Times New Roman"/>
                <w:spacing w:val="-2"/>
                <w:sz w:val="18"/>
              </w:rPr>
              <w:t> </w:t>
            </w:r>
            <w:r>
              <w:rPr>
                <w:rFonts w:ascii="Times New Roman"/>
                <w:sz w:val="18"/>
              </w:rPr>
              <w:t>BRASIL</w:t>
            </w:r>
            <w:r>
              <w:rPr>
                <w:rFonts w:ascii="Times New Roman"/>
                <w:w w:val="99"/>
                <w:sz w:val="18"/>
              </w:rPr>
              <w:t> </w:t>
            </w:r>
            <w:r>
              <w:rPr>
                <w:rFonts w:ascii="Times New Roman"/>
                <w:spacing w:val="-5"/>
                <w:sz w:val="18"/>
              </w:rPr>
              <w:t>LTDA</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巴西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深圳市安智捷科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哈尔滨海能达科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哈尔滨市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海能达通信（香 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南京海能达软件 科技有限公司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天津市海能达信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97"/>
              <w:jc w:val="left"/>
              <w:rPr>
                <w:rFonts w:ascii="Times New Roman" w:hAnsi="Times New Roman" w:cs="Times New Roman" w:eastAsia="Times New Roman" w:hint="default"/>
                <w:sz w:val="18"/>
                <w:szCs w:val="18"/>
              </w:rPr>
            </w:pPr>
            <w:r>
              <w:rPr>
                <w:rFonts w:ascii="Times New Roman"/>
                <w:sz w:val="18"/>
              </w:rPr>
              <w:t>HYTERA</w:t>
            </w:r>
            <w:r>
              <w:rPr>
                <w:rFonts w:ascii="Times New Roman"/>
                <w:w w:val="99"/>
                <w:sz w:val="18"/>
              </w:rPr>
              <w:t> </w:t>
            </w:r>
            <w:r>
              <w:rPr>
                <w:rFonts w:ascii="Times New Roman"/>
                <w:sz w:val="18"/>
              </w:rPr>
              <w:t>AMERICA</w:t>
            </w:r>
            <w:r>
              <w:rPr>
                <w:rFonts w:ascii="Times New Roman"/>
                <w:w w:val="99"/>
                <w:sz w:val="18"/>
              </w:rPr>
              <w:t> </w:t>
            </w:r>
            <w:r>
              <w:rPr>
                <w:rFonts w:ascii="Times New Roman"/>
                <w:spacing w:val="-2"/>
                <w:sz w:val="18"/>
              </w:rPr>
              <w:t>INCORPORATE</w:t>
            </w:r>
            <w:r>
              <w:rPr>
                <w:rFonts w:ascii="Times New Roman"/>
                <w:sz w:val="18"/>
              </w:rPr>
              <w:t> D</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3"/>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Mobilfunk</w:t>
            </w:r>
            <w:r>
              <w:rPr>
                <w:rFonts w:ascii="Times New Roman"/>
                <w:sz w:val="18"/>
              </w:rPr>
              <w:t> GmbH</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德国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深圳市海能达技 术服务有限公司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深圳市海能达通 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深圳市海天朗科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鹤壁天海电子信 息系统有限公司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鹤壁新元电子有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河南省鹤壁市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专用设备制造业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南京宙达通信技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深圳市运联通通 信服务有限公司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购买</w:t>
            </w:r>
          </w:p>
        </w:tc>
      </w:tr>
    </w:tbl>
    <w:p>
      <w:pPr>
        <w:spacing w:line="240" w:lineRule="auto" w:before="2"/>
        <w:rPr>
          <w:rFonts w:ascii="宋体" w:hAnsi="宋体" w:cs="宋体" w:eastAsia="宋体" w:hint="default"/>
          <w:b/>
          <w:bCs/>
          <w:sz w:val="19"/>
          <w:szCs w:val="19"/>
        </w:rPr>
      </w:pPr>
    </w:p>
    <w:p>
      <w:pPr>
        <w:pStyle w:val="Heading3"/>
        <w:spacing w:line="240" w:lineRule="auto" w:before="35"/>
        <w:ind w:right="1046"/>
        <w:jc w:val="left"/>
        <w:rPr>
          <w:b w:val="0"/>
          <w:bCs w:val="0"/>
        </w:rPr>
      </w:pPr>
      <w:bookmarkStart w:name="（2）重要的非全资子公司" w:id="368"/>
      <w:bookmarkEnd w:id="36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3）重要非全资子公司的主要财务信息" w:id="369"/>
      <w:bookmarkEnd w:id="369"/>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4）使用企业集团资产和清偿企业集团债务的重大限制" w:id="370"/>
      <w:bookmarkEnd w:id="370"/>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046"/>
        <w:jc w:val="left"/>
        <w:rPr>
          <w:b w:val="0"/>
          <w:bCs w:val="0"/>
        </w:rPr>
      </w:pPr>
      <w:bookmarkStart w:name="（5）向纳入合并财务报表范围的结构化主体提供的财务支持或其他支持" w:id="371"/>
      <w:bookmarkEnd w:id="371"/>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2、在子公司的所有者权益份额发生变化且仍控制子公司的交易" w:id="372"/>
      <w:bookmarkEnd w:id="372"/>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在子公司所有者权益份额发生变化的情况说明" w:id="373"/>
      <w:bookmarkEnd w:id="373"/>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2）交易对于少数股东权益及归属于母公司所有者权益的影响" w:id="374"/>
      <w:bookmarkEnd w:id="374"/>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3、在合营安排或联营企业中的权益" w:id="375"/>
      <w:bookmarkEnd w:id="375"/>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重要的合营企业或联营企业" w:id="376"/>
      <w:bookmarkEnd w:id="37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深圳市鹏鼎创盈 金融信息服务股 份有限公司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互联网金融</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3.79%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成本法</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b/>
          <w:bCs/>
          <w:sz w:val="24"/>
          <w:szCs w:val="24"/>
        </w:rPr>
      </w:pPr>
    </w:p>
    <w:p>
      <w:pPr>
        <w:pStyle w:val="Heading3"/>
        <w:spacing w:line="240" w:lineRule="auto" w:before="35"/>
        <w:ind w:left="153" w:right="1046"/>
        <w:jc w:val="left"/>
        <w:rPr>
          <w:b w:val="0"/>
          <w:bCs w:val="0"/>
        </w:rPr>
      </w:pPr>
      <w:bookmarkStart w:name="（2）重要合营企业的主要财务信息" w:id="377"/>
      <w:bookmarkEnd w:id="377"/>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519"/>
        <w:gridCol w:w="3102"/>
        <w:gridCol w:w="3262"/>
      </w:tblGrid>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10" w:right="0"/>
              <w:jc w:val="left"/>
              <w:rPr>
                <w:rFonts w:ascii="宋体" w:hAnsi="宋体" w:cs="宋体" w:eastAsia="宋体" w:hint="default"/>
                <w:sz w:val="18"/>
                <w:szCs w:val="18"/>
              </w:rPr>
            </w:pPr>
            <w:r>
              <w:rPr>
                <w:rFonts w:ascii="宋体" w:hAnsi="宋体" w:cs="宋体" w:eastAsia="宋体" w:hint="default"/>
                <w:sz w:val="18"/>
                <w:szCs w:val="18"/>
              </w:rPr>
              <w:t>年末余额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本年发生额</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90" w:right="0"/>
              <w:jc w:val="left"/>
              <w:rPr>
                <w:rFonts w:ascii="宋体" w:hAnsi="宋体" w:cs="宋体" w:eastAsia="宋体" w:hint="default"/>
                <w:sz w:val="18"/>
                <w:szCs w:val="18"/>
              </w:rPr>
            </w:pPr>
            <w:r>
              <w:rPr>
                <w:rFonts w:ascii="宋体" w:hAnsi="宋体" w:cs="宋体" w:eastAsia="宋体" w:hint="default"/>
                <w:sz w:val="18"/>
                <w:szCs w:val="18"/>
              </w:rPr>
              <w:t>年初余额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上年发生额</w:t>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15,851,677.42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473,143,024.99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488,994,702.41</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
        </w:tc>
        <w:tc>
          <w:tcPr>
            <w:tcW w:w="3102"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3,905,950.59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3,905,950.59</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
        </w:tc>
        <w:tc>
          <w:tcPr>
            <w:tcW w:w="3102"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485,088,751.82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
        </w:tc>
        <w:tc>
          <w:tcPr>
            <w:tcW w:w="3102"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18,382,438.25</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调整事项</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内部交易未实现利润</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54"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162"/>
              <w:jc w:val="left"/>
              <w:rPr>
                <w:rFonts w:ascii="宋体" w:hAnsi="宋体" w:cs="宋体" w:eastAsia="宋体" w:hint="default"/>
                <w:sz w:val="18"/>
                <w:szCs w:val="18"/>
              </w:rPr>
            </w:pPr>
            <w:r>
              <w:rPr>
                <w:rFonts w:ascii="宋体" w:hAnsi="宋体" w:cs="宋体" w:eastAsia="宋体" w:hint="default"/>
                <w:sz w:val="18"/>
                <w:szCs w:val="18"/>
              </w:rPr>
              <w:t>对联营企业权益投资的账面价 值</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20,000,000.00</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
        </w:tc>
        <w:tc>
          <w:tcPr>
            <w:tcW w:w="3102"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62"/>
              <w:jc w:val="left"/>
              <w:rPr>
                <w:rFonts w:ascii="宋体" w:hAnsi="宋体" w:cs="宋体" w:eastAsia="宋体" w:hint="default"/>
                <w:sz w:val="18"/>
                <w:szCs w:val="18"/>
              </w:rPr>
            </w:pPr>
            <w:r>
              <w:rPr>
                <w:rFonts w:ascii="宋体" w:hAnsi="宋体" w:cs="宋体" w:eastAsia="宋体" w:hint="default"/>
                <w:sz w:val="18"/>
                <w:szCs w:val="18"/>
              </w:rPr>
              <w:t>存在公开报价的联营企业权益 投资的公允价值</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
        </w:tc>
        <w:tc>
          <w:tcPr>
            <w:tcW w:w="3102"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18,464,954.92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4,588,751.82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终止经营的净利润</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4,588,751.82</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519" w:type="dxa"/>
            <w:tcBorders>
              <w:top w:val="single" w:sz="4" w:space="0" w:color="000000"/>
              <w:left w:val="single" w:sz="4" w:space="0" w:color="000000"/>
              <w:bottom w:val="single" w:sz="4" w:space="0" w:color="000000"/>
              <w:right w:val="single" w:sz="4" w:space="0" w:color="000000"/>
            </w:tcBorders>
          </w:tcPr>
          <w:p>
            <w:pPr/>
          </w:p>
        </w:tc>
        <w:tc>
          <w:tcPr>
            <w:tcW w:w="3102" w:type="dxa"/>
            <w:tcBorders>
              <w:top w:val="single" w:sz="4" w:space="0" w:color="000000"/>
              <w:left w:val="single" w:sz="4" w:space="0" w:color="000000"/>
              <w:bottom w:val="single" w:sz="4" w:space="0" w:color="000000"/>
              <w:right w:val="single" w:sz="4" w:space="0" w:color="000000"/>
            </w:tcBorders>
          </w:tcPr>
          <w:p>
            <w:pPr/>
          </w:p>
        </w:tc>
        <w:tc>
          <w:tcPr>
            <w:tcW w:w="3262"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2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162"/>
              <w:jc w:val="left"/>
              <w:rPr>
                <w:rFonts w:ascii="宋体" w:hAnsi="宋体" w:cs="宋体" w:eastAsia="宋体" w:hint="default"/>
                <w:sz w:val="18"/>
                <w:szCs w:val="18"/>
              </w:rPr>
            </w:pPr>
            <w:r>
              <w:rPr>
                <w:rFonts w:ascii="宋体" w:hAnsi="宋体" w:cs="宋体" w:eastAsia="宋体" w:hint="default"/>
                <w:sz w:val="18"/>
                <w:szCs w:val="18"/>
              </w:rPr>
              <w:t>本年度收到的来自联营企业的 股利</w:t>
            </w:r>
          </w:p>
        </w:tc>
        <w:tc>
          <w:tcPr>
            <w:tcW w:w="3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b/>
          <w:bCs/>
          <w:sz w:val="19"/>
          <w:szCs w:val="19"/>
        </w:rPr>
      </w:pPr>
    </w:p>
    <w:p>
      <w:pPr>
        <w:pStyle w:val="Heading3"/>
        <w:spacing w:line="240" w:lineRule="auto" w:before="35"/>
        <w:ind w:right="1046"/>
        <w:jc w:val="left"/>
        <w:rPr>
          <w:b w:val="0"/>
          <w:bCs w:val="0"/>
        </w:rPr>
      </w:pPr>
      <w:bookmarkStart w:name="（3）重要联营企业的主要财务信息" w:id="378"/>
      <w:bookmarkEnd w:id="378"/>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4）上重要的合营企业和联营企业的汇总财务信息" w:id="379"/>
      <w:bookmarkEnd w:id="379"/>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1,135.29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1,135.29</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right="0"/>
        <w:jc w:val="both"/>
        <w:rPr>
          <w:b w:val="0"/>
          <w:bCs w:val="0"/>
        </w:rPr>
      </w:pPr>
      <w:bookmarkStart w:name="（5）合营企业或联营企业向本公司转移资金的能力存在重大限制的说明" w:id="380"/>
      <w:bookmarkEnd w:id="380"/>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6）合营企业或联营企业发生的超额亏损" w:id="381"/>
      <w:bookmarkEnd w:id="381"/>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7）与合营企业投资相关的未确认承诺" w:id="382"/>
      <w:bookmarkEnd w:id="382"/>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bookmarkStart w:name="（8）与合营企业或联营企业投资相关的或有负债" w:id="383"/>
      <w:bookmarkEnd w:id="383"/>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4、重要的共同经营" w:id="384"/>
      <w:bookmarkEnd w:id="384"/>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5、在未纳入合并财务报表范围的结构化主体中的权益" w:id="385"/>
      <w:bookmarkEnd w:id="385"/>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both"/>
        <w:rPr>
          <w:b w:val="0"/>
          <w:bCs w:val="0"/>
        </w:rPr>
      </w:pPr>
      <w:bookmarkStart w:name="6、其他" w:id="386"/>
      <w:bookmarkEnd w:id="386"/>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0"/>
        <w:jc w:val="both"/>
        <w:rPr>
          <w:b w:val="0"/>
          <w:bCs w:val="0"/>
        </w:rPr>
      </w:pPr>
      <w:bookmarkStart w:name="十、与金融工具相关的风险" w:id="387"/>
      <w:bookmarkEnd w:id="387"/>
      <w:r>
        <w:rPr>
          <w:b w:val="0"/>
          <w:bCs w:val="0"/>
        </w:rPr>
      </w:r>
      <w:r>
        <w:rPr/>
        <w:t>十、与金融工具相关的风险</w:t>
      </w:r>
      <w:r>
        <w:rPr>
          <w:b w:val="0"/>
          <w:bCs w:val="0"/>
        </w:rPr>
      </w:r>
    </w:p>
    <w:p>
      <w:pPr>
        <w:spacing w:line="240" w:lineRule="auto" w:before="6"/>
        <w:rPr>
          <w:rFonts w:ascii="宋体" w:hAnsi="宋体" w:cs="宋体" w:eastAsia="宋体" w:hint="default"/>
          <w:b/>
          <w:bCs/>
          <w:sz w:val="30"/>
          <w:szCs w:val="30"/>
        </w:rPr>
      </w:pPr>
    </w:p>
    <w:p>
      <w:pPr>
        <w:pStyle w:val="BodyText"/>
        <w:spacing w:line="408" w:lineRule="auto" w:before="0"/>
        <w:ind w:left="574" w:right="1092"/>
        <w:jc w:val="left"/>
      </w:pPr>
      <w:r>
        <w:rPr/>
        <w:t>（</w:t>
      </w:r>
      <w:r>
        <w:rPr>
          <w:rFonts w:ascii="宋体" w:hAnsi="宋体" w:cs="宋体" w:eastAsia="宋体" w:hint="default"/>
        </w:rPr>
        <w:t>1</w:t>
      </w:r>
      <w:r>
        <w:rPr/>
        <w:t>）外汇风险 本公司合并报表的列报货币是人民币，本公司的汇率风险主要来自以非人民币结算包括美元、欧元、</w:t>
      </w:r>
    </w:p>
    <w:p>
      <w:pPr>
        <w:pStyle w:val="BodyText"/>
        <w:spacing w:line="408" w:lineRule="auto"/>
        <w:ind w:left="154" w:right="1131"/>
        <w:jc w:val="both"/>
      </w:pPr>
      <w:r>
        <w:rPr>
          <w:spacing w:val="-1"/>
        </w:rPr>
        <w:t>英镑等币种之销售和采购。本公司目前并未采取任何措施规避外汇风险，但本公司密切关注汇率变动对本</w:t>
      </w:r>
      <w:r>
        <w:rPr>
          <w:spacing w:val="-81"/>
        </w:rPr>
        <w:t> </w:t>
      </w:r>
      <w:r>
        <w:rPr>
          <w:spacing w:val="-81"/>
        </w:rPr>
      </w:r>
      <w:r>
        <w:rPr>
          <w:spacing w:val="-1"/>
        </w:rPr>
        <w:t>公司经营的影响，并计划在适当的时机通过资产负债对冲、金融工具对冲等方式综合管理汇率风险，减少</w:t>
      </w:r>
      <w:r>
        <w:rPr>
          <w:spacing w:val="-83"/>
        </w:rPr>
        <w:t> </w:t>
      </w:r>
      <w:r>
        <w:rPr>
          <w:spacing w:val="-83"/>
        </w:rPr>
      </w:r>
      <w:r>
        <w:rPr/>
        <w:t>汇率波动对本公司经营的影响。</w:t>
      </w:r>
    </w:p>
    <w:p>
      <w:pPr>
        <w:pStyle w:val="BodyText"/>
        <w:spacing w:line="408" w:lineRule="auto"/>
        <w:ind w:left="574" w:right="1046"/>
        <w:jc w:val="left"/>
      </w:pPr>
      <w:r>
        <w:rPr/>
        <w:t>（</w:t>
      </w:r>
      <w:r>
        <w:rPr>
          <w:rFonts w:ascii="宋体" w:hAnsi="宋体" w:cs="宋体" w:eastAsia="宋体" w:hint="default"/>
        </w:rPr>
        <w:t>2</w:t>
      </w:r>
      <w:r>
        <w:rPr/>
        <w:t>）利率风险 </w:t>
      </w:r>
      <w:r>
        <w:rPr>
          <w:spacing w:val="-1"/>
        </w:rPr>
        <w:t>利率风险指由于利率变动导致公司所承担的利率总额发生变动的风险。本公司有息负债以固定利率银</w:t>
      </w:r>
    </w:p>
    <w:p>
      <w:pPr>
        <w:pStyle w:val="BodyText"/>
        <w:spacing w:line="408" w:lineRule="auto"/>
        <w:ind w:left="154" w:right="1046"/>
        <w:jc w:val="left"/>
      </w:pPr>
      <w:r>
        <w:rPr>
          <w:spacing w:val="-1"/>
        </w:rPr>
        <w:t>行贷款为主，利率变动对公司存续银行贷款影响较少，但如利率上升将增加公司未来融资压力，加重利息</w:t>
      </w:r>
      <w:r>
        <w:rPr>
          <w:spacing w:val="-83"/>
        </w:rPr>
        <w:t> </w:t>
      </w:r>
      <w:r>
        <w:rPr>
          <w:spacing w:val="-83"/>
        </w:rPr>
      </w:r>
      <w:r>
        <w:rPr/>
        <w:t>成本支出。</w:t>
      </w:r>
    </w:p>
    <w:p>
      <w:pPr>
        <w:pStyle w:val="BodyText"/>
        <w:spacing w:line="408" w:lineRule="auto"/>
        <w:ind w:left="574" w:right="1046"/>
        <w:jc w:val="left"/>
      </w:pPr>
      <w:r>
        <w:rPr/>
        <w:t>（</w:t>
      </w:r>
      <w:r>
        <w:rPr>
          <w:rFonts w:ascii="宋体" w:hAnsi="宋体" w:cs="宋体" w:eastAsia="宋体" w:hint="default"/>
        </w:rPr>
        <w:t>3</w:t>
      </w:r>
      <w:r>
        <w:rPr/>
        <w:t>）信用风险 </w:t>
      </w:r>
      <w:r>
        <w:rPr>
          <w:spacing w:val="-1"/>
        </w:rPr>
        <w:t>信用风险是指交易双方的一方不履行合同义务，造成另一方发生财产损失的风险。本公司主要面临赊</w:t>
      </w:r>
    </w:p>
    <w:p>
      <w:pPr>
        <w:pStyle w:val="BodyText"/>
        <w:spacing w:line="408" w:lineRule="auto"/>
        <w:ind w:left="154" w:right="1046"/>
        <w:jc w:val="left"/>
      </w:pPr>
      <w:r>
        <w:rPr>
          <w:spacing w:val="-1"/>
        </w:rPr>
        <w:t>销导致的客户信用风险。在客户开始合作时，本公司会对客户的信用风险进行评估，包括向第三方评估机</w:t>
      </w:r>
      <w:r>
        <w:rPr>
          <w:spacing w:val="-83"/>
        </w:rPr>
        <w:t> </w:t>
      </w:r>
      <w:r>
        <w:rPr>
          <w:spacing w:val="-83"/>
        </w:rPr>
      </w:r>
      <w:r>
        <w:rPr>
          <w:spacing w:val="-1"/>
        </w:rPr>
        <w:t>构的购买信用评级报告或向第三方保险机构购买信用保险或由本公司财务部门、业务部门综合评定。公司</w:t>
      </w:r>
    </w:p>
    <w:p>
      <w:pPr>
        <w:spacing w:after="0" w:line="408"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408" w:lineRule="auto" w:before="174"/>
        <w:ind w:right="1046"/>
        <w:jc w:val="left"/>
      </w:pPr>
      <w:r>
        <w:rPr>
          <w:spacing w:val="-1"/>
        </w:rPr>
        <w:t>对每一客户授予了赊销限额，在该额度内，业务部门可以直接发货。公司通过对已有客户信用评级的季度</w:t>
      </w:r>
      <w:r>
        <w:rPr>
          <w:spacing w:val="-83"/>
        </w:rPr>
        <w:t> </w:t>
      </w:r>
      <w:r>
        <w:rPr>
          <w:spacing w:val="-83"/>
        </w:rPr>
      </w:r>
      <w:r>
        <w:rPr/>
        <w:t>监控以及应收账款账龄分析的月度审核及大合同签订时的实时监控来确保公司的整体信用风险在可控的 </w:t>
      </w:r>
      <w:r>
        <w:rPr>
          <w:spacing w:val="-1"/>
        </w:rPr>
        <w:t>范围内。在监控客户的信用风险时，按照客户的信用特征对其分组，并发布高风险的客户清单，处于此清</w:t>
      </w:r>
      <w:r>
        <w:rPr>
          <w:spacing w:val="-86"/>
        </w:rPr>
        <w:t> </w:t>
      </w:r>
      <w:r>
        <w:rPr>
          <w:spacing w:val="-86"/>
        </w:rPr>
      </w:r>
      <w:r>
        <w:rPr>
          <w:spacing w:val="-1"/>
        </w:rPr>
        <w:t>单内的客户，公司财务不允许再进行交易，除非在额外批准的前提下，公司才可对其重要项目开展赊销业</w:t>
      </w:r>
      <w:r>
        <w:rPr>
          <w:spacing w:val="-83"/>
        </w:rPr>
        <w:t> </w:t>
      </w:r>
      <w:r>
        <w:rPr>
          <w:spacing w:val="-83"/>
        </w:rPr>
      </w:r>
      <w:r>
        <w:rPr/>
        <w:t>务，否则必须要求其提前支付所有相应款项。</w:t>
      </w:r>
    </w:p>
    <w:p>
      <w:pPr>
        <w:pStyle w:val="BodyText"/>
        <w:spacing w:line="408" w:lineRule="auto"/>
        <w:ind w:left="574" w:right="1046" w:firstLine="106"/>
        <w:jc w:val="left"/>
      </w:pPr>
      <w:r>
        <w:rPr>
          <w:rFonts w:ascii="宋体" w:hAnsi="宋体" w:cs="宋体" w:eastAsia="宋体" w:hint="default"/>
        </w:rPr>
        <w:t>(4)</w:t>
      </w:r>
      <w:r>
        <w:rPr>
          <w:rFonts w:ascii="宋体" w:hAnsi="宋体" w:cs="宋体" w:eastAsia="宋体" w:hint="default"/>
          <w:spacing w:val="-2"/>
        </w:rPr>
        <w:t> </w:t>
      </w:r>
      <w:r>
        <w:rPr/>
        <w:t>流动风险 </w:t>
      </w:r>
      <w:r>
        <w:rPr>
          <w:spacing w:val="-1"/>
        </w:rPr>
        <w:t>流动性风险指公司资金的供给无法满足公司资金的需求而导致财务困境的风险。本公司持续优化现金</w:t>
      </w:r>
    </w:p>
    <w:p>
      <w:pPr>
        <w:pStyle w:val="BodyText"/>
        <w:spacing w:line="408" w:lineRule="auto"/>
        <w:ind w:left="154" w:right="1131"/>
        <w:jc w:val="both"/>
      </w:pPr>
      <w:r>
        <w:rPr>
          <w:spacing w:val="-1"/>
        </w:rPr>
        <w:t>流预测和规划体系，用于评估公司短期及中长期流动性风险；同时采取多种稳健的财务措施满足公司整体</w:t>
      </w:r>
      <w:r>
        <w:rPr>
          <w:spacing w:val="-81"/>
        </w:rPr>
        <w:t> </w:t>
      </w:r>
      <w:r>
        <w:rPr>
          <w:spacing w:val="-81"/>
        </w:rPr>
      </w:r>
      <w:r>
        <w:rPr>
          <w:spacing w:val="-1"/>
        </w:rPr>
        <w:t>现金流需求，包括资金集中管理、保持合理的资金存量、获取充分且有效的授信额度等，公司稳健的经营</w:t>
      </w:r>
      <w:r>
        <w:rPr>
          <w:spacing w:val="-86"/>
        </w:rPr>
        <w:t> </w:t>
      </w:r>
      <w:r>
        <w:rPr>
          <w:spacing w:val="-86"/>
        </w:rPr>
      </w:r>
      <w:r>
        <w:rPr/>
        <w:t>性现金流和充足的银行授信额度为公司规避流动性风险提供了重要的保障。截至</w:t>
      </w:r>
      <w:r>
        <w:rPr>
          <w:spacing w:val="-51"/>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4"/>
        </w:rPr>
        <w:t> </w:t>
      </w:r>
      <w:r>
        <w:rPr>
          <w:rFonts w:ascii="宋体" w:hAnsi="宋体" w:cs="宋体" w:eastAsia="宋体" w:hint="default"/>
        </w:rPr>
        <w:t>31</w:t>
      </w:r>
      <w:r>
        <w:rPr>
          <w:rFonts w:ascii="宋体" w:hAnsi="宋体" w:cs="宋体" w:eastAsia="宋体" w:hint="default"/>
          <w:spacing w:val="-52"/>
        </w:rPr>
        <w:t> </w:t>
      </w:r>
      <w:r>
        <w:rPr/>
        <w:t>日公司</w:t>
      </w:r>
    </w:p>
    <w:p>
      <w:pPr>
        <w:pStyle w:val="BodyText"/>
        <w:spacing w:line="240" w:lineRule="auto"/>
        <w:ind w:right="1046"/>
        <w:jc w:val="left"/>
      </w:pPr>
      <w:r>
        <w:rPr/>
        <w:t>已获得银行授信合计</w:t>
      </w:r>
      <w:r>
        <w:rPr>
          <w:spacing w:val="-53"/>
        </w:rPr>
        <w:t> </w:t>
      </w:r>
      <w:r>
        <w:rPr>
          <w:rFonts w:ascii="宋体" w:hAnsi="宋体" w:cs="宋体" w:eastAsia="宋体" w:hint="default"/>
        </w:rPr>
        <w:t>22.25</w:t>
      </w:r>
      <w:r>
        <w:rPr>
          <w:rFonts w:ascii="宋体" w:hAnsi="宋体" w:cs="宋体" w:eastAsia="宋体" w:hint="default"/>
          <w:spacing w:val="-52"/>
        </w:rPr>
        <w:t> </w:t>
      </w:r>
      <w:r>
        <w:rPr/>
        <w:t>亿元。</w:t>
      </w:r>
    </w:p>
    <w:p>
      <w:pPr>
        <w:spacing w:line="240" w:lineRule="auto" w:before="0"/>
        <w:rPr>
          <w:rFonts w:ascii="宋体" w:hAnsi="宋体" w:cs="宋体" w:eastAsia="宋体" w:hint="default"/>
          <w:sz w:val="20"/>
          <w:szCs w:val="20"/>
        </w:rPr>
      </w:pPr>
    </w:p>
    <w:p>
      <w:pPr>
        <w:pStyle w:val="Heading2"/>
        <w:spacing w:line="240" w:lineRule="auto" w:before="131"/>
        <w:ind w:right="1046"/>
        <w:jc w:val="left"/>
        <w:rPr>
          <w:b w:val="0"/>
          <w:bCs w:val="0"/>
        </w:rPr>
      </w:pPr>
      <w:bookmarkStart w:name="十一、关联方及关联交易" w:id="388"/>
      <w:bookmarkEnd w:id="388"/>
      <w:r>
        <w:rPr>
          <w:b w:val="0"/>
          <w:bCs w:val="0"/>
        </w:rPr>
      </w:r>
      <w:r>
        <w:rPr/>
        <w:t>十一、关联方及关联交易</w:t>
      </w:r>
      <w:r>
        <w:rPr>
          <w:b w:val="0"/>
          <w:bCs w:val="0"/>
        </w:rPr>
      </w:r>
    </w:p>
    <w:p>
      <w:pPr>
        <w:spacing w:line="240" w:lineRule="auto" w:before="8"/>
        <w:rPr>
          <w:rFonts w:ascii="宋体" w:hAnsi="宋体" w:cs="宋体" w:eastAsia="宋体" w:hint="default"/>
          <w:b/>
          <w:bCs/>
          <w:sz w:val="24"/>
          <w:szCs w:val="24"/>
        </w:rPr>
      </w:pPr>
    </w:p>
    <w:p>
      <w:pPr>
        <w:spacing w:line="568" w:lineRule="auto" w:before="0"/>
        <w:ind w:left="573" w:right="5503" w:hanging="420"/>
        <w:jc w:val="left"/>
        <w:rPr>
          <w:rFonts w:ascii="宋体" w:hAnsi="宋体" w:cs="宋体" w:eastAsia="宋体" w:hint="default"/>
          <w:sz w:val="21"/>
          <w:szCs w:val="21"/>
        </w:rPr>
      </w:pPr>
      <w:bookmarkStart w:name="1、本企业的母公司情况" w:id="389"/>
      <w:bookmarkEnd w:id="38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99"/>
          <w:sz w:val="21"/>
          <w:szCs w:val="21"/>
        </w:rPr>
        <w:t> </w:t>
      </w:r>
      <w:r>
        <w:rPr>
          <w:rFonts w:ascii="宋体" w:hAnsi="宋体" w:cs="宋体" w:eastAsia="宋体" w:hint="default"/>
          <w:sz w:val="21"/>
          <w:szCs w:val="21"/>
        </w:rPr>
        <w:t>本公司无母公司，实际控制人为自然人陈清州先生。</w:t>
      </w:r>
    </w:p>
    <w:p>
      <w:pPr>
        <w:pStyle w:val="Heading3"/>
        <w:spacing w:line="240" w:lineRule="auto" w:before="128"/>
        <w:ind w:left="153" w:right="1046"/>
        <w:jc w:val="left"/>
        <w:rPr>
          <w:b w:val="0"/>
          <w:bCs w:val="0"/>
        </w:rPr>
      </w:pPr>
      <w:bookmarkStart w:name="2、本企业的子公司情况" w:id="390"/>
      <w:bookmarkEnd w:id="390"/>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3" w:right="1046"/>
        <w:jc w:val="left"/>
      </w:pPr>
      <w:r>
        <w:rPr/>
        <w:t>本企业子公司的情况详见附注第九节</w:t>
      </w:r>
      <w:r>
        <w:rPr>
          <w:spacing w:val="-1"/>
        </w:rPr>
        <w:t> </w:t>
      </w:r>
      <w:r>
        <w:rPr>
          <w:rFonts w:ascii="宋体" w:hAnsi="宋体" w:cs="宋体" w:eastAsia="宋体" w:hint="default"/>
        </w:rPr>
        <w:t>1</w:t>
      </w:r>
      <w:r>
        <w:rPr/>
        <w:t>、在子公司中的权益。</w:t>
      </w:r>
    </w:p>
    <w:p>
      <w:pPr>
        <w:spacing w:line="240" w:lineRule="auto" w:before="0"/>
        <w:rPr>
          <w:rFonts w:ascii="宋体" w:hAnsi="宋体" w:cs="宋体" w:eastAsia="宋体" w:hint="default"/>
          <w:sz w:val="20"/>
          <w:szCs w:val="20"/>
        </w:rPr>
      </w:pPr>
    </w:p>
    <w:p>
      <w:pPr>
        <w:spacing w:line="568" w:lineRule="auto" w:before="154"/>
        <w:ind w:left="573" w:right="2458" w:hanging="420"/>
        <w:jc w:val="left"/>
        <w:rPr>
          <w:rFonts w:ascii="宋体" w:hAnsi="宋体" w:cs="宋体" w:eastAsia="宋体" w:hint="default"/>
          <w:sz w:val="21"/>
          <w:szCs w:val="21"/>
        </w:rPr>
      </w:pPr>
      <w:bookmarkStart w:name="3、本企业合营和联营企业情况" w:id="391"/>
      <w:bookmarkEnd w:id="391"/>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b/>
          <w:bCs/>
          <w:w w:val="99"/>
          <w:sz w:val="21"/>
          <w:szCs w:val="21"/>
        </w:rPr>
        <w:t> </w:t>
      </w:r>
      <w:r>
        <w:rPr>
          <w:rFonts w:ascii="宋体" w:hAnsi="宋体" w:cs="宋体" w:eastAsia="宋体" w:hint="default"/>
          <w:sz w:val="21"/>
          <w:szCs w:val="21"/>
        </w:rPr>
        <w:t>本企业重要的合营或联营企业详见附注第九节、</w:t>
      </w:r>
      <w:r>
        <w:rPr>
          <w:rFonts w:ascii="宋体" w:hAnsi="宋体" w:cs="宋体" w:eastAsia="宋体" w:hint="default"/>
          <w:sz w:val="21"/>
          <w:szCs w:val="21"/>
        </w:rPr>
        <w:t>3</w:t>
      </w:r>
      <w:r>
        <w:rPr>
          <w:rFonts w:ascii="宋体" w:hAnsi="宋体" w:cs="宋体" w:eastAsia="宋体" w:hint="default"/>
          <w:sz w:val="21"/>
          <w:szCs w:val="21"/>
        </w:rPr>
        <w:t>、在合营安排或联营企业中的权益。</w:t>
      </w:r>
    </w:p>
    <w:p>
      <w:pPr>
        <w:pStyle w:val="Heading3"/>
        <w:spacing w:line="240" w:lineRule="auto" w:before="128"/>
        <w:ind w:left="153" w:right="1046"/>
        <w:jc w:val="left"/>
        <w:rPr>
          <w:b w:val="0"/>
          <w:bCs w:val="0"/>
        </w:rPr>
      </w:pPr>
      <w:bookmarkStart w:name="4、其他关联方情况" w:id="392"/>
      <w:bookmarkEnd w:id="39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北京亚洲威讯科技有限公司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福建省泉州市威讯电子有限公司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广州市舟讯通讯设备有限公司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实际控制人兄长控制的公司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泉州灵讯电子有限公司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实际控制人侄女控制的公司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泉州市鲤城区好易通通讯器材有限公司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实际控制人外甥控制的公司</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泉州市鲤城中区昌龙电子配件店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实际控制人姐姐控制的个体工商户</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泉州市神舟通科技有限公司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实际控制人兄长控制的公司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深圳市铭强科技有限公司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深圳通信器材市场威讯经营部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实际控制人侄子控制的个体工商户</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天隆创建有限公司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深圳市好易通科技开发有限公司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深圳市潮瀚科技有限公司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泉州市中鑫通讯有限公司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实际控制人外甥控制的公司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深圳市六十一名庄贸易有限公司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实际控制人妻子之弟弟控制的公司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陈坚强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实际控制人兄长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陈纺织</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实际控制人姐姐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翁朝阳</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实际控制人妻弟</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陈明智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实际控制人侄子</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陈瑞玲</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实际控制人侄女</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陈静坤</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实际控制人外甥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吴长泰</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实际控制人外甥</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left="154" w:right="1197" w:firstLine="420"/>
        <w:jc w:val="left"/>
      </w:pPr>
      <w:r>
        <w:rPr/>
        <w:t>（</w:t>
      </w:r>
      <w:r>
        <w:rPr>
          <w:rFonts w:ascii="宋体" w:hAnsi="宋体" w:cs="宋体" w:eastAsia="宋体" w:hint="default"/>
        </w:rPr>
        <w:t>1</w:t>
      </w:r>
      <w:r>
        <w:rPr/>
        <w:t>）陈坚强为实际控制人陈清州的兄长，陈坚强实际控制广州市舟讯通讯设备有限公司和泉州市神 舟通科技有限公司。</w:t>
      </w:r>
    </w:p>
    <w:p>
      <w:pPr>
        <w:pStyle w:val="BodyText"/>
        <w:spacing w:line="240" w:lineRule="auto"/>
        <w:ind w:left="574" w:right="1046"/>
        <w:jc w:val="left"/>
      </w:pPr>
      <w:r>
        <w:rPr/>
        <w:t>（</w:t>
      </w:r>
      <w:r>
        <w:rPr>
          <w:rFonts w:ascii="宋体" w:hAnsi="宋体" w:cs="宋体" w:eastAsia="宋体" w:hint="default"/>
        </w:rPr>
        <w:t>2</w:t>
      </w:r>
      <w:r>
        <w:rPr/>
        <w:t>）陈纺织为实际控制人陈清州的三姐，陈纺织实际控制泉州市鲤城中区昌龙电子配件店。</w:t>
      </w:r>
    </w:p>
    <w:p>
      <w:pPr>
        <w:spacing w:line="240" w:lineRule="auto" w:before="10"/>
        <w:rPr>
          <w:rFonts w:ascii="宋体" w:hAnsi="宋体" w:cs="宋体" w:eastAsia="宋体" w:hint="default"/>
          <w:sz w:val="14"/>
          <w:szCs w:val="14"/>
        </w:rPr>
      </w:pPr>
    </w:p>
    <w:p>
      <w:pPr>
        <w:pStyle w:val="BodyText"/>
        <w:spacing w:line="408" w:lineRule="auto" w:before="0"/>
        <w:ind w:right="0" w:firstLine="420"/>
        <w:jc w:val="left"/>
      </w:pPr>
      <w:r>
        <w:rPr>
          <w:spacing w:val="-1"/>
        </w:rPr>
        <w:t>（</w:t>
      </w:r>
      <w:r>
        <w:rPr>
          <w:rFonts w:ascii="宋体" w:hAnsi="宋体" w:cs="宋体" w:eastAsia="宋体" w:hint="default"/>
          <w:spacing w:val="-1"/>
        </w:rPr>
        <w:t>3</w:t>
      </w:r>
      <w:r>
        <w:rPr>
          <w:spacing w:val="-1"/>
        </w:rPr>
        <w:t>）陈明智为实际控制人陈清州兄长陈坚强的儿子，陈明智实际控制深圳通信器材市场威讯经营部、</w:t>
      </w:r>
      <w:r>
        <w:rPr/>
        <w:t> 北京亚洲威讯科技有限公司和福建省泉州市威讯电子有限公司。</w:t>
      </w:r>
    </w:p>
    <w:p>
      <w:pPr>
        <w:pStyle w:val="BodyText"/>
        <w:spacing w:line="240" w:lineRule="auto"/>
        <w:ind w:left="573" w:right="1046"/>
        <w:jc w:val="left"/>
      </w:pPr>
      <w:r>
        <w:rPr/>
        <w:t>（</w:t>
      </w:r>
      <w:r>
        <w:rPr>
          <w:rFonts w:ascii="宋体" w:hAnsi="宋体" w:cs="宋体" w:eastAsia="宋体" w:hint="default"/>
        </w:rPr>
        <w:t>4</w:t>
      </w:r>
      <w:r>
        <w:rPr/>
        <w:t>）陈瑞玲为实际控制人陈清州兄长陈坚强的女儿，陈瑞玲实际控制泉州灵讯电子有限公司。</w:t>
      </w:r>
    </w:p>
    <w:p>
      <w:pPr>
        <w:spacing w:line="240" w:lineRule="auto" w:before="10"/>
        <w:rPr>
          <w:rFonts w:ascii="宋体" w:hAnsi="宋体" w:cs="宋体" w:eastAsia="宋体" w:hint="default"/>
          <w:sz w:val="14"/>
          <w:szCs w:val="14"/>
        </w:rPr>
      </w:pPr>
    </w:p>
    <w:p>
      <w:pPr>
        <w:pStyle w:val="BodyText"/>
        <w:spacing w:line="408" w:lineRule="auto" w:before="0"/>
        <w:ind w:left="154" w:right="1197" w:firstLine="420"/>
        <w:jc w:val="left"/>
      </w:pPr>
      <w:r>
        <w:rPr/>
        <w:t>（</w:t>
      </w:r>
      <w:r>
        <w:rPr>
          <w:rFonts w:ascii="宋体" w:hAnsi="宋体" w:cs="宋体" w:eastAsia="宋体" w:hint="default"/>
        </w:rPr>
        <w:t>5</w:t>
      </w:r>
      <w:r>
        <w:rPr/>
        <w:t>）翁朝阳为实际控制人陈清州妻弟，翁朝阳实际控制天隆创建有限公司、深圳市铭强科技有限公 司、深圳市好易通科技开发有限公司及深圳市潮瀚科技有限公司、深圳市六十一名庄贸易有限公司。</w:t>
      </w:r>
    </w:p>
    <w:p>
      <w:pPr>
        <w:pStyle w:val="BodyText"/>
        <w:spacing w:line="240" w:lineRule="auto"/>
        <w:ind w:left="573" w:right="1046"/>
        <w:jc w:val="left"/>
      </w:pPr>
      <w:r>
        <w:rPr/>
        <w:t>（</w:t>
      </w:r>
      <w:r>
        <w:rPr>
          <w:rFonts w:ascii="宋体" w:hAnsi="宋体" w:cs="宋体" w:eastAsia="宋体" w:hint="default"/>
        </w:rPr>
        <w:t>6</w:t>
      </w:r>
      <w:r>
        <w:rPr/>
        <w:t>）陈静坤为实际控制人陈清州外甥，陈静坤实际控制泉州市中鑫通讯有限公司。</w:t>
      </w:r>
    </w:p>
    <w:p>
      <w:pPr>
        <w:spacing w:line="240" w:lineRule="auto" w:before="10"/>
        <w:rPr>
          <w:rFonts w:ascii="宋体" w:hAnsi="宋体" w:cs="宋体" w:eastAsia="宋体" w:hint="default"/>
          <w:sz w:val="14"/>
          <w:szCs w:val="14"/>
        </w:rPr>
      </w:pPr>
    </w:p>
    <w:p>
      <w:pPr>
        <w:pStyle w:val="BodyText"/>
        <w:spacing w:line="240" w:lineRule="auto" w:before="0"/>
        <w:ind w:left="574" w:right="1046"/>
        <w:jc w:val="left"/>
      </w:pPr>
      <w:r>
        <w:rPr/>
        <w:t>（</w:t>
      </w:r>
      <w:r>
        <w:rPr>
          <w:rFonts w:ascii="宋体" w:hAnsi="宋体" w:cs="宋体" w:eastAsia="宋体" w:hint="default"/>
        </w:rPr>
        <w:t>7</w:t>
      </w:r>
      <w:r>
        <w:rPr/>
        <w:t>）吴长泰为实际控制人陈清州外甥，吴长泰实际控制泉州市鲤城区好易通通讯器材有限公司。</w:t>
      </w:r>
    </w:p>
    <w:p>
      <w:pPr>
        <w:spacing w:line="240" w:lineRule="auto" w:before="0"/>
        <w:rPr>
          <w:rFonts w:ascii="宋体" w:hAnsi="宋体" w:cs="宋体" w:eastAsia="宋体" w:hint="default"/>
          <w:sz w:val="20"/>
          <w:szCs w:val="20"/>
        </w:rPr>
      </w:pPr>
    </w:p>
    <w:p>
      <w:pPr>
        <w:pStyle w:val="Heading3"/>
        <w:spacing w:line="240" w:lineRule="auto" w:before="154"/>
        <w:ind w:right="1046"/>
        <w:jc w:val="left"/>
        <w:rPr>
          <w:b w:val="0"/>
          <w:bCs w:val="0"/>
        </w:rPr>
      </w:pPr>
      <w:bookmarkStart w:name="5、关联交易情况" w:id="393"/>
      <w:bookmarkEnd w:id="39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购销商品、提供和接受劳务的关联交易" w:id="394"/>
      <w:bookmarkEnd w:id="39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1046"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400"/>
        <w:gridCol w:w="2259"/>
        <w:gridCol w:w="2260"/>
        <w:gridCol w:w="2652"/>
      </w:tblGrid>
      <w:tr>
        <w:trPr>
          <w:trHeight w:val="714"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7"/>
              <w:jc w:val="left"/>
              <w:rPr>
                <w:rFonts w:ascii="宋体" w:hAnsi="宋体" w:cs="宋体" w:eastAsia="宋体" w:hint="default"/>
                <w:sz w:val="18"/>
                <w:szCs w:val="18"/>
              </w:rPr>
            </w:pPr>
            <w:r>
              <w:rPr>
                <w:rFonts w:ascii="宋体" w:hAnsi="宋体" w:cs="宋体" w:eastAsia="宋体" w:hint="default"/>
                <w:sz w:val="18"/>
                <w:szCs w:val="18"/>
              </w:rPr>
              <w:t>深圳市六十一名庄贸易有限公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其他采购</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5" w:right="0"/>
              <w:jc w:val="left"/>
              <w:rPr>
                <w:rFonts w:ascii="Times New Roman" w:hAnsi="Times New Roman" w:cs="Times New Roman" w:eastAsia="Times New Roman" w:hint="default"/>
                <w:sz w:val="18"/>
                <w:szCs w:val="18"/>
              </w:rPr>
            </w:pPr>
            <w:r>
              <w:rPr>
                <w:rFonts w:ascii="Times New Roman"/>
                <w:sz w:val="18"/>
              </w:rPr>
              <w:t>338,280.00</w:t>
            </w:r>
          </w:p>
        </w:tc>
        <w:tc>
          <w:tcPr>
            <w:tcW w:w="265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北京亚洲威讯科技有限公司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3,024,650.43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4,064,667.37</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广州市舟讯通讯设备有限公司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251,264.96</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泉州灵讯电子有限公司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886,542.74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3,401,538.93</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泉州市鲤城区好易通通讯器材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终端产品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1,083,835.90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936,235.77</w:t>
            </w: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5,584,574.03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8,402,442.07</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0"/>
        <w:rPr>
          <w:rFonts w:ascii="宋体" w:hAnsi="宋体" w:cs="宋体" w:eastAsia="宋体" w:hint="default"/>
          <w:sz w:val="26"/>
          <w:szCs w:val="26"/>
        </w:rPr>
      </w:pPr>
    </w:p>
    <w:p>
      <w:pPr>
        <w:pStyle w:val="Heading3"/>
        <w:spacing w:line="240" w:lineRule="auto"/>
        <w:ind w:right="1046"/>
        <w:jc w:val="left"/>
        <w:rPr>
          <w:b w:val="0"/>
          <w:bCs w:val="0"/>
        </w:rPr>
      </w:pPr>
      <w:bookmarkStart w:name="（2）关联受托管理/承包及委托管理/出包情况" w:id="395"/>
      <w:bookmarkEnd w:id="395"/>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6"/>
        <w:jc w:val="left"/>
        <w:rPr>
          <w:b w:val="0"/>
          <w:bCs w:val="0"/>
        </w:rPr>
      </w:pPr>
      <w:bookmarkStart w:name="（3）关联租赁情况" w:id="396"/>
      <w:bookmarkEnd w:id="396"/>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4）关联担保情况" w:id="397"/>
      <w:bookmarkEnd w:id="39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56"/>
        <w:gridCol w:w="1984"/>
        <w:gridCol w:w="1134"/>
        <w:gridCol w:w="1702"/>
        <w:gridCol w:w="1844"/>
        <w:gridCol w:w="850"/>
      </w:tblGrid>
      <w:tr>
        <w:trPr>
          <w:trHeight w:val="89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担保方</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被担保方</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担保金额</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15"/>
                <w:szCs w:val="15"/>
              </w:rPr>
            </w:pPr>
            <w:r>
              <w:rPr>
                <w:rFonts w:ascii="宋体" w:hAnsi="宋体" w:cs="宋体" w:eastAsia="宋体" w:hint="default"/>
                <w:sz w:val="15"/>
                <w:szCs w:val="15"/>
              </w:rPr>
              <w:t>（万元）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5"/>
                <w:szCs w:val="15"/>
              </w:rPr>
            </w:pPr>
            <w:r>
              <w:rPr>
                <w:rFonts w:ascii="宋体" w:hAnsi="宋体" w:cs="宋体" w:eastAsia="宋体" w:hint="default"/>
                <w:sz w:val="15"/>
                <w:szCs w:val="15"/>
              </w:rPr>
              <w:t>担保起始日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5"/>
                <w:szCs w:val="15"/>
              </w:rPr>
            </w:pPr>
            <w:r>
              <w:rPr>
                <w:rFonts w:ascii="宋体" w:hAnsi="宋体" w:cs="宋体" w:eastAsia="宋体" w:hint="default"/>
                <w:sz w:val="15"/>
                <w:szCs w:val="15"/>
              </w:rPr>
              <w:t>担保到期日</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381" w:lineRule="auto"/>
              <w:ind w:left="44" w:right="43"/>
              <w:jc w:val="left"/>
              <w:rPr>
                <w:rFonts w:ascii="宋体" w:hAnsi="宋体" w:cs="宋体" w:eastAsia="宋体" w:hint="default"/>
                <w:sz w:val="15"/>
                <w:szCs w:val="15"/>
              </w:rPr>
            </w:pPr>
            <w:r>
              <w:rPr>
                <w:rFonts w:ascii="宋体" w:hAnsi="宋体" w:cs="宋体" w:eastAsia="宋体" w:hint="default"/>
                <w:sz w:val="15"/>
                <w:szCs w:val="15"/>
              </w:rPr>
              <w:t>担保是否已 经履行完毕</w:t>
            </w:r>
          </w:p>
        </w:tc>
      </w:tr>
      <w:tr>
        <w:trPr>
          <w:trHeight w:val="966"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3"/>
              <w:ind w:left="21" w:right="22" w:firstLine="1"/>
              <w:jc w:val="center"/>
              <w:rPr>
                <w:rFonts w:ascii="宋体" w:hAnsi="宋体" w:cs="宋体" w:eastAsia="宋体" w:hint="default"/>
                <w:sz w:val="15"/>
                <w:szCs w:val="15"/>
              </w:rPr>
            </w:pPr>
            <w:r>
              <w:rPr>
                <w:rFonts w:ascii="宋体" w:hAnsi="宋体" w:cs="宋体" w:eastAsia="宋体" w:hint="default"/>
                <w:sz w:val="15"/>
                <w:szCs w:val="15"/>
              </w:rPr>
              <w:t>深圳市海能达技术服务有限公 司、陈清州、哈尔滨海能达科技 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18</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43"/>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6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3"/>
              <w:ind w:left="772" w:right="22" w:hanging="751"/>
              <w:jc w:val="left"/>
              <w:rPr>
                <w:rFonts w:ascii="宋体" w:hAnsi="宋体" w:cs="宋体" w:eastAsia="宋体" w:hint="default"/>
                <w:sz w:val="15"/>
                <w:szCs w:val="15"/>
              </w:rPr>
            </w:pPr>
            <w:r>
              <w:rPr>
                <w:rFonts w:ascii="宋体" w:hAnsi="宋体" w:cs="宋体" w:eastAsia="宋体" w:hint="default"/>
                <w:sz w:val="15"/>
                <w:szCs w:val="15"/>
              </w:rPr>
              <w:t>陈清州、深圳市海能达技术服务 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35,000.00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宋体" w:hAnsi="宋体" w:cs="宋体" w:eastAsia="宋体" w:hint="default"/>
                <w:sz w:val="15"/>
                <w:szCs w:val="15"/>
              </w:rPr>
              <w:t>年</w:t>
            </w:r>
            <w:r>
              <w:rPr>
                <w:rFonts w:ascii="Times New Roman" w:hAnsi="Times New Roman" w:cs="Times New Roman" w:eastAsia="Times New Roman" w:hint="default"/>
                <w:sz w:val="15"/>
                <w:szCs w:val="15"/>
              </w:rPr>
              <w:t>3</w:t>
            </w:r>
            <w:r>
              <w:rPr>
                <w:rFonts w:ascii="宋体" w:hAnsi="宋体" w:cs="宋体" w:eastAsia="宋体" w:hint="default"/>
                <w:sz w:val="15"/>
                <w:szCs w:val="15"/>
              </w:rPr>
              <w:t>月</w:t>
            </w:r>
            <w:r>
              <w:rPr>
                <w:rFonts w:ascii="Times New Roman" w:hAnsi="Times New Roman" w:cs="Times New Roman" w:eastAsia="Times New Roman" w:hint="default"/>
                <w:sz w:val="15"/>
                <w:szCs w:val="15"/>
              </w:rPr>
              <w:t>10</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43"/>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6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3"/>
              <w:ind w:left="922" w:right="22" w:hanging="901"/>
              <w:jc w:val="left"/>
              <w:rPr>
                <w:rFonts w:ascii="宋体" w:hAnsi="宋体" w:cs="宋体" w:eastAsia="宋体" w:hint="default"/>
                <w:sz w:val="15"/>
                <w:szCs w:val="15"/>
              </w:rPr>
            </w:pPr>
            <w:r>
              <w:rPr>
                <w:rFonts w:ascii="宋体" w:hAnsi="宋体" w:cs="宋体" w:eastAsia="宋体" w:hint="default"/>
                <w:sz w:val="15"/>
                <w:szCs w:val="15"/>
              </w:rPr>
              <w:t>陈清州、深圳市海能达通信有限 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18,000.00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43"/>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6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3"/>
              <w:ind w:left="922" w:right="22" w:hanging="901"/>
              <w:jc w:val="left"/>
              <w:rPr>
                <w:rFonts w:ascii="宋体" w:hAnsi="宋体" w:cs="宋体" w:eastAsia="宋体" w:hint="default"/>
                <w:sz w:val="15"/>
                <w:szCs w:val="15"/>
              </w:rPr>
            </w:pPr>
            <w:r>
              <w:rPr>
                <w:rFonts w:ascii="宋体" w:hAnsi="宋体" w:cs="宋体" w:eastAsia="宋体" w:hint="default"/>
                <w:sz w:val="15"/>
                <w:szCs w:val="15"/>
              </w:rPr>
              <w:t>陈清州、深圳市海天朗科技有限 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14,000.00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宋体" w:hAnsi="宋体" w:cs="宋体" w:eastAsia="宋体" w:hint="default"/>
                <w:sz w:val="15"/>
                <w:szCs w:val="15"/>
              </w:rPr>
              <w:t>年</w:t>
            </w:r>
            <w:r>
              <w:rPr>
                <w:rFonts w:ascii="Times New Roman" w:hAnsi="Times New Roman" w:cs="Times New Roman" w:eastAsia="Times New Roman" w:hint="default"/>
                <w:sz w:val="15"/>
                <w:szCs w:val="15"/>
              </w:rPr>
              <w:t>8</w:t>
            </w:r>
            <w:r>
              <w:rPr>
                <w:rFonts w:ascii="宋体" w:hAnsi="宋体" w:cs="宋体" w:eastAsia="宋体" w:hint="default"/>
                <w:sz w:val="15"/>
                <w:szCs w:val="15"/>
              </w:rPr>
              <w:t>月</w:t>
            </w:r>
            <w:r>
              <w:rPr>
                <w:rFonts w:ascii="Times New Roman" w:hAnsi="Times New Roman" w:cs="Times New Roman" w:eastAsia="Times New Roman" w:hint="default"/>
                <w:sz w:val="15"/>
                <w:szCs w:val="15"/>
              </w:rPr>
              <w:t>18</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43"/>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6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3"/>
              <w:ind w:left="772" w:right="22" w:hanging="751"/>
              <w:jc w:val="left"/>
              <w:rPr>
                <w:rFonts w:ascii="宋体" w:hAnsi="宋体" w:cs="宋体" w:eastAsia="宋体" w:hint="default"/>
                <w:sz w:val="15"/>
                <w:szCs w:val="15"/>
              </w:rPr>
            </w:pPr>
            <w:r>
              <w:rPr>
                <w:rFonts w:ascii="宋体" w:hAnsi="宋体" w:cs="宋体" w:eastAsia="宋体" w:hint="default"/>
                <w:sz w:val="15"/>
                <w:szCs w:val="15"/>
              </w:rPr>
              <w:t>陈清州、深圳市海能达技术服务 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宋体" w:hAnsi="宋体" w:cs="宋体" w:eastAsia="宋体" w:hint="default"/>
                <w:sz w:val="15"/>
                <w:szCs w:val="15"/>
              </w:rPr>
              <w:t>年</w:t>
            </w:r>
            <w:r>
              <w:rPr>
                <w:rFonts w:ascii="Times New Roman" w:hAnsi="Times New Roman" w:cs="Times New Roman" w:eastAsia="Times New Roman" w:hint="default"/>
                <w:sz w:val="15"/>
                <w:szCs w:val="15"/>
              </w:rPr>
              <w:t>9</w:t>
            </w:r>
            <w:r>
              <w:rPr>
                <w:rFonts w:ascii="宋体" w:hAnsi="宋体" w:cs="宋体" w:eastAsia="宋体" w:hint="default"/>
                <w:sz w:val="15"/>
                <w:szCs w:val="15"/>
              </w:rPr>
              <w:t>月</w:t>
            </w:r>
            <w:r>
              <w:rPr>
                <w:rFonts w:ascii="Times New Roman" w:hAnsi="Times New Roman" w:cs="Times New Roman" w:eastAsia="Times New Roman" w:hint="default"/>
                <w:sz w:val="15"/>
                <w:szCs w:val="15"/>
              </w:rPr>
              <w:t>28</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43"/>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陈清州</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宋体" w:hAnsi="宋体" w:cs="宋体" w:eastAsia="宋体" w:hint="default"/>
                <w:sz w:val="15"/>
                <w:szCs w:val="15"/>
              </w:rPr>
              <w:t>年</w:t>
            </w:r>
            <w:r>
              <w:rPr>
                <w:rFonts w:ascii="Times New Roman" w:hAnsi="Times New Roman" w:cs="Times New Roman" w:eastAsia="Times New Roman" w:hint="default"/>
                <w:sz w:val="15"/>
                <w:szCs w:val="15"/>
              </w:rPr>
              <w:t>10</w:t>
            </w:r>
            <w:r>
              <w:rPr>
                <w:rFonts w:ascii="宋体" w:hAnsi="宋体" w:cs="宋体" w:eastAsia="宋体" w:hint="default"/>
                <w:sz w:val="15"/>
                <w:szCs w:val="15"/>
              </w:rPr>
              <w:t>月</w:t>
            </w:r>
            <w:r>
              <w:rPr>
                <w:rFonts w:ascii="Times New Roman" w:hAnsi="Times New Roman" w:cs="Times New Roman" w:eastAsia="Times New Roman" w:hint="default"/>
                <w:sz w:val="15"/>
                <w:szCs w:val="15"/>
              </w:rPr>
              <w:t>16</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43"/>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96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3"/>
              <w:ind w:left="21" w:right="22"/>
              <w:jc w:val="center"/>
              <w:rPr>
                <w:rFonts w:ascii="宋体" w:hAnsi="宋体" w:cs="宋体" w:eastAsia="宋体" w:hint="default"/>
                <w:sz w:val="15"/>
                <w:szCs w:val="15"/>
              </w:rPr>
            </w:pPr>
            <w:r>
              <w:rPr>
                <w:rFonts w:ascii="宋体" w:hAnsi="宋体" w:cs="宋体" w:eastAsia="宋体" w:hint="default"/>
                <w:sz w:val="15"/>
                <w:szCs w:val="15"/>
              </w:rPr>
              <w:t>陈清州、哈尔滨海能达科技有限 公司、深圳市海能达技术服务有 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Times New Roman" w:hAnsi="Times New Roman" w:cs="Times New Roman" w:eastAsia="Times New Roman" w:hint="default"/>
                <w:sz w:val="15"/>
                <w:szCs w:val="15"/>
              </w:rPr>
            </w:pPr>
            <w:r>
              <w:rPr>
                <w:rFonts w:ascii="Times New Roman"/>
                <w:sz w:val="15"/>
              </w:rPr>
              <w:t>20,000.00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24</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343"/>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967"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4"/>
              <w:ind w:left="21" w:right="22"/>
              <w:jc w:val="center"/>
              <w:rPr>
                <w:rFonts w:ascii="宋体" w:hAnsi="宋体" w:cs="宋体" w:eastAsia="宋体" w:hint="default"/>
                <w:sz w:val="15"/>
                <w:szCs w:val="15"/>
              </w:rPr>
            </w:pPr>
            <w:r>
              <w:rPr>
                <w:rFonts w:ascii="宋体" w:hAnsi="宋体" w:cs="宋体" w:eastAsia="宋体" w:hint="default"/>
                <w:sz w:val="15"/>
                <w:szCs w:val="15"/>
              </w:rPr>
              <w:t>陈清州、深圳市海能达通信有限 公司、深圳市海能达技术服务有 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1"/>
              <w:jc w:val="center"/>
              <w:rPr>
                <w:rFonts w:ascii="Times New Roman" w:hAnsi="Times New Roman" w:cs="Times New Roman" w:eastAsia="Times New Roman" w:hint="default"/>
                <w:sz w:val="15"/>
                <w:szCs w:val="15"/>
              </w:rPr>
            </w:pPr>
            <w:r>
              <w:rPr>
                <w:rFonts w:ascii="Times New Roman"/>
                <w:sz w:val="15"/>
              </w:rPr>
              <w:t>10,000.00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15</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43"/>
              <w:jc w:val="right"/>
              <w:rPr>
                <w:rFonts w:ascii="宋体" w:hAnsi="宋体" w:cs="宋体" w:eastAsia="宋体" w:hint="default"/>
                <w:sz w:val="15"/>
                <w:szCs w:val="15"/>
              </w:rPr>
            </w:pPr>
            <w:r>
              <w:rPr>
                <w:rFonts w:ascii="宋体" w:hAnsi="宋体" w:cs="宋体" w:eastAsia="宋体" w:hint="default"/>
                <w:sz w:val="15"/>
                <w:szCs w:val="15"/>
              </w:rPr>
              <w:t>否</w:t>
            </w:r>
          </w:p>
        </w:tc>
      </w:tr>
    </w:tbl>
    <w:p>
      <w:pPr>
        <w:spacing w:after="0" w:line="240" w:lineRule="auto"/>
        <w:jc w:val="right"/>
        <w:rPr>
          <w:rFonts w:ascii="宋体" w:hAnsi="宋体" w:cs="宋体" w:eastAsia="宋体" w:hint="default"/>
          <w:sz w:val="15"/>
          <w:szCs w:val="15"/>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56"/>
        <w:gridCol w:w="1984"/>
        <w:gridCol w:w="1134"/>
        <w:gridCol w:w="1702"/>
        <w:gridCol w:w="1844"/>
        <w:gridCol w:w="850"/>
      </w:tblGrid>
      <w:tr>
        <w:trPr>
          <w:trHeight w:val="3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陈清州、翁丽敏</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本公司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0"/>
              <w:jc w:val="right"/>
              <w:rPr>
                <w:rFonts w:ascii="Times New Roman" w:hAnsi="Times New Roman" w:cs="Times New Roman" w:eastAsia="Times New Roman" w:hint="default"/>
                <w:sz w:val="15"/>
                <w:szCs w:val="15"/>
              </w:rPr>
            </w:pPr>
            <w:r>
              <w:rPr>
                <w:rFonts w:ascii="Times New Roman"/>
                <w:spacing w:val="-1"/>
                <w:sz w:val="15"/>
              </w:rPr>
              <w:t>10,000.00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宋体" w:hAnsi="宋体" w:cs="宋体" w:eastAsia="宋体" w:hint="default"/>
                <w:sz w:val="15"/>
                <w:szCs w:val="15"/>
              </w:rPr>
              <w:t>年</w:t>
            </w:r>
            <w:r>
              <w:rPr>
                <w:rFonts w:ascii="Times New Roman" w:hAnsi="Times New Roman" w:cs="Times New Roman" w:eastAsia="Times New Roman" w:hint="default"/>
                <w:sz w:val="15"/>
                <w:szCs w:val="15"/>
              </w:rPr>
              <w:t>6</w:t>
            </w:r>
            <w:r>
              <w:rPr>
                <w:rFonts w:ascii="宋体" w:hAnsi="宋体" w:cs="宋体" w:eastAsia="宋体" w:hint="default"/>
                <w:sz w:val="15"/>
                <w:szCs w:val="15"/>
              </w:rPr>
              <w:t>月</w:t>
            </w:r>
            <w:r>
              <w:rPr>
                <w:rFonts w:ascii="Times New Roman" w:hAnsi="Times New Roman" w:cs="Times New Roman" w:eastAsia="Times New Roman" w:hint="default"/>
                <w:sz w:val="15"/>
                <w:szCs w:val="15"/>
              </w:rPr>
              <w:t>23</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0"/>
              <w:jc w:val="right"/>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43"/>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海能达通信股份有限公司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深圳市海能达通信有限公司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54"/>
              <w:jc w:val="right"/>
              <w:rPr>
                <w:rFonts w:ascii="Times New Roman" w:hAnsi="Times New Roman" w:cs="Times New Roman" w:eastAsia="Times New Roman" w:hint="default"/>
                <w:sz w:val="15"/>
                <w:szCs w:val="15"/>
              </w:rPr>
            </w:pPr>
            <w:r>
              <w:rPr>
                <w:rFonts w:ascii="Times New Roman"/>
                <w:spacing w:val="-1"/>
                <w:sz w:val="15"/>
              </w:rPr>
              <w:t>500.00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宋体" w:hAnsi="宋体" w:cs="宋体" w:eastAsia="宋体" w:hint="default"/>
                <w:sz w:val="15"/>
                <w:szCs w:val="15"/>
              </w:rPr>
              <w:t>年</w:t>
            </w:r>
            <w:r>
              <w:rPr>
                <w:rFonts w:ascii="Times New Roman" w:hAnsi="Times New Roman" w:cs="Times New Roman" w:eastAsia="Times New Roman" w:hint="default"/>
                <w:sz w:val="15"/>
                <w:szCs w:val="15"/>
              </w:rPr>
              <w:t>6</w:t>
            </w:r>
            <w:r>
              <w:rPr>
                <w:rFonts w:ascii="宋体" w:hAnsi="宋体" w:cs="宋体" w:eastAsia="宋体" w:hint="default"/>
                <w:sz w:val="15"/>
                <w:szCs w:val="15"/>
              </w:rPr>
              <w:t>月</w:t>
            </w:r>
            <w:r>
              <w:rPr>
                <w:rFonts w:ascii="Times New Roman" w:hAnsi="Times New Roman" w:cs="Times New Roman" w:eastAsia="Times New Roman" w:hint="default"/>
                <w:sz w:val="15"/>
                <w:szCs w:val="15"/>
              </w:rPr>
              <w:t>13</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0"/>
              <w:jc w:val="right"/>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43"/>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6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海能达通信股份有限公司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4"/>
              <w:ind w:left="911" w:right="10" w:hanging="900"/>
              <w:jc w:val="left"/>
              <w:rPr>
                <w:rFonts w:ascii="宋体" w:hAnsi="宋体" w:cs="宋体" w:eastAsia="宋体" w:hint="default"/>
                <w:sz w:val="15"/>
                <w:szCs w:val="15"/>
              </w:rPr>
            </w:pPr>
            <w:r>
              <w:rPr>
                <w:rFonts w:ascii="宋体" w:hAnsi="宋体" w:cs="宋体" w:eastAsia="宋体" w:hint="default"/>
                <w:sz w:val="15"/>
                <w:szCs w:val="15"/>
              </w:rPr>
              <w:t>深圳市海能达技术服务有限公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98"/>
              <w:jc w:val="right"/>
              <w:rPr>
                <w:rFonts w:ascii="Times New Roman" w:hAnsi="Times New Roman" w:cs="Times New Roman" w:eastAsia="Times New Roman" w:hint="default"/>
                <w:sz w:val="15"/>
                <w:szCs w:val="15"/>
              </w:rPr>
            </w:pPr>
            <w:r>
              <w:rPr>
                <w:rFonts w:ascii="Times New Roman"/>
                <w:spacing w:val="-1"/>
                <w:sz w:val="15"/>
              </w:rPr>
              <w:t>1,000.00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2014</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24</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0"/>
              <w:jc w:val="right"/>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43"/>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654"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center"/>
              <w:rPr>
                <w:rFonts w:ascii="宋体" w:hAnsi="宋体" w:cs="宋体" w:eastAsia="宋体" w:hint="default"/>
                <w:sz w:val="15"/>
                <w:szCs w:val="15"/>
              </w:rPr>
            </w:pPr>
            <w:r>
              <w:rPr>
                <w:rFonts w:ascii="宋体" w:hAnsi="宋体" w:cs="宋体" w:eastAsia="宋体" w:hint="default"/>
                <w:sz w:val="15"/>
                <w:szCs w:val="15"/>
              </w:rPr>
              <w:t>海能达通信股份有限公司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381" w:lineRule="auto" w:before="45"/>
              <w:ind w:left="911" w:right="10" w:hanging="900"/>
              <w:jc w:val="left"/>
              <w:rPr>
                <w:rFonts w:ascii="宋体" w:hAnsi="宋体" w:cs="宋体" w:eastAsia="宋体" w:hint="default"/>
                <w:sz w:val="15"/>
                <w:szCs w:val="15"/>
              </w:rPr>
            </w:pPr>
            <w:r>
              <w:rPr>
                <w:rFonts w:ascii="宋体" w:hAnsi="宋体" w:cs="宋体" w:eastAsia="宋体" w:hint="default"/>
                <w:sz w:val="15"/>
                <w:szCs w:val="15"/>
              </w:rPr>
              <w:t>鹤壁天海电子信息系统有限公 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260"/>
              <w:jc w:val="right"/>
              <w:rPr>
                <w:rFonts w:ascii="Times New Roman" w:hAnsi="Times New Roman" w:cs="Times New Roman" w:eastAsia="Times New Roman" w:hint="default"/>
                <w:sz w:val="15"/>
                <w:szCs w:val="15"/>
              </w:rPr>
            </w:pPr>
            <w:r>
              <w:rPr>
                <w:rFonts w:ascii="Times New Roman"/>
                <w:spacing w:val="-1"/>
                <w:sz w:val="15"/>
              </w:rPr>
              <w:t>10,000.00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center"/>
              <w:rPr>
                <w:rFonts w:ascii="宋体" w:hAnsi="宋体" w:cs="宋体" w:eastAsia="宋体" w:hint="default"/>
                <w:sz w:val="15"/>
                <w:szCs w:val="15"/>
              </w:rPr>
            </w:pPr>
            <w:r>
              <w:rPr>
                <w:rFonts w:ascii="Times New Roman" w:hAnsi="Times New Roman" w:cs="Times New Roman" w:eastAsia="Times New Roman" w:hint="default"/>
                <w:sz w:val="15"/>
                <w:szCs w:val="15"/>
              </w:rPr>
              <w:t>2013</w:t>
            </w:r>
            <w:r>
              <w:rPr>
                <w:rFonts w:ascii="宋体" w:hAnsi="宋体" w:cs="宋体" w:eastAsia="宋体" w:hint="default"/>
                <w:sz w:val="15"/>
                <w:szCs w:val="15"/>
              </w:rPr>
              <w:t>年</w:t>
            </w:r>
            <w:r>
              <w:rPr>
                <w:rFonts w:ascii="Times New Roman" w:hAnsi="Times New Roman" w:cs="Times New Roman" w:eastAsia="Times New Roman" w:hint="default"/>
                <w:sz w:val="15"/>
                <w:szCs w:val="15"/>
              </w:rPr>
              <w:t>10</w:t>
            </w:r>
            <w:r>
              <w:rPr>
                <w:rFonts w:ascii="宋体" w:hAnsi="宋体" w:cs="宋体" w:eastAsia="宋体" w:hint="default"/>
                <w:sz w:val="15"/>
                <w:szCs w:val="15"/>
              </w:rPr>
              <w:t>月</w:t>
            </w:r>
            <w:r>
              <w:rPr>
                <w:rFonts w:ascii="Times New Roman" w:hAnsi="Times New Roman" w:cs="Times New Roman" w:eastAsia="Times New Roman" w:hint="default"/>
                <w:sz w:val="15"/>
                <w:szCs w:val="15"/>
              </w:rPr>
              <w:t>17</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90"/>
              <w:jc w:val="right"/>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343"/>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海能达通信股份有限公司</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宋体" w:hAnsi="宋体" w:cs="宋体" w:eastAsia="宋体" w:hint="default"/>
                <w:sz w:val="15"/>
                <w:szCs w:val="15"/>
              </w:rPr>
              <w:t>哈尔滨海能达科技有限公司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left="374" w:right="0"/>
              <w:jc w:val="left"/>
              <w:rPr>
                <w:rFonts w:ascii="Times New Roman" w:hAnsi="Times New Roman" w:cs="Times New Roman" w:eastAsia="Times New Roman" w:hint="default"/>
                <w:sz w:val="15"/>
                <w:szCs w:val="15"/>
              </w:rPr>
            </w:pPr>
            <w:r>
              <w:rPr>
                <w:rFonts w:ascii="Times New Roman"/>
                <w:sz w:val="15"/>
              </w:rPr>
              <w:t>20000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宋体" w:hAnsi="宋体" w:cs="宋体" w:eastAsia="宋体" w:hint="default"/>
                <w:sz w:val="15"/>
                <w:szCs w:val="15"/>
              </w:rPr>
              <w:t>年</w:t>
            </w:r>
            <w:r>
              <w:rPr>
                <w:rFonts w:ascii="Times New Roman" w:hAnsi="Times New Roman" w:cs="Times New Roman" w:eastAsia="Times New Roman" w:hint="default"/>
                <w:sz w:val="15"/>
                <w:szCs w:val="15"/>
              </w:rPr>
              <w:t>4</w:t>
            </w:r>
            <w:r>
              <w:rPr>
                <w:rFonts w:ascii="宋体" w:hAnsi="宋体" w:cs="宋体" w:eastAsia="宋体" w:hint="default"/>
                <w:sz w:val="15"/>
                <w:szCs w:val="15"/>
              </w:rPr>
              <w:t>月</w:t>
            </w:r>
            <w:r>
              <w:rPr>
                <w:rFonts w:ascii="Times New Roman" w:hAnsi="Times New Roman" w:cs="Times New Roman" w:eastAsia="Times New Roman" w:hint="default"/>
                <w:sz w:val="15"/>
                <w:szCs w:val="15"/>
              </w:rPr>
              <w:t>23</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0"/>
              <w:jc w:val="right"/>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43"/>
              <w:jc w:val="right"/>
              <w:rPr>
                <w:rFonts w:ascii="宋体" w:hAnsi="宋体" w:cs="宋体" w:eastAsia="宋体" w:hint="default"/>
                <w:sz w:val="15"/>
                <w:szCs w:val="15"/>
              </w:rPr>
            </w:pPr>
            <w:r>
              <w:rPr>
                <w:rFonts w:ascii="宋体" w:hAnsi="宋体" w:cs="宋体" w:eastAsia="宋体" w:hint="default"/>
                <w:sz w:val="15"/>
                <w:szCs w:val="15"/>
              </w:rPr>
              <w:t>否</w:t>
            </w:r>
          </w:p>
        </w:tc>
      </w:tr>
      <w:tr>
        <w:trPr>
          <w:trHeight w:val="342"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陈清州</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0"/>
              <w:jc w:val="center"/>
              <w:rPr>
                <w:rFonts w:ascii="宋体" w:hAnsi="宋体" w:cs="宋体" w:eastAsia="宋体" w:hint="default"/>
                <w:sz w:val="15"/>
                <w:szCs w:val="15"/>
              </w:rPr>
            </w:pPr>
            <w:r>
              <w:rPr>
                <w:rFonts w:ascii="宋体" w:hAnsi="宋体" w:cs="宋体" w:eastAsia="宋体" w:hint="default"/>
                <w:sz w:val="15"/>
                <w:szCs w:val="15"/>
              </w:rPr>
              <w:t>海能达通信（香港）有限公司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8"/>
              <w:ind w:right="354"/>
              <w:jc w:val="right"/>
              <w:rPr>
                <w:rFonts w:ascii="Times New Roman" w:hAnsi="Times New Roman" w:cs="Times New Roman" w:eastAsia="Times New Roman" w:hint="default"/>
                <w:sz w:val="15"/>
                <w:szCs w:val="15"/>
              </w:rPr>
            </w:pPr>
            <w:r>
              <w:rPr>
                <w:rFonts w:ascii="Times New Roman"/>
                <w:spacing w:val="-1"/>
                <w:sz w:val="15"/>
              </w:rPr>
              <w:t>946.68</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1"/>
              <w:jc w:val="center"/>
              <w:rPr>
                <w:rFonts w:ascii="宋体" w:hAnsi="宋体" w:cs="宋体" w:eastAsia="宋体" w:hint="default"/>
                <w:sz w:val="15"/>
                <w:szCs w:val="15"/>
              </w:rPr>
            </w:pPr>
            <w:r>
              <w:rPr>
                <w:rFonts w:ascii="Times New Roman" w:hAnsi="Times New Roman" w:cs="Times New Roman" w:eastAsia="Times New Roman" w:hint="default"/>
                <w:sz w:val="15"/>
                <w:szCs w:val="15"/>
              </w:rPr>
              <w:t>2012</w:t>
            </w:r>
            <w:r>
              <w:rPr>
                <w:rFonts w:ascii="宋体" w:hAnsi="宋体" w:cs="宋体" w:eastAsia="宋体" w:hint="default"/>
                <w:sz w:val="15"/>
                <w:szCs w:val="15"/>
              </w:rPr>
              <w:t>年</w:t>
            </w:r>
            <w:r>
              <w:rPr>
                <w:rFonts w:ascii="Times New Roman" w:hAnsi="Times New Roman" w:cs="Times New Roman" w:eastAsia="Times New Roman" w:hint="default"/>
                <w:sz w:val="15"/>
                <w:szCs w:val="15"/>
              </w:rPr>
              <w:t>12</w:t>
            </w:r>
            <w:r>
              <w:rPr>
                <w:rFonts w:ascii="宋体" w:hAnsi="宋体" w:cs="宋体" w:eastAsia="宋体" w:hint="default"/>
                <w:sz w:val="15"/>
                <w:szCs w:val="15"/>
              </w:rPr>
              <w:t>月</w:t>
            </w:r>
            <w:r>
              <w:rPr>
                <w:rFonts w:ascii="Times New Roman" w:hAnsi="Times New Roman" w:cs="Times New Roman" w:eastAsia="Times New Roman" w:hint="default"/>
                <w:sz w:val="15"/>
                <w:szCs w:val="15"/>
              </w:rPr>
              <w:t>3</w:t>
            </w:r>
            <w:r>
              <w:rPr>
                <w:rFonts w:ascii="宋体" w:hAnsi="宋体" w:cs="宋体" w:eastAsia="宋体" w:hint="default"/>
                <w:sz w:val="15"/>
                <w:szCs w:val="15"/>
              </w:rPr>
              <w:t>日</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90"/>
              <w:jc w:val="right"/>
              <w:rPr>
                <w:rFonts w:ascii="宋体" w:hAnsi="宋体" w:cs="宋体" w:eastAsia="宋体" w:hint="default"/>
                <w:sz w:val="15"/>
                <w:szCs w:val="15"/>
              </w:rPr>
            </w:pPr>
            <w:r>
              <w:rPr>
                <w:rFonts w:ascii="宋体" w:hAnsi="宋体" w:cs="宋体" w:eastAsia="宋体" w:hint="default"/>
                <w:sz w:val="15"/>
                <w:szCs w:val="15"/>
              </w:rPr>
              <w:t>债务期限届满之日起两年</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right="343"/>
              <w:jc w:val="right"/>
              <w:rPr>
                <w:rFonts w:ascii="宋体" w:hAnsi="宋体" w:cs="宋体" w:eastAsia="宋体" w:hint="default"/>
                <w:sz w:val="15"/>
                <w:szCs w:val="15"/>
              </w:rPr>
            </w:pPr>
            <w:r>
              <w:rPr>
                <w:rFonts w:ascii="宋体" w:hAnsi="宋体" w:cs="宋体" w:eastAsia="宋体" w:hint="default"/>
                <w:sz w:val="15"/>
                <w:szCs w:val="15"/>
              </w:rPr>
              <w:t>否</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5）关联方资金拆借" w:id="398"/>
      <w:bookmarkEnd w:id="398"/>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6）关联方资产转让、债务重组情况" w:id="399"/>
      <w:bookmarkEnd w:id="399"/>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7）关键管理人员报酬" w:id="400"/>
      <w:bookmarkEnd w:id="400"/>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9,396,700.00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9,222,600.00</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8）其他关联交易" w:id="401"/>
      <w:bookmarkEnd w:id="401"/>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6"/>
        <w:jc w:val="left"/>
        <w:rPr>
          <w:b w:val="0"/>
          <w:bCs w:val="0"/>
        </w:rPr>
      </w:pPr>
      <w:bookmarkStart w:name="6、关联方应收应付款项" w:id="402"/>
      <w:bookmarkEnd w:id="402"/>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应收项目" w:id="403"/>
      <w:bookmarkEnd w:id="403"/>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北京亚洲威讯科技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2,517,271.60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75,518.15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2,988,669.60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89,660.09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泉州灵讯电子有限 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835,917.42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25,077.52</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广州市舟讯通讯设 备有限公司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266,040.39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7,981.21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446,740.39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121,810.20</w:t>
            </w:r>
          </w:p>
        </w:tc>
      </w:tr>
      <w:tr>
        <w:trPr>
          <w:trHeight w:val="1026"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both"/>
              <w:rPr>
                <w:rFonts w:ascii="宋体" w:hAnsi="宋体" w:cs="宋体" w:eastAsia="宋体" w:hint="default"/>
                <w:sz w:val="18"/>
                <w:szCs w:val="18"/>
              </w:rPr>
            </w:pPr>
            <w:r>
              <w:rPr>
                <w:rFonts w:ascii="宋体" w:hAnsi="宋体" w:cs="宋体" w:eastAsia="宋体" w:hint="default"/>
                <w:sz w:val="18"/>
                <w:szCs w:val="18"/>
              </w:rPr>
              <w:t>泉州市鲤城区好易 通通讯器材有限公 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842,659.81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25,279.79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941,842.81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28,255.28</w:t>
            </w:r>
          </w:p>
        </w:tc>
      </w:tr>
      <w:tr>
        <w:trPr>
          <w:trHeight w:val="402" w:hRule="exact"/>
        </w:trPr>
        <w:tc>
          <w:tcPr>
            <w:tcW w:w="1595"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3,625,971.80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108,779.15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5,213,170.22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264,803.09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2）应付项目" w:id="404"/>
      <w:bookmarkEnd w:id="404"/>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深圳市潮瀚科技有限公司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158,400.00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158,400.00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深圳市好易通科技开发有限 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508,600.00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深圳市潮瀚科技有限公司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5,125,825.84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翁朝阳</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2,419,774.23</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深圳市六十一名庄贸易有限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69,234.00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69,234.00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8,054,200.07</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7、关联方承诺" w:id="405"/>
      <w:bookmarkEnd w:id="405"/>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3" w:right="8751" w:firstLine="0"/>
        <w:jc w:val="left"/>
        <w:rPr>
          <w:rFonts w:ascii="宋体" w:hAnsi="宋体" w:cs="宋体" w:eastAsia="宋体" w:hint="default"/>
          <w:sz w:val="21"/>
          <w:szCs w:val="21"/>
        </w:rPr>
      </w:pPr>
      <w:bookmarkStart w:name="8、其他" w:id="406"/>
      <w:bookmarkEnd w:id="40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二、股份支付" w:id="407"/>
      <w:bookmarkEnd w:id="407"/>
      <w:r>
        <w:rPr>
          <w:rFonts w:ascii="宋体" w:hAnsi="宋体" w:cs="宋体" w:eastAsia="宋体" w:hint="default"/>
          <w:b/>
          <w:bCs/>
          <w:spacing w:val="1"/>
          <w:w w:val="99"/>
          <w:sz w:val="21"/>
          <w:szCs w:val="21"/>
        </w:rPr>
      </w:r>
      <w:r>
        <w:rPr>
          <w:rFonts w:ascii="宋体" w:hAnsi="宋体" w:cs="宋体" w:eastAsia="宋体" w:hint="default"/>
          <w:b/>
          <w:bCs/>
          <w:sz w:val="24"/>
          <w:szCs w:val="24"/>
        </w:rPr>
        <w:t>十二、股份支付</w:t>
      </w:r>
      <w:r>
        <w:rPr>
          <w:rFonts w:ascii="宋体" w:hAnsi="宋体" w:cs="宋体" w:eastAsia="宋体" w:hint="default"/>
          <w:b/>
          <w:bCs/>
          <w:w w:val="99"/>
          <w:sz w:val="24"/>
          <w:szCs w:val="24"/>
        </w:rPr>
        <w:t> </w:t>
      </w:r>
      <w:bookmarkStart w:name="1、股份支付总体情况" w:id="408"/>
      <w:bookmarkEnd w:id="40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520,000.00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1,515,650.00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538,000.00</w:t>
            </w:r>
          </w:p>
        </w:tc>
      </w:tr>
      <w:tr>
        <w:trPr>
          <w:trHeight w:val="1338"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0"/>
              <w:jc w:val="left"/>
              <w:rPr>
                <w:rFonts w:ascii="宋体" w:hAnsi="宋体" w:cs="宋体" w:eastAsia="宋体" w:hint="default"/>
                <w:sz w:val="18"/>
                <w:szCs w:val="18"/>
              </w:rPr>
            </w:pPr>
            <w:r>
              <w:rPr>
                <w:rFonts w:ascii="宋体" w:hAnsi="宋体" w:cs="宋体" w:eastAsia="宋体" w:hint="default"/>
                <w:sz w:val="18"/>
                <w:szCs w:val="18"/>
              </w:rPr>
              <w:t>公司股票期权激励计划所涉及的首期股票期权数量 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1299.75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万股，行权价格调整为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7.204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元；预</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留部分股票期权数量调整为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万股</w:t>
            </w:r>
            <w:r>
              <w:rPr>
                <w:rFonts w:ascii="宋体" w:hAnsi="宋体" w:cs="宋体" w:eastAsia="宋体" w:hint="default"/>
                <w:spacing w:val="-82"/>
                <w:sz w:val="18"/>
                <w:szCs w:val="18"/>
              </w:rPr>
              <w:t>，</w:t>
            </w:r>
            <w:r>
              <w:rPr>
                <w:rFonts w:ascii="宋体" w:hAnsi="宋体" w:cs="宋体" w:eastAsia="宋体" w:hint="default"/>
                <w:sz w:val="18"/>
                <w:szCs w:val="18"/>
              </w:rPr>
              <w:t>行权价格调整</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11.41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2、以权益结算的股份支付情况" w:id="409"/>
      <w:bookmarkEnd w:id="409"/>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模型计算单份期权的公允价值</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海董决字【</w:t>
            </w:r>
            <w:r>
              <w:rPr>
                <w:rFonts w:ascii="Times New Roman" w:hAnsi="Times New Roman" w:cs="Times New Roman" w:eastAsia="Times New Roman" w:hint="default"/>
                <w:sz w:val="18"/>
                <w:szCs w:val="18"/>
              </w:rPr>
              <w:t>2014</w:t>
            </w:r>
            <w:r>
              <w:rPr>
                <w:rFonts w:ascii="宋体" w:hAnsi="宋体" w:cs="宋体" w:eastAsia="宋体" w:hint="default"/>
                <w:sz w:val="18"/>
                <w:szCs w:val="18"/>
              </w:rPr>
              <w:t>】</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号第二届董事会第十一次议案</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408" w:lineRule="auto" w:before="0"/>
        <w:ind w:right="1131" w:firstLine="420"/>
        <w:jc w:val="both"/>
        <w:rPr>
          <w:rFonts w:ascii="宋体" w:hAnsi="宋体" w:cs="宋体" w:eastAsia="宋体" w:hint="default"/>
        </w:rPr>
      </w:pPr>
      <w:r>
        <w:rPr>
          <w:spacing w:val="-5"/>
        </w:rPr>
        <w:t>本公司实施了一项股份期权计划（以下称“本计划”），本计划已于</w:t>
      </w:r>
      <w:r>
        <w:rPr>
          <w:spacing w:val="-49"/>
        </w:rPr>
        <w:t> </w:t>
      </w:r>
      <w:r>
        <w:rPr>
          <w:rFonts w:ascii="宋体" w:hAnsi="宋体" w:cs="宋体" w:eastAsia="宋体" w:hint="default"/>
        </w:rPr>
        <w:t>2013</w:t>
      </w:r>
      <w:r>
        <w:rPr>
          <w:rFonts w:ascii="宋体" w:hAnsi="宋体" w:cs="宋体" w:eastAsia="宋体" w:hint="default"/>
          <w:spacing w:val="-48"/>
        </w:rPr>
        <w:t> </w:t>
      </w:r>
      <w:r>
        <w:rPr/>
        <w:t>年</w:t>
      </w:r>
      <w:r>
        <w:rPr>
          <w:spacing w:val="-50"/>
        </w:rPr>
        <w:t> </w:t>
      </w:r>
      <w:r>
        <w:rPr>
          <w:rFonts w:ascii="宋体" w:hAnsi="宋体" w:cs="宋体" w:eastAsia="宋体" w:hint="default"/>
        </w:rPr>
        <w:t>9</w:t>
      </w:r>
      <w:r>
        <w:rPr>
          <w:rFonts w:ascii="宋体" w:hAnsi="宋体" w:cs="宋体" w:eastAsia="宋体" w:hint="default"/>
          <w:spacing w:val="-48"/>
        </w:rPr>
        <w:t> </w:t>
      </w:r>
      <w:r>
        <w:rPr/>
        <w:t>月</w:t>
      </w:r>
      <w:r>
        <w:rPr>
          <w:spacing w:val="-50"/>
        </w:rPr>
        <w:t> </w:t>
      </w:r>
      <w:r>
        <w:rPr>
          <w:rFonts w:ascii="宋体" w:hAnsi="宋体" w:cs="宋体" w:eastAsia="宋体" w:hint="default"/>
        </w:rPr>
        <w:t>5</w:t>
      </w:r>
      <w:r>
        <w:rPr>
          <w:rFonts w:ascii="宋体" w:hAnsi="宋体" w:cs="宋体" w:eastAsia="宋体" w:hint="default"/>
          <w:spacing w:val="-48"/>
        </w:rPr>
        <w:t> </w:t>
      </w:r>
      <w:r>
        <w:rPr>
          <w:spacing w:val="-1"/>
        </w:rPr>
        <w:t>日经公司第二届董</w:t>
      </w:r>
      <w:r>
        <w:rPr/>
        <w:t> </w:t>
      </w:r>
      <w:r>
        <w:rPr>
          <w:spacing w:val="-1"/>
        </w:rPr>
        <w:t>事会第四次会议审议通过。目的是为了进一步建立、健全公司长效激励机制，吸引和留住优秀人才，充分</w:t>
      </w:r>
      <w:r>
        <w:rPr>
          <w:spacing w:val="-85"/>
        </w:rPr>
        <w:t> </w:t>
      </w:r>
      <w:r>
        <w:rPr>
          <w:spacing w:val="-85"/>
        </w:rPr>
      </w:r>
      <w:r>
        <w:rPr>
          <w:spacing w:val="-1"/>
        </w:rPr>
        <w:t>调动公司中高层管理人员及核心技术（业务）人员的积极性。本计划激励对象为目前公司的中高层管理人</w:t>
      </w:r>
      <w:r>
        <w:rPr>
          <w:spacing w:val="-83"/>
        </w:rPr>
        <w:t> </w:t>
      </w:r>
      <w:r>
        <w:rPr>
          <w:spacing w:val="-83"/>
        </w:rPr>
      </w:r>
      <w:r>
        <w:rPr>
          <w:spacing w:val="-4"/>
        </w:rPr>
        <w:t>员及核心技术（业务）人员以及公司董事会认为需要进行激励的相关员工（不包括独立董事、监事）共</w:t>
      </w:r>
      <w:r>
        <w:rPr>
          <w:spacing w:val="-52"/>
        </w:rPr>
        <w:t> </w:t>
      </w:r>
      <w:r>
        <w:rPr>
          <w:rFonts w:ascii="宋体" w:hAnsi="宋体" w:cs="宋体" w:eastAsia="宋体" w:hint="default"/>
        </w:rPr>
        <w:t>175</w:t>
      </w:r>
    </w:p>
    <w:p>
      <w:pPr>
        <w:pStyle w:val="BodyText"/>
        <w:spacing w:line="408" w:lineRule="auto"/>
        <w:ind w:right="1206"/>
        <w:jc w:val="left"/>
      </w:pPr>
      <w:r>
        <w:rPr/>
        <w:t>人。董事会已确定</w:t>
      </w:r>
      <w:r>
        <w:rPr>
          <w:spacing w:val="-53"/>
        </w:rPr>
        <w:t> </w:t>
      </w:r>
      <w:r>
        <w:rPr>
          <w:rFonts w:ascii="宋体" w:hAnsi="宋体" w:cs="宋体" w:eastAsia="宋体" w:hint="default"/>
        </w:rPr>
        <w:t>2013</w:t>
      </w:r>
      <w:r>
        <w:rPr>
          <w:rFonts w:ascii="宋体" w:hAnsi="宋体" w:cs="宋体" w:eastAsia="宋体" w:hint="default"/>
          <w:spacing w:val="-55"/>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日为授予日，本计划自授予日起生效至所有股票期权行权或注销完毕之 日止，本计划有效期为五年。</w:t>
      </w:r>
    </w:p>
    <w:p>
      <w:pPr>
        <w:pStyle w:val="BodyText"/>
        <w:spacing w:line="408" w:lineRule="auto"/>
        <w:ind w:right="1132" w:firstLine="420"/>
        <w:jc w:val="both"/>
      </w:pPr>
      <w:r>
        <w:rPr>
          <w:spacing w:val="-1"/>
        </w:rPr>
        <w:t>本计划拟授予给激励对象的激励工具为股票期权，所涉股票期权对应的股票来源为公司定向增发的股</w:t>
      </w:r>
      <w:r>
        <w:rPr/>
        <w:t> 票，本次授予激励对象的股票期权数量为</w:t>
      </w:r>
      <w:r>
        <w:rPr>
          <w:spacing w:val="-53"/>
        </w:rPr>
        <w:t> </w:t>
      </w:r>
      <w:r>
        <w:rPr>
          <w:rFonts w:ascii="宋体" w:hAnsi="宋体" w:cs="宋体" w:eastAsia="宋体" w:hint="default"/>
        </w:rPr>
        <w:t>573.7</w:t>
      </w:r>
      <w:r>
        <w:rPr>
          <w:rFonts w:ascii="宋体" w:hAnsi="宋体" w:cs="宋体" w:eastAsia="宋体" w:hint="default"/>
          <w:spacing w:val="-53"/>
        </w:rPr>
        <w:t> </w:t>
      </w:r>
      <w:r>
        <w:rPr/>
        <w:t>万份权益，占总股本的</w:t>
      </w:r>
      <w:r>
        <w:rPr>
          <w:spacing w:val="-54"/>
        </w:rPr>
        <w:t> </w:t>
      </w:r>
      <w:r>
        <w:rPr>
          <w:rFonts w:ascii="宋体" w:hAnsi="宋体" w:cs="宋体" w:eastAsia="宋体" w:hint="default"/>
        </w:rPr>
        <w:t>2.06%</w:t>
      </w:r>
      <w:r>
        <w:rPr/>
        <w:t>，本次授予的股票期权数量 为</w:t>
      </w:r>
      <w:r>
        <w:rPr>
          <w:spacing w:val="-54"/>
        </w:rPr>
        <w:t> </w:t>
      </w:r>
      <w:r>
        <w:rPr>
          <w:rFonts w:ascii="宋体" w:hAnsi="宋体" w:cs="宋体" w:eastAsia="宋体" w:hint="default"/>
        </w:rPr>
        <w:t>573.7</w:t>
      </w:r>
      <w:r>
        <w:rPr>
          <w:rFonts w:ascii="宋体" w:hAnsi="宋体" w:cs="宋体" w:eastAsia="宋体" w:hint="default"/>
          <w:spacing w:val="-53"/>
        </w:rPr>
        <w:t> </w:t>
      </w:r>
      <w:r>
        <w:rPr/>
        <w:t>万份，股票期权行权价格为每股</w:t>
      </w:r>
      <w:r>
        <w:rPr>
          <w:spacing w:val="-53"/>
        </w:rPr>
        <w:t> </w:t>
      </w:r>
      <w:r>
        <w:rPr>
          <w:rFonts w:ascii="宋体" w:hAnsi="宋体" w:cs="宋体" w:eastAsia="宋体" w:hint="default"/>
        </w:rPr>
        <w:t>18.14</w:t>
      </w:r>
      <w:r>
        <w:rPr>
          <w:rFonts w:ascii="宋体" w:hAnsi="宋体" w:cs="宋体" w:eastAsia="宋体" w:hint="default"/>
          <w:spacing w:val="-53"/>
        </w:rPr>
        <w:t> </w:t>
      </w:r>
      <w:r>
        <w:rPr/>
        <w:t>元。于授予日，公司股价为人民币</w:t>
      </w:r>
      <w:r>
        <w:rPr>
          <w:spacing w:val="-53"/>
        </w:rPr>
        <w:t> </w:t>
      </w:r>
      <w:r>
        <w:rPr>
          <w:rFonts w:ascii="宋体" w:hAnsi="宋体" w:cs="宋体" w:eastAsia="宋体" w:hint="default"/>
        </w:rPr>
        <w:t>23.80</w:t>
      </w:r>
      <w:r>
        <w:rPr>
          <w:rFonts w:ascii="宋体" w:hAnsi="宋体" w:cs="宋体" w:eastAsia="宋体" w:hint="default"/>
          <w:spacing w:val="-53"/>
        </w:rPr>
        <w:t> </w:t>
      </w:r>
      <w:r>
        <w:rPr/>
        <w:t>元</w:t>
      </w:r>
      <w:r>
        <w:rPr>
          <w:rFonts w:ascii="宋体" w:hAnsi="宋体" w:cs="宋体" w:eastAsia="宋体" w:hint="default"/>
        </w:rPr>
        <w:t>/</w:t>
      </w:r>
      <w:r>
        <w:rPr/>
        <w:t>股。</w:t>
      </w:r>
    </w:p>
    <w:p>
      <w:pPr>
        <w:pStyle w:val="BodyText"/>
        <w:spacing w:line="240" w:lineRule="auto"/>
        <w:ind w:left="573" w:right="1046"/>
        <w:jc w:val="left"/>
      </w:pPr>
      <w:r>
        <w:rPr/>
        <w:t>在可行权日内，若达到本计划规定的行权条件，授予的股票期权自授予日起满</w:t>
      </w:r>
      <w:r>
        <w:rPr>
          <w:spacing w:val="-52"/>
        </w:rPr>
        <w:t> </w:t>
      </w:r>
      <w:r>
        <w:rPr>
          <w:rFonts w:ascii="宋体" w:hAnsi="宋体" w:cs="宋体" w:eastAsia="宋体" w:hint="default"/>
        </w:rPr>
        <w:t>12</w:t>
      </w:r>
      <w:r>
        <w:rPr>
          <w:rFonts w:ascii="宋体" w:hAnsi="宋体" w:cs="宋体" w:eastAsia="宋体" w:hint="default"/>
          <w:spacing w:val="-54"/>
        </w:rPr>
        <w:t> </w:t>
      </w:r>
      <w:r>
        <w:rPr/>
        <w:t>个月后，激励对象</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应在未来</w:t>
      </w:r>
      <w:r>
        <w:rPr>
          <w:spacing w:val="-53"/>
        </w:rPr>
        <w:t> </w:t>
      </w:r>
      <w:r>
        <w:rPr>
          <w:rFonts w:ascii="宋体" w:hAnsi="宋体" w:cs="宋体" w:eastAsia="宋体" w:hint="default"/>
        </w:rPr>
        <w:t>36</w:t>
      </w:r>
      <w:r>
        <w:rPr>
          <w:rFonts w:ascii="宋体" w:hAnsi="宋体" w:cs="宋体" w:eastAsia="宋体" w:hint="default"/>
          <w:spacing w:val="-54"/>
        </w:rPr>
        <w:t> </w:t>
      </w:r>
      <w:r>
        <w:rPr/>
        <w:t>个月内分三期行权，具体如下：</w:t>
      </w:r>
    </w:p>
    <w:p>
      <w:pPr>
        <w:spacing w:line="240" w:lineRule="auto" w:before="12"/>
        <w:rPr>
          <w:rFonts w:ascii="宋体" w:hAnsi="宋体" w:cs="宋体" w:eastAsia="宋体" w:hint="default"/>
          <w:sz w:val="9"/>
          <w:szCs w:val="9"/>
        </w:rPr>
      </w:pPr>
    </w:p>
    <w:tbl>
      <w:tblPr>
        <w:tblW w:w="0" w:type="auto"/>
        <w:jc w:val="left"/>
        <w:tblInd w:w="149" w:type="dxa"/>
        <w:tblLayout w:type="fixed"/>
        <w:tblCellMar>
          <w:top w:w="0" w:type="dxa"/>
          <w:left w:w="0" w:type="dxa"/>
          <w:bottom w:w="0" w:type="dxa"/>
          <w:right w:w="0" w:type="dxa"/>
        </w:tblCellMar>
        <w:tblLook w:val="01E0"/>
      </w:tblPr>
      <w:tblGrid>
        <w:gridCol w:w="1162"/>
        <w:gridCol w:w="7089"/>
        <w:gridCol w:w="1417"/>
      </w:tblGrid>
      <w:tr>
        <w:trPr>
          <w:trHeight w:val="654"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行权期</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行权时间</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73" w:right="72"/>
              <w:jc w:val="left"/>
              <w:rPr>
                <w:rFonts w:ascii="宋体" w:hAnsi="宋体" w:cs="宋体" w:eastAsia="宋体" w:hint="default"/>
                <w:sz w:val="18"/>
                <w:szCs w:val="18"/>
              </w:rPr>
            </w:pPr>
            <w:r>
              <w:rPr>
                <w:rFonts w:ascii="宋体" w:hAnsi="宋体" w:cs="宋体" w:eastAsia="宋体" w:hint="default"/>
                <w:sz w:val="18"/>
                <w:szCs w:val="18"/>
              </w:rPr>
              <w:t>可行权数量占获 授期权数量比例</w:t>
            </w:r>
          </w:p>
        </w:tc>
      </w:tr>
      <w:tr>
        <w:trPr>
          <w:trHeight w:val="34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0"/>
              <w:jc w:val="center"/>
              <w:rPr>
                <w:rFonts w:ascii="宋体" w:hAnsi="宋体" w:cs="宋体" w:eastAsia="宋体" w:hint="default"/>
                <w:sz w:val="18"/>
                <w:szCs w:val="18"/>
              </w:rPr>
            </w:pPr>
            <w:r>
              <w:rPr>
                <w:rFonts w:ascii="宋体" w:hAnsi="宋体" w:cs="宋体" w:eastAsia="宋体" w:hint="default"/>
                <w:sz w:val="18"/>
                <w:szCs w:val="18"/>
              </w:rPr>
              <w:t>第一个行权期</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个月内的最后一个交易日当日止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w:t>
            </w:r>
          </w:p>
        </w:tc>
      </w:tr>
      <w:tr>
        <w:trPr>
          <w:trHeight w:val="34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0"/>
              <w:jc w:val="center"/>
              <w:rPr>
                <w:rFonts w:ascii="宋体" w:hAnsi="宋体" w:cs="宋体" w:eastAsia="宋体" w:hint="default"/>
                <w:sz w:val="18"/>
                <w:szCs w:val="18"/>
              </w:rPr>
            </w:pPr>
            <w:r>
              <w:rPr>
                <w:rFonts w:ascii="宋体" w:hAnsi="宋体" w:cs="宋体" w:eastAsia="宋体" w:hint="default"/>
                <w:sz w:val="18"/>
                <w:szCs w:val="18"/>
              </w:rPr>
              <w:t>第二个行权期</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24</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个月内的最后一个交易日当日止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30%</w:t>
            </w:r>
          </w:p>
        </w:tc>
      </w:tr>
      <w:tr>
        <w:trPr>
          <w:trHeight w:val="342" w:hRule="exact"/>
        </w:trPr>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60"/>
              <w:jc w:val="center"/>
              <w:rPr>
                <w:rFonts w:ascii="宋体" w:hAnsi="宋体" w:cs="宋体" w:eastAsia="宋体" w:hint="default"/>
                <w:sz w:val="18"/>
                <w:szCs w:val="18"/>
              </w:rPr>
            </w:pPr>
            <w:r>
              <w:rPr>
                <w:rFonts w:ascii="宋体" w:hAnsi="宋体" w:cs="宋体" w:eastAsia="宋体" w:hint="default"/>
                <w:sz w:val="18"/>
                <w:szCs w:val="18"/>
              </w:rPr>
              <w:t>第三个行权期</w:t>
            </w:r>
          </w:p>
        </w:tc>
        <w:tc>
          <w:tcPr>
            <w:tcW w:w="7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自授予日起</w:t>
            </w:r>
            <w:r>
              <w:rPr>
                <w:rFonts w:ascii="Times New Roman" w:hAnsi="Times New Roman" w:cs="Times New Roman" w:eastAsia="Times New Roman" w:hint="default"/>
                <w:sz w:val="18"/>
                <w:szCs w:val="18"/>
              </w:rPr>
              <w:t>36</w:t>
            </w:r>
            <w:r>
              <w:rPr>
                <w:rFonts w:ascii="宋体" w:hAnsi="宋体" w:cs="宋体" w:eastAsia="宋体" w:hint="default"/>
                <w:sz w:val="18"/>
                <w:szCs w:val="18"/>
              </w:rPr>
              <w:t>个月后的首个交易日起至首次授予日起</w:t>
            </w:r>
            <w:r>
              <w:rPr>
                <w:rFonts w:ascii="Times New Roman" w:hAnsi="Times New Roman" w:cs="Times New Roman" w:eastAsia="Times New Roman" w:hint="default"/>
                <w:sz w:val="18"/>
                <w:szCs w:val="18"/>
              </w:rPr>
              <w:t>48</w:t>
            </w:r>
            <w:r>
              <w:rPr>
                <w:rFonts w:ascii="宋体" w:hAnsi="宋体" w:cs="宋体" w:eastAsia="宋体" w:hint="default"/>
                <w:sz w:val="18"/>
                <w:szCs w:val="18"/>
              </w:rPr>
              <w:t>个月内的最后一个交易日当日止</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40%</w:t>
            </w:r>
          </w:p>
        </w:tc>
      </w:tr>
    </w:tbl>
    <w:p>
      <w:pPr>
        <w:pStyle w:val="BodyText"/>
        <w:spacing w:line="240" w:lineRule="auto" w:before="63"/>
        <w:ind w:left="574" w:right="1046"/>
        <w:jc w:val="left"/>
      </w:pPr>
      <w:r>
        <w:rPr/>
        <w:t>本计划股票期权的授予对公司相关年度的财务状况和经营成果将产生一定的影响。本计划采取</w:t>
      </w:r>
    </w:p>
    <w:p>
      <w:pPr>
        <w:spacing w:line="240" w:lineRule="auto" w:before="10"/>
        <w:rPr>
          <w:rFonts w:ascii="宋体" w:hAnsi="宋体" w:cs="宋体" w:eastAsia="宋体" w:hint="default"/>
          <w:sz w:val="14"/>
          <w:szCs w:val="14"/>
        </w:rPr>
      </w:pPr>
    </w:p>
    <w:p>
      <w:pPr>
        <w:pStyle w:val="BodyText"/>
        <w:spacing w:line="408" w:lineRule="auto" w:before="0"/>
        <w:ind w:right="1162"/>
        <w:jc w:val="both"/>
      </w:pPr>
      <w:r>
        <w:rPr>
          <w:rFonts w:ascii="宋体" w:hAnsi="宋体" w:cs="宋体" w:eastAsia="宋体" w:hint="default"/>
        </w:rPr>
        <w:t>Black-Scholes</w:t>
      </w:r>
      <w:r>
        <w:rPr>
          <w:rFonts w:ascii="宋体" w:hAnsi="宋体" w:cs="宋体" w:eastAsia="宋体" w:hint="default"/>
          <w:spacing w:val="-54"/>
        </w:rPr>
        <w:t> </w:t>
      </w:r>
      <w:r>
        <w:rPr/>
        <w:t>模型计算单份期权授予日的公允价值为</w:t>
      </w:r>
      <w:r>
        <w:rPr>
          <w:spacing w:val="-54"/>
        </w:rPr>
        <w:t> </w:t>
      </w:r>
      <w:r>
        <w:rPr>
          <w:rFonts w:ascii="宋体" w:hAnsi="宋体" w:cs="宋体" w:eastAsia="宋体" w:hint="default"/>
        </w:rPr>
        <w:t>6.92</w:t>
      </w:r>
      <w:r>
        <w:rPr>
          <w:rFonts w:ascii="宋体" w:hAnsi="宋体" w:cs="宋体" w:eastAsia="宋体" w:hint="default"/>
          <w:spacing w:val="-56"/>
        </w:rPr>
        <w:t> </w:t>
      </w:r>
      <w:r>
        <w:rPr/>
        <w:t>元</w:t>
      </w:r>
      <w:r>
        <w:rPr>
          <w:rFonts w:ascii="宋体" w:hAnsi="宋体" w:cs="宋体" w:eastAsia="宋体" w:hint="default"/>
        </w:rPr>
        <w:t>/</w:t>
      </w:r>
      <w:r>
        <w:rPr/>
        <w:t>股，并根据授予日的公允价值总额确认股 票期权的激励成本。经测算，预计未来四年股票期权激励成本合计为</w:t>
      </w:r>
      <w:r>
        <w:rPr>
          <w:spacing w:val="-53"/>
        </w:rPr>
        <w:t> </w:t>
      </w:r>
      <w:r>
        <w:rPr>
          <w:rFonts w:ascii="宋体" w:hAnsi="宋体" w:cs="宋体" w:eastAsia="宋体" w:hint="default"/>
        </w:rPr>
        <w:t>3972</w:t>
      </w:r>
      <w:r>
        <w:rPr>
          <w:rFonts w:ascii="宋体" w:hAnsi="宋体" w:cs="宋体" w:eastAsia="宋体" w:hint="default"/>
          <w:spacing w:val="-54"/>
        </w:rPr>
        <w:t> </w:t>
      </w:r>
      <w:r>
        <w:rPr/>
        <w:t>万元，则</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rFonts w:ascii="宋体" w:hAnsi="宋体" w:cs="宋体" w:eastAsia="宋体" w:hint="default"/>
        </w:rPr>
        <w:t>-2016</w:t>
      </w:r>
      <w:r>
        <w:rPr>
          <w:rFonts w:ascii="宋体" w:hAnsi="宋体" w:cs="宋体" w:eastAsia="宋体" w:hint="default"/>
          <w:spacing w:val="-54"/>
        </w:rPr>
        <w:t> </w:t>
      </w:r>
      <w:r>
        <w:rPr/>
        <w:t>年成本 摊销情况见下表：</w:t>
      </w:r>
    </w:p>
    <w:tbl>
      <w:tblPr>
        <w:tblW w:w="0" w:type="auto"/>
        <w:jc w:val="left"/>
        <w:tblInd w:w="149" w:type="dxa"/>
        <w:tblLayout w:type="fixed"/>
        <w:tblCellMar>
          <w:top w:w="0" w:type="dxa"/>
          <w:left w:w="0" w:type="dxa"/>
          <w:bottom w:w="0" w:type="dxa"/>
          <w:right w:w="0" w:type="dxa"/>
        </w:tblCellMar>
        <w:tblLook w:val="01E0"/>
      </w:tblPr>
      <w:tblGrid>
        <w:gridCol w:w="2738"/>
        <w:gridCol w:w="1732"/>
        <w:gridCol w:w="1733"/>
        <w:gridCol w:w="1733"/>
        <w:gridCol w:w="1733"/>
      </w:tblGrid>
      <w:tr>
        <w:trPr>
          <w:trHeight w:val="342"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54" w:lineRule="exact"/>
              <w:ind w:right="0"/>
              <w:jc w:val="center"/>
              <w:rPr>
                <w:rFonts w:ascii="宋体" w:hAnsi="宋体" w:cs="宋体" w:eastAsia="宋体" w:hint="default"/>
                <w:sz w:val="21"/>
                <w:szCs w:val="21"/>
              </w:rPr>
            </w:pPr>
            <w:r>
              <w:rPr>
                <w:rFonts w:ascii="宋体" w:hAnsi="宋体" w:cs="宋体" w:eastAsia="宋体" w:hint="default"/>
                <w:sz w:val="21"/>
                <w:szCs w:val="21"/>
              </w:rPr>
              <w:t>需摊销的总费用（万元）</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宋体" w:hAnsi="宋体" w:cs="宋体" w:eastAsia="宋体" w:hint="default"/>
                <w:sz w:val="21"/>
                <w:szCs w:val="21"/>
              </w:rPr>
              <w:t>年（万元）</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2014</w:t>
            </w:r>
            <w:r>
              <w:rPr>
                <w:rFonts w:ascii="宋体" w:hAnsi="宋体" w:cs="宋体" w:eastAsia="宋体" w:hint="default"/>
                <w:sz w:val="21"/>
                <w:szCs w:val="21"/>
              </w:rPr>
              <w:t>年（万元）</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年（万元）</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2016</w:t>
            </w:r>
            <w:r>
              <w:rPr>
                <w:rFonts w:ascii="宋体" w:hAnsi="宋体" w:cs="宋体" w:eastAsia="宋体" w:hint="default"/>
                <w:sz w:val="21"/>
                <w:szCs w:val="21"/>
              </w:rPr>
              <w:t>年（万元）</w:t>
            </w:r>
          </w:p>
        </w:tc>
      </w:tr>
      <w:tr>
        <w:trPr>
          <w:trHeight w:val="343" w:hRule="exact"/>
        </w:trPr>
        <w:tc>
          <w:tcPr>
            <w:tcW w:w="2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1"/>
                <w:szCs w:val="21"/>
              </w:rPr>
            </w:pPr>
            <w:r>
              <w:rPr>
                <w:rFonts w:ascii="Times New Roman"/>
                <w:sz w:val="21"/>
              </w:rPr>
              <w:t>3972</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1"/>
                <w:szCs w:val="21"/>
              </w:rPr>
            </w:pPr>
            <w:r>
              <w:rPr>
                <w:rFonts w:ascii="Times New Roman"/>
                <w:sz w:val="21"/>
              </w:rPr>
              <w:t>772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1"/>
                <w:szCs w:val="21"/>
              </w:rPr>
            </w:pPr>
            <w:r>
              <w:rPr>
                <w:rFonts w:ascii="Times New Roman"/>
                <w:sz w:val="21"/>
              </w:rPr>
              <w:t>1920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21"/>
                <w:szCs w:val="21"/>
              </w:rPr>
            </w:pPr>
            <w:r>
              <w:rPr>
                <w:rFonts w:ascii="Times New Roman"/>
                <w:sz w:val="21"/>
              </w:rPr>
              <w:t>927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
              <w:jc w:val="center"/>
              <w:rPr>
                <w:rFonts w:ascii="Times New Roman" w:hAnsi="Times New Roman" w:cs="Times New Roman" w:eastAsia="Times New Roman" w:hint="default"/>
                <w:sz w:val="21"/>
                <w:szCs w:val="21"/>
              </w:rPr>
            </w:pPr>
            <w:r>
              <w:rPr>
                <w:rFonts w:ascii="Times New Roman"/>
                <w:sz w:val="21"/>
              </w:rPr>
              <w:t>353</w:t>
            </w:r>
          </w:p>
        </w:tc>
      </w:tr>
    </w:tbl>
    <w:p>
      <w:pPr>
        <w:pStyle w:val="BodyText"/>
        <w:spacing w:line="408" w:lineRule="auto"/>
        <w:ind w:right="1131" w:firstLine="420"/>
        <w:jc w:val="both"/>
      </w:pPr>
      <w:r>
        <w:rPr/>
        <w:t>于</w:t>
      </w:r>
      <w:r>
        <w:rPr>
          <w:spacing w:val="-56"/>
        </w:rPr>
        <w:t> </w:t>
      </w:r>
      <w:r>
        <w:rPr>
          <w:rFonts w:ascii="宋体" w:hAnsi="宋体" w:cs="宋体" w:eastAsia="宋体" w:hint="default"/>
        </w:rPr>
        <w:t>2013</w:t>
      </w:r>
      <w:r>
        <w:rPr>
          <w:rFonts w:ascii="宋体" w:hAnsi="宋体" w:cs="宋体" w:eastAsia="宋体" w:hint="default"/>
          <w:spacing w:val="-57"/>
        </w:rPr>
        <w:t> </w:t>
      </w:r>
      <w:r>
        <w:rPr/>
        <w:t>年</w:t>
      </w:r>
      <w:r>
        <w:rPr>
          <w:spacing w:val="-58"/>
        </w:rPr>
        <w:t> </w:t>
      </w:r>
      <w:r>
        <w:rPr>
          <w:rFonts w:ascii="宋体" w:hAnsi="宋体" w:cs="宋体" w:eastAsia="宋体" w:hint="default"/>
        </w:rPr>
        <w:t>3</w:t>
      </w:r>
      <w:r>
        <w:rPr>
          <w:rFonts w:ascii="宋体" w:hAnsi="宋体" w:cs="宋体" w:eastAsia="宋体" w:hint="default"/>
          <w:spacing w:val="-57"/>
        </w:rPr>
        <w:t> </w:t>
      </w:r>
      <w:r>
        <w:rPr/>
        <w:t>月</w:t>
      </w:r>
      <w:r>
        <w:rPr>
          <w:spacing w:val="-57"/>
        </w:rPr>
        <w:t> </w:t>
      </w:r>
      <w:r>
        <w:rPr>
          <w:rFonts w:ascii="宋体" w:hAnsi="宋体" w:cs="宋体" w:eastAsia="宋体" w:hint="default"/>
        </w:rPr>
        <w:t>30</w:t>
      </w:r>
      <w:r>
        <w:rPr>
          <w:rFonts w:ascii="宋体" w:hAnsi="宋体" w:cs="宋体" w:eastAsia="宋体" w:hint="default"/>
          <w:spacing w:val="-56"/>
        </w:rPr>
        <w:t> </w:t>
      </w:r>
      <w:r>
        <w:rPr/>
        <w:t>日，公司在本计划下发行在外的股份期权为</w:t>
      </w:r>
      <w:r>
        <w:rPr>
          <w:spacing w:val="-56"/>
        </w:rPr>
        <w:t> </w:t>
      </w:r>
      <w:r>
        <w:rPr>
          <w:rFonts w:ascii="宋体" w:hAnsi="宋体" w:cs="宋体" w:eastAsia="宋体" w:hint="default"/>
        </w:rPr>
        <w:t>5,737,000</w:t>
      </w:r>
      <w:r>
        <w:rPr>
          <w:rFonts w:ascii="宋体" w:hAnsi="宋体" w:cs="宋体" w:eastAsia="宋体" w:hint="default"/>
          <w:spacing w:val="-56"/>
        </w:rPr>
        <w:t> </w:t>
      </w:r>
      <w:r>
        <w:rPr/>
        <w:t>份，约为本公司当日发行在 外股份的</w:t>
      </w:r>
      <w:r>
        <w:rPr>
          <w:spacing w:val="-53"/>
        </w:rPr>
        <w:t> </w:t>
      </w:r>
      <w:r>
        <w:rPr>
          <w:rFonts w:ascii="宋体" w:hAnsi="宋体" w:cs="宋体" w:eastAsia="宋体" w:hint="default"/>
        </w:rPr>
        <w:t>2.06%</w:t>
      </w:r>
      <w:r>
        <w:rPr/>
        <w:t>。根据本公司资本结构，如果发行在外的股份期权全部行权，将发行</w:t>
      </w:r>
      <w:r>
        <w:rPr>
          <w:spacing w:val="-53"/>
        </w:rPr>
        <w:t> </w:t>
      </w:r>
      <w:r>
        <w:rPr>
          <w:rFonts w:ascii="宋体" w:hAnsi="宋体" w:cs="宋体" w:eastAsia="宋体" w:hint="default"/>
        </w:rPr>
        <w:t>5,737,000</w:t>
      </w:r>
      <w:r>
        <w:rPr>
          <w:rFonts w:ascii="宋体" w:hAnsi="宋体" w:cs="宋体" w:eastAsia="宋体" w:hint="default"/>
          <w:spacing w:val="-53"/>
        </w:rPr>
        <w:t> </w:t>
      </w:r>
      <w:r>
        <w:rPr/>
        <w:t>股公司普 通股，增加公司股本人民币</w:t>
      </w:r>
      <w:r>
        <w:rPr>
          <w:spacing w:val="-50"/>
        </w:rPr>
        <w:t> </w:t>
      </w:r>
      <w:r>
        <w:rPr>
          <w:rFonts w:ascii="宋体" w:hAnsi="宋体" w:cs="宋体" w:eastAsia="宋体" w:hint="default"/>
        </w:rPr>
        <w:t>5,737,000</w:t>
      </w:r>
      <w:r>
        <w:rPr>
          <w:rFonts w:ascii="宋体" w:hAnsi="宋体" w:cs="宋体" w:eastAsia="宋体" w:hint="default"/>
          <w:spacing w:val="-50"/>
        </w:rPr>
        <w:t> </w:t>
      </w:r>
      <w:r>
        <w:rPr>
          <w:spacing w:val="-1"/>
        </w:rPr>
        <w:t>元和股本溢价人民币</w:t>
      </w:r>
      <w:r>
        <w:rPr>
          <w:spacing w:val="-50"/>
        </w:rPr>
        <w:t> </w:t>
      </w:r>
      <w:r>
        <w:rPr>
          <w:rFonts w:ascii="宋体" w:hAnsi="宋体" w:cs="宋体" w:eastAsia="宋体" w:hint="default"/>
        </w:rPr>
        <w:t>98,332,180</w:t>
      </w:r>
      <w:r>
        <w:rPr>
          <w:rFonts w:ascii="宋体" w:hAnsi="宋体" w:cs="宋体" w:eastAsia="宋体" w:hint="default"/>
          <w:spacing w:val="-51"/>
        </w:rPr>
        <w:t> </w:t>
      </w:r>
      <w:r>
        <w:rPr>
          <w:spacing w:val="-10"/>
        </w:rPr>
        <w:t>元（扣除发行费用前）。</w:t>
      </w:r>
    </w:p>
    <w:p>
      <w:pPr>
        <w:pStyle w:val="BodyText"/>
        <w:spacing w:line="240" w:lineRule="auto"/>
        <w:ind w:left="573" w:right="1046"/>
        <w:jc w:val="left"/>
        <w:rPr>
          <w:rFonts w:ascii="宋体" w:hAnsi="宋体" w:cs="宋体" w:eastAsia="宋体" w:hint="default"/>
        </w:rPr>
      </w:pPr>
      <w:r>
        <w:rPr/>
        <w:t>于</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3"/>
        </w:rPr>
        <w:t> </w:t>
      </w:r>
      <w:r>
        <w:rPr>
          <w:rFonts w:ascii="宋体" w:hAnsi="宋体" w:cs="宋体" w:eastAsia="宋体" w:hint="default"/>
        </w:rPr>
        <w:t>5</w:t>
      </w:r>
      <w:r>
        <w:rPr>
          <w:rFonts w:ascii="宋体" w:hAnsi="宋体" w:cs="宋体" w:eastAsia="宋体" w:hint="default"/>
          <w:spacing w:val="-52"/>
        </w:rPr>
        <w:t> </w:t>
      </w:r>
      <w:r>
        <w:rPr/>
        <w:t>日授予了</w:t>
      </w:r>
      <w:r>
        <w:rPr>
          <w:spacing w:val="-53"/>
        </w:rPr>
        <w:t> </w:t>
      </w:r>
      <w:r>
        <w:rPr>
          <w:rFonts w:ascii="宋体" w:hAnsi="宋体" w:cs="宋体" w:eastAsia="宋体" w:hint="default"/>
        </w:rPr>
        <w:t>5,737,000</w:t>
      </w:r>
      <w:r>
        <w:rPr>
          <w:rFonts w:ascii="宋体" w:hAnsi="宋体" w:cs="宋体" w:eastAsia="宋体" w:hint="default"/>
          <w:spacing w:val="-52"/>
        </w:rPr>
        <w:t> </w:t>
      </w:r>
      <w:r>
        <w:rPr>
          <w:spacing w:val="-4"/>
        </w:rPr>
        <w:t>份，行权价格为人民币</w:t>
      </w:r>
      <w:r>
        <w:rPr>
          <w:spacing w:val="-53"/>
        </w:rPr>
        <w:t> </w:t>
      </w:r>
      <w:r>
        <w:rPr>
          <w:rFonts w:ascii="宋体" w:hAnsi="宋体" w:cs="宋体" w:eastAsia="宋体" w:hint="default"/>
        </w:rPr>
        <w:t>18.14</w:t>
      </w:r>
      <w:r>
        <w:rPr>
          <w:rFonts w:ascii="宋体" w:hAnsi="宋体" w:cs="宋体" w:eastAsia="宋体" w:hint="default"/>
          <w:spacing w:val="-52"/>
        </w:rPr>
        <w:t> </w:t>
      </w:r>
      <w:r>
        <w:rPr>
          <w:spacing w:val="-5"/>
        </w:rPr>
        <w:t>元</w:t>
      </w:r>
      <w:r>
        <w:rPr>
          <w:rFonts w:ascii="宋体" w:hAnsi="宋体" w:cs="宋体" w:eastAsia="宋体" w:hint="default"/>
          <w:spacing w:val="-5"/>
        </w:rPr>
        <w:t>/</w:t>
      </w:r>
      <w:r>
        <w:rPr>
          <w:spacing w:val="-5"/>
        </w:rPr>
        <w:t>股，等待期为从</w:t>
      </w:r>
      <w:r>
        <w:rPr>
          <w:spacing w:val="-52"/>
        </w:rPr>
        <w:t> </w:t>
      </w: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2"/>
        </w:rPr>
        <w:t> </w:t>
      </w:r>
      <w:r>
        <w:rPr/>
        <w:t>月</w:t>
      </w:r>
      <w:r>
        <w:rPr>
          <w:spacing w:val="-53"/>
        </w:rPr>
        <w:t> </w:t>
      </w:r>
      <w:r>
        <w:rPr>
          <w:rFonts w:ascii="宋体" w:hAnsi="宋体" w:cs="宋体" w:eastAsia="宋体" w:hint="default"/>
        </w:rPr>
        <w:t>5</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日至</w:t>
      </w:r>
      <w:r>
        <w:rPr>
          <w:spacing w:val="-54"/>
        </w:rPr>
        <w:t> </w:t>
      </w:r>
      <w:r>
        <w:rPr>
          <w:rFonts w:ascii="宋体" w:hAnsi="宋体" w:cs="宋体" w:eastAsia="宋体" w:hint="default"/>
        </w:rPr>
        <w:t>2014</w:t>
      </w:r>
      <w:r>
        <w:rPr>
          <w:rFonts w:ascii="宋体" w:hAnsi="宋体" w:cs="宋体" w:eastAsia="宋体" w:hint="default"/>
          <w:spacing w:val="-53"/>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4</w:t>
      </w:r>
      <w:r>
        <w:rPr>
          <w:rFonts w:ascii="宋体" w:hAnsi="宋体" w:cs="宋体" w:eastAsia="宋体" w:hint="default"/>
          <w:spacing w:val="-53"/>
        </w:rPr>
        <w:t> </w:t>
      </w:r>
      <w:r>
        <w:rPr/>
        <w:t>日。其中第一次行权</w:t>
      </w:r>
      <w:r>
        <w:rPr>
          <w:spacing w:val="-54"/>
        </w:rPr>
        <w:t> </w:t>
      </w:r>
      <w:r>
        <w:rPr>
          <w:rFonts w:ascii="宋体" w:hAnsi="宋体" w:cs="宋体" w:eastAsia="宋体" w:hint="default"/>
        </w:rPr>
        <w:t>1,721,100</w:t>
      </w:r>
      <w:r>
        <w:rPr>
          <w:rFonts w:ascii="宋体" w:hAnsi="宋体" w:cs="宋体" w:eastAsia="宋体" w:hint="default"/>
          <w:spacing w:val="-53"/>
        </w:rPr>
        <w:t> </w:t>
      </w:r>
      <w:r>
        <w:rPr/>
        <w:t>份，该股份期权的可行权日为</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4"/>
        </w:rPr>
        <w:t> </w:t>
      </w:r>
      <w:r>
        <w:rPr>
          <w:rFonts w:ascii="宋体" w:hAnsi="宋体" w:cs="宋体" w:eastAsia="宋体" w:hint="default"/>
        </w:rPr>
        <w:t>9</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w:t>
      </w:r>
    </w:p>
    <w:p>
      <w:pPr>
        <w:spacing w:line="240" w:lineRule="auto" w:before="10"/>
        <w:rPr>
          <w:rFonts w:ascii="宋体" w:hAnsi="宋体" w:cs="宋体" w:eastAsia="宋体" w:hint="default"/>
          <w:sz w:val="14"/>
          <w:szCs w:val="14"/>
        </w:rPr>
      </w:pPr>
    </w:p>
    <w:p>
      <w:pPr>
        <w:pStyle w:val="BodyText"/>
        <w:spacing w:line="408" w:lineRule="auto" w:before="0"/>
        <w:ind w:left="154" w:right="1132" w:firstLine="420"/>
        <w:jc w:val="both"/>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45"/>
        </w:rPr>
        <w:t> </w:t>
      </w:r>
      <w:r>
        <w:rPr/>
        <w:t>年</w:t>
      </w:r>
      <w:r>
        <w:rPr>
          <w:spacing w:val="-47"/>
        </w:rPr>
        <w:t> </w:t>
      </w:r>
      <w:r>
        <w:rPr>
          <w:rFonts w:ascii="宋体" w:hAnsi="宋体" w:cs="宋体" w:eastAsia="宋体" w:hint="default"/>
        </w:rPr>
        <w:t>9</w:t>
      </w:r>
      <w:r>
        <w:rPr>
          <w:rFonts w:ascii="宋体" w:hAnsi="宋体" w:cs="宋体" w:eastAsia="宋体" w:hint="default"/>
          <w:spacing w:val="-47"/>
        </w:rPr>
        <w:t> </w:t>
      </w:r>
      <w:r>
        <w:rPr/>
        <w:t>月</w:t>
      </w:r>
      <w:r>
        <w:rPr>
          <w:spacing w:val="-48"/>
        </w:rPr>
        <w:t> </w:t>
      </w:r>
      <w:r>
        <w:rPr>
          <w:rFonts w:ascii="宋体" w:hAnsi="宋体" w:cs="宋体" w:eastAsia="宋体" w:hint="default"/>
        </w:rPr>
        <w:t>4</w:t>
      </w:r>
      <w:r>
        <w:rPr>
          <w:rFonts w:ascii="宋体" w:hAnsi="宋体" w:cs="宋体" w:eastAsia="宋体" w:hint="default"/>
          <w:spacing w:val="-45"/>
        </w:rPr>
        <w:t> </w:t>
      </w:r>
      <w:r>
        <w:rPr>
          <w:spacing w:val="-3"/>
        </w:rPr>
        <w:t>日，公司召开第二届董事会第十一次会议，审议通过了《关于股票期权激励计划首次授</w:t>
      </w:r>
      <w:r>
        <w:rPr/>
        <w:t> </w:t>
      </w:r>
      <w:r>
        <w:rPr>
          <w:spacing w:val="-10"/>
        </w:rPr>
        <w:t>予第一个行权期可行权的议案》、《关于向激励对象授予预留部分股票期权的议案》、《关于对股权激励计划</w:t>
      </w:r>
      <w:r>
        <w:rPr>
          <w:spacing w:val="-72"/>
        </w:rPr>
        <w:t> </w:t>
      </w:r>
      <w:r>
        <w:rPr>
          <w:spacing w:val="-72"/>
        </w:rPr>
      </w:r>
      <w:r>
        <w:rPr>
          <w:spacing w:val="-3"/>
        </w:rPr>
        <w:t>期权数量、行权价格及授予对象进行调整的议案》，鉴于部分激励对象因个人原因离职以及公司实施</w:t>
      </w:r>
      <w:r>
        <w:rPr>
          <w:spacing w:val="-26"/>
        </w:rPr>
        <w:t> </w:t>
      </w:r>
      <w:r>
        <w:rPr>
          <w:rFonts w:ascii="宋体" w:hAnsi="宋体" w:cs="宋体" w:eastAsia="宋体" w:hint="default"/>
        </w:rPr>
        <w:t>2012</w:t>
      </w:r>
    </w:p>
    <w:p>
      <w:pPr>
        <w:spacing w:after="0" w:line="408" w:lineRule="auto"/>
        <w:jc w:val="both"/>
        <w:rPr>
          <w:rFonts w:ascii="宋体" w:hAnsi="宋体" w:cs="宋体" w:eastAsia="宋体" w:hint="default"/>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right="1046"/>
        <w:jc w:val="left"/>
      </w:pPr>
      <w:r>
        <w:rPr/>
        <w:t>年度利润分配和</w:t>
      </w:r>
      <w:r>
        <w:rPr>
          <w:spacing w:val="-52"/>
        </w:rPr>
        <w:t> </w:t>
      </w:r>
      <w:r>
        <w:rPr>
          <w:rFonts w:ascii="宋体" w:hAnsi="宋体" w:cs="宋体" w:eastAsia="宋体" w:hint="default"/>
        </w:rPr>
        <w:t>2013</w:t>
      </w:r>
      <w:r>
        <w:rPr>
          <w:rFonts w:ascii="宋体" w:hAnsi="宋体" w:cs="宋体" w:eastAsia="宋体" w:hint="default"/>
          <w:spacing w:val="-53"/>
        </w:rPr>
        <w:t> </w:t>
      </w:r>
      <w:r>
        <w:rPr>
          <w:spacing w:val="-2"/>
        </w:rPr>
        <w:t>年</w:t>
      </w:r>
      <w:r>
        <w:rPr/>
        <w:t>度利润分配，根据《海能达通信股份有限公司股票期权激励计划（草案修订稿</w:t>
      </w:r>
      <w:r>
        <w:rPr>
          <w:spacing w:val="-105"/>
        </w:rPr>
        <w:t>）</w:t>
      </w:r>
      <w:r>
        <w:rPr/>
        <w:t>》</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的规定，同意将首次授予的股票期权激励对象人数调整为</w:t>
      </w:r>
      <w:r>
        <w:rPr>
          <w:spacing w:val="-59"/>
        </w:rPr>
        <w:t> </w:t>
      </w:r>
      <w:r>
        <w:rPr>
          <w:rFonts w:ascii="宋体" w:hAnsi="宋体" w:cs="宋体" w:eastAsia="宋体" w:hint="default"/>
        </w:rPr>
        <w:t>163</w:t>
      </w:r>
      <w:r>
        <w:rPr>
          <w:rFonts w:ascii="宋体" w:hAnsi="宋体" w:cs="宋体" w:eastAsia="宋体" w:hint="default"/>
          <w:spacing w:val="-59"/>
        </w:rPr>
        <w:t> </w:t>
      </w:r>
      <w:r>
        <w:rPr/>
        <w:t>人，股票期权的总数调整为</w:t>
      </w:r>
      <w:r>
        <w:rPr>
          <w:spacing w:val="-59"/>
        </w:rPr>
        <w:t> </w:t>
      </w:r>
      <w:r>
        <w:rPr>
          <w:rFonts w:ascii="宋体" w:hAnsi="宋体" w:cs="宋体" w:eastAsia="宋体" w:hint="default"/>
        </w:rPr>
        <w:t>519.9</w:t>
      </w:r>
      <w:r>
        <w:rPr>
          <w:rFonts w:ascii="宋体" w:hAnsi="宋体" w:cs="宋体" w:eastAsia="宋体" w:hint="default"/>
          <w:spacing w:val="-59"/>
        </w:rPr>
        <w:t> </w:t>
      </w:r>
      <w:r>
        <w:rPr/>
        <w:t>万份，行</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权价格调整为</w:t>
      </w:r>
      <w:r>
        <w:rPr>
          <w:spacing w:val="-65"/>
        </w:rPr>
        <w:t> </w:t>
      </w:r>
      <w:r>
        <w:rPr>
          <w:rFonts w:ascii="宋体" w:hAnsi="宋体" w:cs="宋体" w:eastAsia="宋体" w:hint="default"/>
        </w:rPr>
        <w:t>18.01</w:t>
      </w:r>
      <w:r>
        <w:rPr>
          <w:rFonts w:ascii="宋体" w:hAnsi="宋体" w:cs="宋体" w:eastAsia="宋体" w:hint="default"/>
          <w:spacing w:val="-65"/>
        </w:rPr>
        <w:t> </w:t>
      </w:r>
      <w:r>
        <w:rPr/>
        <w:t>元；同时，根据公司激励计划及公司激励计划考核管理办法的考核结果，股票期权激</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励计划第一个行权期的</w:t>
      </w:r>
      <w:r>
        <w:rPr>
          <w:spacing w:val="-53"/>
        </w:rPr>
        <w:t> </w:t>
      </w:r>
      <w:r>
        <w:rPr>
          <w:rFonts w:ascii="宋体" w:hAnsi="宋体" w:cs="宋体" w:eastAsia="宋体" w:hint="default"/>
        </w:rPr>
        <w:t>163</w:t>
      </w:r>
      <w:r>
        <w:rPr>
          <w:rFonts w:ascii="宋体" w:hAnsi="宋体" w:cs="宋体" w:eastAsia="宋体" w:hint="default"/>
          <w:spacing w:val="-53"/>
        </w:rPr>
        <w:t> </w:t>
      </w:r>
      <w:r>
        <w:rPr/>
        <w:t>名激励对象</w:t>
      </w:r>
      <w:r>
        <w:rPr>
          <w:spacing w:val="-54"/>
        </w:rPr>
        <w:t> </w:t>
      </w:r>
      <w:r>
        <w:rPr>
          <w:rFonts w:ascii="宋体" w:hAnsi="宋体" w:cs="宋体" w:eastAsia="宋体" w:hint="default"/>
        </w:rPr>
        <w:t>2013</w:t>
      </w:r>
      <w:r>
        <w:rPr>
          <w:rFonts w:ascii="宋体" w:hAnsi="宋体" w:cs="宋体" w:eastAsia="宋体" w:hint="default"/>
          <w:spacing w:val="-53"/>
        </w:rPr>
        <w:t> </w:t>
      </w:r>
      <w:r>
        <w:rPr/>
        <w:t>年度考核全部合格，公司董事会认为公司股票期权激励计划</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第一个行权期的行权条件已满足，同意第一个行权期行权，首次授予的激励对象人数为</w:t>
      </w:r>
      <w:r>
        <w:rPr>
          <w:spacing w:val="-65"/>
        </w:rPr>
        <w:t> </w:t>
      </w:r>
      <w:r>
        <w:rPr>
          <w:rFonts w:ascii="宋体" w:hAnsi="宋体" w:cs="宋体" w:eastAsia="宋体" w:hint="default"/>
        </w:rPr>
        <w:t>163</w:t>
      </w:r>
      <w:r>
        <w:rPr>
          <w:rFonts w:ascii="宋体" w:hAnsi="宋体" w:cs="宋体" w:eastAsia="宋体" w:hint="default"/>
          <w:spacing w:val="-65"/>
        </w:rPr>
        <w:t> </w:t>
      </w:r>
      <w:r>
        <w:rPr/>
        <w:t>人，授予激励</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t>对象的股票期权总数为</w:t>
      </w:r>
      <w:r>
        <w:rPr>
          <w:spacing w:val="-59"/>
        </w:rPr>
        <w:t> </w:t>
      </w:r>
      <w:r>
        <w:rPr>
          <w:rFonts w:ascii="宋体" w:hAnsi="宋体" w:cs="宋体" w:eastAsia="宋体" w:hint="default"/>
        </w:rPr>
        <w:t>519.9</w:t>
      </w:r>
      <w:r>
        <w:rPr>
          <w:rFonts w:ascii="宋体" w:hAnsi="宋体" w:cs="宋体" w:eastAsia="宋体" w:hint="default"/>
          <w:spacing w:val="-59"/>
        </w:rPr>
        <w:t> </w:t>
      </w:r>
      <w:r>
        <w:rPr/>
        <w:t>万股，行权价格为</w:t>
      </w:r>
      <w:r>
        <w:rPr>
          <w:spacing w:val="-59"/>
        </w:rPr>
        <w:t> </w:t>
      </w:r>
      <w:r>
        <w:rPr>
          <w:rFonts w:ascii="宋体" w:hAnsi="宋体" w:cs="宋体" w:eastAsia="宋体" w:hint="default"/>
        </w:rPr>
        <w:t>18.01</w:t>
      </w:r>
      <w:r>
        <w:rPr>
          <w:rFonts w:ascii="宋体" w:hAnsi="宋体" w:cs="宋体" w:eastAsia="宋体" w:hint="default"/>
          <w:spacing w:val="-59"/>
        </w:rPr>
        <w:t> </w:t>
      </w:r>
      <w:r>
        <w:rPr/>
        <w:t>元</w:t>
      </w:r>
      <w:r>
        <w:rPr>
          <w:rFonts w:ascii="宋体" w:hAnsi="宋体" w:cs="宋体" w:eastAsia="宋体" w:hint="default"/>
        </w:rPr>
        <w:t>/</w:t>
      </w:r>
      <w:r>
        <w:rPr/>
        <w:t>股，第一个行权期采用自主行权的方式；另外，</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同意向</w:t>
      </w:r>
      <w:r>
        <w:rPr>
          <w:spacing w:val="-53"/>
        </w:rPr>
        <w:t> </w:t>
      </w:r>
      <w:r>
        <w:rPr>
          <w:rFonts w:ascii="宋体" w:hAnsi="宋体" w:cs="宋体" w:eastAsia="宋体" w:hint="default"/>
        </w:rPr>
        <w:t>11</w:t>
      </w:r>
      <w:r>
        <w:rPr>
          <w:rFonts w:ascii="宋体" w:hAnsi="宋体" w:cs="宋体" w:eastAsia="宋体" w:hint="default"/>
          <w:spacing w:val="-53"/>
        </w:rPr>
        <w:t> </w:t>
      </w:r>
      <w:r>
        <w:rPr/>
        <w:t>名激励对象授予</w:t>
      </w:r>
      <w:r>
        <w:rPr>
          <w:spacing w:val="-54"/>
        </w:rPr>
        <w:t> </w:t>
      </w:r>
      <w:r>
        <w:rPr>
          <w:rFonts w:ascii="宋体" w:hAnsi="宋体" w:cs="宋体" w:eastAsia="宋体" w:hint="default"/>
        </w:rPr>
        <w:t>52</w:t>
      </w:r>
      <w:r>
        <w:rPr>
          <w:rFonts w:ascii="宋体" w:hAnsi="宋体" w:cs="宋体" w:eastAsia="宋体" w:hint="default"/>
          <w:spacing w:val="-53"/>
        </w:rPr>
        <w:t> </w:t>
      </w:r>
      <w:r>
        <w:rPr/>
        <w:t>万份预留部分股票期权，授予日为</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9</w:t>
      </w:r>
      <w:r>
        <w:rPr>
          <w:rFonts w:ascii="宋体" w:hAnsi="宋体" w:cs="宋体" w:eastAsia="宋体" w:hint="default"/>
          <w:spacing w:val="-53"/>
        </w:rPr>
        <w:t> </w:t>
      </w:r>
      <w:r>
        <w:rPr/>
        <w:t>月</w:t>
      </w:r>
      <w:r>
        <w:rPr>
          <w:spacing w:val="-54"/>
        </w:rPr>
        <w:t> </w:t>
      </w:r>
      <w:r>
        <w:rPr>
          <w:rFonts w:ascii="宋体" w:hAnsi="宋体" w:cs="宋体" w:eastAsia="宋体" w:hint="default"/>
        </w:rPr>
        <w:t>4</w:t>
      </w:r>
      <w:r>
        <w:rPr>
          <w:rFonts w:ascii="宋体" w:hAnsi="宋体" w:cs="宋体" w:eastAsia="宋体" w:hint="default"/>
          <w:spacing w:val="-53"/>
        </w:rPr>
        <w:t> </w:t>
      </w:r>
      <w:r>
        <w:rPr/>
        <w:t>日，授予价为</w:t>
      </w:r>
      <w:r>
        <w:rPr>
          <w:spacing w:val="-54"/>
        </w:rPr>
        <w:t> </w:t>
      </w:r>
      <w:r>
        <w:rPr>
          <w:rFonts w:ascii="宋体" w:hAnsi="宋体" w:cs="宋体" w:eastAsia="宋体" w:hint="default"/>
        </w:rPr>
        <w:t>28.53</w:t>
      </w:r>
      <w:r>
        <w:rPr>
          <w:rFonts w:ascii="宋体" w:hAnsi="宋体" w:cs="宋体" w:eastAsia="宋体" w:hint="default"/>
          <w:spacing w:val="-53"/>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574" w:right="1046"/>
        <w:jc w:val="left"/>
      </w:pP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9</w:t>
      </w:r>
      <w:r>
        <w:rPr>
          <w:rFonts w:ascii="宋体" w:hAnsi="宋体" w:cs="宋体" w:eastAsia="宋体" w:hint="default"/>
          <w:spacing w:val="-54"/>
        </w:rPr>
        <w:t> </w:t>
      </w:r>
      <w:r>
        <w:rPr/>
        <w:t>月</w:t>
      </w:r>
      <w:r>
        <w:rPr>
          <w:spacing w:val="-55"/>
        </w:rPr>
        <w:t> </w:t>
      </w:r>
      <w:r>
        <w:rPr>
          <w:rFonts w:ascii="宋体" w:hAnsi="宋体" w:cs="宋体" w:eastAsia="宋体" w:hint="default"/>
        </w:rPr>
        <w:t>15</w:t>
      </w:r>
      <w:r>
        <w:rPr>
          <w:rFonts w:ascii="宋体" w:hAnsi="宋体" w:cs="宋体" w:eastAsia="宋体" w:hint="default"/>
          <w:spacing w:val="-53"/>
        </w:rPr>
        <w:t> </w:t>
      </w:r>
      <w:r>
        <w:rPr/>
        <w:t>日，公司召开第二届董事会第十二次会议，审议通过了《关于对股权激励计划期权数</w:t>
      </w:r>
    </w:p>
    <w:p>
      <w:pPr>
        <w:spacing w:line="240" w:lineRule="auto" w:before="10"/>
        <w:rPr>
          <w:rFonts w:ascii="宋体" w:hAnsi="宋体" w:cs="宋体" w:eastAsia="宋体" w:hint="default"/>
          <w:sz w:val="14"/>
          <w:szCs w:val="14"/>
        </w:rPr>
      </w:pPr>
    </w:p>
    <w:p>
      <w:pPr>
        <w:pStyle w:val="BodyText"/>
        <w:spacing w:line="408" w:lineRule="auto" w:before="0"/>
        <w:ind w:right="1115"/>
        <w:jc w:val="left"/>
      </w:pPr>
      <w:r>
        <w:rPr>
          <w:spacing w:val="-5"/>
        </w:rPr>
        <w:t>量和行权价格进行调整的议案》，鉴于公司已实施完成</w:t>
      </w:r>
      <w:r>
        <w:rPr>
          <w:spacing w:val="-48"/>
        </w:rPr>
        <w:t> </w:t>
      </w:r>
      <w:r>
        <w:rPr>
          <w:rFonts w:ascii="宋体" w:hAnsi="宋体" w:cs="宋体" w:eastAsia="宋体" w:hint="default"/>
        </w:rPr>
        <w:t>2014</w:t>
      </w:r>
      <w:r>
        <w:rPr>
          <w:rFonts w:ascii="宋体" w:hAnsi="宋体" w:cs="宋体" w:eastAsia="宋体" w:hint="default"/>
          <w:spacing w:val="-51"/>
        </w:rPr>
        <w:t> </w:t>
      </w:r>
      <w:r>
        <w:rPr>
          <w:spacing w:val="-1"/>
        </w:rPr>
        <w:t>年半年度利润分配，依据公司《股票期权激励</w:t>
      </w:r>
      <w:r>
        <w:rPr/>
        <w:t> </w:t>
      </w:r>
      <w:r>
        <w:rPr>
          <w:spacing w:val="-3"/>
        </w:rPr>
        <w:t>计划（草案修订稿）》的规定，经公司股东大会授权，公司董事会对股权激励计划授予的股票期权行权价</w:t>
      </w:r>
      <w:r>
        <w:rPr>
          <w:spacing w:val="-74"/>
        </w:rPr>
        <w:t> </w:t>
      </w:r>
      <w:r>
        <w:rPr>
          <w:spacing w:val="-74"/>
        </w:rPr>
      </w:r>
      <w:r>
        <w:rPr/>
        <w:t>格和数量进行调整，调整后公司股票期权激励计划所涉及的首期股票期权数量调整为</w:t>
      </w:r>
      <w:r>
        <w:rPr>
          <w:spacing w:val="-56"/>
        </w:rPr>
        <w:t> </w:t>
      </w:r>
      <w:r>
        <w:rPr>
          <w:rFonts w:ascii="宋体" w:hAnsi="宋体" w:cs="宋体" w:eastAsia="宋体" w:hint="default"/>
        </w:rPr>
        <w:t>1299.75</w:t>
      </w:r>
      <w:r>
        <w:rPr>
          <w:rFonts w:ascii="宋体" w:hAnsi="宋体" w:cs="宋体" w:eastAsia="宋体" w:hint="default"/>
          <w:spacing w:val="-56"/>
        </w:rPr>
        <w:t> </w:t>
      </w:r>
      <w:r>
        <w:rPr>
          <w:spacing w:val="-3"/>
        </w:rPr>
        <w:t>万股，行权</w:t>
      </w:r>
    </w:p>
    <w:p>
      <w:pPr>
        <w:pStyle w:val="BodyText"/>
        <w:spacing w:line="240" w:lineRule="auto"/>
        <w:ind w:left="154" w:right="1046"/>
        <w:jc w:val="left"/>
      </w:pPr>
      <w:r>
        <w:rPr/>
        <w:t>价格调整为</w:t>
      </w:r>
      <w:r>
        <w:rPr>
          <w:spacing w:val="-53"/>
        </w:rPr>
        <w:t> </w:t>
      </w:r>
      <w:r>
        <w:rPr>
          <w:rFonts w:ascii="宋体" w:hAnsi="宋体" w:cs="宋体" w:eastAsia="宋体" w:hint="default"/>
        </w:rPr>
        <w:t>7.204</w:t>
      </w:r>
      <w:r>
        <w:rPr>
          <w:rFonts w:ascii="宋体" w:hAnsi="宋体" w:cs="宋体" w:eastAsia="宋体" w:hint="default"/>
          <w:spacing w:val="-53"/>
        </w:rPr>
        <w:t> </w:t>
      </w:r>
      <w:r>
        <w:rPr/>
        <w:t>元；预留部分股票期权数量调整为</w:t>
      </w:r>
      <w:r>
        <w:rPr>
          <w:spacing w:val="-53"/>
        </w:rPr>
        <w:t> </w:t>
      </w:r>
      <w:r>
        <w:rPr>
          <w:rFonts w:ascii="宋体" w:hAnsi="宋体" w:cs="宋体" w:eastAsia="宋体" w:hint="default"/>
        </w:rPr>
        <w:t>130</w:t>
      </w:r>
      <w:r>
        <w:rPr>
          <w:rFonts w:ascii="宋体" w:hAnsi="宋体" w:cs="宋体" w:eastAsia="宋体" w:hint="default"/>
          <w:spacing w:val="-53"/>
        </w:rPr>
        <w:t> </w:t>
      </w:r>
      <w:r>
        <w:rPr/>
        <w:t>万股，行权价格调整为</w:t>
      </w:r>
      <w:r>
        <w:rPr>
          <w:spacing w:val="-53"/>
        </w:rPr>
        <w:t> </w:t>
      </w:r>
      <w:r>
        <w:rPr>
          <w:rFonts w:ascii="宋体" w:hAnsi="宋体" w:cs="宋体" w:eastAsia="宋体" w:hint="default"/>
        </w:rPr>
        <w:t>11.41</w:t>
      </w:r>
      <w:r>
        <w:rPr>
          <w:rFonts w:ascii="宋体" w:hAnsi="宋体" w:cs="宋体" w:eastAsia="宋体" w:hint="default"/>
          <w:spacing w:val="-53"/>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rFonts w:ascii="宋体" w:hAnsi="宋体" w:cs="宋体" w:eastAsia="宋体" w:hint="default"/>
        </w:rPr>
        <w:t>2014</w:t>
      </w:r>
      <w:r>
        <w:rPr>
          <w:rFonts w:ascii="宋体" w:hAnsi="宋体" w:cs="宋体" w:eastAsia="宋体" w:hint="default"/>
          <w:spacing w:val="-50"/>
        </w:rPr>
        <w:t> </w:t>
      </w:r>
      <w:r>
        <w:rPr/>
        <w:t>年</w:t>
      </w:r>
      <w:r>
        <w:rPr>
          <w:spacing w:val="-51"/>
        </w:rPr>
        <w:t> </w:t>
      </w:r>
      <w:r>
        <w:rPr>
          <w:rFonts w:ascii="宋体" w:hAnsi="宋体" w:cs="宋体" w:eastAsia="宋体" w:hint="default"/>
        </w:rPr>
        <w:t>9</w:t>
      </w:r>
      <w:r>
        <w:rPr>
          <w:rFonts w:ascii="宋体" w:hAnsi="宋体" w:cs="宋体" w:eastAsia="宋体" w:hint="default"/>
          <w:spacing w:val="-51"/>
        </w:rPr>
        <w:t> </w:t>
      </w:r>
      <w:r>
        <w:rPr/>
        <w:t>月</w:t>
      </w:r>
      <w:r>
        <w:rPr>
          <w:spacing w:val="-52"/>
        </w:rPr>
        <w:t> </w:t>
      </w:r>
      <w:r>
        <w:rPr>
          <w:rFonts w:ascii="宋体" w:hAnsi="宋体" w:cs="宋体" w:eastAsia="宋体" w:hint="default"/>
        </w:rPr>
        <w:t>17</w:t>
      </w:r>
      <w:r>
        <w:rPr>
          <w:rFonts w:ascii="宋体" w:hAnsi="宋体" w:cs="宋体" w:eastAsia="宋体" w:hint="default"/>
          <w:spacing w:val="-50"/>
        </w:rPr>
        <w:t> </w:t>
      </w:r>
      <w:r>
        <w:rPr>
          <w:spacing w:val="-3"/>
        </w:rPr>
        <w:t>日，经中国证券登记结算有限责任公司深圳分公司审核确认，公司已完成</w:t>
      </w:r>
      <w:r>
        <w:rPr>
          <w:spacing w:val="-50"/>
        </w:rPr>
        <w:t> </w:t>
      </w:r>
      <w:r>
        <w:rPr>
          <w:rFonts w:ascii="宋体" w:hAnsi="宋体" w:cs="宋体" w:eastAsia="宋体" w:hint="default"/>
        </w:rPr>
        <w:t>12</w:t>
      </w:r>
      <w:r>
        <w:rPr>
          <w:rFonts w:ascii="宋体" w:hAnsi="宋体" w:cs="宋体" w:eastAsia="宋体" w:hint="default"/>
          <w:spacing w:val="-50"/>
        </w:rPr>
        <w:t> </w:t>
      </w:r>
      <w:r>
        <w:rPr/>
        <w:t>名离职人</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员获授股票期权</w:t>
      </w:r>
      <w:r>
        <w:rPr>
          <w:spacing w:val="-53"/>
        </w:rPr>
        <w:t> </w:t>
      </w:r>
      <w:r>
        <w:rPr>
          <w:rFonts w:ascii="宋体" w:hAnsi="宋体" w:cs="宋体" w:eastAsia="宋体" w:hint="default"/>
        </w:rPr>
        <w:t>53.8</w:t>
      </w:r>
      <w:r>
        <w:rPr>
          <w:rFonts w:ascii="宋体" w:hAnsi="宋体" w:cs="宋体" w:eastAsia="宋体" w:hint="default"/>
          <w:spacing w:val="-54"/>
        </w:rPr>
        <w:t> </w:t>
      </w:r>
      <w:r>
        <w:rPr/>
        <w:t>万份的注销事宜。</w:t>
      </w:r>
    </w:p>
    <w:p>
      <w:pPr>
        <w:spacing w:line="240" w:lineRule="auto" w:before="10"/>
        <w:rPr>
          <w:rFonts w:ascii="宋体" w:hAnsi="宋体" w:cs="宋体" w:eastAsia="宋体" w:hint="default"/>
          <w:sz w:val="14"/>
          <w:szCs w:val="14"/>
        </w:rPr>
      </w:pPr>
    </w:p>
    <w:p>
      <w:pPr>
        <w:pStyle w:val="BodyText"/>
        <w:spacing w:line="408" w:lineRule="auto" w:before="0"/>
        <w:ind w:right="1011" w:firstLine="420"/>
        <w:jc w:val="left"/>
      </w:pPr>
      <w:r>
        <w:rPr>
          <w:rFonts w:ascii="宋体" w:hAnsi="宋体" w:cs="宋体" w:eastAsia="宋体" w:hint="default"/>
        </w:rPr>
        <w:t>2014</w:t>
      </w:r>
      <w:r>
        <w:rPr>
          <w:rFonts w:ascii="宋体" w:hAnsi="宋体" w:cs="宋体" w:eastAsia="宋体" w:hint="default"/>
          <w:spacing w:val="-48"/>
        </w:rPr>
        <w:t> </w:t>
      </w:r>
      <w:r>
        <w:rPr/>
        <w:t>年</w:t>
      </w:r>
      <w:r>
        <w:rPr>
          <w:spacing w:val="-49"/>
        </w:rPr>
        <w:t> </w:t>
      </w:r>
      <w:r>
        <w:rPr>
          <w:rFonts w:ascii="宋体" w:hAnsi="宋体" w:cs="宋体" w:eastAsia="宋体" w:hint="default"/>
        </w:rPr>
        <w:t>10</w:t>
      </w:r>
      <w:r>
        <w:rPr>
          <w:rFonts w:ascii="宋体" w:hAnsi="宋体" w:cs="宋体" w:eastAsia="宋体" w:hint="default"/>
          <w:spacing w:val="-49"/>
        </w:rPr>
        <w:t> </w:t>
      </w:r>
      <w:r>
        <w:rPr/>
        <w:t>月</w:t>
      </w:r>
      <w:r>
        <w:rPr>
          <w:spacing w:val="-49"/>
        </w:rPr>
        <w:t> </w:t>
      </w:r>
      <w:r>
        <w:rPr>
          <w:rFonts w:ascii="宋体" w:hAnsi="宋体" w:cs="宋体" w:eastAsia="宋体" w:hint="default"/>
        </w:rPr>
        <w:t>17</w:t>
      </w:r>
      <w:r>
        <w:rPr>
          <w:rFonts w:ascii="宋体" w:hAnsi="宋体" w:cs="宋体" w:eastAsia="宋体" w:hint="default"/>
          <w:spacing w:val="-48"/>
        </w:rPr>
        <w:t> </w:t>
      </w:r>
      <w:r>
        <w:rPr>
          <w:spacing w:val="-3"/>
        </w:rPr>
        <w:t>日，经深圳证券交易所、中国证券登记结算有限责任公司深圳分公司审核确认，公司</w:t>
      </w:r>
      <w:r>
        <w:rPr/>
        <w:t> 已完成对预留部分期权数量及行权价格调整的登记工作，共涉及期权数量</w:t>
      </w:r>
      <w:r>
        <w:rPr>
          <w:spacing w:val="-69"/>
        </w:rPr>
        <w:t> </w:t>
      </w:r>
      <w:r>
        <w:rPr>
          <w:rFonts w:ascii="宋体" w:hAnsi="宋体" w:cs="宋体" w:eastAsia="宋体" w:hint="default"/>
        </w:rPr>
        <w:t>130</w:t>
      </w:r>
      <w:r>
        <w:rPr>
          <w:rFonts w:ascii="宋体" w:hAnsi="宋体" w:cs="宋体" w:eastAsia="宋体" w:hint="default"/>
          <w:spacing w:val="-69"/>
        </w:rPr>
        <w:t> </w:t>
      </w:r>
      <w:r>
        <w:rPr>
          <w:spacing w:val="-13"/>
        </w:rPr>
        <w:t>万份，期权简称：海能</w:t>
      </w:r>
      <w:r>
        <w:rPr>
          <w:spacing w:val="-70"/>
        </w:rPr>
        <w:t> </w:t>
      </w:r>
      <w:r>
        <w:rPr>
          <w:rFonts w:ascii="宋体" w:hAnsi="宋体" w:cs="宋体" w:eastAsia="宋体" w:hint="default"/>
        </w:rPr>
        <w:t>JLC2</w:t>
      </w:r>
      <w:r>
        <w:rPr/>
        <w:t>， 期权代码：</w:t>
      </w:r>
      <w:r>
        <w:rPr>
          <w:rFonts w:ascii="宋体" w:hAnsi="宋体" w:cs="宋体" w:eastAsia="宋体" w:hint="default"/>
        </w:rPr>
        <w:t>037668</w:t>
      </w:r>
      <w:r>
        <w:rPr/>
        <w:t>。</w:t>
      </w:r>
    </w:p>
    <w:p>
      <w:pPr>
        <w:spacing w:line="240" w:lineRule="auto" w:before="8"/>
        <w:rPr>
          <w:rFonts w:ascii="宋体" w:hAnsi="宋体" w:cs="宋体" w:eastAsia="宋体" w:hint="default"/>
          <w:sz w:val="20"/>
          <w:szCs w:val="20"/>
        </w:rPr>
      </w:pPr>
    </w:p>
    <w:p>
      <w:pPr>
        <w:pStyle w:val="Heading3"/>
        <w:spacing w:line="240" w:lineRule="auto"/>
        <w:ind w:right="1046"/>
        <w:jc w:val="left"/>
        <w:rPr>
          <w:b w:val="0"/>
          <w:bCs w:val="0"/>
        </w:rPr>
      </w:pPr>
      <w:bookmarkStart w:name="3、以现金结算的股份支付情况" w:id="410"/>
      <w:bookmarkEnd w:id="410"/>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1046"/>
        <w:jc w:val="left"/>
        <w:rPr>
          <w:b w:val="0"/>
          <w:bCs w:val="0"/>
        </w:rPr>
      </w:pPr>
      <w:bookmarkStart w:name="4、股份支付的修改、终止情况" w:id="411"/>
      <w:bookmarkEnd w:id="411"/>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3" w:right="8344" w:firstLine="0"/>
        <w:jc w:val="left"/>
        <w:rPr>
          <w:rFonts w:ascii="宋体" w:hAnsi="宋体" w:cs="宋体" w:eastAsia="宋体" w:hint="default"/>
          <w:sz w:val="21"/>
          <w:szCs w:val="21"/>
        </w:rPr>
      </w:pPr>
      <w:bookmarkStart w:name="5、其他" w:id="412"/>
      <w:bookmarkEnd w:id="412"/>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承诺及或有事项" w:id="413"/>
      <w:bookmarkEnd w:id="413"/>
      <w:r>
        <w:rPr>
          <w:rFonts w:ascii="宋体" w:hAnsi="宋体" w:cs="宋体" w:eastAsia="宋体" w:hint="default"/>
          <w:b/>
          <w:bCs/>
          <w:spacing w:val="1"/>
          <w:w w:val="99"/>
          <w:sz w:val="21"/>
          <w:szCs w:val="21"/>
        </w:rPr>
      </w:r>
      <w:r>
        <w:rPr>
          <w:rFonts w:ascii="宋体" w:hAnsi="宋体" w:cs="宋体" w:eastAsia="宋体" w:hint="default"/>
          <w:b/>
          <w:bCs/>
          <w:sz w:val="24"/>
          <w:szCs w:val="24"/>
        </w:rPr>
        <w:t>十三、承诺及或有事项</w:t>
      </w:r>
      <w:r>
        <w:rPr>
          <w:rFonts w:ascii="宋体" w:hAnsi="宋体" w:cs="宋体" w:eastAsia="宋体" w:hint="default"/>
          <w:b/>
          <w:bCs/>
          <w:w w:val="99"/>
          <w:sz w:val="24"/>
          <w:szCs w:val="24"/>
        </w:rPr>
        <w:t> </w:t>
      </w:r>
      <w:bookmarkStart w:name="1、重要承诺事项" w:id="414"/>
      <w:bookmarkEnd w:id="41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1046"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12"/>
        <w:rPr>
          <w:rFonts w:ascii="宋体" w:hAnsi="宋体" w:cs="宋体" w:eastAsia="宋体" w:hint="default"/>
          <w:sz w:val="12"/>
          <w:szCs w:val="12"/>
        </w:rPr>
      </w:pPr>
    </w:p>
    <w:p>
      <w:pPr>
        <w:pStyle w:val="BodyText"/>
        <w:spacing w:line="240" w:lineRule="auto" w:before="0"/>
        <w:ind w:left="574" w:right="1046"/>
        <w:jc w:val="left"/>
      </w:pPr>
      <w:r>
        <w:rPr/>
        <w:t>（</w:t>
      </w:r>
      <w:r>
        <w:rPr>
          <w:rFonts w:ascii="宋体" w:hAnsi="宋体" w:cs="宋体" w:eastAsia="宋体" w:hint="default"/>
        </w:rPr>
        <w:t>1</w:t>
      </w:r>
      <w:r>
        <w:rPr/>
        <w:t>）截至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日，本公司对外开具的保函余额为人民币</w:t>
      </w:r>
      <w:r>
        <w:rPr>
          <w:spacing w:val="-54"/>
        </w:rPr>
        <w:t> </w:t>
      </w:r>
      <w:r>
        <w:rPr>
          <w:rFonts w:ascii="宋体" w:hAnsi="宋体" w:cs="宋体" w:eastAsia="宋体" w:hint="default"/>
        </w:rPr>
        <w:t>19,132,520.00</w:t>
      </w:r>
      <w:r>
        <w:rPr>
          <w:rFonts w:ascii="宋体" w:hAnsi="宋体" w:cs="宋体" w:eastAsia="宋体" w:hint="default"/>
          <w:spacing w:val="-53"/>
        </w:rPr>
        <w:t> </w:t>
      </w:r>
      <w:r>
        <w:rPr/>
        <w:t>元、美元</w:t>
      </w:r>
    </w:p>
    <w:p>
      <w:pPr>
        <w:spacing w:line="240" w:lineRule="auto" w:before="10"/>
        <w:rPr>
          <w:rFonts w:ascii="宋体" w:hAnsi="宋体" w:cs="宋体" w:eastAsia="宋体" w:hint="default"/>
          <w:sz w:val="14"/>
          <w:szCs w:val="14"/>
        </w:rPr>
      </w:pPr>
    </w:p>
    <w:p>
      <w:pPr>
        <w:pStyle w:val="BodyText"/>
        <w:spacing w:line="240" w:lineRule="auto" w:before="0"/>
        <w:ind w:left="154" w:right="0"/>
        <w:jc w:val="left"/>
      </w:pPr>
      <w:r>
        <w:rPr>
          <w:rFonts w:ascii="宋体" w:hAnsi="宋体" w:cs="宋体" w:eastAsia="宋体" w:hint="default"/>
        </w:rPr>
        <w:t>8,828,341.02</w:t>
      </w:r>
      <w:r>
        <w:rPr>
          <w:rFonts w:ascii="宋体" w:hAnsi="宋体" w:cs="宋体" w:eastAsia="宋体" w:hint="default"/>
          <w:spacing w:val="-52"/>
        </w:rPr>
        <w:t> </w:t>
      </w:r>
      <w:r>
        <w:rPr>
          <w:spacing w:val="-8"/>
        </w:rPr>
        <w:t>元</w:t>
      </w:r>
      <w:r>
        <w:rPr/>
        <w:t>（折人</w:t>
      </w:r>
      <w:r>
        <w:rPr>
          <w:spacing w:val="-2"/>
        </w:rPr>
        <w:t>民</w:t>
      </w:r>
      <w:r>
        <w:rPr/>
        <w:t>币</w:t>
      </w:r>
      <w:r>
        <w:rPr>
          <w:spacing w:val="-53"/>
        </w:rPr>
        <w:t> </w:t>
      </w:r>
      <w:r>
        <w:rPr>
          <w:rFonts w:ascii="宋体" w:hAnsi="宋体" w:cs="宋体" w:eastAsia="宋体" w:hint="default"/>
        </w:rPr>
        <w:t>54,020,618.70 </w:t>
      </w:r>
      <w:r>
        <w:rPr/>
        <w:t>元</w:t>
      </w:r>
      <w:r>
        <w:rPr>
          <w:spacing w:val="-105"/>
        </w:rPr>
        <w:t>）</w:t>
      </w:r>
      <w:r>
        <w:rPr>
          <w:spacing w:val="-9"/>
        </w:rPr>
        <w:t>、</w:t>
      </w:r>
      <w:r>
        <w:rPr/>
        <w:t>欧元</w:t>
      </w:r>
      <w:r>
        <w:rPr>
          <w:spacing w:val="-53"/>
        </w:rPr>
        <w:t> </w:t>
      </w:r>
      <w:r>
        <w:rPr>
          <w:rFonts w:ascii="宋体" w:hAnsi="宋体" w:cs="宋体" w:eastAsia="宋体" w:hint="default"/>
        </w:rPr>
        <w:t>2,513,867.12 </w:t>
      </w:r>
      <w:r>
        <w:rPr>
          <w:spacing w:val="-8"/>
        </w:rPr>
        <w:t>元</w:t>
      </w:r>
      <w:r>
        <w:rPr>
          <w:spacing w:val="-2"/>
        </w:rPr>
        <w:t>（</w:t>
      </w:r>
      <w:r>
        <w:rPr/>
        <w:t>折人民币</w:t>
      </w:r>
      <w:r>
        <w:rPr>
          <w:spacing w:val="-52"/>
        </w:rPr>
        <w:t> </w:t>
      </w:r>
      <w:r>
        <w:rPr>
          <w:rFonts w:ascii="宋体" w:hAnsi="宋体" w:cs="宋体" w:eastAsia="宋体" w:hint="default"/>
        </w:rPr>
        <w:t>18,742,387.70</w:t>
      </w:r>
      <w:r>
        <w:rPr>
          <w:rFonts w:ascii="宋体" w:hAnsi="宋体" w:cs="宋体" w:eastAsia="宋体" w:hint="default"/>
          <w:spacing w:val="-2"/>
        </w:rPr>
        <w:t> </w:t>
      </w:r>
      <w:r>
        <w:rPr/>
        <w:t>元</w:t>
      </w:r>
      <w:r>
        <w:rPr>
          <w:spacing w:val="-104"/>
        </w:rPr>
        <w:t>）</w:t>
      </w:r>
      <w:r>
        <w:rPr/>
        <w:t>，</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合计为人民币</w:t>
      </w:r>
      <w:r>
        <w:rPr>
          <w:spacing w:val="-52"/>
        </w:rPr>
        <w:t> </w:t>
      </w:r>
      <w:r>
        <w:rPr>
          <w:rFonts w:ascii="宋体" w:hAnsi="宋体" w:cs="宋体" w:eastAsia="宋体" w:hint="default"/>
        </w:rPr>
        <w:t>91,895,526.40</w:t>
      </w:r>
      <w:r>
        <w:rPr>
          <w:rFonts w:ascii="宋体" w:hAnsi="宋体" w:cs="宋体" w:eastAsia="宋体" w:hint="default"/>
          <w:spacing w:val="-52"/>
        </w:rPr>
        <w:t> </w:t>
      </w:r>
      <w:r>
        <w:rPr/>
        <w:t>元。</w:t>
      </w:r>
    </w:p>
    <w:p>
      <w:pPr>
        <w:spacing w:after="0" w:line="240" w:lineRule="auto"/>
        <w:jc w:val="left"/>
        <w:sectPr>
          <w:footerReference w:type="default" r:id="rId19"/>
          <w:pgSz w:w="11910" w:h="16840"/>
          <w:pgMar w:footer="979" w:header="747" w:top="1060" w:bottom="1160" w:left="980" w:right="0"/>
        </w:sectPr>
      </w:pPr>
    </w:p>
    <w:p>
      <w:pPr>
        <w:spacing w:line="240" w:lineRule="auto" w:before="0"/>
        <w:rPr>
          <w:rFonts w:ascii="宋体" w:hAnsi="宋体" w:cs="宋体" w:eastAsia="宋体" w:hint="default"/>
          <w:sz w:val="20"/>
          <w:szCs w:val="20"/>
        </w:rPr>
      </w:pPr>
    </w:p>
    <w:p>
      <w:pPr>
        <w:pStyle w:val="BodyText"/>
        <w:spacing w:line="240" w:lineRule="auto" w:before="174"/>
        <w:ind w:left="573" w:right="1046"/>
        <w:jc w:val="left"/>
      </w:pPr>
      <w:r>
        <w:rPr>
          <w:spacing w:val="-3"/>
        </w:rPr>
        <w:t>（</w:t>
      </w:r>
      <w:r>
        <w:rPr>
          <w:rFonts w:ascii="宋体" w:hAnsi="宋体" w:cs="宋体" w:eastAsia="宋体" w:hint="default"/>
          <w:spacing w:val="-3"/>
        </w:rPr>
        <w:t>2</w:t>
      </w:r>
      <w:r>
        <w:rPr>
          <w:spacing w:val="-3"/>
        </w:rPr>
        <w:t>）截至</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6"/>
        </w:rPr>
        <w:t> </w:t>
      </w:r>
      <w:r>
        <w:rPr>
          <w:rFonts w:ascii="宋体" w:hAnsi="宋体" w:cs="宋体" w:eastAsia="宋体" w:hint="default"/>
        </w:rPr>
        <w:t>12</w:t>
      </w:r>
      <w:r>
        <w:rPr>
          <w:rFonts w:ascii="宋体" w:hAnsi="宋体" w:cs="宋体" w:eastAsia="宋体" w:hint="default"/>
          <w:spacing w:val="-55"/>
        </w:rPr>
        <w:t> </w:t>
      </w:r>
      <w:r>
        <w:rPr/>
        <w:t>月</w:t>
      </w:r>
      <w:r>
        <w:rPr>
          <w:spacing w:val="-57"/>
        </w:rPr>
        <w:t> </w:t>
      </w:r>
      <w:r>
        <w:rPr>
          <w:rFonts w:ascii="宋体" w:hAnsi="宋体" w:cs="宋体" w:eastAsia="宋体" w:hint="default"/>
        </w:rPr>
        <w:t>31</w:t>
      </w:r>
      <w:r>
        <w:rPr>
          <w:rFonts w:ascii="宋体" w:hAnsi="宋体" w:cs="宋体" w:eastAsia="宋体" w:hint="default"/>
          <w:spacing w:val="-55"/>
        </w:rPr>
        <w:t> </w:t>
      </w:r>
      <w:r>
        <w:rPr/>
        <w:t>日，本公司之子公司深圳市海能达技术有限公司对外开具的保函余额为人</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民币</w:t>
      </w:r>
      <w:r>
        <w:rPr>
          <w:spacing w:val="-53"/>
        </w:rPr>
        <w:t> </w:t>
      </w:r>
      <w:r>
        <w:rPr>
          <w:rFonts w:ascii="宋体" w:hAnsi="宋体" w:cs="宋体" w:eastAsia="宋体" w:hint="default"/>
        </w:rPr>
        <w:t>25,555,385.83</w:t>
      </w:r>
      <w:r>
        <w:rPr>
          <w:rFonts w:ascii="宋体" w:hAnsi="宋体" w:cs="宋体" w:eastAsia="宋体" w:hint="default"/>
          <w:spacing w:val="-52"/>
        </w:rPr>
        <w:t> </w:t>
      </w:r>
      <w:r>
        <w:rPr/>
        <w:t>元</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w:t>
      </w:r>
      <w:r>
        <w:rPr>
          <w:rFonts w:ascii="宋体" w:hAnsi="宋体" w:cs="宋体" w:eastAsia="宋体" w:hint="default"/>
        </w:rPr>
        <w:t>3</w:t>
      </w:r>
      <w:r>
        <w:rPr/>
        <w:t>）截至</w:t>
      </w:r>
      <w:r>
        <w:rPr>
          <w:spacing w:val="-54"/>
        </w:rPr>
        <w:t> </w:t>
      </w:r>
      <w:r>
        <w:rPr>
          <w:rFonts w:ascii="宋体" w:hAnsi="宋体" w:cs="宋体" w:eastAsia="宋体" w:hint="default"/>
        </w:rPr>
        <w:t>2014</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日，本公司不存在应披露的其他承诺事项。</w:t>
      </w:r>
    </w:p>
    <w:p>
      <w:pPr>
        <w:spacing w:line="240" w:lineRule="auto" w:before="0"/>
        <w:rPr>
          <w:rFonts w:ascii="宋体" w:hAnsi="宋体" w:cs="宋体" w:eastAsia="宋体" w:hint="default"/>
          <w:sz w:val="20"/>
          <w:szCs w:val="20"/>
        </w:rPr>
      </w:pPr>
    </w:p>
    <w:p>
      <w:pPr>
        <w:pStyle w:val="Heading3"/>
        <w:spacing w:line="240" w:lineRule="auto" w:before="155"/>
        <w:ind w:left="153" w:right="1046"/>
        <w:jc w:val="left"/>
        <w:rPr>
          <w:b w:val="0"/>
          <w:bCs w:val="0"/>
        </w:rPr>
      </w:pPr>
      <w:bookmarkStart w:name="2、或有事项" w:id="415"/>
      <w:bookmarkEnd w:id="415"/>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资产负债表日存在的重要或有事项" w:id="416"/>
      <w:bookmarkEnd w:id="416"/>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30"/>
          <w:szCs w:val="30"/>
        </w:rPr>
      </w:pPr>
    </w:p>
    <w:p>
      <w:pPr>
        <w:pStyle w:val="BodyText"/>
        <w:tabs>
          <w:tab w:pos="3567" w:val="left" w:leader="none"/>
        </w:tabs>
        <w:spacing w:line="240" w:lineRule="auto" w:before="0"/>
        <w:ind w:left="573" w:right="1046"/>
        <w:jc w:val="left"/>
      </w:pPr>
      <w:r>
        <w:rPr>
          <w:rFonts w:ascii="宋体" w:hAnsi="宋体" w:cs="宋体" w:eastAsia="宋体" w:hint="default"/>
        </w:rPr>
        <w:t>2013</w:t>
      </w:r>
      <w:r>
        <w:rPr>
          <w:rFonts w:ascii="宋体" w:hAnsi="宋体" w:cs="宋体" w:eastAsia="宋体" w:hint="default"/>
          <w:spacing w:val="-53"/>
        </w:rPr>
        <w:t> </w:t>
      </w:r>
      <w:r>
        <w:rPr/>
        <w:t>年</w:t>
      </w:r>
      <w:r>
        <w:rPr>
          <w:spacing w:val="-54"/>
        </w:rPr>
        <w:t> </w:t>
      </w:r>
      <w:r>
        <w:rPr>
          <w:rFonts w:ascii="宋体" w:hAnsi="宋体" w:cs="宋体" w:eastAsia="宋体" w:hint="default"/>
        </w:rPr>
        <w:t>7</w:t>
      </w:r>
      <w:r>
        <w:rPr>
          <w:rFonts w:ascii="宋体" w:hAnsi="宋体" w:cs="宋体" w:eastAsia="宋体" w:hint="default"/>
          <w:spacing w:val="-53"/>
        </w:rPr>
        <w:t> </w:t>
      </w:r>
      <w:r>
        <w:rPr/>
        <w:t>月，本公司之子公司</w:t>
        <w:tab/>
      </w:r>
      <w:r>
        <w:rPr>
          <w:rFonts w:ascii="宋体" w:hAnsi="宋体" w:cs="宋体" w:eastAsia="宋体" w:hint="default"/>
        </w:rPr>
        <w:t>Hytera Mobilfunk GmbH</w:t>
      </w:r>
      <w:r>
        <w:rPr>
          <w:rFonts w:ascii="宋体" w:hAnsi="宋体" w:cs="宋体" w:eastAsia="宋体" w:hint="default"/>
          <w:spacing w:val="-56"/>
        </w:rPr>
        <w:t> </w:t>
      </w:r>
      <w:r>
        <w:rPr/>
        <w:t>向慕尼黑地方法院提起诉讼，要求客</w:t>
      </w:r>
    </w:p>
    <w:p>
      <w:pPr>
        <w:spacing w:line="240" w:lineRule="auto" w:before="10"/>
        <w:rPr>
          <w:rFonts w:ascii="宋体" w:hAnsi="宋体" w:cs="宋体" w:eastAsia="宋体" w:hint="default"/>
          <w:sz w:val="14"/>
          <w:szCs w:val="14"/>
        </w:rPr>
      </w:pPr>
    </w:p>
    <w:p>
      <w:pPr>
        <w:pStyle w:val="BodyText"/>
        <w:spacing w:line="408" w:lineRule="auto" w:before="0"/>
        <w:ind w:right="1132"/>
        <w:jc w:val="both"/>
      </w:pPr>
      <w:r>
        <w:rPr/>
        <w:t>户</w:t>
      </w:r>
      <w:r>
        <w:rPr>
          <w:spacing w:val="104"/>
        </w:rPr>
        <w:t> </w:t>
      </w:r>
      <w:r>
        <w:rPr>
          <w:rFonts w:ascii="宋体" w:hAnsi="宋体" w:cs="宋体" w:eastAsia="宋体" w:hint="default"/>
        </w:rPr>
        <w:t>Railtrade</w:t>
      </w:r>
      <w:r>
        <w:rPr>
          <w:rFonts w:ascii="宋体" w:hAnsi="宋体" w:cs="宋体" w:eastAsia="宋体" w:hint="default"/>
          <w:spacing w:val="-8"/>
        </w:rPr>
        <w:t> </w:t>
      </w:r>
      <w:r>
        <w:rPr>
          <w:rFonts w:ascii="宋体" w:hAnsi="宋体" w:cs="宋体" w:eastAsia="宋体" w:hint="default"/>
        </w:rPr>
        <w:t>GmbH</w:t>
      </w:r>
      <w:r>
        <w:rPr>
          <w:rFonts w:ascii="宋体" w:hAnsi="宋体" w:cs="宋体" w:eastAsia="宋体" w:hint="default"/>
          <w:spacing w:val="-7"/>
        </w:rPr>
        <w:t> </w:t>
      </w:r>
      <w:r>
        <w:rPr>
          <w:rFonts w:ascii="宋体" w:hAnsi="宋体" w:cs="宋体" w:eastAsia="宋体" w:hint="default"/>
        </w:rPr>
        <w:t>&amp;</w:t>
      </w:r>
      <w:r>
        <w:rPr>
          <w:rFonts w:ascii="宋体" w:hAnsi="宋体" w:cs="宋体" w:eastAsia="宋体" w:hint="default"/>
          <w:spacing w:val="-6"/>
        </w:rPr>
        <w:t> </w:t>
      </w:r>
      <w:r>
        <w:rPr>
          <w:rFonts w:ascii="宋体" w:hAnsi="宋体" w:cs="宋体" w:eastAsia="宋体" w:hint="default"/>
        </w:rPr>
        <w:t>Co.</w:t>
      </w:r>
      <w:r>
        <w:rPr>
          <w:rFonts w:ascii="宋体" w:hAnsi="宋体" w:cs="宋体" w:eastAsia="宋体" w:hint="default"/>
          <w:spacing w:val="-8"/>
        </w:rPr>
        <w:t> </w:t>
      </w:r>
      <w:r>
        <w:rPr>
          <w:rFonts w:ascii="宋体" w:hAnsi="宋体" w:cs="宋体" w:eastAsia="宋体" w:hint="default"/>
        </w:rPr>
        <w:t>KG </w:t>
      </w:r>
      <w:r>
        <w:rPr/>
        <w:t>支付逾期货款</w:t>
      </w:r>
      <w:r>
        <w:rPr>
          <w:spacing w:val="104"/>
        </w:rPr>
        <w:t> </w:t>
      </w:r>
      <w:r>
        <w:rPr>
          <w:rFonts w:ascii="宋体" w:hAnsi="宋体" w:cs="宋体" w:eastAsia="宋体" w:hint="default"/>
        </w:rPr>
        <w:t>1,159,597</w:t>
      </w:r>
      <w:r>
        <w:rPr>
          <w:rFonts w:ascii="宋体" w:hAnsi="宋体" w:cs="宋体" w:eastAsia="宋体" w:hint="default"/>
          <w:spacing w:val="-53"/>
        </w:rPr>
        <w:t> </w:t>
      </w:r>
      <w:r>
        <w:rPr/>
        <w:t>欧元。</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29</w:t>
      </w:r>
      <w:r>
        <w:rPr>
          <w:rFonts w:ascii="宋体" w:hAnsi="宋体" w:cs="宋体" w:eastAsia="宋体" w:hint="default"/>
          <w:spacing w:val="-53"/>
        </w:rPr>
        <w:t> </w:t>
      </w:r>
      <w:r>
        <w:rPr/>
        <w:t>日，慕尼黑地方法院援 </w:t>
      </w:r>
      <w:r>
        <w:rPr>
          <w:spacing w:val="-1"/>
        </w:rPr>
        <w:t>引合同中的仲裁条款，裁定双方当事人需先提交仲裁解决，暂不受理本诉讼。目前，本公司获悉德国柏林</w:t>
      </w:r>
      <w:r>
        <w:rPr>
          <w:spacing w:val="-86"/>
        </w:rPr>
        <w:t> </w:t>
      </w:r>
      <w:r>
        <w:rPr>
          <w:spacing w:val="-86"/>
        </w:rPr>
      </w:r>
      <w:r>
        <w:rPr>
          <w:rFonts w:ascii="宋体" w:hAnsi="宋体" w:cs="宋体" w:eastAsia="宋体" w:hint="default"/>
        </w:rPr>
        <w:t>Charlottenburg</w:t>
      </w:r>
      <w:r>
        <w:rPr>
          <w:rFonts w:ascii="宋体" w:hAnsi="宋体" w:cs="宋体" w:eastAsia="宋体" w:hint="default"/>
          <w:spacing w:val="-53"/>
        </w:rPr>
        <w:t> </w:t>
      </w:r>
      <w:r>
        <w:rPr/>
        <w:t>地区法院已受理</w:t>
      </w:r>
      <w:r>
        <w:rPr>
          <w:spacing w:val="-54"/>
        </w:rPr>
        <w:t> </w:t>
      </w:r>
      <w:r>
        <w:rPr>
          <w:rFonts w:ascii="宋体" w:hAnsi="宋体" w:cs="宋体" w:eastAsia="宋体" w:hint="default"/>
        </w:rPr>
        <w:t>Tewet</w:t>
      </w:r>
      <w:r>
        <w:rPr>
          <w:rFonts w:ascii="宋体" w:hAnsi="宋体" w:cs="宋体" w:eastAsia="宋体" w:hint="default"/>
          <w:spacing w:val="-54"/>
        </w:rPr>
        <w:t> </w:t>
      </w:r>
      <w:r>
        <w:rPr>
          <w:rFonts w:ascii="宋体" w:hAnsi="宋体" w:cs="宋体" w:eastAsia="宋体" w:hint="default"/>
        </w:rPr>
        <w:t>AG</w:t>
      </w:r>
      <w:r>
        <w:rPr>
          <w:rFonts w:ascii="宋体" w:hAnsi="宋体" w:cs="宋体" w:eastAsia="宋体" w:hint="default"/>
          <w:spacing w:val="-53"/>
        </w:rPr>
        <w:t> </w:t>
      </w:r>
      <w:r>
        <w:rPr>
          <w:spacing w:val="-6"/>
        </w:rPr>
        <w:t>的破产清算申请，本公司客户</w:t>
      </w:r>
      <w:r>
        <w:rPr>
          <w:spacing w:val="-54"/>
        </w:rPr>
        <w:t> </w:t>
      </w:r>
      <w:r>
        <w:rPr>
          <w:rFonts w:ascii="宋体" w:hAnsi="宋体" w:cs="宋体" w:eastAsia="宋体" w:hint="default"/>
        </w:rPr>
        <w:t>Railtrade</w:t>
      </w:r>
      <w:r>
        <w:rPr>
          <w:rFonts w:ascii="宋体" w:hAnsi="宋体" w:cs="宋体" w:eastAsia="宋体" w:hint="default"/>
          <w:spacing w:val="-54"/>
        </w:rPr>
        <w:t> </w:t>
      </w:r>
      <w:r>
        <w:rPr>
          <w:rFonts w:ascii="宋体" w:hAnsi="宋体" w:cs="宋体" w:eastAsia="宋体" w:hint="default"/>
        </w:rPr>
        <w:t>GmbH</w:t>
      </w:r>
      <w:r>
        <w:rPr>
          <w:rFonts w:ascii="宋体" w:hAnsi="宋体" w:cs="宋体" w:eastAsia="宋体" w:hint="default"/>
          <w:spacing w:val="-54"/>
        </w:rPr>
        <w:t> </w:t>
      </w:r>
      <w:r>
        <w:rPr>
          <w:rFonts w:ascii="宋体" w:hAnsi="宋体" w:cs="宋体" w:eastAsia="宋体" w:hint="default"/>
        </w:rPr>
        <w:t>&amp;</w:t>
      </w:r>
      <w:r>
        <w:rPr>
          <w:rFonts w:ascii="宋体" w:hAnsi="宋体" w:cs="宋体" w:eastAsia="宋体" w:hint="default"/>
          <w:spacing w:val="-54"/>
        </w:rPr>
        <w:t> </w:t>
      </w:r>
      <w:r>
        <w:rPr>
          <w:rFonts w:ascii="宋体" w:hAnsi="宋体" w:cs="宋体" w:eastAsia="宋体" w:hint="default"/>
        </w:rPr>
        <w:t>Co.</w:t>
      </w:r>
      <w:r>
        <w:rPr>
          <w:rFonts w:ascii="宋体" w:hAnsi="宋体" w:cs="宋体" w:eastAsia="宋体" w:hint="default"/>
          <w:spacing w:val="-54"/>
        </w:rPr>
        <w:t> </w:t>
      </w:r>
      <w:r>
        <w:rPr>
          <w:rFonts w:ascii="宋体" w:hAnsi="宋体" w:cs="宋体" w:eastAsia="宋体" w:hint="default"/>
        </w:rPr>
        <w:t>KG</w:t>
      </w:r>
      <w:r>
        <w:rPr>
          <w:rFonts w:ascii="宋体" w:hAnsi="宋体" w:cs="宋体" w:eastAsia="宋体" w:hint="default"/>
          <w:spacing w:val="-53"/>
        </w:rPr>
        <w:t> </w:t>
      </w:r>
      <w:r>
        <w:rPr/>
        <w:t>为</w:t>
      </w:r>
      <w:r>
        <w:rPr>
          <w:spacing w:val="-54"/>
        </w:rPr>
        <w:t> </w:t>
      </w:r>
      <w:r>
        <w:rPr>
          <w:rFonts w:ascii="宋体" w:hAnsi="宋体" w:cs="宋体" w:eastAsia="宋体" w:hint="default"/>
        </w:rPr>
        <w:t>Tewet AG</w:t>
      </w:r>
      <w:r>
        <w:rPr>
          <w:rFonts w:ascii="宋体" w:hAnsi="宋体" w:cs="宋体" w:eastAsia="宋体" w:hint="default"/>
          <w:spacing w:val="-53"/>
        </w:rPr>
        <w:t> </w:t>
      </w:r>
      <w:r>
        <w:rPr/>
        <w:t>的全资子公司，预计该应收款项的可收回性极低。截止</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日，本公司对该客户应收货款</w:t>
      </w:r>
    </w:p>
    <w:p>
      <w:pPr>
        <w:pStyle w:val="BodyText"/>
        <w:spacing w:line="240" w:lineRule="auto"/>
        <w:ind w:right="1046"/>
        <w:jc w:val="left"/>
      </w:pPr>
      <w:r>
        <w:rPr/>
        <w:t>及利息合计欧元</w:t>
      </w:r>
      <w:r>
        <w:rPr>
          <w:spacing w:val="-53"/>
        </w:rPr>
        <w:t> </w:t>
      </w:r>
      <w:r>
        <w:rPr>
          <w:rFonts w:ascii="宋体" w:hAnsi="宋体" w:cs="宋体" w:eastAsia="宋体" w:hint="default"/>
        </w:rPr>
        <w:t>1,273,940.67</w:t>
      </w:r>
      <w:r>
        <w:rPr>
          <w:rFonts w:ascii="宋体" w:hAnsi="宋体" w:cs="宋体" w:eastAsia="宋体" w:hint="default"/>
          <w:spacing w:val="-54"/>
        </w:rPr>
        <w:t> </w:t>
      </w:r>
      <w:r>
        <w:rPr/>
        <w:t>元（折合人民币</w:t>
      </w:r>
      <w:r>
        <w:rPr>
          <w:spacing w:val="-53"/>
        </w:rPr>
        <w:t> </w:t>
      </w:r>
      <w:r>
        <w:rPr>
          <w:rFonts w:ascii="宋体" w:hAnsi="宋体" w:cs="宋体" w:eastAsia="宋体" w:hint="default"/>
        </w:rPr>
        <w:t>9,497,992.07</w:t>
      </w:r>
      <w:r>
        <w:rPr>
          <w:rFonts w:ascii="宋体" w:hAnsi="宋体" w:cs="宋体" w:eastAsia="宋体" w:hint="default"/>
          <w:spacing w:val="-54"/>
        </w:rPr>
        <w:t> </w:t>
      </w:r>
      <w:r>
        <w:rPr/>
        <w:t>元）已全额计提坏账准备。</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t>截至</w:t>
      </w:r>
      <w:r>
        <w:rPr>
          <w:spacing w:val="-53"/>
        </w:rPr>
        <w:t> </w:t>
      </w:r>
      <w:r>
        <w:rPr>
          <w:rFonts w:ascii="宋体" w:hAnsi="宋体" w:cs="宋体" w:eastAsia="宋体" w:hint="default"/>
        </w:rPr>
        <w:t>2014</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日，本公司无需要披露的其他重大或有事项。</w:t>
      </w:r>
    </w:p>
    <w:p>
      <w:pPr>
        <w:spacing w:line="240" w:lineRule="auto" w:before="0"/>
        <w:rPr>
          <w:rFonts w:ascii="宋体" w:hAnsi="宋体" w:cs="宋体" w:eastAsia="宋体" w:hint="default"/>
          <w:sz w:val="20"/>
          <w:szCs w:val="20"/>
        </w:rPr>
      </w:pPr>
    </w:p>
    <w:p>
      <w:pPr>
        <w:pStyle w:val="Heading3"/>
        <w:spacing w:line="240" w:lineRule="auto" w:before="154"/>
        <w:ind w:left="153" w:right="1046"/>
        <w:jc w:val="left"/>
        <w:rPr>
          <w:b w:val="0"/>
          <w:bCs w:val="0"/>
        </w:rPr>
      </w:pPr>
      <w:bookmarkStart w:name="（2）公司没有需要披露的重要或有事项，也应予以说明" w:id="417"/>
      <w:bookmarkEnd w:id="417"/>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1"/>
        <w:rPr>
          <w:rFonts w:ascii="宋体" w:hAnsi="宋体" w:cs="宋体" w:eastAsia="宋体" w:hint="default"/>
          <w:sz w:val="26"/>
          <w:szCs w:val="26"/>
        </w:rPr>
      </w:pPr>
    </w:p>
    <w:p>
      <w:pPr>
        <w:spacing w:line="487" w:lineRule="auto" w:before="0"/>
        <w:ind w:left="153" w:right="7693" w:firstLine="0"/>
        <w:jc w:val="left"/>
        <w:rPr>
          <w:rFonts w:ascii="宋体" w:hAnsi="宋体" w:cs="宋体" w:eastAsia="宋体" w:hint="default"/>
          <w:sz w:val="21"/>
          <w:szCs w:val="21"/>
        </w:rPr>
      </w:pPr>
      <w:bookmarkStart w:name="3、其他" w:id="418"/>
      <w:bookmarkEnd w:id="418"/>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资产负债表日后事项" w:id="419"/>
      <w:bookmarkEnd w:id="41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20"/>
      <w:bookmarkEnd w:id="420"/>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pStyle w:val="Heading3"/>
        <w:spacing w:line="240" w:lineRule="auto" w:before="83"/>
        <w:ind w:left="153" w:right="1046"/>
        <w:jc w:val="left"/>
        <w:rPr>
          <w:b w:val="0"/>
          <w:bCs w:val="0"/>
        </w:rPr>
      </w:pPr>
      <w:bookmarkStart w:name="2、利润分配情况" w:id="421"/>
      <w:bookmarkEnd w:id="421"/>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0"/>
        <w:rPr>
          <w:rFonts w:ascii="宋体" w:hAnsi="宋体" w:cs="宋体" w:eastAsia="宋体" w:hint="default"/>
          <w:sz w:val="26"/>
          <w:szCs w:val="26"/>
        </w:rPr>
      </w:pPr>
    </w:p>
    <w:p>
      <w:pPr>
        <w:pStyle w:val="Heading3"/>
        <w:spacing w:line="240" w:lineRule="auto"/>
        <w:ind w:left="153" w:right="1046"/>
        <w:jc w:val="left"/>
        <w:rPr>
          <w:b w:val="0"/>
          <w:bCs w:val="0"/>
        </w:rPr>
      </w:pPr>
      <w:bookmarkStart w:name="3、销售退回" w:id="422"/>
      <w:bookmarkEnd w:id="422"/>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53" w:right="1046"/>
        <w:jc w:val="left"/>
        <w:rPr>
          <w:b w:val="0"/>
          <w:bCs w:val="0"/>
        </w:rPr>
      </w:pPr>
      <w:bookmarkStart w:name="4、其他资产负债表日后事项说明" w:id="423"/>
      <w:bookmarkEnd w:id="423"/>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30"/>
          <w:szCs w:val="30"/>
        </w:rPr>
      </w:pPr>
    </w:p>
    <w:p>
      <w:pPr>
        <w:pStyle w:val="BodyText"/>
        <w:spacing w:line="240" w:lineRule="auto" w:before="0"/>
        <w:ind w:left="573" w:right="1046"/>
        <w:jc w:val="left"/>
      </w:pPr>
      <w:r>
        <w:rPr/>
        <w:t>（</w:t>
      </w:r>
      <w:r>
        <w:rPr>
          <w:rFonts w:ascii="宋体" w:hAnsi="宋体" w:cs="宋体" w:eastAsia="宋体" w:hint="default"/>
        </w:rPr>
        <w:t>1</w:t>
      </w:r>
      <w:r>
        <w:rPr/>
        <w:t>）重要的非调整事项</w:t>
      </w:r>
    </w:p>
    <w:p>
      <w:pPr>
        <w:spacing w:line="240" w:lineRule="auto" w:before="10"/>
        <w:rPr>
          <w:rFonts w:ascii="宋体" w:hAnsi="宋体" w:cs="宋体" w:eastAsia="宋体" w:hint="default"/>
          <w:sz w:val="14"/>
          <w:szCs w:val="14"/>
        </w:rPr>
      </w:pPr>
    </w:p>
    <w:p>
      <w:pPr>
        <w:pStyle w:val="BodyText"/>
        <w:spacing w:line="408" w:lineRule="auto" w:before="0"/>
        <w:ind w:left="154" w:right="1014" w:firstLine="420"/>
        <w:jc w:val="left"/>
      </w:pPr>
      <w:r>
        <w:rPr/>
        <w:t>①公司于</w:t>
      </w:r>
      <w:r>
        <w:rPr>
          <w:spacing w:val="-56"/>
        </w:rPr>
        <w:t> </w:t>
      </w:r>
      <w:r>
        <w:rPr>
          <w:rFonts w:ascii="宋体" w:hAnsi="宋体" w:cs="宋体" w:eastAsia="宋体" w:hint="default"/>
        </w:rPr>
        <w:t>2014</w:t>
      </w:r>
      <w:r>
        <w:rPr>
          <w:rFonts w:ascii="宋体" w:hAnsi="宋体" w:cs="宋体" w:eastAsia="宋体" w:hint="default"/>
          <w:spacing w:val="-56"/>
        </w:rPr>
        <w:t> </w:t>
      </w:r>
      <w:r>
        <w:rPr/>
        <w:t>年</w:t>
      </w:r>
      <w:r>
        <w:rPr>
          <w:spacing w:val="-57"/>
        </w:rPr>
        <w:t> </w:t>
      </w:r>
      <w:r>
        <w:rPr>
          <w:rFonts w:ascii="宋体" w:hAnsi="宋体" w:cs="宋体" w:eastAsia="宋体" w:hint="default"/>
        </w:rPr>
        <w:t>8</w:t>
      </w:r>
      <w:r>
        <w:rPr>
          <w:rFonts w:ascii="宋体" w:hAnsi="宋体" w:cs="宋体" w:eastAsia="宋体" w:hint="default"/>
          <w:spacing w:val="-55"/>
        </w:rPr>
        <w:t> </w:t>
      </w:r>
      <w:r>
        <w:rPr/>
        <w:t>月</w:t>
      </w:r>
      <w:r>
        <w:rPr>
          <w:spacing w:val="-57"/>
        </w:rPr>
        <w:t> </w:t>
      </w:r>
      <w:r>
        <w:rPr>
          <w:rFonts w:ascii="宋体" w:hAnsi="宋体" w:cs="宋体" w:eastAsia="宋体" w:hint="default"/>
        </w:rPr>
        <w:t>15</w:t>
      </w:r>
      <w:r>
        <w:rPr>
          <w:rFonts w:ascii="宋体" w:hAnsi="宋体" w:cs="宋体" w:eastAsia="宋体" w:hint="default"/>
          <w:spacing w:val="-56"/>
        </w:rPr>
        <w:t> </w:t>
      </w:r>
      <w:r>
        <w:rPr/>
        <w:t>日召开第二届董事会第十次会议，审议通过了《关于在前海投资设立融资租 </w:t>
      </w:r>
      <w:r>
        <w:rPr>
          <w:spacing w:val="-3"/>
        </w:rPr>
        <w:t>赁公司的议案》，同意公司使用自有资金与全资子公司海能达通信（香港）有限公司在深圳前海共同出资</w:t>
      </w:r>
      <w:r>
        <w:rPr>
          <w:spacing w:val="-74"/>
        </w:rPr>
        <w:t> </w:t>
      </w:r>
      <w:r>
        <w:rPr>
          <w:spacing w:val="-74"/>
        </w:rPr>
      </w:r>
      <w:r>
        <w:rPr/>
        <w:t>设立深圳市海能达融资租赁有限公司，注册资本人民币</w:t>
      </w:r>
      <w:r>
        <w:rPr>
          <w:spacing w:val="-63"/>
        </w:rPr>
        <w:t> </w:t>
      </w:r>
      <w:r>
        <w:rPr>
          <w:rFonts w:ascii="宋体" w:hAnsi="宋体" w:cs="宋体" w:eastAsia="宋体" w:hint="default"/>
        </w:rPr>
        <w:t>20,000</w:t>
      </w:r>
      <w:r>
        <w:rPr>
          <w:rFonts w:ascii="宋体" w:hAnsi="宋体" w:cs="宋体" w:eastAsia="宋体" w:hint="default"/>
          <w:spacing w:val="-63"/>
        </w:rPr>
        <w:t> </w:t>
      </w:r>
      <w:r>
        <w:rPr>
          <w:spacing w:val="-9"/>
        </w:rPr>
        <w:t>万元，其中，公司出资</w:t>
      </w:r>
      <w:r>
        <w:rPr>
          <w:spacing w:val="-63"/>
        </w:rPr>
        <w:t> </w:t>
      </w:r>
      <w:r>
        <w:rPr>
          <w:rFonts w:ascii="宋体" w:hAnsi="宋体" w:cs="宋体" w:eastAsia="宋体" w:hint="default"/>
        </w:rPr>
        <w:t>15,000</w:t>
      </w:r>
      <w:r>
        <w:rPr>
          <w:rFonts w:ascii="宋体" w:hAnsi="宋体" w:cs="宋体" w:eastAsia="宋体" w:hint="default"/>
          <w:spacing w:val="-63"/>
        </w:rPr>
        <w:t> </w:t>
      </w:r>
      <w:r>
        <w:rPr/>
        <w:t>万元人民币，</w:t>
      </w:r>
    </w:p>
    <w:p>
      <w:pPr>
        <w:spacing w:after="0" w:line="408" w:lineRule="auto"/>
        <w:jc w:val="left"/>
        <w:sectPr>
          <w:footerReference w:type="default" r:id="rId20"/>
          <w:pgSz w:w="11910" w:h="16840"/>
          <w:pgMar w:footer="979" w:header="747" w:top="1060" w:bottom="1160" w:left="980" w:right="0"/>
          <w:pgNumType w:start="201"/>
        </w:sectPr>
      </w:pPr>
    </w:p>
    <w:p>
      <w:pPr>
        <w:spacing w:line="240" w:lineRule="auto" w:before="0"/>
        <w:rPr>
          <w:rFonts w:ascii="宋体" w:hAnsi="宋体" w:cs="宋体" w:eastAsia="宋体" w:hint="default"/>
          <w:sz w:val="20"/>
          <w:szCs w:val="20"/>
        </w:rPr>
      </w:pPr>
    </w:p>
    <w:p>
      <w:pPr>
        <w:pStyle w:val="BodyText"/>
        <w:spacing w:line="408" w:lineRule="auto" w:before="174"/>
        <w:ind w:right="1163"/>
        <w:jc w:val="both"/>
      </w:pPr>
      <w:r>
        <w:rPr/>
        <w:t>占注册资本的</w:t>
      </w:r>
      <w:r>
        <w:rPr>
          <w:spacing w:val="-53"/>
        </w:rPr>
        <w:t> </w:t>
      </w:r>
      <w:r>
        <w:rPr>
          <w:rFonts w:ascii="宋体" w:hAnsi="宋体" w:cs="宋体" w:eastAsia="宋体" w:hint="default"/>
        </w:rPr>
        <w:t>75%</w:t>
      </w:r>
      <w:r>
        <w:rPr/>
        <w:t>，香港海能达出资</w:t>
      </w:r>
      <w:r>
        <w:rPr>
          <w:spacing w:val="-54"/>
        </w:rPr>
        <w:t> </w:t>
      </w:r>
      <w:r>
        <w:rPr>
          <w:rFonts w:ascii="宋体" w:hAnsi="宋体" w:cs="宋体" w:eastAsia="宋体" w:hint="default"/>
        </w:rPr>
        <w:t>5,000</w:t>
      </w:r>
      <w:r>
        <w:rPr>
          <w:rFonts w:ascii="宋体" w:hAnsi="宋体" w:cs="宋体" w:eastAsia="宋体" w:hint="default"/>
          <w:spacing w:val="-53"/>
        </w:rPr>
        <w:t> </w:t>
      </w:r>
      <w:r>
        <w:rPr/>
        <w:t>万元人民币，占注册资本的</w:t>
      </w:r>
      <w:r>
        <w:rPr>
          <w:spacing w:val="-54"/>
        </w:rPr>
        <w:t> </w:t>
      </w:r>
      <w:r>
        <w:rPr>
          <w:rFonts w:ascii="宋体" w:hAnsi="宋体" w:cs="宋体" w:eastAsia="宋体" w:hint="default"/>
        </w:rPr>
        <w:t>25%</w:t>
      </w:r>
      <w:r>
        <w:rPr/>
        <w:t>。</w:t>
      </w:r>
      <w:r>
        <w:rPr>
          <w:spacing w:val="-1"/>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4"/>
        </w:rPr>
        <w:t> </w:t>
      </w:r>
      <w:r>
        <w:rPr/>
        <w:t>月</w:t>
      </w:r>
      <w:r>
        <w:rPr>
          <w:spacing w:val="-54"/>
        </w:rPr>
        <w:t> </w:t>
      </w:r>
      <w:r>
        <w:rPr>
          <w:rFonts w:ascii="宋体" w:hAnsi="宋体" w:cs="宋体" w:eastAsia="宋体" w:hint="default"/>
        </w:rPr>
        <w:t>15</w:t>
      </w:r>
      <w:r>
        <w:rPr>
          <w:rFonts w:ascii="宋体" w:hAnsi="宋体" w:cs="宋体" w:eastAsia="宋体" w:hint="default"/>
          <w:spacing w:val="-53"/>
        </w:rPr>
        <w:t> </w:t>
      </w:r>
      <w:r>
        <w:rPr/>
        <w:t>日，公司融 </w:t>
      </w:r>
      <w:r>
        <w:rPr>
          <w:spacing w:val="-3"/>
        </w:rPr>
        <w:t>资租赁子公司完成设立登记手续，经深圳市市场监督管理局核准并颁发《企业法人营业执照》，注册号：</w:t>
      </w:r>
      <w:r>
        <w:rPr>
          <w:spacing w:val="-73"/>
        </w:rPr>
        <w:t> </w:t>
      </w:r>
      <w:r>
        <w:rPr>
          <w:spacing w:val="-73"/>
        </w:rPr>
      </w:r>
      <w:r>
        <w:rPr>
          <w:rFonts w:ascii="宋体" w:hAnsi="宋体" w:cs="宋体" w:eastAsia="宋体" w:hint="default"/>
        </w:rPr>
        <w:t>440301501149748</w:t>
      </w:r>
      <w:r>
        <w:rPr/>
        <w:t>。经营范围：融资租赁业务，租赁业务；向国内外购买租赁财产；租赁财产的残值处理 及维修，租赁交易咨询和担保业务。</w:t>
      </w:r>
    </w:p>
    <w:p>
      <w:pPr>
        <w:pStyle w:val="BodyText"/>
        <w:spacing w:line="240" w:lineRule="auto"/>
        <w:ind w:left="573" w:right="1046"/>
        <w:jc w:val="left"/>
      </w:pPr>
      <w:r>
        <w:rPr/>
        <w:t>②公司于</w:t>
      </w:r>
      <w:r>
        <w:rPr>
          <w:spacing w:val="-57"/>
        </w:rPr>
        <w:t> </w:t>
      </w:r>
      <w:r>
        <w:rPr>
          <w:rFonts w:ascii="宋体" w:hAnsi="宋体" w:cs="宋体" w:eastAsia="宋体" w:hint="default"/>
        </w:rPr>
        <w:t>2014</w:t>
      </w:r>
      <w:r>
        <w:rPr>
          <w:rFonts w:ascii="宋体" w:hAnsi="宋体" w:cs="宋体" w:eastAsia="宋体" w:hint="default"/>
          <w:spacing w:val="-57"/>
        </w:rPr>
        <w:t> </w:t>
      </w:r>
      <w:r>
        <w:rPr/>
        <w:t>年</w:t>
      </w:r>
      <w:r>
        <w:rPr>
          <w:spacing w:val="-58"/>
        </w:rPr>
        <w:t> </w:t>
      </w:r>
      <w:r>
        <w:rPr>
          <w:rFonts w:ascii="宋体" w:hAnsi="宋体" w:cs="宋体" w:eastAsia="宋体" w:hint="default"/>
        </w:rPr>
        <w:t>12</w:t>
      </w:r>
      <w:r>
        <w:rPr>
          <w:rFonts w:ascii="宋体" w:hAnsi="宋体" w:cs="宋体" w:eastAsia="宋体" w:hint="default"/>
          <w:spacing w:val="-57"/>
        </w:rPr>
        <w:t> </w:t>
      </w:r>
      <w:r>
        <w:rPr/>
        <w:t>月</w:t>
      </w:r>
      <w:r>
        <w:rPr>
          <w:spacing w:val="-57"/>
        </w:rPr>
        <w:t> </w:t>
      </w:r>
      <w:r>
        <w:rPr>
          <w:rFonts w:ascii="宋体" w:hAnsi="宋体" w:cs="宋体" w:eastAsia="宋体" w:hint="default"/>
        </w:rPr>
        <w:t>2</w:t>
      </w:r>
      <w:r>
        <w:rPr>
          <w:rFonts w:ascii="宋体" w:hAnsi="宋体" w:cs="宋体" w:eastAsia="宋体" w:hint="default"/>
          <w:spacing w:val="-57"/>
        </w:rPr>
        <w:t> </w:t>
      </w:r>
      <w:r>
        <w:rPr/>
        <w:t>日召开第二届董事会第十四次会议，会议审议通过了《关于在东莞松山湖高</w:t>
      </w:r>
    </w:p>
    <w:p>
      <w:pPr>
        <w:spacing w:line="240" w:lineRule="auto" w:before="10"/>
        <w:rPr>
          <w:rFonts w:ascii="宋体" w:hAnsi="宋体" w:cs="宋体" w:eastAsia="宋体" w:hint="default"/>
          <w:sz w:val="14"/>
          <w:szCs w:val="14"/>
        </w:rPr>
      </w:pPr>
    </w:p>
    <w:p>
      <w:pPr>
        <w:pStyle w:val="BodyText"/>
        <w:spacing w:line="408" w:lineRule="auto" w:before="0"/>
        <w:ind w:right="1118"/>
        <w:jc w:val="left"/>
      </w:pPr>
      <w:r>
        <w:rPr>
          <w:spacing w:val="-3"/>
        </w:rPr>
        <w:t>新技术产业开发区设立子公司并购买土地使用权的议案》，同意公司使用自有资金</w:t>
      </w:r>
      <w:r>
        <w:rPr>
          <w:spacing w:val="-50"/>
        </w:rPr>
        <w:t> </w:t>
      </w:r>
      <w:r>
        <w:rPr>
          <w:rFonts w:ascii="宋体" w:hAnsi="宋体" w:cs="宋体" w:eastAsia="宋体" w:hint="default"/>
        </w:rPr>
        <w:t>3,300</w:t>
      </w:r>
      <w:r>
        <w:rPr>
          <w:rFonts w:ascii="宋体" w:hAnsi="宋体" w:cs="宋体" w:eastAsia="宋体" w:hint="default"/>
          <w:spacing w:val="-51"/>
        </w:rPr>
        <w:t> </w:t>
      </w:r>
      <w:r>
        <w:rPr>
          <w:spacing w:val="-1"/>
        </w:rPr>
        <w:t>万元人民币在东</w:t>
      </w:r>
      <w:r>
        <w:rPr>
          <w:spacing w:val="-103"/>
        </w:rPr>
        <w:t> </w:t>
      </w:r>
      <w:r>
        <w:rPr>
          <w:spacing w:val="-103"/>
        </w:rPr>
      </w:r>
      <w:r>
        <w:rPr>
          <w:spacing w:val="-1"/>
        </w:rPr>
        <w:t>莞松山湖高新技术产业开发区设立子公司，并同意在松山湖子公司设立完成后，以松山湖子公司为投资主</w:t>
      </w:r>
      <w:r>
        <w:rPr>
          <w:spacing w:val="-81"/>
        </w:rPr>
        <w:t> </w:t>
      </w:r>
      <w:r>
        <w:rPr>
          <w:spacing w:val="-81"/>
        </w:rPr>
      </w:r>
      <w:r>
        <w:rPr/>
        <w:t>体，在松山湖购买总面积约</w:t>
      </w:r>
      <w:r>
        <w:rPr>
          <w:spacing w:val="-58"/>
        </w:rPr>
        <w:t> </w:t>
      </w:r>
      <w:r>
        <w:rPr>
          <w:rFonts w:ascii="宋体" w:hAnsi="宋体" w:cs="宋体" w:eastAsia="宋体" w:hint="default"/>
        </w:rPr>
        <w:t>39,975.3</w:t>
      </w:r>
      <w:r>
        <w:rPr>
          <w:rFonts w:ascii="宋体" w:hAnsi="宋体" w:cs="宋体" w:eastAsia="宋体" w:hint="default"/>
          <w:spacing w:val="-59"/>
        </w:rPr>
        <w:t> </w:t>
      </w:r>
      <w:r>
        <w:rPr/>
        <w:t>平方米，总价合计不低于</w:t>
      </w:r>
      <w:r>
        <w:rPr>
          <w:spacing w:val="-58"/>
        </w:rPr>
        <w:t> </w:t>
      </w:r>
      <w:r>
        <w:rPr>
          <w:rFonts w:ascii="宋体" w:hAnsi="宋体" w:cs="宋体" w:eastAsia="宋体" w:hint="default"/>
        </w:rPr>
        <w:t>3,200.16</w:t>
      </w:r>
      <w:r>
        <w:rPr>
          <w:rFonts w:ascii="宋体" w:hAnsi="宋体" w:cs="宋体" w:eastAsia="宋体" w:hint="default"/>
          <w:spacing w:val="-60"/>
        </w:rPr>
        <w:t> </w:t>
      </w:r>
      <w:r>
        <w:rPr/>
        <w:t>万元的土地使用权用于建设松山 湖研发中心和运营中心。</w:t>
      </w:r>
    </w:p>
    <w:p>
      <w:pPr>
        <w:pStyle w:val="BodyText"/>
        <w:spacing w:line="240" w:lineRule="auto"/>
        <w:ind w:left="573" w:right="1046"/>
        <w:jc w:val="left"/>
      </w:pPr>
      <w:r>
        <w:rPr/>
        <w:t>③公司于</w:t>
      </w:r>
      <w:r>
        <w:rPr>
          <w:spacing w:val="-54"/>
        </w:rPr>
        <w:t> </w:t>
      </w:r>
      <w:r>
        <w:rPr>
          <w:rFonts w:ascii="宋体" w:hAnsi="宋体" w:cs="宋体" w:eastAsia="宋体" w:hint="default"/>
        </w:rPr>
        <w:t>2012</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3"/>
        </w:rPr>
        <w:t> </w:t>
      </w:r>
      <w:r>
        <w:rPr/>
        <w:t>月与深圳市中集骏宇置业有限公司（以下简称“中集骏宇”）签订了《南山区新</w:t>
      </w:r>
    </w:p>
    <w:p>
      <w:pPr>
        <w:spacing w:line="240" w:lineRule="auto" w:before="10"/>
        <w:rPr>
          <w:rFonts w:ascii="宋体" w:hAnsi="宋体" w:cs="宋体" w:eastAsia="宋体" w:hint="default"/>
          <w:sz w:val="14"/>
          <w:szCs w:val="14"/>
        </w:rPr>
      </w:pPr>
    </w:p>
    <w:p>
      <w:pPr>
        <w:pStyle w:val="BodyText"/>
        <w:spacing w:line="240" w:lineRule="auto" w:before="0"/>
        <w:ind w:left="154" w:right="1046"/>
        <w:jc w:val="left"/>
      </w:pPr>
      <w:r>
        <w:rPr/>
        <w:t>围人才安居工</w:t>
      </w:r>
      <w:r>
        <w:rPr>
          <w:spacing w:val="-32"/>
        </w:rPr>
        <w:t>程</w:t>
      </w:r>
      <w:r>
        <w:rPr/>
        <w:t>（石鼓</w:t>
      </w:r>
      <w:r>
        <w:rPr>
          <w:spacing w:val="-2"/>
        </w:rPr>
        <w:t>地</w:t>
      </w:r>
      <w:r>
        <w:rPr/>
        <w:t>块项目</w:t>
      </w:r>
      <w:r>
        <w:rPr>
          <w:spacing w:val="-32"/>
        </w:rPr>
        <w:t>）</w:t>
      </w:r>
      <w:r>
        <w:rPr/>
        <w:t>住</w:t>
      </w:r>
      <w:r>
        <w:rPr>
          <w:spacing w:val="-2"/>
        </w:rPr>
        <w:t>房</w:t>
      </w:r>
      <w:r>
        <w:rPr/>
        <w:t>预订协议书</w:t>
      </w:r>
      <w:r>
        <w:rPr>
          <w:spacing w:val="-106"/>
        </w:rPr>
        <w:t>》</w:t>
      </w:r>
      <w:r>
        <w:rPr>
          <w:spacing w:val="-32"/>
        </w:rPr>
        <w:t>、</w:t>
      </w:r>
      <w:r>
        <w:rPr/>
        <w:t>于</w:t>
      </w:r>
      <w:r>
        <w:rPr>
          <w:spacing w:val="-51"/>
        </w:rPr>
        <w:t> </w:t>
      </w:r>
      <w:r>
        <w:rPr>
          <w:rFonts w:ascii="宋体" w:hAnsi="宋体" w:cs="宋体" w:eastAsia="宋体" w:hint="default"/>
        </w:rPr>
        <w:t>2014</w:t>
      </w:r>
      <w:r>
        <w:rPr>
          <w:rFonts w:ascii="宋体" w:hAnsi="宋体" w:cs="宋体" w:eastAsia="宋体" w:hint="default"/>
          <w:spacing w:val="-53"/>
        </w:rPr>
        <w:t> </w:t>
      </w:r>
      <w:r>
        <w:rPr/>
        <w:t>年</w:t>
      </w:r>
      <w:r>
        <w:rPr>
          <w:spacing w:val="-54"/>
        </w:rPr>
        <w:t> </w:t>
      </w:r>
      <w:r>
        <w:rPr>
          <w:rFonts w:ascii="宋体" w:hAnsi="宋体" w:cs="宋体" w:eastAsia="宋体" w:hint="default"/>
        </w:rPr>
        <w:t>10</w:t>
      </w:r>
      <w:r>
        <w:rPr>
          <w:rFonts w:ascii="宋体" w:hAnsi="宋体" w:cs="宋体" w:eastAsia="宋体" w:hint="default"/>
          <w:spacing w:val="-52"/>
        </w:rPr>
        <w:t> </w:t>
      </w:r>
      <w:r>
        <w:rPr/>
        <w:t>月签</w:t>
      </w:r>
      <w:r>
        <w:rPr>
          <w:spacing w:val="-33"/>
        </w:rPr>
        <w:t>订</w:t>
      </w:r>
      <w:r>
        <w:rPr>
          <w:spacing w:val="-2"/>
        </w:rPr>
        <w:t>《</w:t>
      </w:r>
      <w:r>
        <w:rPr/>
        <w:t>南山区新围人才安居工程</w:t>
      </w:r>
      <w:r>
        <w:rPr>
          <w:spacing w:val="1"/>
        </w:rPr>
        <w:t>·</w:t>
      </w:r>
      <w:r>
        <w:rPr/>
        <w:t>菁</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英家园房屋使用权转让协议</w:t>
      </w:r>
      <w:r>
        <w:rPr>
          <w:spacing w:val="-105"/>
        </w:rPr>
        <w:t>》</w:t>
      </w:r>
      <w:r>
        <w:rPr/>
        <w:t>，协</w:t>
      </w:r>
      <w:r>
        <w:rPr>
          <w:spacing w:val="-2"/>
        </w:rPr>
        <w:t>议</w:t>
      </w:r>
      <w:r>
        <w:rPr/>
        <w:t>约定公司获得该人才安居工程的可分配住房共</w:t>
      </w:r>
      <w:r>
        <w:rPr>
          <w:spacing w:val="-51"/>
        </w:rPr>
        <w:t> </w:t>
      </w:r>
      <w:r>
        <w:rPr>
          <w:rFonts w:ascii="宋体" w:hAnsi="宋体" w:cs="宋体" w:eastAsia="宋体" w:hint="default"/>
          <w:spacing w:val="-1"/>
        </w:rPr>
        <w:t>9</w:t>
      </w:r>
      <w:r>
        <w:rPr>
          <w:rFonts w:ascii="宋体" w:hAnsi="宋体" w:cs="宋体" w:eastAsia="宋体" w:hint="default"/>
        </w:rPr>
        <w:t>1</w:t>
      </w:r>
      <w:r>
        <w:rPr>
          <w:rFonts w:ascii="宋体" w:hAnsi="宋体" w:cs="宋体" w:eastAsia="宋体" w:hint="default"/>
          <w:spacing w:val="-52"/>
        </w:rPr>
        <w:t> </w:t>
      </w:r>
      <w:r>
        <w:rPr/>
        <w:t>套，房屋</w:t>
      </w:r>
      <w:r>
        <w:rPr>
          <w:spacing w:val="-2"/>
        </w:rPr>
        <w:t>总</w:t>
      </w:r>
      <w:r>
        <w:rPr/>
        <w:t>价款</w:t>
      </w:r>
    </w:p>
    <w:p>
      <w:pPr>
        <w:spacing w:line="240" w:lineRule="auto" w:before="10"/>
        <w:rPr>
          <w:rFonts w:ascii="宋体" w:hAnsi="宋体" w:cs="宋体" w:eastAsia="宋体" w:hint="default"/>
          <w:sz w:val="14"/>
          <w:szCs w:val="14"/>
        </w:rPr>
      </w:pPr>
    </w:p>
    <w:p>
      <w:pPr>
        <w:pStyle w:val="BodyText"/>
        <w:spacing w:line="240" w:lineRule="auto" w:before="0"/>
        <w:ind w:right="1046"/>
        <w:jc w:val="left"/>
        <w:rPr>
          <w:rFonts w:ascii="宋体" w:hAnsi="宋体" w:cs="宋体" w:eastAsia="宋体" w:hint="default"/>
        </w:rPr>
      </w:pPr>
      <w:r>
        <w:rPr>
          <w:rFonts w:ascii="宋体" w:hAnsi="宋体" w:cs="宋体" w:eastAsia="宋体" w:hint="default"/>
        </w:rPr>
        <w:t>7975.92</w:t>
      </w:r>
      <w:r>
        <w:rPr>
          <w:rFonts w:ascii="宋体" w:hAnsi="宋体" w:cs="宋体" w:eastAsia="宋体" w:hint="default"/>
          <w:spacing w:val="-52"/>
        </w:rPr>
        <w:t> </w:t>
      </w:r>
      <w:r>
        <w:rPr/>
        <w:t>万</w:t>
      </w:r>
      <w:r>
        <w:rPr>
          <w:spacing w:val="-2"/>
        </w:rPr>
        <w:t>元</w:t>
      </w:r>
      <w:r>
        <w:rPr/>
        <w:t>。截至目前，公司已支付全部款项（其中</w:t>
      </w:r>
      <w:r>
        <w:rPr>
          <w:spacing w:val="-52"/>
        </w:rPr>
        <w:t> </w:t>
      </w:r>
      <w:r>
        <w:rPr>
          <w:rFonts w:ascii="宋体" w:hAnsi="宋体" w:cs="宋体" w:eastAsia="宋体" w:hint="default"/>
        </w:rPr>
        <w:t>1387.16</w:t>
      </w:r>
      <w:r>
        <w:rPr>
          <w:rFonts w:ascii="宋体" w:hAnsi="宋体" w:cs="宋体" w:eastAsia="宋体" w:hint="default"/>
          <w:spacing w:val="-52"/>
        </w:rPr>
        <w:t> </w:t>
      </w:r>
      <w:r>
        <w:rPr/>
        <w:t>万</w:t>
      </w:r>
      <w:r>
        <w:rPr>
          <w:spacing w:val="-2"/>
        </w:rPr>
        <w:t>元</w:t>
      </w:r>
      <w:r>
        <w:rPr/>
        <w:t>为</w:t>
      </w:r>
      <w:r>
        <w:rPr>
          <w:spacing w:val="-53"/>
        </w:rPr>
        <w:t> </w:t>
      </w:r>
      <w:r>
        <w:rPr>
          <w:rFonts w:ascii="宋体" w:hAnsi="宋体" w:cs="宋体" w:eastAsia="宋体" w:hint="default"/>
        </w:rPr>
        <w:t>2</w:t>
      </w:r>
      <w:r>
        <w:rPr>
          <w:rFonts w:ascii="宋体" w:hAnsi="宋体" w:cs="宋体" w:eastAsia="宋体" w:hint="default"/>
          <w:spacing w:val="-2"/>
        </w:rPr>
        <w:t>0</w:t>
      </w:r>
      <w:r>
        <w:rPr>
          <w:rFonts w:ascii="宋体" w:hAnsi="宋体" w:cs="宋体" w:eastAsia="宋体" w:hint="default"/>
        </w:rPr>
        <w:t>15</w:t>
      </w:r>
      <w:r>
        <w:rPr>
          <w:rFonts w:ascii="宋体" w:hAnsi="宋体" w:cs="宋体" w:eastAsia="宋体" w:hint="default"/>
          <w:spacing w:val="-52"/>
        </w:rPr>
        <w:t> </w:t>
      </w:r>
      <w:r>
        <w:rPr/>
        <w:t>年</w:t>
      </w:r>
      <w:r>
        <w:rPr>
          <w:spacing w:val="-53"/>
        </w:rPr>
        <w:t> </w:t>
      </w:r>
      <w:r>
        <w:rPr>
          <w:rFonts w:ascii="宋体" w:hAnsi="宋体" w:cs="宋体" w:eastAsia="宋体" w:hint="default"/>
        </w:rPr>
        <w:t>1</w:t>
      </w:r>
      <w:r>
        <w:rPr>
          <w:rFonts w:ascii="宋体" w:hAnsi="宋体" w:cs="宋体" w:eastAsia="宋体" w:hint="default"/>
          <w:spacing w:val="-53"/>
        </w:rPr>
        <w:t> </w:t>
      </w:r>
      <w:r>
        <w:rPr/>
        <w:t>月</w:t>
      </w:r>
      <w:r>
        <w:rPr>
          <w:spacing w:val="-53"/>
        </w:rPr>
        <w:t> </w:t>
      </w:r>
      <w:r>
        <w:rPr>
          <w:rFonts w:ascii="宋体" w:hAnsi="宋体" w:cs="宋体" w:eastAsia="宋体" w:hint="default"/>
          <w:spacing w:val="-1"/>
        </w:rPr>
        <w:t>1</w:t>
      </w:r>
      <w:r>
        <w:rPr>
          <w:rFonts w:ascii="宋体" w:hAnsi="宋体" w:cs="宋体" w:eastAsia="宋体" w:hint="default"/>
        </w:rPr>
        <w:t>2</w:t>
      </w:r>
      <w:r>
        <w:rPr>
          <w:rFonts w:ascii="宋体" w:hAnsi="宋体" w:cs="宋体" w:eastAsia="宋体" w:hint="default"/>
          <w:spacing w:val="-53"/>
        </w:rPr>
        <w:t> </w:t>
      </w:r>
      <w:r>
        <w:rPr/>
        <w:t>日支付</w:t>
      </w:r>
      <w:r>
        <w:rPr>
          <w:spacing w:val="-105"/>
        </w:rPr>
        <w:t>）</w:t>
      </w:r>
      <w:r>
        <w:rPr/>
        <w:t>，于</w:t>
      </w:r>
      <w:r>
        <w:rPr>
          <w:spacing w:val="-54"/>
        </w:rPr>
        <w:t> </w:t>
      </w:r>
      <w:r>
        <w:rPr>
          <w:rFonts w:ascii="宋体" w:hAnsi="宋体" w:cs="宋体" w:eastAsia="宋体" w:hint="default"/>
        </w:rPr>
        <w:t>2015</w:t>
      </w:r>
    </w:p>
    <w:p>
      <w:pPr>
        <w:spacing w:line="240" w:lineRule="auto" w:before="10"/>
        <w:rPr>
          <w:rFonts w:ascii="宋体" w:hAnsi="宋体" w:cs="宋体" w:eastAsia="宋体" w:hint="default"/>
          <w:sz w:val="14"/>
          <w:szCs w:val="14"/>
        </w:rPr>
      </w:pPr>
    </w:p>
    <w:p>
      <w:pPr>
        <w:pStyle w:val="BodyText"/>
        <w:spacing w:line="408" w:lineRule="auto" w:before="0"/>
        <w:ind w:right="1202"/>
        <w:jc w:val="left"/>
      </w:pPr>
      <w:r>
        <w:rPr/>
        <w:t>年</w:t>
      </w:r>
      <w:r>
        <w:rPr>
          <w:spacing w:val="-54"/>
        </w:rPr>
        <w:t> </w:t>
      </w:r>
      <w:r>
        <w:rPr>
          <w:rFonts w:ascii="宋体" w:hAnsi="宋体" w:cs="宋体" w:eastAsia="宋体" w:hint="default"/>
        </w:rPr>
        <w:t>1</w:t>
      </w:r>
      <w:r>
        <w:rPr>
          <w:rFonts w:ascii="宋体" w:hAnsi="宋体" w:cs="宋体" w:eastAsia="宋体" w:hint="default"/>
          <w:spacing w:val="-53"/>
        </w:rPr>
        <w:t> </w:t>
      </w:r>
      <w:r>
        <w:rPr/>
        <w:t>月</w:t>
      </w:r>
      <w:r>
        <w:rPr>
          <w:spacing w:val="-54"/>
        </w:rPr>
        <w:t> </w:t>
      </w:r>
      <w:r>
        <w:rPr>
          <w:rFonts w:ascii="宋体" w:hAnsi="宋体" w:cs="宋体" w:eastAsia="宋体" w:hint="default"/>
        </w:rPr>
        <w:t>13</w:t>
      </w:r>
      <w:r>
        <w:rPr>
          <w:rFonts w:ascii="宋体" w:hAnsi="宋体" w:cs="宋体" w:eastAsia="宋体" w:hint="default"/>
          <w:spacing w:val="-53"/>
        </w:rPr>
        <w:t> </w:t>
      </w:r>
      <w:r>
        <w:rPr/>
        <w:t>日办理房屋验收移交手续，取得房屋使用权。该项目住房为政府保障性住房，住房建设用地归 政府所有，本次房屋的分配方案尚在筹备中。</w:t>
      </w:r>
    </w:p>
    <w:p>
      <w:pPr>
        <w:pStyle w:val="BodyText"/>
        <w:spacing w:line="240" w:lineRule="auto"/>
        <w:ind w:left="573" w:right="1046"/>
        <w:jc w:val="left"/>
      </w:pPr>
      <w:r>
        <w:rPr/>
        <w:t>（</w:t>
      </w:r>
      <w:r>
        <w:rPr>
          <w:rFonts w:ascii="宋体" w:hAnsi="宋体" w:cs="宋体" w:eastAsia="宋体" w:hint="default"/>
        </w:rPr>
        <w:t>2</w:t>
      </w:r>
      <w:r>
        <w:rPr/>
        <w:t>）利润分配情况</w:t>
      </w:r>
    </w:p>
    <w:p>
      <w:pPr>
        <w:spacing w:line="240" w:lineRule="auto" w:before="10"/>
        <w:rPr>
          <w:rFonts w:ascii="宋体" w:hAnsi="宋体" w:cs="宋体" w:eastAsia="宋体" w:hint="default"/>
          <w:sz w:val="14"/>
          <w:szCs w:val="14"/>
        </w:rPr>
      </w:pPr>
    </w:p>
    <w:p>
      <w:pPr>
        <w:pStyle w:val="BodyText"/>
        <w:spacing w:line="240" w:lineRule="auto" w:before="0"/>
        <w:ind w:left="574" w:right="1046"/>
        <w:jc w:val="left"/>
      </w:pPr>
      <w:r>
        <w:rPr/>
        <w:t>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5"/>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26</w:t>
      </w:r>
      <w:r>
        <w:rPr>
          <w:rFonts w:ascii="宋体" w:hAnsi="宋体" w:cs="宋体" w:eastAsia="宋体" w:hint="default"/>
          <w:spacing w:val="-53"/>
        </w:rPr>
        <w:t> </w:t>
      </w:r>
      <w:r>
        <w:rPr/>
        <w:t>日，本公司第二届董事会召开第十五次会议，批准</w:t>
      </w:r>
      <w:r>
        <w:rPr>
          <w:spacing w:val="-53"/>
        </w:rPr>
        <w:t> </w:t>
      </w:r>
      <w:r>
        <w:rPr>
          <w:rFonts w:ascii="宋体" w:hAnsi="宋体" w:cs="宋体" w:eastAsia="宋体" w:hint="default"/>
        </w:rPr>
        <w:t>2014</w:t>
      </w:r>
      <w:r>
        <w:rPr>
          <w:rFonts w:ascii="宋体" w:hAnsi="宋体" w:cs="宋体" w:eastAsia="宋体" w:hint="default"/>
          <w:spacing w:val="-53"/>
        </w:rPr>
        <w:t> </w:t>
      </w:r>
      <w:r>
        <w:rPr/>
        <w:t>年度利润分配预案，公司</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拟以总股本不超过</w:t>
      </w:r>
      <w:r>
        <w:rPr>
          <w:spacing w:val="-64"/>
        </w:rPr>
        <w:t> </w:t>
      </w:r>
      <w:r>
        <w:rPr>
          <w:rFonts w:ascii="宋体" w:hAnsi="宋体" w:cs="宋体" w:eastAsia="宋体" w:hint="default"/>
        </w:rPr>
        <w:t>698,899,250</w:t>
      </w:r>
      <w:r>
        <w:rPr>
          <w:rFonts w:ascii="宋体" w:hAnsi="宋体" w:cs="宋体" w:eastAsia="宋体" w:hint="default"/>
          <w:spacing w:val="-64"/>
        </w:rPr>
        <w:t> </w:t>
      </w:r>
      <w:r>
        <w:rPr/>
        <w:t>股为基数（以实施分红的股权登记日在中国证券登记结算公司实际登记数</w:t>
      </w:r>
    </w:p>
    <w:p>
      <w:pPr>
        <w:spacing w:line="240" w:lineRule="auto" w:before="10"/>
        <w:rPr>
          <w:rFonts w:ascii="宋体" w:hAnsi="宋体" w:cs="宋体" w:eastAsia="宋体" w:hint="default"/>
          <w:sz w:val="14"/>
          <w:szCs w:val="14"/>
        </w:rPr>
      </w:pPr>
    </w:p>
    <w:p>
      <w:pPr>
        <w:pStyle w:val="BodyText"/>
        <w:spacing w:line="240" w:lineRule="auto" w:before="0"/>
        <w:ind w:right="1046"/>
        <w:jc w:val="left"/>
      </w:pPr>
      <w:r>
        <w:rPr/>
        <w:t>为准</w:t>
      </w:r>
      <w:r>
        <w:rPr>
          <w:spacing w:val="-105"/>
        </w:rPr>
        <w:t>）</w:t>
      </w:r>
      <w:r>
        <w:rPr/>
        <w:t>，向</w:t>
      </w:r>
      <w:r>
        <w:rPr>
          <w:spacing w:val="-2"/>
        </w:rPr>
        <w:t>全</w:t>
      </w:r>
      <w:r>
        <w:rPr/>
        <w:t>体股东按每</w:t>
      </w:r>
      <w:r>
        <w:rPr>
          <w:spacing w:val="-52"/>
        </w:rPr>
        <w:t> </w:t>
      </w:r>
      <w:r>
        <w:rPr>
          <w:rFonts w:ascii="宋体" w:hAnsi="宋体" w:cs="宋体" w:eastAsia="宋体" w:hint="default"/>
          <w:spacing w:val="-1"/>
        </w:rPr>
        <w:t>1</w:t>
      </w:r>
      <w:r>
        <w:rPr>
          <w:rFonts w:ascii="宋体" w:hAnsi="宋体" w:cs="宋体" w:eastAsia="宋体" w:hint="default"/>
        </w:rPr>
        <w:t>0</w:t>
      </w:r>
      <w:r>
        <w:rPr>
          <w:rFonts w:ascii="宋体" w:hAnsi="宋体" w:cs="宋体" w:eastAsia="宋体" w:hint="default"/>
          <w:spacing w:val="-52"/>
        </w:rPr>
        <w:t> </w:t>
      </w:r>
      <w:r>
        <w:rPr/>
        <w:t>股派发现</w:t>
      </w:r>
      <w:r>
        <w:rPr>
          <w:spacing w:val="-2"/>
        </w:rPr>
        <w:t>金</w:t>
      </w:r>
      <w:r>
        <w:rPr/>
        <w:t>红利</w:t>
      </w:r>
      <w:r>
        <w:rPr>
          <w:spacing w:val="-52"/>
        </w:rPr>
        <w:t> </w:t>
      </w:r>
      <w:r>
        <w:rPr>
          <w:rFonts w:ascii="宋体" w:hAnsi="宋体" w:cs="宋体" w:eastAsia="宋体" w:hint="default"/>
        </w:rPr>
        <w:t>0.2</w:t>
      </w:r>
      <w:r>
        <w:rPr>
          <w:rFonts w:ascii="宋体" w:hAnsi="宋体" w:cs="宋体" w:eastAsia="宋体" w:hint="default"/>
          <w:spacing w:val="-52"/>
        </w:rPr>
        <w:t> </w:t>
      </w:r>
      <w:r>
        <w:rPr>
          <w:spacing w:val="-2"/>
        </w:rPr>
        <w:t>元</w:t>
      </w:r>
      <w:r>
        <w:rPr/>
        <w:t>人民币（含税</w:t>
      </w:r>
      <w:r>
        <w:rPr>
          <w:spacing w:val="-105"/>
        </w:rPr>
        <w:t>）</w:t>
      </w:r>
      <w:r>
        <w:rPr/>
        <w:t>。本预</w:t>
      </w:r>
      <w:r>
        <w:rPr>
          <w:spacing w:val="-2"/>
        </w:rPr>
        <w:t>案</w:t>
      </w:r>
      <w:r>
        <w:rPr/>
        <w:t>需</w:t>
      </w:r>
      <w:r>
        <w:rPr>
          <w:spacing w:val="1"/>
        </w:rPr>
        <w:t> </w:t>
      </w:r>
      <w:r>
        <w:rPr>
          <w:rFonts w:ascii="宋体" w:hAnsi="宋体" w:cs="宋体" w:eastAsia="宋体" w:hint="default"/>
        </w:rPr>
        <w:t>2014</w:t>
      </w:r>
      <w:r>
        <w:rPr>
          <w:rFonts w:ascii="宋体" w:hAnsi="宋体" w:cs="宋体" w:eastAsia="宋体" w:hint="default"/>
          <w:spacing w:val="-53"/>
        </w:rPr>
        <w:t> </w:t>
      </w:r>
      <w:r>
        <w:rPr/>
        <w:t>年</w:t>
      </w:r>
      <w:r>
        <w:rPr>
          <w:spacing w:val="-2"/>
        </w:rPr>
        <w:t>度</w:t>
      </w:r>
      <w:r>
        <w:rPr/>
        <w:t>股东大会审议。</w:t>
      </w:r>
    </w:p>
    <w:p>
      <w:pPr>
        <w:spacing w:line="240" w:lineRule="auto" w:before="0"/>
        <w:rPr>
          <w:rFonts w:ascii="宋体" w:hAnsi="宋体" w:cs="宋体" w:eastAsia="宋体" w:hint="default"/>
          <w:sz w:val="20"/>
          <w:szCs w:val="20"/>
        </w:rPr>
      </w:pPr>
    </w:p>
    <w:p>
      <w:pPr>
        <w:pStyle w:val="Heading2"/>
        <w:spacing w:line="240" w:lineRule="auto" w:before="131"/>
        <w:ind w:right="1046"/>
        <w:jc w:val="left"/>
        <w:rPr>
          <w:b w:val="0"/>
          <w:bCs w:val="0"/>
        </w:rPr>
      </w:pPr>
      <w:bookmarkStart w:name="十五、母公司财务报表主要项目注释" w:id="424"/>
      <w:bookmarkEnd w:id="424"/>
      <w:r>
        <w:rPr>
          <w:b w:val="0"/>
          <w:bCs w:val="0"/>
        </w:rPr>
      </w:r>
      <w:r>
        <w:rPr/>
        <w:t>十五、母公司财务报表主要项目注释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应收账款" w:id="425"/>
      <w:bookmarkEnd w:id="425"/>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应收账款分类披露" w:id="426"/>
      <w:bookmarkEnd w:id="42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1,312,84</w:t>
            </w:r>
          </w:p>
          <w:p>
            <w:pPr>
              <w:pStyle w:val="TableParagraph"/>
              <w:spacing w:line="240" w:lineRule="auto" w:before="105"/>
              <w:ind w:left="87" w:right="0"/>
              <w:jc w:val="left"/>
              <w:rPr>
                <w:rFonts w:ascii="Times New Roman" w:hAnsi="Times New Roman" w:cs="Times New Roman" w:eastAsia="Times New Roman" w:hint="default"/>
                <w:sz w:val="18"/>
                <w:szCs w:val="18"/>
              </w:rPr>
            </w:pPr>
            <w:r>
              <w:rPr>
                <w:rFonts w:ascii="Times New Roman"/>
                <w:sz w:val="18"/>
              </w:rPr>
              <w:t>5,666.30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99.91%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51,690,0</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84.62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3.94%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1,261,155</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,581.68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1,147,0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77,820.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99.90%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43,883,55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0.89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3.83%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1,103,194,2</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69.60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1,193,46</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1,193,46</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1,193,2</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09.46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1,193,209</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1,314,03</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9,129.63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52,883,5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47.95</w:t>
            </w: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1,261,155</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,581.68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1,148,2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71,029.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45,076,76</w:t>
            </w:r>
          </w:p>
          <w:p>
            <w:pPr>
              <w:pStyle w:val="TableParagraph"/>
              <w:spacing w:line="240" w:lineRule="auto" w:before="106"/>
              <w:ind w:left="466" w:right="0"/>
              <w:jc w:val="left"/>
              <w:rPr>
                <w:rFonts w:ascii="Times New Roman" w:hAnsi="Times New Roman" w:cs="Times New Roman" w:eastAsia="Times New Roman" w:hint="default"/>
                <w:sz w:val="18"/>
                <w:szCs w:val="18"/>
              </w:rPr>
            </w:pPr>
            <w:r>
              <w:rPr>
                <w:rFonts w:ascii="Times New Roman"/>
                <w:sz w:val="18"/>
              </w:rPr>
              <w:t>0.35</w:t>
            </w: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1,103,194,2</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69.60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3"/>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560,189,736.47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16,806,145.92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560,189,736.47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16,806,145.92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104,296,924.55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10,429,692.46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45,670,685.87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9,134,137.17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25,856,941.09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12,928,470.55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491,650.30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269,856.69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4,291,626.73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2,121,781.83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3"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740,797,565.01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51,690,084.62</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57"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9"/>
        <w:ind w:left="15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1"/>
        <w:rPr>
          <w:rFonts w:ascii="宋体" w:hAnsi="宋体" w:cs="宋体" w:eastAsia="宋体" w:hint="default"/>
          <w:sz w:val="21"/>
          <w:szCs w:val="21"/>
        </w:rPr>
      </w:pPr>
    </w:p>
    <w:p>
      <w:pPr>
        <w:pStyle w:val="Heading3"/>
        <w:spacing w:line="240" w:lineRule="auto"/>
        <w:ind w:left="153" w:right="1046"/>
        <w:jc w:val="left"/>
        <w:rPr>
          <w:b w:val="0"/>
          <w:bCs w:val="0"/>
        </w:rPr>
      </w:pPr>
      <w:bookmarkStart w:name="（2）本期计提、收回或转回的坏账准备情况" w:id="427"/>
      <w:bookmarkEnd w:id="42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8,380,568.08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53" w:right="1046"/>
        <w:jc w:val="left"/>
        <w:rPr>
          <w:b w:val="0"/>
          <w:bCs w:val="0"/>
        </w:rPr>
      </w:pPr>
      <w:bookmarkStart w:name="（3）本期实际核销的应收账款情况" w:id="428"/>
      <w:bookmarkEnd w:id="42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5"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79"/>
              <w:jc w:val="left"/>
              <w:rPr>
                <w:rFonts w:ascii="Times New Roman" w:hAnsi="Times New Roman" w:cs="Times New Roman" w:eastAsia="Times New Roman" w:hint="default"/>
                <w:sz w:val="18"/>
                <w:szCs w:val="18"/>
              </w:rPr>
            </w:pPr>
            <w:r>
              <w:rPr>
                <w:rFonts w:ascii="Times New Roman"/>
                <w:sz w:val="18"/>
              </w:rPr>
              <w:t>B.Schmitt</w:t>
            </w:r>
            <w:r>
              <w:rPr>
                <w:rFonts w:ascii="Times New Roman"/>
                <w:spacing w:val="-2"/>
                <w:sz w:val="18"/>
              </w:rPr>
              <w:t> </w:t>
            </w:r>
            <w:r>
              <w:rPr>
                <w:rFonts w:ascii="Times New Roman"/>
                <w:sz w:val="18"/>
              </w:rPr>
              <w:t>mobile</w:t>
            </w:r>
            <w:r>
              <w:rPr>
                <w:rFonts w:ascii="Times New Roman"/>
                <w:sz w:val="18"/>
              </w:rPr>
              <w:t> GmbH</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09" w:right="0"/>
              <w:jc w:val="left"/>
              <w:rPr>
                <w:rFonts w:ascii="Times New Roman" w:hAnsi="Times New Roman" w:cs="Times New Roman" w:eastAsia="Times New Roman" w:hint="default"/>
                <w:sz w:val="18"/>
                <w:szCs w:val="18"/>
              </w:rPr>
            </w:pPr>
            <w:r>
              <w:rPr>
                <w:rFonts w:ascii="Times New Roman"/>
                <w:sz w:val="18"/>
              </w:rPr>
              <w:t>187,493.37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5"/>
              <w:jc w:val="left"/>
              <w:rPr>
                <w:rFonts w:ascii="Times New Roman" w:hAnsi="Times New Roman" w:cs="Times New Roman" w:eastAsia="Times New Roman" w:hint="default"/>
                <w:sz w:val="18"/>
                <w:szCs w:val="18"/>
              </w:rPr>
            </w:pPr>
            <w:r>
              <w:rPr>
                <w:rFonts w:ascii="Times New Roman"/>
                <w:sz w:val="18"/>
              </w:rPr>
              <w:t>Generation</w:t>
            </w:r>
            <w:r>
              <w:rPr>
                <w:rFonts w:ascii="Times New Roman"/>
                <w:spacing w:val="-3"/>
                <w:sz w:val="18"/>
              </w:rPr>
              <w:t> </w:t>
            </w:r>
            <w:r>
              <w:rPr>
                <w:rFonts w:ascii="Times New Roman"/>
                <w:sz w:val="18"/>
              </w:rPr>
              <w:t>Builders</w:t>
            </w:r>
            <w:r>
              <w:rPr>
                <w:rFonts w:ascii="Times New Roman"/>
                <w:w w:val="99"/>
                <w:sz w:val="18"/>
              </w:rPr>
              <w:t> </w:t>
            </w:r>
            <w:r>
              <w:rPr>
                <w:rFonts w:ascii="Times New Roman"/>
                <w:sz w:val="18"/>
              </w:rPr>
              <w:t>International</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241,478.39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8"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86"/>
              <w:jc w:val="left"/>
              <w:rPr>
                <w:rFonts w:ascii="Times New Roman" w:hAnsi="Times New Roman" w:cs="Times New Roman" w:eastAsia="Times New Roman" w:hint="default"/>
                <w:sz w:val="18"/>
                <w:szCs w:val="18"/>
              </w:rPr>
            </w:pPr>
            <w:r>
              <w:rPr>
                <w:rFonts w:ascii="Times New Roman"/>
                <w:sz w:val="18"/>
              </w:rPr>
              <w:t>Supreme</w:t>
            </w:r>
            <w:r>
              <w:rPr>
                <w:rFonts w:ascii="Times New Roman"/>
                <w:w w:val="99"/>
                <w:sz w:val="18"/>
              </w:rPr>
              <w:t> </w:t>
            </w:r>
            <w:r>
              <w:rPr>
                <w:rFonts w:ascii="Times New Roman"/>
                <w:sz w:val="18"/>
              </w:rPr>
              <w:t>Landmobile&amp;Wireles</w:t>
            </w:r>
            <w:r>
              <w:rPr>
                <w:rFonts w:ascii="Times New Roman"/>
                <w:w w:val="99"/>
                <w:sz w:val="18"/>
              </w:rPr>
              <w:t> </w:t>
            </w:r>
            <w:r>
              <w:rPr>
                <w:rFonts w:ascii="Times New Roman"/>
                <w:sz w:val="18"/>
              </w:rPr>
              <w:t>s Corporation</w:t>
            </w:r>
            <w:r>
              <w:rPr>
                <w:rFonts w:ascii="Times New Roman"/>
                <w:spacing w:val="-2"/>
                <w:sz w:val="18"/>
              </w:rPr>
              <w:t> </w:t>
            </w:r>
            <w:r>
              <w:rPr>
                <w:rFonts w:ascii="Times New Roman"/>
                <w:sz w:val="18"/>
              </w:rPr>
              <w:t>Sdn.</w:t>
            </w:r>
          </w:p>
          <w:p>
            <w:pPr>
              <w:pStyle w:val="TableParagraph"/>
              <w:spacing w:line="240" w:lineRule="auto" w:before="4"/>
              <w:ind w:left="22" w:right="0"/>
              <w:jc w:val="left"/>
              <w:rPr>
                <w:rFonts w:ascii="Times New Roman" w:hAnsi="Times New Roman" w:cs="Times New Roman" w:eastAsia="Times New Roman" w:hint="default"/>
                <w:sz w:val="18"/>
                <w:szCs w:val="18"/>
              </w:rPr>
            </w:pPr>
            <w:r>
              <w:rPr>
                <w:rFonts w:ascii="Times New Roman"/>
                <w:sz w:val="18"/>
              </w:rPr>
              <w:t>Bhd.</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117,725.31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Village Net Co.,</w:t>
            </w:r>
            <w:r>
              <w:rPr>
                <w:rFonts w:ascii="Times New Roman"/>
                <w:spacing w:val="-18"/>
                <w:sz w:val="18"/>
              </w:rPr>
              <w:t> </w:t>
            </w:r>
            <w:r>
              <w:rPr>
                <w:rFonts w:ascii="Times New Roman"/>
                <w:sz w:val="18"/>
              </w:rPr>
              <w:t>Ltd</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27,083.41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董事会审核</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573,780.48</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692" w:lineRule="exact" w:before="42"/>
        <w:ind w:left="574" w:right="1114" w:hanging="420"/>
        <w:jc w:val="left"/>
        <w:rPr>
          <w:rFonts w:ascii="宋体" w:hAnsi="宋体" w:cs="宋体" w:eastAsia="宋体" w:hint="default"/>
          <w:sz w:val="21"/>
          <w:szCs w:val="21"/>
        </w:rPr>
      </w:pPr>
      <w:bookmarkStart w:name="（4）按欠款方归集的期末余额前五吊的应收账款情况" w:id="429"/>
      <w:bookmarkEnd w:id="42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）按欠款方归集的期末余额前五名的应收账款情况</w:t>
      </w:r>
      <w:r>
        <w:rPr>
          <w:rFonts w:ascii="宋体" w:hAnsi="宋体" w:cs="宋体" w:eastAsia="宋体" w:hint="default"/>
          <w:b/>
          <w:bCs/>
          <w:w w:val="99"/>
          <w:sz w:val="21"/>
          <w:szCs w:val="21"/>
        </w:rPr>
        <w:t> </w:t>
      </w:r>
      <w:r>
        <w:rPr>
          <w:rFonts w:ascii="宋体" w:hAnsi="宋体" w:cs="宋体" w:eastAsia="宋体" w:hint="default"/>
          <w:sz w:val="21"/>
          <w:szCs w:val="21"/>
        </w:rPr>
        <w:t>本公司本年按欠款方归集的年末余额前五名应收账款汇总金额</w:t>
      </w:r>
      <w:r>
        <w:rPr>
          <w:rFonts w:ascii="宋体" w:hAnsi="宋体" w:cs="宋体" w:eastAsia="宋体" w:hint="default"/>
          <w:spacing w:val="-51"/>
          <w:sz w:val="21"/>
          <w:szCs w:val="21"/>
        </w:rPr>
        <w:t> </w:t>
      </w:r>
      <w:r>
        <w:rPr>
          <w:rFonts w:ascii="宋体" w:hAnsi="宋体" w:cs="宋体" w:eastAsia="宋体" w:hint="default"/>
          <w:sz w:val="21"/>
          <w:szCs w:val="21"/>
        </w:rPr>
        <w:t>660,212,261.78</w:t>
      </w:r>
      <w:r>
        <w:rPr>
          <w:rFonts w:ascii="宋体" w:hAnsi="宋体" w:cs="宋体" w:eastAsia="宋体" w:hint="default"/>
          <w:spacing w:val="-51"/>
          <w:sz w:val="21"/>
          <w:szCs w:val="21"/>
        </w:rPr>
        <w:t> </w:t>
      </w:r>
      <w:r>
        <w:rPr>
          <w:rFonts w:ascii="宋体" w:hAnsi="宋体" w:cs="宋体" w:eastAsia="宋体" w:hint="default"/>
          <w:spacing w:val="-13"/>
          <w:sz w:val="21"/>
          <w:szCs w:val="21"/>
        </w:rPr>
        <w:t>元，（其中合并范围内</w:t>
      </w:r>
    </w:p>
    <w:p>
      <w:pPr>
        <w:pStyle w:val="BodyText"/>
        <w:spacing w:line="408" w:lineRule="auto" w:before="84"/>
        <w:ind w:right="1121"/>
        <w:jc w:val="left"/>
      </w:pPr>
      <w:r>
        <w:rPr/>
        <w:t>关联方应收款</w:t>
      </w:r>
      <w:r>
        <w:rPr>
          <w:spacing w:val="-48"/>
        </w:rPr>
        <w:t> </w:t>
      </w:r>
      <w:r>
        <w:rPr>
          <w:rFonts w:ascii="宋体" w:hAnsi="宋体" w:cs="宋体" w:eastAsia="宋体" w:hint="default"/>
        </w:rPr>
        <w:t>548,589,199.64</w:t>
      </w:r>
      <w:r>
        <w:rPr>
          <w:rFonts w:ascii="宋体" w:hAnsi="宋体" w:cs="宋体" w:eastAsia="宋体" w:hint="default"/>
          <w:spacing w:val="-49"/>
        </w:rPr>
        <w:t> </w:t>
      </w:r>
      <w:r>
        <w:rPr>
          <w:spacing w:val="-8"/>
        </w:rPr>
        <w:t>元），占应收账款年末余额合计数的比例</w:t>
      </w:r>
      <w:r>
        <w:rPr>
          <w:spacing w:val="-48"/>
        </w:rPr>
        <w:t> </w:t>
      </w:r>
      <w:r>
        <w:rPr>
          <w:rFonts w:ascii="宋体" w:hAnsi="宋体" w:cs="宋体" w:eastAsia="宋体" w:hint="default"/>
          <w:spacing w:val="-3"/>
        </w:rPr>
        <w:t>50.24%</w:t>
      </w:r>
      <w:r>
        <w:rPr>
          <w:spacing w:val="-3"/>
        </w:rPr>
        <w:t>，相应计提的坏账准备年末</w:t>
      </w:r>
      <w:r>
        <w:rPr/>
        <w:t> 余额汇总金额</w:t>
      </w:r>
      <w:r>
        <w:rPr>
          <w:spacing w:val="-52"/>
        </w:rPr>
        <w:t> </w:t>
      </w:r>
      <w:r>
        <w:rPr>
          <w:rFonts w:ascii="宋体" w:hAnsi="宋体" w:cs="宋体" w:eastAsia="宋体" w:hint="default"/>
        </w:rPr>
        <w:t>3,348,691.86</w:t>
      </w:r>
      <w:r>
        <w:rPr>
          <w:rFonts w:ascii="宋体" w:hAnsi="宋体" w:cs="宋体" w:eastAsia="宋体" w:hint="default"/>
          <w:spacing w:val="-53"/>
        </w:rPr>
        <w:t> </w:t>
      </w:r>
      <w:r>
        <w:rPr/>
        <w:t>元。</w:t>
      </w:r>
    </w:p>
    <w:p>
      <w:pPr>
        <w:spacing w:line="240" w:lineRule="auto" w:before="8"/>
        <w:rPr>
          <w:rFonts w:ascii="宋体" w:hAnsi="宋体" w:cs="宋体" w:eastAsia="宋体" w:hint="default"/>
          <w:sz w:val="20"/>
          <w:szCs w:val="20"/>
        </w:rPr>
      </w:pPr>
    </w:p>
    <w:p>
      <w:pPr>
        <w:pStyle w:val="Heading3"/>
        <w:spacing w:line="240" w:lineRule="auto"/>
        <w:ind w:left="153" w:right="1046"/>
        <w:jc w:val="left"/>
        <w:rPr>
          <w:b w:val="0"/>
          <w:bCs w:val="0"/>
        </w:rPr>
      </w:pPr>
      <w:bookmarkStart w:name="（5）因金融资产转移而终止确认的应收账款" w:id="430"/>
      <w:bookmarkEnd w:id="43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6）转移应收账款且继续涉入形成的资产、负债金额" w:id="431"/>
      <w:bookmarkEnd w:id="43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046"/>
        <w:jc w:val="left"/>
        <w:rPr>
          <w:b w:val="0"/>
          <w:bCs w:val="0"/>
        </w:rPr>
      </w:pPr>
      <w:bookmarkStart w:name="2、其他应收款" w:id="432"/>
      <w:bookmarkEnd w:id="43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其他应收款分类披露" w:id="433"/>
      <w:bookmarkEnd w:id="433"/>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403"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398,981,</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287.29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3,168,45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395,812,8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35.96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350,523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,021.93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99.93%</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2,429,278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348,093,74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3.79</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212,500.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212,500.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257,442</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0.07%</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257,442.8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2"/>
              <w:ind w:left="81" w:right="0"/>
              <w:jc w:val="center"/>
              <w:rPr>
                <w:rFonts w:ascii="Times New Roman" w:hAnsi="Times New Roman" w:cs="Times New Roman" w:eastAsia="Times New Roman" w:hint="default"/>
                <w:sz w:val="18"/>
                <w:szCs w:val="18"/>
              </w:rPr>
            </w:pPr>
            <w:r>
              <w:rPr>
                <w:rFonts w:ascii="Times New Roman"/>
                <w:sz w:val="18"/>
              </w:rPr>
              <w:t>399,193,</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787.29</w:t>
            </w:r>
          </w:p>
        </w:tc>
        <w:tc>
          <w:tcPr>
            <w:tcW w:w="762" w:type="dxa"/>
            <w:vMerge w:val="restart"/>
            <w:tcBorders>
              <w:top w:val="single" w:sz="4" w:space="0" w:color="000000"/>
              <w:left w:val="single" w:sz="4" w:space="0" w:color="000000"/>
              <w:right w:val="single" w:sz="4" w:space="0" w:color="000000"/>
            </w:tcBorders>
          </w:tcPr>
          <w:p>
            <w:pP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3,380,95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1.33</w:t>
            </w:r>
          </w:p>
        </w:tc>
        <w:tc>
          <w:tcPr>
            <w:tcW w:w="762" w:type="dxa"/>
            <w:vMerge w:val="restart"/>
            <w:tcBorders>
              <w:top w:val="single" w:sz="4" w:space="0" w:color="000000"/>
              <w:left w:val="single" w:sz="4" w:space="0" w:color="000000"/>
              <w:right w:val="single" w:sz="4" w:space="0" w:color="000000"/>
            </w:tcBorders>
          </w:tcPr>
          <w:p>
            <w:pP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395,812,8</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35.96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350,780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,464.78</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2,686,720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.99</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255" w:right="0"/>
              <w:jc w:val="left"/>
              <w:rPr>
                <w:rFonts w:ascii="Times New Roman" w:hAnsi="Times New Roman" w:cs="Times New Roman" w:eastAsia="Times New Roman" w:hint="default"/>
                <w:sz w:val="18"/>
                <w:szCs w:val="18"/>
              </w:rPr>
            </w:pPr>
            <w:r>
              <w:rPr>
                <w:rFonts w:ascii="Times New Roman"/>
                <w:sz w:val="18"/>
              </w:rPr>
              <w:t>100.00%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348,093,74</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3.79</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16,774,642.41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503,239.28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16,774,642.41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503,239.28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1,042,848.77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104,284.88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8,484,106.01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1,696,821.20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1,728,211.93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864,105.97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28,029,809.12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3,168,451.33</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5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3"/>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1046"/>
        <w:jc w:val="left"/>
        <w:rPr>
          <w:b w:val="0"/>
          <w:bCs w:val="0"/>
        </w:rPr>
      </w:pPr>
      <w:bookmarkStart w:name="（2）本期计提、收回或转回的坏账准备情况" w:id="434"/>
      <w:bookmarkEnd w:id="434"/>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805,448.40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ind w:left="153" w:right="1046"/>
        <w:jc w:val="left"/>
        <w:rPr>
          <w:b w:val="0"/>
          <w:bCs w:val="0"/>
        </w:rPr>
      </w:pPr>
      <w:bookmarkStart w:name="（3）本期实际核销的其他应收款情况" w:id="435"/>
      <w:bookmarkEnd w:id="435"/>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111,218.06</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4）其他应收款按款项性质分类情况" w:id="436"/>
      <w:bookmarkEnd w:id="436"/>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343,413,694.23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323,728,440.88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22,475,540.32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12,664,649.83</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应收增值税退税款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16,619,041.34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8,231,674.14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存放中登公司股本金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10,918,742.60</w:t>
            </w: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5,370,621.32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4,863,351.26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  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396,147.48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1,292,348.67</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399,193,787.29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350,780,464.78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3"/>
        <w:spacing w:line="240" w:lineRule="auto" w:before="35"/>
        <w:ind w:left="153" w:right="1046"/>
        <w:jc w:val="left"/>
        <w:rPr>
          <w:b w:val="0"/>
          <w:bCs w:val="0"/>
        </w:rPr>
      </w:pPr>
      <w:bookmarkStart w:name="（5）按欠款方归集的期末余额前五吊的其他应收款情况" w:id="437"/>
      <w:bookmarkEnd w:id="437"/>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181,894,678.55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45.57%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子公司往来款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150,494,310.18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37.70%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16,619,041.34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4.16%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应收股本金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10,918,742.60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369,926,772.67</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300,000.00</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6）涉及政府补助的应收款项" w:id="438"/>
      <w:bookmarkEnd w:id="438"/>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6"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国家金库（深圳金库）</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16,619,041.34</w:t>
            </w:r>
          </w:p>
        </w:tc>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至报告日已收回</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16,619,041.34</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right="1046"/>
        <w:jc w:val="left"/>
        <w:rPr>
          <w:b w:val="0"/>
          <w:bCs w:val="0"/>
        </w:rPr>
      </w:pPr>
      <w:bookmarkStart w:name="（7）因金融资产转移而终止确认的其他应收款" w:id="439"/>
      <w:bookmarkEnd w:id="439"/>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046"/>
        <w:jc w:val="left"/>
        <w:rPr>
          <w:b w:val="0"/>
          <w:bCs w:val="0"/>
        </w:rPr>
      </w:pPr>
      <w:bookmarkStart w:name="（8）转移其他应收款且继续涉入形成的资产、负债金额" w:id="440"/>
      <w:bookmarkEnd w:id="440"/>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3、长期股权投资" w:id="441"/>
      <w:bookmarkEnd w:id="441"/>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742,669,585.18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742,669,585.18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707,829,787.28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707,829,787.28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742,669,585.18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742,669,585.18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707,829,787.28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707,829,787.28</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1）对子公司投资" w:id="442"/>
      <w:bookmarkEnd w:id="442"/>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67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183"/>
              <w:jc w:val="left"/>
              <w:rPr>
                <w:rFonts w:ascii="Times New Roman" w:hAnsi="Times New Roman" w:cs="Times New Roman" w:eastAsia="Times New Roman" w:hint="default"/>
                <w:sz w:val="18"/>
                <w:szCs w:val="18"/>
              </w:rPr>
            </w:pPr>
            <w:r>
              <w:rPr>
                <w:rFonts w:ascii="Times New Roman"/>
                <w:sz w:val="18"/>
              </w:rPr>
              <w:t>Hytera Communications</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58" w:right="0"/>
              <w:jc w:val="left"/>
              <w:rPr>
                <w:rFonts w:ascii="Times New Roman" w:hAnsi="Times New Roman" w:cs="Times New Roman" w:eastAsia="Times New Roman" w:hint="default"/>
                <w:sz w:val="18"/>
                <w:szCs w:val="18"/>
              </w:rPr>
            </w:pPr>
            <w:r>
              <w:rPr>
                <w:rFonts w:ascii="Times New Roman"/>
                <w:sz w:val="18"/>
              </w:rPr>
              <w:t>1,387,705.40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357" w:right="0"/>
              <w:jc w:val="left"/>
              <w:rPr>
                <w:rFonts w:ascii="Times New Roman" w:hAnsi="Times New Roman" w:cs="Times New Roman" w:eastAsia="Times New Roman" w:hint="default"/>
                <w:sz w:val="18"/>
                <w:szCs w:val="18"/>
              </w:rPr>
            </w:pPr>
            <w:r>
              <w:rPr>
                <w:rFonts w:ascii="Times New Roman"/>
                <w:sz w:val="18"/>
              </w:rPr>
              <w:t>1,387,705.40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(UK)</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Co.</w:t>
            </w:r>
            <w:r>
              <w:rPr>
                <w:rFonts w:ascii="宋体" w:hAnsi="宋体" w:cs="宋体" w:eastAsia="宋体" w:hint="default"/>
                <w:sz w:val="18"/>
                <w:szCs w:val="18"/>
              </w:rPr>
              <w:t>，</w:t>
            </w:r>
            <w:r>
              <w:rPr>
                <w:rFonts w:ascii="Times New Roman" w:hAnsi="Times New Roman" w:cs="Times New Roman" w:eastAsia="Times New Roman" w:hint="default"/>
                <w:sz w:val="18"/>
                <w:szCs w:val="18"/>
              </w:rPr>
              <w:t>Ltd</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深圳市安智捷科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海能达通信（香 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48,120,420.00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48,120,420.00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47"/>
              <w:jc w:val="left"/>
              <w:rPr>
                <w:rFonts w:ascii="Times New Roman" w:hAnsi="Times New Roman" w:cs="Times New Roman" w:eastAsia="Times New Roman" w:hint="default"/>
                <w:sz w:val="18"/>
                <w:szCs w:val="18"/>
              </w:rPr>
            </w:pPr>
            <w:r>
              <w:rPr>
                <w:rFonts w:ascii="Times New Roman"/>
                <w:sz w:val="18"/>
              </w:rPr>
              <w:t>HYT</w:t>
            </w:r>
            <w:r>
              <w:rPr>
                <w:rFonts w:ascii="Times New Roman"/>
                <w:spacing w:val="40"/>
                <w:sz w:val="18"/>
              </w:rPr>
              <w:t> </w:t>
            </w:r>
            <w:r>
              <w:rPr>
                <w:rFonts w:ascii="Times New Roman"/>
                <w:sz w:val="18"/>
              </w:rPr>
              <w:t>North</w:t>
            </w:r>
            <w:r>
              <w:rPr>
                <w:rFonts w:ascii="Times New Roman"/>
                <w:sz w:val="18"/>
              </w:rPr>
              <w:t> America,Inc.</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10,556,060.88</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10,556,060.88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深圳市海能达技 术服务有限公司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70,800,000.00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哈尔滨海能达科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南京海能达软件 科技有限公司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09"/>
              <w:jc w:val="left"/>
              <w:rPr>
                <w:rFonts w:ascii="Times New Roman" w:hAnsi="Times New Roman" w:cs="Times New Roman" w:eastAsia="Times New Roman" w:hint="default"/>
                <w:sz w:val="18"/>
                <w:szCs w:val="18"/>
              </w:rPr>
            </w:pPr>
            <w:r>
              <w:rPr>
                <w:rFonts w:ascii="Times New Roman"/>
                <w:sz w:val="18"/>
              </w:rPr>
              <w:t>Hytera</w:t>
            </w:r>
            <w:r>
              <w:rPr>
                <w:rFonts w:ascii="Times New Roman"/>
                <w:spacing w:val="-4"/>
                <w:sz w:val="18"/>
              </w:rPr>
              <w:t> </w:t>
            </w:r>
            <w:r>
              <w:rPr>
                <w:rFonts w:ascii="Times New Roman"/>
                <w:sz w:val="18"/>
              </w:rPr>
              <w:t>Mobilfunk</w:t>
            </w:r>
            <w:r>
              <w:rPr>
                <w:rFonts w:ascii="Times New Roman"/>
                <w:sz w:val="18"/>
              </w:rPr>
              <w:t> GmbH</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63,275,600.00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63,275,600.00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深圳市海能达通 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215,990,000.00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215,990,000.00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深圳市海天朗科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106,700,000.00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106,700,000.00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天津市海能达信 息技术有限公司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鹤壁天海电子信 息系统有限公司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30,000,001.00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45,500,001.00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97"/>
              <w:jc w:val="left"/>
              <w:rPr>
                <w:rFonts w:ascii="Times New Roman" w:hAnsi="Times New Roman" w:cs="Times New Roman" w:eastAsia="Times New Roman" w:hint="default"/>
                <w:sz w:val="18"/>
                <w:szCs w:val="18"/>
              </w:rPr>
            </w:pPr>
            <w:r>
              <w:rPr>
                <w:rFonts w:ascii="Times New Roman"/>
                <w:sz w:val="18"/>
              </w:rPr>
              <w:t>Hytera Communications (Australia)Pty</w:t>
            </w:r>
            <w:r>
              <w:rPr>
                <w:rFonts w:ascii="Times New Roman"/>
                <w:spacing w:val="-3"/>
                <w:sz w:val="18"/>
              </w:rPr>
              <w:t> </w:t>
            </w:r>
            <w:r>
              <w:rPr>
                <w:rFonts w:ascii="Times New Roman"/>
                <w:sz w:val="18"/>
              </w:rPr>
              <w:t>Ltd</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3,075,150.00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3,075,150.00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3"/>
              <w:jc w:val="left"/>
              <w:rPr>
                <w:rFonts w:ascii="Times New Roman" w:hAnsi="Times New Roman" w:cs="Times New Roman" w:eastAsia="Times New Roman" w:hint="default"/>
                <w:sz w:val="18"/>
                <w:szCs w:val="18"/>
              </w:rPr>
            </w:pPr>
            <w:r>
              <w:rPr>
                <w:rFonts w:ascii="Times New Roman"/>
                <w:sz w:val="18"/>
              </w:rPr>
              <w:t>Hytera Communication DO</w:t>
            </w:r>
            <w:r>
              <w:rPr>
                <w:rFonts w:ascii="Times New Roman"/>
                <w:spacing w:val="-2"/>
                <w:sz w:val="18"/>
              </w:rPr>
              <w:t> </w:t>
            </w:r>
            <w:r>
              <w:rPr>
                <w:rFonts w:ascii="Times New Roman"/>
                <w:sz w:val="18"/>
              </w:rPr>
              <w:t>BRASIL</w:t>
            </w:r>
            <w:r>
              <w:rPr>
                <w:rFonts w:ascii="Times New Roman"/>
                <w:w w:val="99"/>
                <w:sz w:val="18"/>
              </w:rPr>
              <w:t> </w:t>
            </w:r>
            <w:r>
              <w:rPr>
                <w:rFonts w:ascii="Times New Roman"/>
                <w:spacing w:val="-5"/>
                <w:sz w:val="18"/>
              </w:rPr>
              <w:t>LTDA</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5,474,647.90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5,474,647.90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深圳市运联通通 信服务有限公司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10,790,000.00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707,829,787.28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34,839,797.90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742,669,585.18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left="153" w:right="1046"/>
        <w:jc w:val="left"/>
        <w:rPr>
          <w:b w:val="0"/>
          <w:bCs w:val="0"/>
        </w:rPr>
      </w:pPr>
      <w:bookmarkStart w:name="（2）对联营、合营企业投资" w:id="443"/>
      <w:bookmarkEnd w:id="443"/>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3）其他说明" w:id="444"/>
      <w:bookmarkEnd w:id="444"/>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53" w:right="1046"/>
        <w:jc w:val="left"/>
        <w:rPr>
          <w:b w:val="0"/>
          <w:bCs w:val="0"/>
        </w:rPr>
      </w:pPr>
      <w:bookmarkStart w:name="4、营业收入和营业成本" w:id="445"/>
      <w:bookmarkEnd w:id="445"/>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1,265,644,587.78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782,909,784.30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1,233,486,421.11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758,536,073.46</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25,632,415.71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11,138,724.88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17,644,402.96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4,524,545.68</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1,291,277,003.49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794,048,509.18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1,251,130,824.07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763,060,619.14</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5、投资收益" w:id="446"/>
      <w:bookmarkEnd w:id="446"/>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7,294,090.52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购买银行理财产品取得的投资收益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2,721,648.09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859,600.80</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2,721,648.09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108,153,691.32</w:t>
            </w:r>
          </w:p>
        </w:tc>
      </w:tr>
    </w:tbl>
    <w:p>
      <w:pPr>
        <w:spacing w:line="240" w:lineRule="auto" w:before="2"/>
        <w:rPr>
          <w:rFonts w:ascii="宋体" w:hAnsi="宋体" w:cs="宋体" w:eastAsia="宋体" w:hint="default"/>
          <w:sz w:val="19"/>
          <w:szCs w:val="19"/>
        </w:rPr>
      </w:pPr>
    </w:p>
    <w:p>
      <w:pPr>
        <w:pStyle w:val="Heading3"/>
        <w:spacing w:line="240" w:lineRule="auto" w:before="35"/>
        <w:ind w:right="1046"/>
        <w:jc w:val="left"/>
        <w:rPr>
          <w:b w:val="0"/>
          <w:bCs w:val="0"/>
        </w:rPr>
      </w:pPr>
      <w:bookmarkStart w:name="6、其他" w:id="447"/>
      <w:bookmarkEnd w:id="447"/>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left="154" w:right="1046"/>
        <w:jc w:val="left"/>
        <w:rPr>
          <w:b w:val="0"/>
          <w:bCs w:val="0"/>
        </w:rPr>
      </w:pPr>
      <w:bookmarkStart w:name="十六、补充资料" w:id="448"/>
      <w:bookmarkEnd w:id="448"/>
      <w:r>
        <w:rPr>
          <w:b w:val="0"/>
          <w:bCs w:val="0"/>
        </w:rPr>
      </w:r>
      <w:r>
        <w:rPr/>
        <w:t>十六、补充资料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1、当期非经常性损益明细表" w:id="449"/>
      <w:bookmarkEnd w:id="449"/>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-200,261.39</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39,241,863.19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-226,143.16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5,581,872.22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33,233,586.42</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1046"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2" w:lineRule="auto" w:before="44"/>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3"/>
        <w:spacing w:line="240" w:lineRule="auto"/>
        <w:ind w:left="153" w:right="1046"/>
        <w:jc w:val="left"/>
        <w:rPr>
          <w:b w:val="0"/>
          <w:bCs w:val="0"/>
        </w:rPr>
      </w:pPr>
      <w:bookmarkStart w:name="2、净资产收益率及每股收益" w:id="450"/>
      <w:bookmarkEnd w:id="450"/>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0.06</w:t>
            </w:r>
          </w:p>
        </w:tc>
      </w:tr>
      <w:tr>
        <w:trPr>
          <w:trHeight w:val="715"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0.51%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w:t>
            </w:r>
          </w:p>
        </w:tc>
      </w:tr>
    </w:tbl>
    <w:p>
      <w:pPr>
        <w:spacing w:line="240" w:lineRule="auto" w:before="2"/>
        <w:rPr>
          <w:rFonts w:ascii="宋体" w:hAnsi="宋体" w:cs="宋体" w:eastAsia="宋体" w:hint="default"/>
          <w:b/>
          <w:bCs/>
          <w:sz w:val="19"/>
          <w:szCs w:val="19"/>
        </w:rPr>
      </w:pPr>
    </w:p>
    <w:p>
      <w:pPr>
        <w:pStyle w:val="Heading3"/>
        <w:spacing w:line="240" w:lineRule="auto" w:before="35"/>
        <w:ind w:right="1046"/>
        <w:jc w:val="left"/>
        <w:rPr>
          <w:b w:val="0"/>
          <w:bCs w:val="0"/>
        </w:rPr>
      </w:pPr>
      <w:bookmarkStart w:name="3、境内外会计准则下会计数据差异" w:id="451"/>
      <w:bookmarkEnd w:id="451"/>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046"/>
        <w:jc w:val="left"/>
        <w:rPr>
          <w:b w:val="0"/>
          <w:bCs w:val="0"/>
        </w:rPr>
      </w:pPr>
      <w:bookmarkStart w:name="（1）同时按照国际会计准则与按中国会计准则披露的财务报告中净利润和净资产差异情况" w:id="452"/>
      <w:bookmarkEnd w:id="452"/>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left="153" w:right="1046"/>
        <w:jc w:val="left"/>
        <w:rPr>
          <w:b w:val="0"/>
          <w:bCs w:val="0"/>
        </w:rPr>
      </w:pPr>
      <w:bookmarkStart w:name="（2）同时按照境外会计准则与按中国会计准则披露的财务报告中净利润和净资产差异情况" w:id="453"/>
      <w:bookmarkEnd w:id="453"/>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59" w:lineRule="auto"/>
        <w:ind w:left="153" w:right="1046"/>
        <w:jc w:val="left"/>
        <w:rPr>
          <w:b w:val="0"/>
          <w:bCs w:val="0"/>
        </w:rPr>
      </w:pPr>
      <w:bookmarkStart w:name="（3）境内外会计准则下会计数据差异原因说明，对已经境外审计机构审计的数据进行差异" w:id="454"/>
      <w:bookmarkEnd w:id="454"/>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53" w:right="1046"/>
        <w:jc w:val="left"/>
        <w:rPr>
          <w:b w:val="0"/>
          <w:bCs w:val="0"/>
        </w:rPr>
      </w:pPr>
      <w:bookmarkStart w:name="4、会计政策变更相关补充资料" w:id="455"/>
      <w:bookmarkEnd w:id="455"/>
      <w:r>
        <w:rPr>
          <w:b w:val="0"/>
          <w:bCs w:val="0"/>
        </w:rPr>
      </w:r>
      <w:r>
        <w:rPr>
          <w:rFonts w:ascii="Times New Roman" w:hAnsi="Times New Roman" w:cs="Times New Roman" w:eastAsia="Times New Roman" w:hint="default"/>
        </w:rPr>
        <w:t>4</w:t>
      </w:r>
      <w:r>
        <w:rPr/>
        <w:t>、会计政策变更相关补充资料</w:t>
      </w:r>
      <w:r>
        <w:rPr>
          <w:b w:val="0"/>
          <w:bCs w:val="0"/>
        </w:rPr>
      </w:r>
    </w:p>
    <w:p>
      <w:pPr>
        <w:spacing w:line="240" w:lineRule="auto" w:before="8"/>
        <w:rPr>
          <w:rFonts w:ascii="宋体" w:hAnsi="宋体" w:cs="宋体" w:eastAsia="宋体" w:hint="default"/>
          <w:b/>
          <w:bCs/>
          <w:sz w:val="26"/>
          <w:szCs w:val="26"/>
        </w:rPr>
      </w:pPr>
    </w:p>
    <w:p>
      <w:pPr>
        <w:spacing w:before="0"/>
        <w:ind w:left="153" w:right="104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0" w:right="1215"/>
        <w:jc w:val="right"/>
      </w:pPr>
      <w:r>
        <w:rPr/>
        <w:t>公司根据财政部</w:t>
      </w:r>
      <w:r>
        <w:rPr>
          <w:spacing w:val="-53"/>
        </w:rPr>
        <w:t> </w:t>
      </w:r>
      <w:r>
        <w:rPr>
          <w:rFonts w:ascii="宋体" w:hAnsi="宋体" w:cs="宋体" w:eastAsia="宋体" w:hint="default"/>
        </w:rPr>
        <w:t>2014</w:t>
      </w:r>
      <w:r>
        <w:rPr>
          <w:rFonts w:ascii="宋体" w:hAnsi="宋体" w:cs="宋体" w:eastAsia="宋体" w:hint="default"/>
          <w:spacing w:val="-54"/>
        </w:rPr>
        <w:t> </w:t>
      </w:r>
      <w:r>
        <w:rPr/>
        <w:t>年发布的《企业会计准则第</w:t>
      </w:r>
      <w:r>
        <w:rPr>
          <w:spacing w:val="-53"/>
        </w:rPr>
        <w:t> </w:t>
      </w:r>
      <w:r>
        <w:rPr>
          <w:rFonts w:ascii="宋体" w:hAnsi="宋体" w:cs="宋体" w:eastAsia="宋体" w:hint="default"/>
        </w:rPr>
        <w:t>2</w:t>
      </w:r>
      <w:r>
        <w:rPr>
          <w:rFonts w:ascii="宋体" w:hAnsi="宋体" w:cs="宋体" w:eastAsia="宋体" w:hint="default"/>
          <w:spacing w:val="-53"/>
        </w:rPr>
        <w:t> </w:t>
      </w:r>
      <w:r>
        <w:rPr/>
        <w:t>号——长期股权投资》等八项会计准则变更了相</w:t>
      </w:r>
    </w:p>
    <w:p>
      <w:pPr>
        <w:spacing w:line="240" w:lineRule="auto" w:before="10"/>
        <w:rPr>
          <w:rFonts w:ascii="宋体" w:hAnsi="宋体" w:cs="宋体" w:eastAsia="宋体" w:hint="default"/>
          <w:sz w:val="14"/>
          <w:szCs w:val="14"/>
        </w:rPr>
      </w:pPr>
    </w:p>
    <w:p>
      <w:pPr>
        <w:pStyle w:val="BodyText"/>
        <w:spacing w:line="408" w:lineRule="auto" w:before="0"/>
        <w:ind w:right="1162"/>
        <w:jc w:val="left"/>
      </w:pPr>
      <w:r>
        <w:rPr/>
        <w:t>关会计政策并对比较财务报表进行了追溯重述，重述后的</w:t>
      </w:r>
      <w:r>
        <w:rPr>
          <w:spacing w:val="-53"/>
        </w:rPr>
        <w:t> </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w:t>
      </w:r>
      <w:r>
        <w:rPr>
          <w:rFonts w:ascii="宋体" w:hAnsi="宋体" w:cs="宋体" w:eastAsia="宋体" w:hint="default"/>
          <w:spacing w:val="-53"/>
        </w:rPr>
        <w:t> </w:t>
      </w:r>
      <w:r>
        <w:rPr/>
        <w:t>月</w:t>
      </w:r>
      <w:r>
        <w:rPr>
          <w:spacing w:val="-55"/>
        </w:rPr>
        <w:t> </w:t>
      </w:r>
      <w:r>
        <w:rPr>
          <w:rFonts w:ascii="宋体" w:hAnsi="宋体" w:cs="宋体" w:eastAsia="宋体" w:hint="default"/>
        </w:rPr>
        <w:t>1</w:t>
      </w:r>
      <w:r>
        <w:rPr>
          <w:rFonts w:ascii="宋体" w:hAnsi="宋体" w:cs="宋体" w:eastAsia="宋体" w:hint="default"/>
          <w:spacing w:val="-54"/>
        </w:rPr>
        <w:t> </w:t>
      </w:r>
      <w:r>
        <w:rPr/>
        <w:t>日、</w:t>
      </w:r>
      <w:r>
        <w:rPr>
          <w:rFonts w:ascii="宋体" w:hAnsi="宋体" w:cs="宋体" w:eastAsia="宋体" w:hint="default"/>
        </w:rPr>
        <w:t>2013</w:t>
      </w:r>
      <w:r>
        <w:rPr>
          <w:rFonts w:ascii="宋体" w:hAnsi="宋体" w:cs="宋体" w:eastAsia="宋体" w:hint="default"/>
          <w:spacing w:val="-54"/>
        </w:rPr>
        <w:t> </w:t>
      </w:r>
      <w:r>
        <w:rPr/>
        <w:t>年</w:t>
      </w:r>
      <w:r>
        <w:rPr>
          <w:spacing w:val="-55"/>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日合并资产 负债表如下：</w:t>
      </w:r>
    </w:p>
    <w:p>
      <w:pPr>
        <w:spacing w:before="3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3"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1"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469,092,117.50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513,030,678.00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475,353,427.38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4,447,600.47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13,914,346.37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13,295,346.59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726,079,248.90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954,239,645.87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1,040,580,608.47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67,337,626.40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60,128,559.68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59,018,395.01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1,397,193.75</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30,603,643.83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42,005,720.31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62,945,136.04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296,596,729.98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415,243,241.99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435,291,226.40</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84,140.30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1,474,591.05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87,141,674.04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72,066,905.91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1,597,028,751.88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2,085,703,866.26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2,158,635,186.10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righ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14,339,684.24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12,898,726.81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25,354,488.27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545,180,068.69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576,836,683.80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879,564,062.43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140,453,845.98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272,051,229.72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42,418,287.50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152,486,281.80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241,491,083.27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235,842,020.17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37,471,141.37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55,185,527.16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91,664,076.65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33,426,528.62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36,671,804.31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46,758,195.29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8,877,402.45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59,383,192.26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54,921,533.31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17,768,649.16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16,706,171.01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19,186,898.97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66,076,100.00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66,887,610.00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950,003,602.31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1,337,300,518.34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1,483,097,172.59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2,547,032,354.19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3,423,004,384.60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3,641,732,358.69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155,663,096.30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576,225,852.93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464,174,723.13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104,661,274.93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25,953,720.06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39,136,984.29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184,353,660.05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354,143,358.28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442,596,380.72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44,405,062.15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83,717,993.51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59,777,901.47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46,886,513.27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69,356,581.58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70,383,486.92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620,156.14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32,444,519.78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17,830,673.62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566,516.10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1,049,046.39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781,802.47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19,134,735.71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44,493,378.05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35,774,180.77</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73,771,166.28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49,797,222.80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2,676,603.68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1,998,047.27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1,949,187.22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558,967,618.33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1,263,153,664.13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1,182,202,543.41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62,940,179.07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89,718,246.58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365,150,377.97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0"/>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2,959,596.91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2,343,605.08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6"/>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25,305,836.23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22,736,063.79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23,747,675.01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34,750,571.76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58,181,549.51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54,321,777.78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7,781,575.96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8,333,230.71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10,612,394.23</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130,778,163.02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181,928,687.50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456,175,830.07</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689,745,781.35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1,445,082,351.63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1,638,378,373.48</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696,515,650.00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1,272,922,093.67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1,275,759,896.06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867,442,988.66</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4,769,813.67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2,669,177.37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-2,900,638.49</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66" w:type="dxa"/>
            <w:tcBorders>
              <w:top w:val="single" w:sz="4" w:space="0" w:color="000000"/>
              <w:left w:val="single" w:sz="13" w:space="0" w:color="D2D2D2"/>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693,375.11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470,835.14</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26,282,379.40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45,340,614.54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51,551,109.35</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275,312,286.10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375,458,969.89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390,274,040.55</w:t>
            </w: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1,857,286,572.84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1,977,922,032.97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2,003,353,985.21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1,857,286,572.84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1,977,922,032.97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2,003,353,985.21</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2,547,032,354.19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3,423,004,384.60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3,641,732,358.69</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right="1046"/>
        <w:jc w:val="left"/>
        <w:rPr>
          <w:b w:val="0"/>
          <w:bCs w:val="0"/>
        </w:rPr>
      </w:pPr>
      <w:bookmarkStart w:name="5、其他" w:id="456"/>
      <w:bookmarkEnd w:id="456"/>
      <w:r>
        <w:rPr>
          <w:b w:val="0"/>
          <w:bCs w:val="0"/>
        </w:rPr>
      </w:r>
      <w:r>
        <w:rPr>
          <w:rFonts w:ascii="Times New Roman" w:hAnsi="Times New Roman" w:cs="Times New Roman" w:eastAsia="Times New Roman" w:hint="default"/>
        </w:rPr>
        <w:t>5</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right="1537"/>
        <w:jc w:val="center"/>
        <w:rPr>
          <w:b w:val="0"/>
          <w:bCs w:val="0"/>
        </w:rPr>
      </w:pPr>
      <w:bookmarkStart w:name="_TOC_250000" w:id="457"/>
      <w:bookmarkStart w:name="第十二节 备查文件目录" w:id="458"/>
      <w:r>
        <w:rPr>
          <w:b w:val="0"/>
          <w:bCs w:val="0"/>
        </w:rPr>
      </w:r>
      <w:r>
        <w:rPr/>
        <w:t>第十二节</w:t>
      </w:r>
      <w:r>
        <w:rPr>
          <w:spacing w:val="-8"/>
        </w:rPr>
        <w:t> </w:t>
      </w:r>
      <w:r>
        <w:rPr/>
        <w:t>备查文件目录</w:t>
      </w:r>
      <w:bookmarkEnd w:id="457"/>
      <w:r>
        <w:rPr>
          <w:b w:val="0"/>
          <w:bCs w:val="0"/>
        </w:rPr>
      </w:r>
    </w:p>
    <w:p>
      <w:pPr>
        <w:spacing w:line="240" w:lineRule="auto" w:before="7"/>
        <w:rPr>
          <w:rFonts w:ascii="宋体" w:hAnsi="宋体" w:cs="宋体" w:eastAsia="宋体" w:hint="default"/>
          <w:b/>
          <w:bCs/>
          <w:sz w:val="46"/>
          <w:szCs w:val="46"/>
        </w:rPr>
      </w:pPr>
    </w:p>
    <w:p>
      <w:pPr>
        <w:pStyle w:val="BodyText"/>
        <w:spacing w:line="240" w:lineRule="auto" w:before="0"/>
        <w:ind w:left="573" w:right="1046"/>
        <w:jc w:val="left"/>
      </w:pPr>
      <w:r>
        <w:rPr>
          <w:rFonts w:ascii="宋体" w:hAnsi="宋体" w:cs="宋体" w:eastAsia="宋体" w:hint="default"/>
        </w:rPr>
        <w:t>1</w:t>
      </w:r>
      <w:r>
        <w:rPr/>
        <w:t>、载有公司董事长签署的</w:t>
      </w:r>
      <w:r>
        <w:rPr>
          <w:spacing w:val="-55"/>
        </w:rPr>
        <w:t> </w:t>
      </w:r>
      <w:r>
        <w:rPr>
          <w:rFonts w:ascii="宋体" w:hAnsi="宋体" w:cs="宋体" w:eastAsia="宋体" w:hint="default"/>
        </w:rPr>
        <w:t>2014</w:t>
      </w:r>
      <w:r>
        <w:rPr>
          <w:rFonts w:ascii="宋体" w:hAnsi="宋体" w:cs="宋体" w:eastAsia="宋体" w:hint="default"/>
          <w:spacing w:val="-55"/>
        </w:rPr>
        <w:t> </w:t>
      </w:r>
      <w:r>
        <w:rPr/>
        <w:t>年年度报告正本。</w:t>
      </w:r>
    </w:p>
    <w:p>
      <w:pPr>
        <w:spacing w:line="240" w:lineRule="auto" w:before="10"/>
        <w:rPr>
          <w:rFonts w:ascii="宋体" w:hAnsi="宋体" w:cs="宋体" w:eastAsia="宋体" w:hint="default"/>
          <w:sz w:val="14"/>
          <w:szCs w:val="14"/>
        </w:rPr>
      </w:pPr>
    </w:p>
    <w:p>
      <w:pPr>
        <w:pStyle w:val="BodyText"/>
        <w:spacing w:line="240" w:lineRule="auto" w:before="0"/>
        <w:ind w:left="573" w:right="1046"/>
        <w:jc w:val="left"/>
      </w:pPr>
      <w:r>
        <w:rPr>
          <w:rFonts w:ascii="宋体" w:hAnsi="宋体" w:cs="宋体" w:eastAsia="宋体" w:hint="default"/>
        </w:rPr>
        <w:t>2</w:t>
      </w:r>
      <w:r>
        <w:rPr/>
        <w:t>、载有公司负责人、主管会计工作负责人及会计机构负责人签名并盖章的财务报表。</w:t>
      </w:r>
    </w:p>
    <w:p>
      <w:pPr>
        <w:spacing w:line="240" w:lineRule="auto" w:before="10"/>
        <w:rPr>
          <w:rFonts w:ascii="宋体" w:hAnsi="宋体" w:cs="宋体" w:eastAsia="宋体" w:hint="default"/>
          <w:sz w:val="14"/>
          <w:szCs w:val="14"/>
        </w:rPr>
      </w:pPr>
    </w:p>
    <w:p>
      <w:pPr>
        <w:pStyle w:val="BodyText"/>
        <w:spacing w:line="240" w:lineRule="auto" w:before="0"/>
        <w:ind w:left="574" w:right="1046"/>
        <w:jc w:val="left"/>
      </w:pPr>
      <w:r>
        <w:rPr>
          <w:rFonts w:ascii="宋体" w:hAnsi="宋体" w:cs="宋体" w:eastAsia="宋体" w:hint="default"/>
        </w:rPr>
        <w:t>3</w:t>
      </w:r>
      <w:r>
        <w:rPr/>
        <w:t>、载有瑞华会计师事务所盖章、注册会计师签名并盖章的审计报告原件。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240" w:lineRule="auto" w:before="0"/>
        <w:ind w:left="574" w:right="1046"/>
        <w:jc w:val="left"/>
      </w:pPr>
      <w:r>
        <w:rPr>
          <w:rFonts w:ascii="宋体" w:hAnsi="宋体" w:cs="宋体" w:eastAsia="宋体" w:hint="default"/>
        </w:rPr>
        <w:t>4</w:t>
      </w:r>
      <w:r>
        <w:rPr/>
        <w:t>、报告期内在中国证监会指定信息披露载体上公开披露过的所有公司文件的正本及公告的原稿。</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65016" type="#_x0000_t75" stroked="false">
          <v:imagedata r:id="rId1" o:title=""/>
        </v:shape>
      </w:pict>
    </w:r>
    <w:r>
      <w:rPr/>
      <w:pict>
        <v:shape style="position:absolute;margin-left:533.179993pt;margin-top:795.517944pt;width:6.5pt;height:11pt;mso-position-horizontal-relative:page;mso-position-vertical-relative:page;z-index:-106499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64968" type="#_x0000_t75" stroked="false">
          <v:imagedata r:id="rId1" o:title=""/>
        </v:shape>
      </w:pict>
    </w:r>
    <w:r>
      <w:rPr/>
      <w:pict>
        <v:shape style="position:absolute;margin-left:527.679993pt;margin-top:781.957947pt;width:13pt;height:11pt;mso-position-horizontal-relative:page;mso-position-vertical-relative:page;z-index:-1064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64920" type="#_x0000_t75" stroked="false">
          <v:imagedata r:id="rId1" o:title=""/>
        </v:shape>
      </w:pict>
    </w:r>
    <w:r>
      <w:rPr/>
      <w:pict>
        <v:shape style="position:absolute;margin-left:524.179993pt;margin-top:781.957947pt;width:15.5pt;height:11pt;mso-position-horizontal-relative:page;mso-position-vertical-relative:page;z-index:-106489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64872" type="#_x0000_t75" stroked="false">
          <v:imagedata r:id="rId1" o:title=""/>
        </v:shape>
      </w:pict>
    </w:r>
    <w:r>
      <w:rPr/>
      <w:pict>
        <v:shape style="position:absolute;margin-left:523.179993pt;margin-top:781.957947pt;width:17.5pt;height:11pt;mso-position-horizontal-relative:page;mso-position-vertical-relative:page;z-index:-106484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64824" type="#_x0000_t75" stroked="false">
          <v:imagedata r:id="rId1" o:title=""/>
        </v:shape>
      </w:pict>
    </w:r>
    <w:r>
      <w:rPr/>
      <w:pict>
        <v:shape style="position:absolute;margin-left:524.179993pt;margin-top:781.957947pt;width:15.5pt;height:11pt;mso-position-horizontal-relative:page;mso-position-vertical-relative:page;z-index:-106480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820007pt;margin-top:803.419983pt;width:67.5pt;height:38.5pt;mso-position-horizontal-relative:page;mso-position-vertical-relative:page;z-index:-1064776" type="#_x0000_t75" stroked="false">
          <v:imagedata r:id="rId1" o:title=""/>
        </v:shape>
      </w:pict>
    </w:r>
    <w:r>
      <w:rPr/>
      <w:pict>
        <v:shape style="position:absolute;margin-left:523.179993pt;margin-top:781.957947pt;width:17.5pt;height:11pt;mso-position-horizontal-relative:page;mso-position-vertical-relative:page;z-index:-10647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220001pt;margin-top:36.325607pt;width:186.5pt;height:11.5pt;mso-position-horizontal-relative:page;mso-position-vertical-relative:page;z-index:-106504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海能达通信股份有限公司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3"/>
    </w:pPr>
    <w:rPr>
      <w:rFonts w:ascii="宋体" w:hAnsi="宋体" w:eastAsia="宋体"/>
      <w:b/>
      <w:bCs/>
      <w:sz w:val="24"/>
      <w:szCs w:val="24"/>
    </w:rPr>
  </w:style>
  <w:style w:styleId="BodyText" w:type="paragraph">
    <w:name w:val="Body Text"/>
    <w:basedOn w:val="Normal"/>
    <w:uiPriority w:val="1"/>
    <w:qFormat/>
    <w:pPr>
      <w:spacing w:before="46"/>
      <w:ind w:left="153"/>
    </w:pPr>
    <w:rPr>
      <w:rFonts w:ascii="宋体" w:hAnsi="宋体" w:eastAsia="宋体"/>
      <w:sz w:val="21"/>
      <w:szCs w:val="21"/>
    </w:rPr>
  </w:style>
  <w:style w:styleId="Heading1" w:type="paragraph">
    <w:name w:val="Heading 1"/>
    <w:basedOn w:val="Normal"/>
    <w:uiPriority w:val="1"/>
    <w:qFormat/>
    <w:pPr>
      <w:spacing w:before="1"/>
      <w:ind w:left="558"/>
      <w:outlineLvl w:val="1"/>
    </w:pPr>
    <w:rPr>
      <w:rFonts w:ascii="宋体" w:hAnsi="宋体" w:eastAsia="宋体"/>
      <w:b/>
      <w:bCs/>
      <w:sz w:val="32"/>
      <w:szCs w:val="32"/>
    </w:rPr>
  </w:style>
  <w:style w:styleId="Heading2" w:type="paragraph">
    <w:name w:val="Heading 2"/>
    <w:basedOn w:val="Normal"/>
    <w:uiPriority w:val="1"/>
    <w:qFormat/>
    <w:pPr>
      <w:ind w:left="153"/>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hytera.com/" TargetMode="External"/><Relationship Id="rId10" Type="http://schemas.openxmlformats.org/officeDocument/2006/relationships/hyperlink" Target="mailto:stock@hytera.com"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www.cninfo.com/" TargetMode="External"/><Relationship Id="rId16" Type="http://schemas.openxmlformats.org/officeDocument/2006/relationships/image" Target="media/image6.jpeg"/><Relationship Id="rId17" Type="http://schemas.openxmlformats.org/officeDocument/2006/relationships/footer" Target="footer3.xm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2020-05-06T17:53:14Z</dcterms:created>
  <dcterms:modified xsi:type="dcterms:W3CDTF">2020-05-06T17:53:14Z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2015-03-27T00:00:00Z</vt:filetime>
  </property>
  <property fmtid="{D5CDD505-2E9C-101B-9397-08002B2CF9AE}" pid="3" name="Creator">
    <vt:lpwstr>Microsoft® Office Word 2007</vt:lpwstr>
  </property>
  <property fmtid="{D5CDD505-2E9C-101B-9397-08002B2CF9AE}" pid="4" name="LastSaved">
    <vt:filetime>2020-05-06T00:00:00Z</vt:filetime>
  </property>
</Properties>
</file>