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199039pt;margin-top:49.119217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765" w:lineRule="exact"/>
        <w:ind w:left="377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519353" cy="11212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19353" cy="112128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spacing w:line="460" w:lineRule="exact" w:before="0"/>
        <w:ind w:left="1814" w:right="1814" w:firstLine="0"/>
        <w:jc w:val="center"/>
        <w:rPr>
          <w:rFonts w:ascii="宋体" w:hAnsi="宋体" w:cs="宋体" w:eastAsia="宋体" w:hint="default"/>
          <w:sz w:val="36"/>
          <w:szCs w:val="36"/>
        </w:rPr>
      </w:pPr>
      <w:r>
        <w:rPr>
          <w:rFonts w:ascii="宋体" w:hAnsi="宋体" w:cs="宋体" w:eastAsia="宋体" w:hint="default"/>
          <w:sz w:val="36"/>
          <w:szCs w:val="36"/>
        </w:rPr>
        <w:t>江苏双星彩塑新材料股份有限公司</w:t>
      </w:r>
    </w:p>
    <w:p>
      <w:pPr>
        <w:spacing w:line="240" w:lineRule="auto" w:before="6"/>
        <w:rPr>
          <w:rFonts w:ascii="宋体" w:hAnsi="宋体" w:cs="宋体" w:eastAsia="宋体" w:hint="default"/>
          <w:sz w:val="34"/>
          <w:szCs w:val="34"/>
        </w:rPr>
      </w:pPr>
    </w:p>
    <w:p>
      <w:pPr>
        <w:spacing w:before="0"/>
        <w:ind w:left="1816" w:right="1814" w:firstLine="0"/>
        <w:jc w:val="center"/>
        <w:rPr>
          <w:rFonts w:ascii="Arial Narrow" w:hAnsi="Arial Narrow" w:cs="Arial Narrow" w:eastAsia="Arial Narrow" w:hint="default"/>
          <w:sz w:val="30"/>
          <w:szCs w:val="30"/>
        </w:rPr>
      </w:pPr>
      <w:r>
        <w:rPr>
          <w:rFonts w:ascii="Arial Narrow"/>
          <w:sz w:val="30"/>
        </w:rPr>
        <w:t>Jiangsu Shuangxing Color Plastic New Materials Co.,</w:t>
      </w:r>
      <w:r>
        <w:rPr>
          <w:rFonts w:ascii="Arial Narrow"/>
          <w:spacing w:val="-22"/>
          <w:sz w:val="30"/>
        </w:rPr>
        <w:t> </w:t>
      </w:r>
      <w:r>
        <w:rPr>
          <w:rFonts w:ascii="Arial Narrow"/>
          <w:sz w:val="30"/>
        </w:rPr>
        <w:t>Ltd.</w:t>
      </w:r>
    </w:p>
    <w:p>
      <w:pPr>
        <w:spacing w:line="240" w:lineRule="auto" w:before="2"/>
        <w:rPr>
          <w:rFonts w:ascii="Arial Narrow" w:hAnsi="Arial Narrow" w:cs="Arial Narrow" w:eastAsia="Arial Narrow" w:hint="default"/>
          <w:sz w:val="29"/>
          <w:szCs w:val="29"/>
        </w:rPr>
      </w:pPr>
    </w:p>
    <w:p>
      <w:pPr>
        <w:spacing w:before="0"/>
        <w:ind w:left="1816" w:right="1814" w:firstLine="0"/>
        <w:jc w:val="center"/>
        <w:rPr>
          <w:rFonts w:ascii="宋体" w:hAnsi="宋体" w:cs="宋体" w:eastAsia="宋体" w:hint="default"/>
          <w:sz w:val="44"/>
          <w:szCs w:val="44"/>
        </w:rPr>
      </w:pPr>
      <w:r>
        <w:rPr>
          <w:rFonts w:ascii="宋体" w:hAnsi="宋体" w:cs="宋体" w:eastAsia="宋体" w:hint="default"/>
          <w:sz w:val="44"/>
          <w:szCs w:val="44"/>
        </w:rPr>
        <w:t>二○一二年年度报告</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7"/>
        <w:rPr>
          <w:rFonts w:ascii="宋体" w:hAnsi="宋体" w:cs="宋体" w:eastAsia="宋体" w:hint="default"/>
          <w:sz w:val="42"/>
          <w:szCs w:val="42"/>
        </w:rPr>
      </w:pPr>
    </w:p>
    <w:p>
      <w:pPr>
        <w:spacing w:before="0"/>
        <w:ind w:left="1814" w:right="18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 </w:t>
      </w:r>
      <w:r>
        <w:rPr>
          <w:rFonts w:ascii="宋体" w:hAnsi="宋体" w:cs="宋体" w:eastAsia="宋体" w:hint="default"/>
          <w:sz w:val="32"/>
          <w:szCs w:val="32"/>
        </w:rPr>
        <w:t>年</w:t>
      </w:r>
      <w:r>
        <w:rPr>
          <w:rFonts w:ascii="宋体" w:hAnsi="宋体" w:cs="宋体" w:eastAsia="宋体" w:hint="default"/>
          <w:spacing w:val="-80"/>
          <w:sz w:val="32"/>
          <w:szCs w:val="32"/>
        </w:rPr>
        <w:t> </w:t>
      </w:r>
      <w:r>
        <w:rPr>
          <w:rFonts w:ascii="Times New Roman" w:hAnsi="Times New Roman" w:cs="Times New Roman" w:eastAsia="Times New Roman" w:hint="default"/>
          <w:b/>
          <w:bCs/>
          <w:sz w:val="32"/>
          <w:szCs w:val="32"/>
        </w:rPr>
        <w:t>03 </w:t>
      </w:r>
      <w:r>
        <w:rPr>
          <w:rFonts w:ascii="宋体" w:hAnsi="宋体" w:cs="宋体" w:eastAsia="宋体" w:hint="default"/>
          <w:sz w:val="32"/>
          <w:szCs w:val="32"/>
        </w:rPr>
        <w:t>月</w:t>
      </w:r>
    </w:p>
    <w:p>
      <w:pPr>
        <w:spacing w:after="0"/>
        <w:jc w:val="center"/>
        <w:rPr>
          <w:rFonts w:ascii="宋体" w:hAnsi="宋体" w:cs="宋体" w:eastAsia="宋体" w:hint="default"/>
          <w:sz w:val="32"/>
          <w:szCs w:val="32"/>
        </w:rPr>
        <w:sectPr>
          <w:headerReference w:type="default" r:id="rId5"/>
          <w:footerReference w:type="default" r:id="rId6"/>
          <w:type w:val="continuous"/>
          <w:pgSz w:w="11900" w:h="16840"/>
          <w:pgMar w:header="746" w:footer="982" w:top="106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2" w:right="145"/>
        <w:jc w:val="left"/>
      </w:pPr>
      <w:bookmarkStart w:name="_TOC_250010" w:id="1"/>
      <w:r>
        <w:rPr/>
        <w:t>第一节</w:t>
      </w:r>
      <w:r>
        <w:rPr>
          <w:spacing w:val="11"/>
        </w:rPr>
        <w:t> </w:t>
      </w:r>
      <w:bookmarkEnd w:id="1"/>
      <w:r>
        <w:rPr/>
        <w:t>重要提示、目录和释义</w:t>
      </w:r>
    </w:p>
    <w:p>
      <w:pPr>
        <w:spacing w:line="240" w:lineRule="auto" w:before="0"/>
        <w:rPr>
          <w:rFonts w:ascii="宋体" w:hAnsi="宋体" w:cs="宋体" w:eastAsia="宋体" w:hint="default"/>
          <w:sz w:val="32"/>
          <w:szCs w:val="32"/>
        </w:rPr>
      </w:pPr>
    </w:p>
    <w:p>
      <w:pPr>
        <w:spacing w:line="408" w:lineRule="auto" w:before="215"/>
        <w:ind w:left="152" w:right="143" w:firstLine="561"/>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本公司董事会、监事会及董事、监事、高级管理人员保证本报告所载资料</w:t>
      </w:r>
      <w:r>
        <w:rPr>
          <w:rFonts w:ascii="宋体" w:hAnsi="宋体" w:cs="宋体" w:eastAsia="宋体" w:hint="default"/>
          <w:w w:val="100"/>
          <w:sz w:val="28"/>
          <w:szCs w:val="28"/>
        </w:rPr>
        <w:t> </w:t>
      </w:r>
      <w:r>
        <w:rPr>
          <w:rFonts w:ascii="宋体" w:hAnsi="宋体" w:cs="宋体" w:eastAsia="宋体" w:hint="default"/>
          <w:sz w:val="28"/>
          <w:szCs w:val="28"/>
        </w:rPr>
        <w:t>不存在任何虚假记载、误导性陈述或者重大遗漏，并对其内容的真实性、准确</w:t>
      </w:r>
      <w:r>
        <w:rPr>
          <w:rFonts w:ascii="宋体" w:hAnsi="宋体" w:cs="宋体" w:eastAsia="宋体" w:hint="default"/>
          <w:spacing w:val="-44"/>
          <w:sz w:val="28"/>
          <w:szCs w:val="28"/>
        </w:rPr>
        <w:t> </w:t>
      </w:r>
      <w:r>
        <w:rPr>
          <w:rFonts w:ascii="宋体" w:hAnsi="宋体" w:cs="宋体" w:eastAsia="宋体" w:hint="default"/>
          <w:spacing w:val="-44"/>
          <w:sz w:val="28"/>
          <w:szCs w:val="28"/>
        </w:rPr>
      </w:r>
      <w:r>
        <w:rPr>
          <w:rFonts w:ascii="宋体" w:hAnsi="宋体" w:cs="宋体" w:eastAsia="宋体" w:hint="default"/>
          <w:sz w:val="28"/>
          <w:szCs w:val="28"/>
        </w:rPr>
        <w:t>性和完整性承担个别及连带责任。</w:t>
      </w:r>
    </w:p>
    <w:p>
      <w:pPr>
        <w:spacing w:line="386" w:lineRule="auto" w:before="162"/>
        <w:ind w:left="152" w:right="146" w:firstLine="561"/>
        <w:jc w:val="both"/>
        <w:rPr>
          <w:rFonts w:ascii="宋体" w:hAnsi="宋体" w:cs="宋体" w:eastAsia="宋体" w:hint="default"/>
          <w:sz w:val="28"/>
          <w:szCs w:val="28"/>
        </w:rPr>
      </w:pPr>
      <w:r>
        <w:rPr>
          <w:rFonts w:ascii="宋体" w:hAnsi="宋体" w:cs="宋体" w:eastAsia="宋体" w:hint="default"/>
          <w:spacing w:val="-2"/>
          <w:sz w:val="28"/>
          <w:szCs w:val="28"/>
        </w:rPr>
        <w:t>公司负责人吴培服、主管会计工作负责人周海燕及会计机构负责人</w:t>
      </w:r>
      <w:r>
        <w:rPr>
          <w:rFonts w:ascii="Times New Roman" w:hAnsi="Times New Roman" w:cs="Times New Roman" w:eastAsia="Times New Roman" w:hint="default"/>
          <w:b/>
          <w:bCs/>
          <w:spacing w:val="-2"/>
          <w:sz w:val="28"/>
          <w:szCs w:val="28"/>
        </w:rPr>
        <w:t>(</w:t>
      </w:r>
      <w:r>
        <w:rPr>
          <w:rFonts w:ascii="宋体" w:hAnsi="宋体" w:cs="宋体" w:eastAsia="宋体" w:hint="default"/>
          <w:spacing w:val="-2"/>
          <w:sz w:val="28"/>
          <w:szCs w:val="28"/>
        </w:rPr>
        <w:t>会计主</w:t>
      </w:r>
      <w:r>
        <w:rPr>
          <w:rFonts w:ascii="宋体" w:hAnsi="宋体" w:cs="宋体" w:eastAsia="宋体" w:hint="default"/>
          <w:w w:val="100"/>
          <w:sz w:val="28"/>
          <w:szCs w:val="28"/>
        </w:rPr>
        <w:t> </w:t>
      </w:r>
      <w:r>
        <w:rPr>
          <w:rFonts w:ascii="宋体" w:hAnsi="宋体" w:cs="宋体" w:eastAsia="宋体" w:hint="default"/>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邹雪梅声明：保证年度报告中财务报告的真实、准确、完整。</w:t>
      </w:r>
    </w:p>
    <w:p>
      <w:pPr>
        <w:spacing w:line="472" w:lineRule="auto" w:before="148"/>
        <w:ind w:left="714" w:right="145"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4"/>
          <w:sz w:val="28"/>
          <w:szCs w:val="28"/>
        </w:rPr>
        <w:t>公司经本次董事会审议通过的利润分配预案为：以</w:t>
      </w:r>
      <w:r>
        <w:rPr>
          <w:rFonts w:ascii="宋体" w:hAnsi="宋体" w:cs="宋体" w:eastAsia="宋体" w:hint="default"/>
          <w:spacing w:val="-6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7"/>
          <w:sz w:val="28"/>
          <w:szCs w:val="28"/>
        </w:rPr>
        <w:t> </w:t>
      </w:r>
      <w:r>
        <w:rPr>
          <w:rFonts w:ascii="宋体" w:hAnsi="宋体" w:cs="宋体" w:eastAsia="宋体" w:hint="default"/>
          <w:sz w:val="28"/>
          <w:szCs w:val="28"/>
        </w:rPr>
        <w:t>年</w:t>
      </w:r>
      <w:r>
        <w:rPr>
          <w:rFonts w:ascii="宋体" w:hAnsi="宋体" w:cs="宋体" w:eastAsia="宋体" w:hint="default"/>
          <w:spacing w:val="-59"/>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0"/>
          <w:sz w:val="28"/>
          <w:szCs w:val="28"/>
        </w:rPr>
        <w:t> </w:t>
      </w:r>
      <w:r>
        <w:rPr>
          <w:rFonts w:ascii="宋体" w:hAnsi="宋体" w:cs="宋体" w:eastAsia="宋体" w:hint="default"/>
          <w:sz w:val="28"/>
          <w:szCs w:val="28"/>
        </w:rPr>
        <w:t>月</w:t>
      </w:r>
      <w:r>
        <w:rPr>
          <w:rFonts w:ascii="宋体" w:hAnsi="宋体" w:cs="宋体" w:eastAsia="宋体" w:hint="default"/>
          <w:spacing w:val="-6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7"/>
          <w:sz w:val="28"/>
          <w:szCs w:val="28"/>
        </w:rPr>
        <w:t> </w:t>
      </w:r>
      <w:r>
        <w:rPr>
          <w:rFonts w:ascii="宋体" w:hAnsi="宋体" w:cs="宋体" w:eastAsia="宋体" w:hint="default"/>
          <w:sz w:val="28"/>
          <w:szCs w:val="28"/>
        </w:rPr>
        <w:t>日的公</w:t>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spacing w:val="-1"/>
          <w:w w:val="100"/>
          <w:sz w:val="28"/>
          <w:szCs w:val="28"/>
        </w:rPr>
        <w:t>司总</w:t>
      </w:r>
      <w:r>
        <w:rPr>
          <w:rFonts w:ascii="宋体" w:hAnsi="宋体" w:cs="宋体" w:eastAsia="宋体" w:hint="default"/>
          <w:spacing w:val="1"/>
          <w:w w:val="100"/>
          <w:sz w:val="28"/>
          <w:szCs w:val="28"/>
        </w:rPr>
        <w:t>股</w:t>
      </w:r>
      <w:r>
        <w:rPr>
          <w:rFonts w:ascii="宋体" w:hAnsi="宋体" w:cs="宋体" w:eastAsia="宋体" w:hint="default"/>
          <w:spacing w:val="-1"/>
          <w:w w:val="100"/>
          <w:sz w:val="28"/>
          <w:szCs w:val="28"/>
        </w:rPr>
        <w:t>本为基数，向全</w:t>
      </w:r>
      <w:r>
        <w:rPr>
          <w:rFonts w:ascii="宋体" w:hAnsi="宋体" w:cs="宋体" w:eastAsia="宋体" w:hint="default"/>
          <w:spacing w:val="1"/>
          <w:w w:val="100"/>
          <w:sz w:val="28"/>
          <w:szCs w:val="28"/>
        </w:rPr>
        <w:t>体</w:t>
      </w:r>
      <w:r>
        <w:rPr>
          <w:rFonts w:ascii="宋体" w:hAnsi="宋体" w:cs="宋体" w:eastAsia="宋体" w:hint="default"/>
          <w:spacing w:val="-1"/>
          <w:w w:val="100"/>
          <w:sz w:val="28"/>
          <w:szCs w:val="28"/>
        </w:rPr>
        <w:t>股东</w:t>
      </w:r>
      <w:r>
        <w:rPr>
          <w:rFonts w:ascii="宋体" w:hAnsi="宋体" w:cs="宋体" w:eastAsia="宋体" w:hint="default"/>
          <w:w w:val="100"/>
          <w:sz w:val="28"/>
          <w:szCs w:val="28"/>
        </w:rPr>
        <w:t>每</w:t>
      </w:r>
      <w:r>
        <w:rPr>
          <w:rFonts w:ascii="宋体" w:hAnsi="宋体" w:cs="宋体" w:eastAsia="宋体" w:hint="default"/>
          <w:spacing w:val="-57"/>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2"/>
          <w:sz w:val="28"/>
          <w:szCs w:val="28"/>
        </w:rPr>
        <w:t> </w:t>
      </w:r>
      <w:r>
        <w:rPr>
          <w:rFonts w:ascii="宋体" w:hAnsi="宋体" w:cs="宋体" w:eastAsia="宋体" w:hint="default"/>
          <w:spacing w:val="-1"/>
          <w:w w:val="100"/>
          <w:sz w:val="28"/>
          <w:szCs w:val="28"/>
        </w:rPr>
        <w:t>股派发</w:t>
      </w:r>
      <w:r>
        <w:rPr>
          <w:rFonts w:ascii="宋体" w:hAnsi="宋体" w:cs="宋体" w:eastAsia="宋体" w:hint="default"/>
          <w:spacing w:val="1"/>
          <w:w w:val="100"/>
          <w:sz w:val="28"/>
          <w:szCs w:val="28"/>
        </w:rPr>
        <w:t>现</w:t>
      </w:r>
      <w:r>
        <w:rPr>
          <w:rFonts w:ascii="宋体" w:hAnsi="宋体" w:cs="宋体" w:eastAsia="宋体" w:hint="default"/>
          <w:spacing w:val="-1"/>
          <w:w w:val="100"/>
          <w:sz w:val="28"/>
          <w:szCs w:val="28"/>
        </w:rPr>
        <w:t>金红</w:t>
      </w:r>
      <w:r>
        <w:rPr>
          <w:rFonts w:ascii="宋体" w:hAnsi="宋体" w:cs="宋体" w:eastAsia="宋体" w:hint="default"/>
          <w:w w:val="100"/>
          <w:sz w:val="28"/>
          <w:szCs w:val="28"/>
        </w:rPr>
        <w:t>利</w:t>
      </w:r>
      <w:r>
        <w:rPr>
          <w:rFonts w:ascii="宋体" w:hAnsi="宋体" w:cs="宋体" w:eastAsia="宋体" w:hint="default"/>
          <w:spacing w:val="-57"/>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12"/>
          <w:sz w:val="28"/>
          <w:szCs w:val="28"/>
        </w:rPr>
        <w:t> </w:t>
      </w:r>
      <w:r>
        <w:rPr>
          <w:rFonts w:ascii="宋体" w:hAnsi="宋体" w:cs="宋体" w:eastAsia="宋体" w:hint="default"/>
          <w:spacing w:val="-1"/>
          <w:w w:val="100"/>
          <w:sz w:val="28"/>
          <w:szCs w:val="28"/>
        </w:rPr>
        <w:t>元（含</w:t>
      </w:r>
      <w:r>
        <w:rPr>
          <w:rFonts w:ascii="宋体" w:hAnsi="宋体" w:cs="宋体" w:eastAsia="宋体" w:hint="default"/>
          <w:spacing w:val="1"/>
          <w:w w:val="100"/>
          <w:sz w:val="28"/>
          <w:szCs w:val="28"/>
        </w:rPr>
        <w:t>税</w:t>
      </w:r>
      <w:r>
        <w:rPr>
          <w:rFonts w:ascii="宋体" w:hAnsi="宋体" w:cs="宋体" w:eastAsia="宋体" w:hint="default"/>
          <w:spacing w:val="-143"/>
          <w:w w:val="100"/>
          <w:sz w:val="28"/>
          <w:szCs w:val="28"/>
        </w:rPr>
        <w:t>）</w:t>
      </w:r>
      <w:r>
        <w:rPr>
          <w:rFonts w:ascii="宋体" w:hAnsi="宋体" w:cs="宋体" w:eastAsia="宋体" w:hint="default"/>
          <w:spacing w:val="-1"/>
          <w:w w:val="100"/>
          <w:sz w:val="28"/>
          <w:szCs w:val="28"/>
        </w:rPr>
        <w:t>，送</w:t>
      </w:r>
      <w:r>
        <w:rPr>
          <w:rFonts w:ascii="宋体" w:hAnsi="宋体" w:cs="宋体" w:eastAsia="宋体" w:hint="default"/>
          <w:spacing w:val="1"/>
          <w:w w:val="100"/>
          <w:sz w:val="28"/>
          <w:szCs w:val="28"/>
        </w:rPr>
        <w:t>红</w:t>
      </w:r>
      <w:r>
        <w:rPr>
          <w:rFonts w:ascii="宋体" w:hAnsi="宋体" w:cs="宋体" w:eastAsia="宋体" w:hint="default"/>
          <w:w w:val="100"/>
          <w:sz w:val="28"/>
          <w:szCs w:val="28"/>
        </w:rPr>
        <w:t>股</w:t>
      </w:r>
      <w:r>
        <w:rPr>
          <w:rFonts w:ascii="宋体" w:hAnsi="宋体" w:cs="宋体" w:eastAsia="宋体" w:hint="default"/>
          <w:spacing w:val="-5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w w:val="100"/>
          <w:sz w:val="28"/>
          <w:szCs w:val="28"/>
        </w:rPr>
        <w:t>股</w:t>
      </w:r>
    </w:p>
    <w:p>
      <w:pPr>
        <w:spacing w:line="475" w:lineRule="auto" w:before="236"/>
        <w:ind w:left="714" w:right="145" w:hanging="562"/>
        <w:jc w:val="left"/>
        <w:rPr>
          <w:rFonts w:ascii="宋体" w:hAnsi="宋体" w:cs="宋体" w:eastAsia="宋体" w:hint="default"/>
          <w:sz w:val="28"/>
          <w:szCs w:val="28"/>
        </w:rPr>
      </w:pPr>
      <w:r>
        <w:rPr>
          <w:rFonts w:ascii="宋体" w:hAnsi="宋体" w:cs="宋体" w:eastAsia="宋体" w:hint="default"/>
          <w:spacing w:val="-10"/>
          <w:w w:val="100"/>
          <w:sz w:val="28"/>
          <w:szCs w:val="28"/>
        </w:rPr>
        <w:t>（含税），不以公积金转增股本。</w:t>
      </w:r>
      <w:r>
        <w:rPr>
          <w:rFonts w:ascii="宋体" w:hAnsi="宋体" w:cs="宋体" w:eastAsia="宋体" w:hint="default"/>
          <w:w w:val="100"/>
          <w:sz w:val="28"/>
          <w:szCs w:val="28"/>
        </w:rPr>
        <w:t> </w:t>
      </w:r>
      <w:r>
        <w:rPr>
          <w:rFonts w:ascii="宋体" w:hAnsi="宋体" w:cs="宋体" w:eastAsia="宋体" w:hint="default"/>
          <w:sz w:val="28"/>
          <w:szCs w:val="28"/>
        </w:rPr>
        <w:t>本年度报告中有涉及公司经营和发展战略等未来计划的前瞻性陈述，该计</w:t>
      </w:r>
    </w:p>
    <w:p>
      <w:pPr>
        <w:spacing w:line="350" w:lineRule="exact" w:before="0"/>
        <w:ind w:left="152" w:right="145" w:firstLine="0"/>
        <w:jc w:val="left"/>
        <w:rPr>
          <w:rFonts w:ascii="宋体" w:hAnsi="宋体" w:cs="宋体" w:eastAsia="宋体" w:hint="default"/>
          <w:sz w:val="28"/>
          <w:szCs w:val="28"/>
        </w:rPr>
      </w:pPr>
      <w:r>
        <w:rPr>
          <w:rFonts w:ascii="宋体" w:hAnsi="宋体" w:cs="宋体" w:eastAsia="宋体" w:hint="default"/>
          <w:sz w:val="28"/>
          <w:szCs w:val="28"/>
        </w:rPr>
        <w:t>划不构成公司对投资者的实质承诺，请投资者注意投资风险。</w:t>
      </w:r>
    </w:p>
    <w:p>
      <w:pPr>
        <w:spacing w:after="0" w:line="350" w:lineRule="exact"/>
        <w:jc w:val="left"/>
        <w:rPr>
          <w:rFonts w:ascii="宋体" w:hAnsi="宋体" w:cs="宋体" w:eastAsia="宋体" w:hint="default"/>
          <w:sz w:val="28"/>
          <w:szCs w:val="28"/>
        </w:rPr>
        <w:sectPr>
          <w:footerReference w:type="default" r:id="rId8"/>
          <w:pgSz w:w="11900" w:h="16840"/>
          <w:pgMar w:footer="982" w:header="746" w:top="1060" w:bottom="1180" w:left="980" w:right="98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460" w:lineRule="exact" w:before="0"/>
        <w:ind w:left="1816" w:right="1814" w:firstLine="0"/>
        <w:jc w:val="center"/>
        <w:rPr>
          <w:rFonts w:ascii="宋体" w:hAnsi="宋体" w:cs="宋体" w:eastAsia="宋体" w:hint="default"/>
          <w:sz w:val="36"/>
          <w:szCs w:val="36"/>
        </w:rPr>
      </w:pPr>
      <w:r>
        <w:rPr>
          <w:rFonts w:ascii="宋体" w:hAnsi="宋体" w:cs="宋体" w:eastAsia="宋体" w:hint="default"/>
          <w:sz w:val="36"/>
          <w:szCs w:val="36"/>
        </w:rPr>
        <w:t>目录</w:t>
      </w: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7"/>
        <w:rPr>
          <w:rFonts w:ascii="宋体" w:hAnsi="宋体" w:cs="宋体" w:eastAsia="宋体" w:hint="default"/>
          <w:sz w:val="51"/>
          <w:szCs w:val="51"/>
        </w:rPr>
      </w:pPr>
    </w:p>
    <w:sdt>
      <w:sdtPr>
        <w:docPartObj>
          <w:docPartGallery w:val="Table of Contents"/>
          <w:docPartUnique/>
        </w:docPartObj>
      </w:sdtPr>
      <w:sdtEndPr/>
      <w:sdtContent>
        <w:p>
          <w:pPr>
            <w:pStyle w:val="TOC1"/>
            <w:tabs>
              <w:tab w:pos="9780"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2"/>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第二节</w:t>
            </w:r>
            <w:r>
              <w:rPr>
                <w:spacing w:val="-2"/>
              </w:rPr>
              <w:t> </w:t>
            </w:r>
            <w:r>
              <w:rPr/>
              <w:t>公司简介</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80" w:val="right" w:leader="dot"/>
            </w:tabs>
            <w:spacing w:line="240" w:lineRule="auto" w:before="275"/>
            <w:ind w:right="0"/>
            <w:jc w:val="left"/>
            <w:rPr>
              <w:rFonts w:ascii="Times New Roman" w:hAnsi="Times New Roman" w:cs="Times New Roman" w:eastAsia="Times New Roman" w:hint="default"/>
            </w:rPr>
          </w:pPr>
          <w:hyperlink w:history="true" w:anchor="_TOC_250008">
            <w:r>
              <w:rPr/>
              <w:t>第三节</w:t>
            </w:r>
            <w:r>
              <w:rPr>
                <w:spacing w:val="-2"/>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2"/>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2"/>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28</w:t>
            </w:r>
          </w:hyperlink>
        </w:p>
        <w:p>
          <w:pPr>
            <w:pStyle w:val="TOC1"/>
            <w:tabs>
              <w:tab w:pos="9780" w:val="right" w:leader="dot"/>
            </w:tabs>
            <w:spacing w:line="240" w:lineRule="auto" w:before="275"/>
            <w:ind w:right="0"/>
            <w:jc w:val="left"/>
            <w:rPr>
              <w:rFonts w:ascii="Times New Roman" w:hAnsi="Times New Roman" w:cs="Times New Roman" w:eastAsia="Times New Roman" w:hint="default"/>
            </w:rPr>
          </w:pPr>
          <w:hyperlink w:history="true" w:anchor="_TOC_250005">
            <w:r>
              <w:rPr/>
              <w:t>第六节</w:t>
            </w:r>
            <w:r>
              <w:rPr>
                <w:spacing w:val="-2"/>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34</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3"/>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39</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2"/>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45</w:t>
            </w:r>
          </w:hyperlink>
        </w:p>
        <w:p>
          <w:pPr>
            <w:pStyle w:val="TOC1"/>
            <w:tabs>
              <w:tab w:pos="9780" w:val="right" w:leader="dot"/>
            </w:tabs>
            <w:spacing w:line="240" w:lineRule="auto" w:before="275"/>
            <w:ind w:right="0"/>
            <w:jc w:val="left"/>
            <w:rPr>
              <w:rFonts w:ascii="Times New Roman" w:hAnsi="Times New Roman" w:cs="Times New Roman" w:eastAsia="Times New Roman" w:hint="default"/>
            </w:rPr>
          </w:pPr>
          <w:hyperlink w:history="true" w:anchor="_TOC_250002">
            <w:r>
              <w:rPr/>
              <w:t>第九节</w:t>
            </w:r>
            <w:r>
              <w:rPr>
                <w:spacing w:val="-2"/>
              </w:rPr>
              <w:t> </w:t>
            </w:r>
            <w:r>
              <w:rPr/>
              <w:t>内部控制</w:t>
            </w:r>
            <w:r>
              <w:rPr>
                <w:rFonts w:ascii="Times New Roman" w:hAnsi="Times New Roman" w:cs="Times New Roman" w:eastAsia="Times New Roman" w:hint="default"/>
              </w:rPr>
              <w:tab/>
            </w:r>
            <w:r>
              <w:rPr>
                <w:rFonts w:ascii="Times New Roman" w:hAnsi="Times New Roman" w:cs="Times New Roman" w:eastAsia="Times New Roman" w:hint="default"/>
              </w:rPr>
              <w:t>54</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2"/>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56</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129</w:t>
            </w:r>
          </w:hyperlink>
        </w:p>
        <w:p>
          <w:pPr/>
          <w:r>
            <w:fldChar w:fldCharType="end"/>
          </w:r>
        </w:p>
      </w:sdtContent>
    </w:sdt>
    <w:p>
      <w:pPr>
        <w:spacing w:after="0"/>
        <w:sectPr>
          <w:pgSz w:w="11900" w:h="16840"/>
          <w:pgMar w:header="746" w:footer="982" w:top="1060" w:bottom="1180" w:left="980" w:right="980"/>
        </w:sectPr>
      </w:pPr>
    </w:p>
    <w:p>
      <w:pPr>
        <w:spacing w:before="944"/>
        <w:ind w:left="1816" w:right="1814" w:firstLine="0"/>
        <w:jc w:val="center"/>
        <w:rPr>
          <w:rFonts w:ascii="宋体" w:hAnsi="宋体" w:cs="宋体" w:eastAsia="宋体" w:hint="default"/>
          <w:sz w:val="32"/>
          <w:szCs w:val="32"/>
        </w:rPr>
      </w:pPr>
      <w:r>
        <w:rPr>
          <w:rFonts w:ascii="宋体" w:hAnsi="宋体" w:cs="宋体" w:eastAsia="宋体" w:hint="default"/>
          <w:sz w:val="32"/>
          <w:szCs w:val="32"/>
        </w:rPr>
        <w:t>释义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0" w:right="151" w:firstLine="0"/>
        <w:jc w:val="right"/>
        <w:rPr>
          <w:rFonts w:ascii="宋体" w:hAnsi="宋体" w:cs="宋体" w:eastAsia="宋体" w:hint="default"/>
          <w:sz w:val="18"/>
          <w:szCs w:val="18"/>
        </w:rPr>
      </w:pPr>
      <w:r>
        <w:rPr/>
        <w:pict>
          <v:shape style="position:absolute;margin-left:56.39904pt;margin-top:-216.488235pt;width:479.2pt;height:400.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公司、本公司、双星新材</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7"/>
                            <w:sz w:val="18"/>
                            <w:szCs w:val="18"/>
                          </w:rPr>
                          <w:t> </w:t>
                        </w:r>
                        <w:r>
                          <w:rPr>
                            <w:rFonts w:ascii="宋体" w:hAnsi="宋体" w:cs="宋体" w:eastAsia="宋体" w:hint="default"/>
                            <w:sz w:val="18"/>
                            <w:szCs w:val="18"/>
                          </w:rPr>
                          <w:t>江苏双星彩塑新材料股份有限公司</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7"/>
                            <w:sz w:val="18"/>
                            <w:szCs w:val="18"/>
                          </w:rPr>
                          <w:t> </w:t>
                        </w:r>
                        <w:r>
                          <w:rPr>
                            <w:rFonts w:ascii="宋体" w:hAnsi="宋体" w:cs="宋体" w:eastAsia="宋体" w:hint="default"/>
                            <w:sz w:val="18"/>
                            <w:szCs w:val="18"/>
                          </w:rPr>
                          <w:t>宿迁市迪智成投资咨询有限公司</w:t>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5"/>
                            <w:sz w:val="18"/>
                            <w:szCs w:val="18"/>
                          </w:rPr>
                          <w:t> </w:t>
                        </w:r>
                        <w:r>
                          <w:rPr>
                            <w:rFonts w:ascii="宋体" w:hAnsi="宋体" w:cs="宋体" w:eastAsia="宋体" w:hint="default"/>
                            <w:sz w:val="18"/>
                            <w:szCs w:val="18"/>
                          </w:rPr>
                          <w:t>宿迁市启恒投资有限公司</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5"/>
                            <w:sz w:val="18"/>
                            <w:szCs w:val="18"/>
                          </w:rPr>
                          <w:t> </w:t>
                        </w: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5"/>
                            <w:sz w:val="18"/>
                            <w:szCs w:val="18"/>
                          </w:rPr>
                          <w:t> </w:t>
                        </w: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9"/>
                            <w:sz w:val="18"/>
                            <w:szCs w:val="18"/>
                          </w:rPr>
                          <w:t> </w:t>
                        </w:r>
                        <w:r>
                          <w:rPr>
                            <w:rFonts w:ascii="宋体" w:hAnsi="宋体" w:cs="宋体" w:eastAsia="宋体" w:hint="default"/>
                            <w:sz w:val="18"/>
                            <w:szCs w:val="18"/>
                          </w:rPr>
                          <w:t>《江苏双星彩塑新材料股份有限公司章程》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4"/>
                            <w:sz w:val="18"/>
                            <w:szCs w:val="18"/>
                          </w:rPr>
                          <w:t> </w:t>
                        </w:r>
                        <w:r>
                          <w:rPr>
                            <w:rFonts w:ascii="宋体" w:hAnsi="宋体" w:cs="宋体" w:eastAsia="宋体" w:hint="default"/>
                            <w:sz w:val="18"/>
                            <w:szCs w:val="18"/>
                          </w:rPr>
                          <w:t>光大证券股份有限公司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8"/>
                            <w:sz w:val="18"/>
                            <w:szCs w:val="18"/>
                          </w:rPr>
                          <w:t> </w:t>
                        </w:r>
                        <w:r>
                          <w:rPr>
                            <w:rFonts w:ascii="宋体" w:hAnsi="宋体" w:cs="宋体" w:eastAsia="宋体" w:hint="default"/>
                            <w:sz w:val="18"/>
                            <w:szCs w:val="18"/>
                          </w:rPr>
                          <w:t>上海众华沪银会计师事务所有限公司</w:t>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4"/>
                            <w:sz w:val="18"/>
                            <w:szCs w:val="18"/>
                          </w:rPr>
                          <w:t> </w:t>
                        </w:r>
                        <w:r>
                          <w:rPr>
                            <w:rFonts w:ascii="宋体" w:hAnsi="宋体" w:cs="宋体" w:eastAsia="宋体" w:hint="default"/>
                            <w:sz w:val="18"/>
                            <w:szCs w:val="18"/>
                          </w:rPr>
                          <w:t>人民币元、人民币万元</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0"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4" w:lineRule="auto" w:before="49"/>
                          <w:ind w:left="28" w:right="107"/>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27"/>
                            <w:sz w:val="18"/>
                            <w:szCs w:val="18"/>
                          </w:rPr>
                          <w:t> </w:t>
                        </w:r>
                        <w:r>
                          <w:rPr>
                            <w:rFonts w:ascii="宋体" w:hAnsi="宋体" w:cs="宋体" w:eastAsia="宋体" w:hint="default"/>
                            <w:spacing w:val="-3"/>
                            <w:sz w:val="18"/>
                            <w:szCs w:val="18"/>
                          </w:rPr>
                          <w:t>以聚酯切片为主要原料，采用先进的工艺配方，经过干燥、熔融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挤出、铸片和拉伸制成的薄膜，具有优良的工业特性</w:t>
                        </w:r>
                      </w:p>
                    </w:tc>
                  </w:tr>
                  <w:tr>
                    <w:trPr>
                      <w:trHeight w:val="392"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聚酯切片</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00" w:lineRule="auto" w:before="49"/>
                          <w:ind w:left="28" w:right="19"/>
                          <w:jc w:val="both"/>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12"/>
                            <w:sz w:val="18"/>
                            <w:szCs w:val="18"/>
                          </w:rPr>
                          <w:t> </w:t>
                        </w:r>
                        <w:r>
                          <w:rPr>
                            <w:rFonts w:ascii="宋体" w:hAnsi="宋体" w:cs="宋体" w:eastAsia="宋体" w:hint="default"/>
                            <w:sz w:val="18"/>
                            <w:szCs w:val="18"/>
                          </w:rPr>
                          <w:t>由聚酯经物理加工制成的切片，目前主要用于瓶级聚酯</w:t>
                        </w:r>
                        <w:r>
                          <w:rPr>
                            <w:rFonts w:ascii="Times New Roman" w:hAnsi="Times New Roman" w:cs="Times New Roman" w:eastAsia="Times New Roman" w:hint="default"/>
                            <w:sz w:val="18"/>
                            <w:szCs w:val="18"/>
                          </w:rPr>
                          <w:t>(</w:t>
                        </w:r>
                        <w:r>
                          <w:rPr>
                            <w:rFonts w:ascii="宋体" w:hAnsi="宋体" w:cs="宋体" w:eastAsia="宋体" w:hint="default"/>
                            <w:sz w:val="18"/>
                            <w:szCs w:val="18"/>
                          </w:rPr>
                          <w:t>广泛用于</w:t>
                        </w:r>
                        <w:r>
                          <w:rPr>
                            <w:rFonts w:ascii="宋体" w:hAnsi="宋体" w:cs="宋体" w:eastAsia="宋体" w:hint="default"/>
                            <w:w w:val="100"/>
                            <w:sz w:val="18"/>
                            <w:szCs w:val="18"/>
                          </w:rPr>
                          <w:t> </w:t>
                        </w:r>
                        <w:r>
                          <w:rPr>
                            <w:rFonts w:ascii="宋体" w:hAnsi="宋体" w:cs="宋体" w:eastAsia="宋体" w:hint="default"/>
                            <w:sz w:val="18"/>
                            <w:szCs w:val="18"/>
                          </w:rPr>
                          <w:t>各种饮料尤其是碳酸饮料的包装</w:t>
                        </w:r>
                        <w:r>
                          <w:rPr>
                            <w:rFonts w:ascii="Times New Roman" w:hAnsi="Times New Roman" w:cs="Times New Roman" w:eastAsia="Times New Roman" w:hint="default"/>
                            <w:sz w:val="18"/>
                            <w:szCs w:val="18"/>
                          </w:rPr>
                          <w:t>)</w:t>
                        </w:r>
                        <w:r>
                          <w:rPr>
                            <w:rFonts w:ascii="宋体" w:hAnsi="宋体" w:cs="宋体" w:eastAsia="宋体" w:hint="default"/>
                            <w:sz w:val="18"/>
                            <w:szCs w:val="18"/>
                          </w:rPr>
                          <w:t>、聚酯薄膜</w:t>
                        </w:r>
                        <w:r>
                          <w:rPr>
                            <w:rFonts w:ascii="Times New Roman" w:hAnsi="Times New Roman" w:cs="Times New Roman" w:eastAsia="Times New Roman" w:hint="default"/>
                            <w:sz w:val="18"/>
                            <w:szCs w:val="18"/>
                          </w:rPr>
                          <w:t>(</w:t>
                        </w:r>
                        <w:r>
                          <w:rPr>
                            <w:rFonts w:ascii="宋体" w:hAnsi="宋体" w:cs="宋体" w:eastAsia="宋体" w:hint="default"/>
                            <w:sz w:val="18"/>
                            <w:szCs w:val="18"/>
                          </w:rPr>
                          <w:t>主要用于包装材料、胶</w:t>
                        </w:r>
                        <w:r>
                          <w:rPr>
                            <w:rFonts w:ascii="宋体" w:hAnsi="宋体" w:cs="宋体" w:eastAsia="宋体" w:hint="default"/>
                            <w:w w:val="100"/>
                            <w:sz w:val="18"/>
                            <w:szCs w:val="18"/>
                          </w:rPr>
                          <w:t> </w:t>
                        </w:r>
                        <w:r>
                          <w:rPr>
                            <w:rFonts w:ascii="宋体" w:hAnsi="宋体" w:cs="宋体" w:eastAsia="宋体" w:hint="default"/>
                            <w:sz w:val="18"/>
                            <w:szCs w:val="18"/>
                          </w:rPr>
                          <w:t>片和磁带等</w:t>
                        </w:r>
                        <w:r>
                          <w:rPr>
                            <w:rFonts w:ascii="Times New Roman" w:hAnsi="Times New Roman" w:cs="Times New Roman" w:eastAsia="Times New Roman" w:hint="default"/>
                            <w:sz w:val="18"/>
                            <w:szCs w:val="18"/>
                          </w:rPr>
                          <w:t>)</w:t>
                        </w:r>
                        <w:r>
                          <w:rPr>
                            <w:rFonts w:ascii="宋体" w:hAnsi="宋体" w:cs="宋体" w:eastAsia="宋体" w:hint="default"/>
                            <w:sz w:val="18"/>
                            <w:szCs w:val="18"/>
                          </w:rPr>
                          <w:t>以及化纤用涤纶</w:t>
                        </w:r>
                      </w:p>
                    </w:tc>
                  </w:tr>
                  <w:tr>
                    <w:trPr>
                      <w:trHeight w:val="394"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vMerge/>
                        <w:tcBorders>
                          <w:left w:val="single" w:sz="9" w:space="0" w:color="D3D3D3"/>
                          <w:right w:val="single" w:sz="4" w:space="0" w:color="000000"/>
                        </w:tcBorders>
                      </w:tcPr>
                      <w:p>
                        <w:pPr/>
                      </w:p>
                    </w:tc>
                  </w:tr>
                  <w:tr>
                    <w:trPr>
                      <w:trHeight w:val="316"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0"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PTA</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297" w:lineRule="auto" w:before="49"/>
                          <w:ind w:left="28" w:right="19"/>
                          <w:jc w:val="left"/>
                          <w:rPr>
                            <w:rFonts w:ascii="宋体" w:hAnsi="宋体" w:cs="宋体" w:eastAsia="宋体" w:hint="default"/>
                            <w:sz w:val="18"/>
                            <w:szCs w:val="18"/>
                          </w:rPr>
                        </w:pPr>
                        <w:r>
                          <w:rPr>
                            <w:rFonts w:ascii="宋体" w:hAnsi="宋体" w:cs="宋体" w:eastAsia="宋体" w:hint="default"/>
                            <w:w w:val="100"/>
                            <w:sz w:val="18"/>
                            <w:szCs w:val="18"/>
                          </w:rPr>
                          <w:t>指 </w:t>
                        </w:r>
                        <w:r>
                          <w:rPr>
                            <w:rFonts w:ascii="宋体" w:hAnsi="宋体" w:cs="宋体" w:eastAsia="宋体" w:hint="default"/>
                            <w:spacing w:val="-3"/>
                            <w:w w:val="100"/>
                            <w:sz w:val="18"/>
                            <w:szCs w:val="18"/>
                          </w:rPr>
                          <w:t>精对苯二甲酸（</w:t>
                        </w:r>
                        <w:r>
                          <w:rPr>
                            <w:rFonts w:ascii="Times New Roman" w:hAnsi="Times New Roman" w:cs="Times New Roman" w:eastAsia="Times New Roman" w:hint="default"/>
                            <w:spacing w:val="-3"/>
                            <w:w w:val="100"/>
                            <w:sz w:val="18"/>
                            <w:szCs w:val="18"/>
                          </w:rPr>
                          <w:t>Pure</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2"/>
                            <w:w w:val="100"/>
                            <w:sz w:val="18"/>
                            <w:szCs w:val="18"/>
                          </w:rPr>
                          <w:t>Terephthalic</w:t>
                        </w:r>
                        <w:r>
                          <w:rPr>
                            <w:rFonts w:ascii="Times New Roman" w:hAnsi="Times New Roman" w:cs="Times New Roman" w:eastAsia="Times New Roman" w:hint="default"/>
                            <w:spacing w:val="-10"/>
                            <w:w w:val="100"/>
                            <w:sz w:val="18"/>
                            <w:szCs w:val="18"/>
                          </w:rPr>
                          <w:t> </w:t>
                        </w:r>
                        <w:r>
                          <w:rPr>
                            <w:rFonts w:ascii="Times New Roman" w:hAnsi="Times New Roman" w:cs="Times New Roman" w:eastAsia="Times New Roman" w:hint="default"/>
                            <w:spacing w:val="-9"/>
                            <w:w w:val="100"/>
                            <w:sz w:val="18"/>
                            <w:szCs w:val="18"/>
                          </w:rPr>
                          <w:t>Acid</w:t>
                        </w:r>
                        <w:r>
                          <w:rPr>
                            <w:rFonts w:ascii="宋体" w:hAnsi="宋体" w:cs="宋体" w:eastAsia="宋体" w:hint="default"/>
                            <w:spacing w:val="-9"/>
                            <w:w w:val="100"/>
                            <w:sz w:val="18"/>
                            <w:szCs w:val="18"/>
                          </w:rPr>
                          <w:t>），一种化工原料，聚酯切片</w:t>
                        </w:r>
                        <w:r>
                          <w:rPr>
                            <w:rFonts w:ascii="宋体" w:hAnsi="宋体" w:cs="宋体" w:eastAsia="宋体" w:hint="default"/>
                            <w:w w:val="100"/>
                            <w:sz w:val="18"/>
                            <w:szCs w:val="18"/>
                          </w:rPr>
                          <w:t> </w:t>
                        </w:r>
                        <w:r>
                          <w:rPr>
                            <w:rFonts w:ascii="宋体" w:hAnsi="宋体" w:cs="宋体" w:eastAsia="宋体" w:hint="default"/>
                            <w:sz w:val="18"/>
                            <w:szCs w:val="18"/>
                          </w:rPr>
                          <w:t>的主要原料之一</w:t>
                        </w:r>
                      </w:p>
                    </w:tc>
                  </w:tr>
                  <w:tr>
                    <w:trPr>
                      <w:trHeight w:val="392"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MEG</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w w:val="100"/>
                            <w:sz w:val="18"/>
                            <w:szCs w:val="18"/>
                          </w:rPr>
                          <w:t>指 </w:t>
                        </w:r>
                        <w:r>
                          <w:rPr>
                            <w:rFonts w:ascii="宋体" w:hAnsi="宋体" w:cs="宋体" w:eastAsia="宋体" w:hint="default"/>
                            <w:spacing w:val="-4"/>
                            <w:w w:val="100"/>
                            <w:sz w:val="18"/>
                            <w:szCs w:val="18"/>
                          </w:rPr>
                          <w:t>乙二醇（</w:t>
                        </w:r>
                        <w:r>
                          <w:rPr>
                            <w:rFonts w:ascii="Times New Roman" w:hAnsi="Times New Roman" w:cs="Times New Roman" w:eastAsia="Times New Roman" w:hint="default"/>
                            <w:spacing w:val="-4"/>
                            <w:w w:val="100"/>
                            <w:sz w:val="18"/>
                            <w:szCs w:val="18"/>
                          </w:rPr>
                          <w:t>Mono</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1"/>
                            <w:w w:val="100"/>
                            <w:sz w:val="18"/>
                            <w:szCs w:val="18"/>
                          </w:rPr>
                          <w:t>Ethylene</w:t>
                        </w:r>
                        <w:r>
                          <w:rPr>
                            <w:rFonts w:ascii="Times New Roman" w:hAnsi="Times New Roman" w:cs="Times New Roman" w:eastAsia="Times New Roman" w:hint="default"/>
                            <w:spacing w:val="5"/>
                            <w:w w:val="100"/>
                            <w:sz w:val="18"/>
                            <w:szCs w:val="18"/>
                          </w:rPr>
                          <w:t> </w:t>
                        </w:r>
                        <w:r>
                          <w:rPr>
                            <w:rFonts w:ascii="Times New Roman" w:hAnsi="Times New Roman" w:cs="Times New Roman" w:eastAsia="Times New Roman" w:hint="default"/>
                            <w:spacing w:val="-7"/>
                            <w:w w:val="100"/>
                            <w:sz w:val="18"/>
                            <w:szCs w:val="18"/>
                          </w:rPr>
                          <w:t>Glycol</w:t>
                        </w:r>
                        <w:r>
                          <w:rPr>
                            <w:rFonts w:ascii="宋体" w:hAnsi="宋体" w:cs="宋体" w:eastAsia="宋体" w:hint="default"/>
                            <w:spacing w:val="-7"/>
                            <w:w w:val="100"/>
                            <w:sz w:val="18"/>
                            <w:szCs w:val="18"/>
                          </w:rPr>
                          <w:t>），一种化工原料，聚酯切片的主要</w:t>
                        </w:r>
                        <w:r>
                          <w:rPr>
                            <w:rFonts w:ascii="宋体" w:hAnsi="宋体" w:cs="宋体" w:eastAsia="宋体" w:hint="default"/>
                            <w:w w:val="100"/>
                            <w:sz w:val="18"/>
                            <w:szCs w:val="18"/>
                          </w:rPr>
                          <w:t> </w:t>
                        </w:r>
                        <w:r>
                          <w:rPr>
                            <w:rFonts w:ascii="宋体" w:hAnsi="宋体" w:cs="宋体" w:eastAsia="宋体" w:hint="default"/>
                            <w:sz w:val="18"/>
                            <w:szCs w:val="18"/>
                          </w:rPr>
                          <w:t>原料之一</w:t>
                        </w:r>
                      </w:p>
                    </w:tc>
                  </w:tr>
                  <w:tr>
                    <w:trPr>
                      <w:trHeight w:val="394"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vMerge/>
                        <w:tcBorders>
                          <w:left w:val="single" w:sz="9" w:space="0" w:color="D3D3D3"/>
                          <w:right w:val="single" w:sz="4" w:space="0" w:color="000000"/>
                        </w:tcBorders>
                      </w:tcPr>
                      <w:p>
                        <w:pPr/>
                      </w:p>
                    </w:tc>
                  </w:tr>
                  <w:tr>
                    <w:trPr>
                      <w:trHeight w:val="160"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sz w:val="18"/>
                          </w:rPr>
                          <w:t>µm</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4"/>
                            <w:sz w:val="18"/>
                            <w:szCs w:val="18"/>
                          </w:rPr>
                          <w:t> </w:t>
                        </w:r>
                        <w:r>
                          <w:rPr>
                            <w:rFonts w:ascii="宋体" w:hAnsi="宋体" w:cs="宋体" w:eastAsia="宋体" w:hint="default"/>
                            <w:sz w:val="18"/>
                            <w:szCs w:val="18"/>
                          </w:rPr>
                          <w:t>微米，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微米相当于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米的一百万分之一</w:t>
                        </w:r>
                      </w:p>
                    </w:tc>
                  </w:tr>
                </w:tbl>
                <w:p>
                  <w:pPr/>
                </w:p>
              </w:txbxContent>
            </v:textbox>
            <w10:wrap type="none"/>
          </v:shape>
        </w:pict>
      </w:r>
      <w:r>
        <w:rPr>
          <w:rFonts w:ascii="宋体" w:hAnsi="宋体" w:cs="宋体" w:eastAsia="宋体" w:hint="default"/>
          <w:w w:val="100"/>
          <w:sz w:val="18"/>
          <w:szCs w:val="18"/>
        </w:rPr>
        <w:t>、</w:t>
      </w:r>
    </w:p>
    <w:p>
      <w:pPr>
        <w:spacing w:after="0"/>
        <w:jc w:val="right"/>
        <w:rPr>
          <w:rFonts w:ascii="宋体" w:hAnsi="宋体" w:cs="宋体" w:eastAsia="宋体" w:hint="default"/>
          <w:sz w:val="18"/>
          <w:szCs w:val="1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1816" w:right="1814" w:firstLine="0"/>
        <w:jc w:val="center"/>
        <w:rPr>
          <w:rFonts w:ascii="宋体" w:hAnsi="宋体" w:cs="宋体" w:eastAsia="宋体" w:hint="default"/>
          <w:sz w:val="32"/>
          <w:szCs w:val="32"/>
        </w:rPr>
      </w:pPr>
      <w:r>
        <w:rPr>
          <w:rFonts w:ascii="宋体" w:hAnsi="宋体" w:cs="宋体" w:eastAsia="宋体" w:hint="default"/>
          <w:sz w:val="32"/>
          <w:szCs w:val="32"/>
        </w:rPr>
        <w:t>重大风险提示</w:t>
      </w:r>
    </w:p>
    <w:p>
      <w:pPr>
        <w:spacing w:line="240" w:lineRule="auto" w:before="1"/>
        <w:rPr>
          <w:rFonts w:ascii="宋体" w:hAnsi="宋体" w:cs="宋体" w:eastAsia="宋体" w:hint="default"/>
          <w:sz w:val="26"/>
          <w:szCs w:val="26"/>
        </w:rPr>
      </w:pPr>
    </w:p>
    <w:p>
      <w:pPr>
        <w:spacing w:line="398" w:lineRule="auto" w:before="0"/>
        <w:ind w:left="152" w:right="143" w:firstLine="561"/>
        <w:jc w:val="both"/>
        <w:rPr>
          <w:rFonts w:ascii="宋体" w:hAnsi="宋体" w:cs="宋体" w:eastAsia="宋体" w:hint="default"/>
          <w:sz w:val="28"/>
          <w:szCs w:val="28"/>
        </w:rPr>
      </w:pPr>
      <w:r>
        <w:rPr>
          <w:rFonts w:ascii="宋体" w:hAnsi="宋体" w:cs="宋体" w:eastAsia="宋体" w:hint="default"/>
          <w:sz w:val="28"/>
          <w:szCs w:val="28"/>
        </w:rPr>
        <w:t>公司主要存在市场风险、行业竞争风险、产品与原材料价格波动风险等，</w:t>
      </w:r>
      <w:r>
        <w:rPr>
          <w:rFonts w:ascii="宋体" w:hAnsi="宋体" w:cs="宋体" w:eastAsia="宋体" w:hint="default"/>
          <w:w w:val="100"/>
          <w:sz w:val="28"/>
          <w:szCs w:val="28"/>
        </w:rPr>
        <w:t> </w:t>
      </w:r>
      <w:r>
        <w:rPr>
          <w:rFonts w:ascii="宋体" w:hAnsi="宋体" w:cs="宋体" w:eastAsia="宋体" w:hint="default"/>
          <w:spacing w:val="-3"/>
          <w:sz w:val="28"/>
          <w:szCs w:val="28"/>
        </w:rPr>
        <w:t>敬请广大投资者注意投资风险。详细内容见本报告</w:t>
      </w:r>
      <w:r>
        <w:rPr>
          <w:rFonts w:ascii="Times New Roman" w:hAnsi="Times New Roman" w:cs="Times New Roman" w:eastAsia="Times New Roman" w:hint="default"/>
          <w:b/>
          <w:bCs/>
          <w:spacing w:val="-3"/>
          <w:sz w:val="28"/>
          <w:szCs w:val="28"/>
        </w:rPr>
        <w:t>“</w:t>
      </w:r>
      <w:r>
        <w:rPr>
          <w:rFonts w:ascii="宋体" w:hAnsi="宋体" w:cs="宋体" w:eastAsia="宋体" w:hint="default"/>
          <w:spacing w:val="-3"/>
          <w:sz w:val="28"/>
          <w:szCs w:val="28"/>
        </w:rPr>
        <w:t>第四节八、公司未来发展的</w:t>
      </w:r>
      <w:r>
        <w:rPr>
          <w:rFonts w:ascii="宋体" w:hAnsi="宋体" w:cs="宋体" w:eastAsia="宋体" w:hint="default"/>
          <w:spacing w:val="-68"/>
          <w:sz w:val="28"/>
          <w:szCs w:val="28"/>
        </w:rPr>
        <w:t> </w:t>
      </w:r>
      <w:r>
        <w:rPr>
          <w:rFonts w:ascii="宋体" w:hAnsi="宋体" w:cs="宋体" w:eastAsia="宋体" w:hint="default"/>
          <w:spacing w:val="-68"/>
          <w:sz w:val="28"/>
          <w:szCs w:val="28"/>
        </w:rPr>
      </w:r>
      <w:r>
        <w:rPr>
          <w:rFonts w:ascii="宋体" w:hAnsi="宋体" w:cs="宋体" w:eastAsia="宋体" w:hint="default"/>
          <w:sz w:val="28"/>
          <w:szCs w:val="28"/>
        </w:rPr>
        <w:t>展望（五）未来发展可能面对的风险因素</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w:t>
      </w:r>
    </w:p>
    <w:p>
      <w:pPr>
        <w:spacing w:after="0" w:line="398" w:lineRule="auto"/>
        <w:jc w:val="both"/>
        <w:rPr>
          <w:rFonts w:ascii="宋体" w:hAnsi="宋体" w:cs="宋体" w:eastAsia="宋体" w:hint="default"/>
          <w:sz w:val="28"/>
          <w:szCs w:val="2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172.318802pt;margin-top:269.799225pt;width:361.45pt;height:19.6pt;mso-position-horizontal-relative:page;mso-position-vertical-relative:page;z-index:-687736" coordorigin="3446,5396" coordsize="7229,392">
            <v:shape style="position:absolute;left:3446;top:5396;width:7229;height:392" coordorigin="3446,5396" coordsize="7229,392" path="m3446,5787l10675,5787,10675,5396,3446,5396,3446,578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240" w:lineRule="auto"/>
        <w:ind w:right="1812"/>
        <w:jc w:val="center"/>
      </w:pPr>
      <w:bookmarkStart w:name="_TOC_250009" w:id="2"/>
      <w:r>
        <w:rPr/>
        <w:t>第二节</w:t>
      </w:r>
      <w:r>
        <w:rPr>
          <w:spacing w:val="7"/>
        </w:rPr>
        <w:t> </w:t>
      </w:r>
      <w:bookmarkEnd w:id="2"/>
      <w:r>
        <w:rPr/>
        <w:t>公司简介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145"/>
        <w:jc w:val="left"/>
      </w:pPr>
      <w:r>
        <w:rPr/>
        <w:t>一、公司信息</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2260"/>
        <w:gridCol w:w="2975"/>
        <w:gridCol w:w="2135"/>
        <w:gridCol w:w="2188"/>
      </w:tblGrid>
      <w:tr>
        <w:trPr>
          <w:trHeight w:val="402"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双星新材</w:t>
            </w:r>
          </w:p>
        </w:tc>
        <w:tc>
          <w:tcPr>
            <w:tcW w:w="2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002585</w:t>
            </w:r>
          </w:p>
        </w:tc>
      </w:tr>
      <w:tr>
        <w:trPr>
          <w:trHeight w:val="402"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双星新材</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Jiangsu Shuangxing Color Plastic New Materials Co.,</w:t>
            </w:r>
            <w:r>
              <w:rPr>
                <w:rFonts w:ascii="Times New Roman"/>
                <w:spacing w:val="-25"/>
                <w:sz w:val="18"/>
              </w:rPr>
              <w:t> </w:t>
            </w:r>
            <w:r>
              <w:rPr>
                <w:rFonts w:ascii="Times New Roman"/>
                <w:sz w:val="18"/>
              </w:rPr>
              <w:t>Ltd.</w:t>
            </w:r>
          </w:p>
        </w:tc>
      </w:tr>
      <w:tr>
        <w:trPr>
          <w:trHeight w:val="401" w:hRule="exact"/>
        </w:trPr>
        <w:tc>
          <w:tcPr>
            <w:tcW w:w="2260" w:type="dxa"/>
            <w:tcBorders>
              <w:top w:val="single" w:sz="4" w:space="0" w:color="000000"/>
              <w:left w:val="single" w:sz="4" w:space="0" w:color="000000"/>
              <w:bottom w:val="single" w:sz="4" w:space="0" w:color="000000"/>
              <w:right w:val="single" w:sz="14" w:space="0" w:color="FFFFFF"/>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公司的外文名称缩写（如有</w:t>
            </w:r>
          </w:p>
        </w:tc>
        <w:tc>
          <w:tcPr>
            <w:tcW w:w="7297" w:type="dxa"/>
            <w:gridSpan w:val="3"/>
            <w:tcBorders>
              <w:top w:val="single" w:sz="4" w:space="0" w:color="000000"/>
              <w:left w:val="single" w:sz="11" w:space="0" w:color="FFFFFF"/>
              <w:bottom w:val="single" w:sz="4" w:space="0" w:color="000000"/>
              <w:right w:val="single" w:sz="4" w:space="0" w:color="000000"/>
            </w:tcBorders>
          </w:tcPr>
          <w:p>
            <w:pPr>
              <w:pStyle w:val="TableParagraph"/>
              <w:spacing w:line="240" w:lineRule="auto" w:before="49"/>
              <w:ind w:left="-89"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SXXC</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吴培服</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9">
              <w:r>
                <w:rPr>
                  <w:rFonts w:ascii="Times New Roman"/>
                  <w:sz w:val="18"/>
                </w:rPr>
                <w:t>http://www.shuangxingcaisu.com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二、联系人和联系方式</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花蕾</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0527-84252088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0527-84252088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0527-84253042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0527-84253042</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002585@shuangxingcaisu.com</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三、信息披露及备置地点</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715"/>
        <w:gridCol w:w="5842"/>
      </w:tblGrid>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1"/>
                <w:w w:val="100"/>
                <w:sz w:val="18"/>
                <w:szCs w:val="18"/>
              </w:rPr>
              <w:t>《证券时报</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《证券日</w:t>
            </w:r>
            <w:r>
              <w:rPr>
                <w:rFonts w:ascii="宋体" w:hAnsi="宋体" w:cs="宋体" w:eastAsia="宋体" w:hint="default"/>
                <w:spacing w:val="1"/>
                <w:w w:val="100"/>
                <w:sz w:val="18"/>
                <w:szCs w:val="18"/>
              </w:rPr>
              <w:t>报</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w:t>
            </w:r>
            <w:r>
              <w:rPr>
                <w:rFonts w:ascii="宋体" w:hAnsi="宋体" w:cs="宋体" w:eastAsia="宋体" w:hint="default"/>
                <w:spacing w:val="-1"/>
                <w:w w:val="100"/>
                <w:sz w:val="18"/>
                <w:szCs w:val="18"/>
              </w:rPr>
              <w:t>中国证券报</w:t>
            </w:r>
            <w:r>
              <w:rPr>
                <w:rFonts w:ascii="宋体" w:hAnsi="宋体" w:cs="宋体" w:eastAsia="宋体" w:hint="default"/>
                <w:w w:val="100"/>
                <w:sz w:val="18"/>
                <w:szCs w:val="18"/>
              </w:rPr>
              <w:t>》</w:t>
            </w:r>
          </w:p>
        </w:tc>
      </w:tr>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5"/>
        <w:jc w:val="left"/>
      </w:pPr>
      <w:r>
        <w:rPr/>
        <w:t>四、注册变更情况</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525" w:right="69" w:hanging="452"/>
              <w:jc w:val="left"/>
              <w:rPr>
                <w:rFonts w:ascii="宋体" w:hAnsi="宋体" w:cs="宋体" w:eastAsia="宋体" w:hint="default"/>
                <w:sz w:val="18"/>
                <w:szCs w:val="18"/>
              </w:rPr>
            </w:pPr>
            <w:r>
              <w:rPr>
                <w:rFonts w:ascii="宋体" w:hAnsi="宋体" w:cs="宋体" w:eastAsia="宋体" w:hint="default"/>
                <w:sz w:val="18"/>
                <w:szCs w:val="18"/>
              </w:rPr>
              <w:t>企业法人营业执照</w:t>
            </w:r>
            <w:r>
              <w:rPr>
                <w:rFonts w:ascii="宋体" w:hAnsi="宋体" w:cs="宋体" w:eastAsia="宋体" w:hint="default"/>
                <w:w w:val="100"/>
                <w:sz w:val="18"/>
                <w:szCs w:val="18"/>
              </w:rPr>
              <w:t> </w:t>
            </w:r>
            <w:r>
              <w:rPr>
                <w:rFonts w:ascii="宋体" w:hAnsi="宋体" w:cs="宋体" w:eastAsia="宋体" w:hint="default"/>
                <w:sz w:val="18"/>
                <w:szCs w:val="18"/>
              </w:rPr>
              <w:t>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251"/>
              <w:jc w:val="right"/>
              <w:rPr>
                <w:rFonts w:ascii="宋体" w:hAnsi="宋体" w:cs="宋体" w:eastAsia="宋体" w:hint="default"/>
                <w:sz w:val="18"/>
                <w:szCs w:val="18"/>
              </w:rPr>
            </w:pPr>
            <w:r>
              <w:rPr>
                <w:rFonts w:ascii="宋体" w:hAnsi="宋体" w:cs="宋体" w:eastAsia="宋体" w:hint="default"/>
                <w:spacing w:val="-1"/>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center"/>
              <w:rPr>
                <w:rFonts w:ascii="宋体" w:hAnsi="宋体" w:cs="宋体" w:eastAsia="宋体" w:hint="default"/>
                <w:sz w:val="18"/>
                <w:szCs w:val="18"/>
              </w:rPr>
            </w:pPr>
            <w:r>
              <w:rPr>
                <w:rFonts w:ascii="宋体" w:hAnsi="宋体" w:cs="宋体" w:eastAsia="宋体" w:hint="default"/>
                <w:sz w:val="18"/>
                <w:szCs w:val="18"/>
              </w:rPr>
              <w:t>宿迁工商行政管理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321300000005816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321300142328941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14232894-1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center"/>
              <w:rPr>
                <w:rFonts w:ascii="宋体" w:hAnsi="宋体" w:cs="宋体" w:eastAsia="宋体" w:hint="default"/>
                <w:sz w:val="18"/>
                <w:szCs w:val="18"/>
              </w:rPr>
            </w:pPr>
            <w:r>
              <w:rPr>
                <w:rFonts w:ascii="宋体" w:hAnsi="宋体" w:cs="宋体" w:eastAsia="宋体" w:hint="default"/>
                <w:sz w:val="18"/>
                <w:szCs w:val="18"/>
              </w:rPr>
              <w:t>宿迁工商行政管理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321300000005816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321300142328941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14232894-1</w:t>
            </w:r>
          </w:p>
        </w:tc>
      </w:tr>
      <w:tr>
        <w:trPr>
          <w:trHeight w:val="715"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pacing w:val="-1"/>
                <w:sz w:val="18"/>
                <w:szCs w:val="18"/>
              </w:rPr>
              <w:t>公司上市以来主营业务的变化情况（如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w:t>
            </w:r>
          </w:p>
        </w:tc>
        <w:tc>
          <w:tcPr>
            <w:tcW w:w="6377" w:type="dxa"/>
            <w:gridSpan w:val="4"/>
            <w:tcBorders>
              <w:top w:val="single" w:sz="4" w:space="0" w:color="000000"/>
              <w:left w:val="single" w:sz="12"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五、其他有关资料</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650"/>
        <w:gridCol w:w="6907"/>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号海洋大厦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傅林生、蒯薏苡</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396"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8" w:hRule="exact"/>
        </w:trPr>
        <w:tc>
          <w:tcPr>
            <w:tcW w:w="239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23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81"/>
              <w:jc w:val="center"/>
              <w:rPr>
                <w:rFonts w:ascii="宋体" w:hAnsi="宋体" w:cs="宋体" w:eastAsia="宋体" w:hint="default"/>
                <w:sz w:val="18"/>
                <w:szCs w:val="18"/>
              </w:rPr>
            </w:pPr>
            <w:r>
              <w:rPr>
                <w:rFonts w:ascii="宋体" w:hAnsi="宋体" w:cs="宋体" w:eastAsia="宋体" w:hint="default"/>
                <w:sz w:val="18"/>
                <w:szCs w:val="18"/>
              </w:rPr>
              <w:t>上海市静安区新闸路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6" w:right="0"/>
              <w:jc w:val="left"/>
              <w:rPr>
                <w:rFonts w:ascii="宋体" w:hAnsi="宋体" w:cs="宋体" w:eastAsia="宋体" w:hint="default"/>
                <w:sz w:val="18"/>
                <w:szCs w:val="18"/>
              </w:rPr>
            </w:pPr>
            <w:r>
              <w:rPr>
                <w:rFonts w:ascii="宋体" w:hAnsi="宋体" w:cs="宋体" w:eastAsia="宋体" w:hint="default"/>
                <w:sz w:val="18"/>
                <w:szCs w:val="18"/>
              </w:rPr>
              <w:t>潘剑云、于荟楠</w:t>
            </w:r>
          </w:p>
        </w:tc>
        <w:tc>
          <w:tcPr>
            <w:tcW w:w="239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1" w:right="145"/>
        <w:jc w:val="left"/>
      </w:pPr>
      <w:bookmarkStart w:name="_TOC_250008" w:id="3"/>
      <w:r>
        <w:rPr/>
        <w:t>第三节</w:t>
      </w:r>
      <w:r>
        <w:rPr>
          <w:spacing w:val="12"/>
        </w:rPr>
        <w:t> </w:t>
      </w:r>
      <w:bookmarkEnd w:id="3"/>
      <w:r>
        <w:rPr/>
        <w:t>会计数据和财务指标摘要</w:t>
      </w:r>
    </w:p>
    <w:p>
      <w:pPr>
        <w:spacing w:line="240" w:lineRule="auto" w:before="2"/>
        <w:rPr>
          <w:rFonts w:ascii="宋体" w:hAnsi="宋体" w:cs="宋体" w:eastAsia="宋体" w:hint="default"/>
          <w:sz w:val="39"/>
          <w:szCs w:val="39"/>
        </w:rPr>
      </w:pPr>
    </w:p>
    <w:p>
      <w:pPr>
        <w:pStyle w:val="Heading2"/>
        <w:spacing w:line="240" w:lineRule="auto"/>
        <w:ind w:right="145"/>
        <w:jc w:val="left"/>
      </w:pPr>
      <w:r>
        <w:rPr/>
        <w:t>一、主要会计数据和财务指标</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2596"/>
        <w:gridCol w:w="1748"/>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2,104,770,874.97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1,955,922,613.32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1,454,067,491.41</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118,833,435.20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382,901,693.20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382,376,413.50</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51"/>
              <w:jc w:val="left"/>
              <w:rPr>
                <w:rFonts w:ascii="宋体" w:hAnsi="宋体" w:cs="宋体" w:eastAsia="宋体" w:hint="default"/>
                <w:sz w:val="18"/>
                <w:szCs w:val="18"/>
              </w:rPr>
            </w:pPr>
            <w:r>
              <w:rPr>
                <w:rFonts w:ascii="宋体" w:hAnsi="宋体" w:cs="宋体" w:eastAsia="宋体" w:hint="default"/>
                <w:spacing w:val="-1"/>
                <w:sz w:val="18"/>
                <w:szCs w:val="18"/>
              </w:rPr>
              <w:t>归属于上市公司股东的扣除非经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常性损益的净利润（元）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102,520,450.25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308,856,956.53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375,385,668.18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80,464,488.43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52,621,248.43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508,050,122.28</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1.2496</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w:t>
            </w:r>
          </w:p>
        </w:tc>
      </w:tr>
      <w:tr>
        <w:trPr>
          <w:trHeight w:val="160"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0"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4,050,589,812.89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4,157,928,696.46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1,335,015,150.04</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6"/>
              <w:ind w:left="12" w:right="51"/>
              <w:jc w:val="left"/>
              <w:rPr>
                <w:rFonts w:ascii="宋体" w:hAnsi="宋体" w:cs="宋体" w:eastAsia="宋体" w:hint="default"/>
                <w:sz w:val="18"/>
                <w:szCs w:val="18"/>
              </w:rPr>
            </w:pPr>
            <w:r>
              <w:rPr>
                <w:rFonts w:ascii="宋体" w:hAnsi="宋体" w:cs="宋体" w:eastAsia="宋体" w:hint="default"/>
                <w:spacing w:val="-1"/>
                <w:sz w:val="18"/>
                <w:szCs w:val="18"/>
              </w:rPr>
              <w:t>（归属于上市公司股东的所有者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w w:val="100"/>
                <w:sz w:val="18"/>
                <w:szCs w:val="18"/>
              </w:rPr>
              <w:t>权益）（元）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3,617,815,168.23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3,706,981,733.03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617,470,381.83</w:t>
            </w:r>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二、境内外会计准则下会计数据差异</w:t>
      </w:r>
    </w:p>
    <w:p>
      <w:pPr>
        <w:spacing w:line="240" w:lineRule="auto" w:before="12"/>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、同时按照国际会计准则与按中国会计准则披露的财务报告中净利润和净资产差异情况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85"/>
        <w:gridCol w:w="1740"/>
        <w:gridCol w:w="2003"/>
        <w:gridCol w:w="1770"/>
        <w:gridCol w:w="1771"/>
      </w:tblGrid>
      <w:tr>
        <w:trPr>
          <w:trHeight w:val="201" w:hRule="exact"/>
        </w:trPr>
        <w:tc>
          <w:tcPr>
            <w:tcW w:w="2285"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5" w:hRule="exact"/>
        </w:trPr>
        <w:tc>
          <w:tcPr>
            <w:tcW w:w="2285" w:type="dxa"/>
            <w:vMerge w:val="restart"/>
            <w:tcBorders>
              <w:top w:val="nil" w:sz="6" w:space="0" w:color="auto"/>
              <w:left w:val="single" w:sz="4" w:space="0" w:color="000000"/>
              <w:right w:val="single" w:sz="4" w:space="0" w:color="000000"/>
            </w:tcBorders>
            <w:shd w:val="clear" w:color="auto" w:fill="D3D3D3"/>
          </w:tcPr>
          <w:p>
            <w:pPr/>
          </w:p>
        </w:tc>
        <w:tc>
          <w:tcPr>
            <w:tcW w:w="3743" w:type="dxa"/>
            <w:gridSpan w:val="2"/>
            <w:vMerge/>
            <w:tcBorders>
              <w:left w:val="single" w:sz="4" w:space="0" w:color="000000"/>
              <w:bottom w:val="single" w:sz="4" w:space="0" w:color="000000"/>
              <w:right w:val="single" w:sz="4" w:space="0" w:color="000000"/>
            </w:tcBorders>
            <w:shd w:val="clear" w:color="auto" w:fill="D3D3D3"/>
          </w:tcPr>
          <w:p>
            <w:pPr/>
          </w:p>
        </w:tc>
        <w:tc>
          <w:tcPr>
            <w:tcW w:w="3541"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5" w:type="dxa"/>
            <w:vMerge/>
            <w:tcBorders>
              <w:left w:val="single" w:sz="4" w:space="0" w:color="000000"/>
              <w:bottom w:val="nil" w:sz="6" w:space="0" w:color="auto"/>
              <w:right w:val="single" w:sz="4" w:space="0" w:color="000000"/>
            </w:tcBorders>
            <w:shd w:val="clear" w:color="auto" w:fill="D3D3D3"/>
          </w:tcPr>
          <w:p>
            <w:pPr/>
          </w:p>
        </w:tc>
        <w:tc>
          <w:tcPr>
            <w:tcW w:w="17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0"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c>
          <w:tcPr>
            <w:tcW w:w="1771"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577" w:right="0"/>
              <w:jc w:val="left"/>
              <w:rPr>
                <w:rFonts w:ascii="Times New Roman" w:hAnsi="Times New Roman" w:cs="Times New Roman" w:eastAsia="Times New Roman" w:hint="default"/>
                <w:sz w:val="18"/>
                <w:szCs w:val="18"/>
              </w:rPr>
            </w:pPr>
            <w:r>
              <w:rPr>
                <w:rFonts w:ascii="Times New Roman"/>
                <w:sz w:val="18"/>
              </w:rPr>
              <w:t>118,833,435.20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382,901,693.20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4" w:right="0"/>
              <w:jc w:val="left"/>
              <w:rPr>
                <w:rFonts w:ascii="Times New Roman" w:hAnsi="Times New Roman" w:cs="Times New Roman" w:eastAsia="Times New Roman" w:hint="default"/>
                <w:sz w:val="18"/>
                <w:szCs w:val="18"/>
              </w:rPr>
            </w:pPr>
            <w:r>
              <w:rPr>
                <w:rFonts w:ascii="Times New Roman"/>
                <w:sz w:val="18"/>
              </w:rPr>
              <w:t>3,617,815,168.23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3,706,981,733.03</w:t>
            </w:r>
          </w:p>
        </w:tc>
      </w:tr>
      <w:tr>
        <w:trPr>
          <w:trHeight w:val="403"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2</w:t>
      </w:r>
      <w:r>
        <w:rPr/>
        <w:t>、同时按照境外会计准则与按中国会计准则披露的财务报告中净利润和净资产差异情况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after="0"/>
        <w:jc w:val="right"/>
        <w:rPr>
          <w:rFonts w:ascii="宋体" w:hAnsi="宋体" w:cs="宋体" w:eastAsia="宋体"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273"/>
        <w:gridCol w:w="1740"/>
        <w:gridCol w:w="2003"/>
        <w:gridCol w:w="1770"/>
        <w:gridCol w:w="1771"/>
      </w:tblGrid>
      <w:tr>
        <w:trPr>
          <w:trHeight w:val="202" w:hRule="exact"/>
        </w:trPr>
        <w:tc>
          <w:tcPr>
            <w:tcW w:w="2273"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4" w:hRule="exact"/>
        </w:trPr>
        <w:tc>
          <w:tcPr>
            <w:tcW w:w="2273" w:type="dxa"/>
            <w:vMerge w:val="restart"/>
            <w:tcBorders>
              <w:top w:val="nil" w:sz="6" w:space="0" w:color="auto"/>
              <w:left w:val="single" w:sz="4" w:space="0" w:color="000000"/>
              <w:right w:val="single" w:sz="4" w:space="0" w:color="000000"/>
            </w:tcBorders>
            <w:shd w:val="clear" w:color="auto" w:fill="D3D3D3"/>
          </w:tcPr>
          <w:p>
            <w:pPr/>
          </w:p>
        </w:tc>
        <w:tc>
          <w:tcPr>
            <w:tcW w:w="3743" w:type="dxa"/>
            <w:gridSpan w:val="2"/>
            <w:vMerge/>
            <w:tcBorders>
              <w:left w:val="single" w:sz="4" w:space="0" w:color="000000"/>
              <w:bottom w:val="single" w:sz="4" w:space="0" w:color="000000"/>
              <w:right w:val="single" w:sz="4" w:space="0" w:color="000000"/>
            </w:tcBorders>
            <w:shd w:val="clear" w:color="auto" w:fill="D3D3D3"/>
          </w:tcPr>
          <w:p>
            <w:pPr/>
          </w:p>
        </w:tc>
        <w:tc>
          <w:tcPr>
            <w:tcW w:w="3541"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73" w:type="dxa"/>
            <w:vMerge/>
            <w:tcBorders>
              <w:left w:val="single" w:sz="4" w:space="0" w:color="000000"/>
              <w:bottom w:val="nil" w:sz="6" w:space="0" w:color="auto"/>
              <w:right w:val="single" w:sz="4" w:space="0" w:color="000000"/>
            </w:tcBorders>
            <w:shd w:val="clear" w:color="auto" w:fill="D3D3D3"/>
          </w:tcPr>
          <w:p>
            <w:pPr/>
          </w:p>
        </w:tc>
        <w:tc>
          <w:tcPr>
            <w:tcW w:w="17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0"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c>
          <w:tcPr>
            <w:tcW w:w="1771"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577" w:right="0"/>
              <w:jc w:val="left"/>
              <w:rPr>
                <w:rFonts w:ascii="Times New Roman" w:hAnsi="Times New Roman" w:cs="Times New Roman" w:eastAsia="Times New Roman" w:hint="default"/>
                <w:sz w:val="18"/>
                <w:szCs w:val="18"/>
              </w:rPr>
            </w:pPr>
            <w:r>
              <w:rPr>
                <w:rFonts w:ascii="Times New Roman"/>
                <w:sz w:val="18"/>
              </w:rPr>
              <w:t>118,833,435.20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382,901,693.20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4" w:right="0"/>
              <w:jc w:val="left"/>
              <w:rPr>
                <w:rFonts w:ascii="Times New Roman" w:hAnsi="Times New Roman" w:cs="Times New Roman" w:eastAsia="Times New Roman" w:hint="default"/>
                <w:sz w:val="18"/>
                <w:szCs w:val="18"/>
              </w:rPr>
            </w:pPr>
            <w:r>
              <w:rPr>
                <w:rFonts w:ascii="Times New Roman"/>
                <w:sz w:val="18"/>
              </w:rPr>
              <w:t>3,617,815,168.23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3,706,981,733.03</w:t>
            </w:r>
          </w:p>
        </w:tc>
      </w:tr>
      <w:tr>
        <w:trPr>
          <w:trHeight w:val="403"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3</w:t>
      </w:r>
      <w:r>
        <w:rPr/>
        <w:t>、境内外会计准则下会计数据差异原因说明</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45"/>
        <w:jc w:val="left"/>
      </w:pPr>
      <w:r>
        <w:rPr/>
        <w:t>三、非经常性损益项目及金额</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值准备的冲销部分）</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-138,883.42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切相关，按照国家统一标准定额或定量享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受的政府补助除外）</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19,424,000.00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94,330,315.56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8,468,476.44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-232,253.00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4,396,000.00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-105,186.76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2,878,762.05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24,681,578.89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1,233,660.94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16,312,984.95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74,044,736.67</w:t>
            </w:r>
          </w:p>
        </w:tc>
        <w:tc>
          <w:tcPr>
            <w:tcW w:w="1522"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6,990,745.32</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非经常性损益》定义界定的非经常性损益项目，以及把《公</w:t>
      </w:r>
    </w:p>
    <w:p>
      <w:pPr>
        <w:spacing w:line="300" w:lineRule="auto" w:before="63"/>
        <w:ind w:left="152" w:right="145"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非经常性损益》中列举的非经常性损益项目界定为经常性损益的项目，应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说明原因</w:t>
      </w:r>
    </w:p>
    <w:p>
      <w:pPr>
        <w:spacing w:before="70"/>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89" w:right="3664"/>
        <w:jc w:val="center"/>
      </w:pPr>
      <w:bookmarkStart w:name="_TOC_250007" w:id="4"/>
      <w:r>
        <w:rPr/>
        <w:t>第四节</w:t>
      </w:r>
      <w:r>
        <w:rPr>
          <w:spacing w:val="6"/>
        </w:rPr>
        <w:t> </w:t>
      </w:r>
      <w:bookmarkEnd w:id="4"/>
      <w:r>
        <w:rPr/>
        <w:t>董事会报告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0"/>
        <w:jc w:val="left"/>
      </w:pPr>
      <w:r>
        <w:rPr/>
        <w:t>一、概述</w:t>
      </w:r>
    </w:p>
    <w:p>
      <w:pPr>
        <w:spacing w:line="240" w:lineRule="auto" w:before="9"/>
        <w:rPr>
          <w:rFonts w:ascii="宋体" w:hAnsi="宋体" w:cs="宋体" w:eastAsia="宋体" w:hint="default"/>
          <w:sz w:val="24"/>
          <w:szCs w:val="24"/>
        </w:rPr>
      </w:pPr>
    </w:p>
    <w:p>
      <w:pPr>
        <w:pStyle w:val="BodyText"/>
        <w:spacing w:line="268" w:lineRule="auto"/>
        <w:ind w:right="0" w:firstLine="420"/>
        <w:jc w:val="left"/>
      </w:pPr>
      <w:r>
        <w:rPr>
          <w:rFonts w:ascii="Times New Roman" w:hAnsi="Times New Roman" w:cs="Times New Roman" w:eastAsia="Times New Roman" w:hint="default"/>
          <w:spacing w:val="-3"/>
        </w:rPr>
        <w:t>2012</w:t>
      </w:r>
      <w:r>
        <w:rPr>
          <w:spacing w:val="-3"/>
        </w:rPr>
        <w:t>年，面对全球经济严峻复杂局面，国内经济增长放缓的客观现实，以及企业生产成本上升、市场</w:t>
      </w:r>
      <w:r>
        <w:rPr>
          <w:w w:val="100"/>
        </w:rPr>
        <w:t> </w:t>
      </w:r>
      <w:r>
        <w:rPr>
          <w:spacing w:val="-3"/>
        </w:rPr>
        <w:t>竞争激烈等因素，公司董事会和管理层紧紧围绕公司发展战略规划，努力克服国内外经济环境复杂变化带</w:t>
      </w:r>
      <w:r>
        <w:rPr>
          <w:spacing w:val="4"/>
        </w:rPr>
        <w:t> </w:t>
      </w:r>
      <w:r>
        <w:rPr>
          <w:spacing w:val="4"/>
        </w:rPr>
      </w:r>
      <w:r>
        <w:rPr>
          <w:spacing w:val="-3"/>
        </w:rPr>
        <w:t>来的不利因素，积极调整产品结构和市场布局，研发新产品、培育新市场、加强成本管控、市场开拓，稳</w:t>
      </w:r>
      <w:r>
        <w:rPr/>
        <w:t> </w:t>
      </w:r>
      <w:r>
        <w:rPr/>
      </w:r>
      <w:r>
        <w:rPr>
          <w:spacing w:val="-5"/>
        </w:rPr>
        <w:t>步推进各项工作，使企业运行保持稳定，但受到由于大环境导致公司所处的聚酯薄膜行业整体低迷的影响，</w:t>
      </w:r>
      <w:r>
        <w:rPr>
          <w:spacing w:val="-4"/>
        </w:rPr>
        <w:t> </w:t>
      </w:r>
      <w:r>
        <w:rPr>
          <w:spacing w:val="-4"/>
        </w:rPr>
      </w:r>
      <w:r>
        <w:rPr/>
        <w:t>公司</w:t>
      </w:r>
      <w:r>
        <w:rPr>
          <w:rFonts w:ascii="Times New Roman" w:hAnsi="Times New Roman" w:cs="Times New Roman" w:eastAsia="Times New Roman" w:hint="default"/>
        </w:rPr>
        <w:t>2012</w:t>
      </w:r>
      <w:r>
        <w:rPr/>
        <w:t>年度经营业绩受到一定影响。</w:t>
      </w:r>
    </w:p>
    <w:p>
      <w:pPr>
        <w:pStyle w:val="BodyText"/>
        <w:spacing w:line="273" w:lineRule="auto" w:before="149"/>
        <w:ind w:right="0" w:firstLine="420"/>
        <w:jc w:val="left"/>
      </w:pPr>
      <w:r>
        <w:rPr>
          <w:spacing w:val="-3"/>
        </w:rPr>
        <w:t>报告期内，公司坚持先规模化、后差异化的发展战略，继续贯彻立足主业，稳步实施上下游产业链一</w:t>
      </w:r>
      <w:r>
        <w:rPr>
          <w:w w:val="100"/>
        </w:rPr>
        <w:t> </w:t>
      </w:r>
      <w:r>
        <w:rPr>
          <w:spacing w:val="-3"/>
        </w:rPr>
        <w:t>体化的经营策略，强化企业内部管理，落实企业发展的整体规划，大力推进技术创新、品牌创建工作，强</w:t>
      </w:r>
      <w:r>
        <w:rPr>
          <w:spacing w:val="3"/>
        </w:rPr>
        <w:t> </w:t>
      </w:r>
      <w:r>
        <w:rPr>
          <w:spacing w:val="3"/>
        </w:rPr>
      </w:r>
      <w:r>
        <w:rPr>
          <w:spacing w:val="-5"/>
        </w:rPr>
        <w:t>化人力资源人才队伍保障工作，有序组织募集资金项目及超募项目的实施，稳步提升产品质量及技术水平；</w:t>
      </w:r>
      <w:r>
        <w:rPr>
          <w:spacing w:val="-4"/>
        </w:rPr>
        <w:t> </w:t>
      </w:r>
      <w:r>
        <w:rPr>
          <w:spacing w:val="-4"/>
        </w:rPr>
      </w:r>
      <w:r>
        <w:rPr>
          <w:spacing w:val="-3"/>
        </w:rPr>
        <w:t>继续实施差异化产品竞争策略。公司经受了原材料及产品价格剧烈波动、人民币升值及人工成本上涨等困</w:t>
      </w:r>
      <w:r>
        <w:rPr>
          <w:spacing w:val="4"/>
        </w:rPr>
        <w:t> </w:t>
      </w:r>
      <w:r>
        <w:rPr>
          <w:spacing w:val="4"/>
        </w:rPr>
      </w:r>
      <w:r>
        <w:rPr/>
        <w:t>难的考验，使得生产经营稳定，项目建设如期建成，确保了公司持续稳定发展。</w:t>
      </w:r>
    </w:p>
    <w:p>
      <w:pPr>
        <w:spacing w:line="240" w:lineRule="auto" w:before="8"/>
        <w:rPr>
          <w:rFonts w:ascii="宋体" w:hAnsi="宋体" w:cs="宋体" w:eastAsia="宋体" w:hint="default"/>
          <w:sz w:val="21"/>
          <w:szCs w:val="21"/>
        </w:rPr>
      </w:pPr>
    </w:p>
    <w:p>
      <w:pPr>
        <w:pStyle w:val="Heading2"/>
        <w:spacing w:line="240" w:lineRule="auto"/>
        <w:ind w:right="0"/>
        <w:jc w:val="left"/>
      </w:pPr>
      <w:r>
        <w:rPr/>
        <w:t>二、主营业务分析</w:t>
      </w:r>
    </w:p>
    <w:p>
      <w:pPr>
        <w:spacing w:line="240" w:lineRule="auto" w:before="1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、概述</w:t>
      </w:r>
    </w:p>
    <w:p>
      <w:pPr>
        <w:spacing w:line="240" w:lineRule="auto" w:before="7"/>
        <w:rPr>
          <w:rFonts w:ascii="宋体" w:hAnsi="宋体" w:cs="宋体" w:eastAsia="宋体" w:hint="default"/>
          <w:sz w:val="24"/>
          <w:szCs w:val="24"/>
        </w:rPr>
      </w:pPr>
    </w:p>
    <w:p>
      <w:pPr>
        <w:pStyle w:val="BodyText"/>
        <w:spacing w:line="264" w:lineRule="auto"/>
        <w:ind w:right="0" w:firstLine="420"/>
        <w:jc w:val="left"/>
      </w:pPr>
      <w:r>
        <w:rPr>
          <w:rFonts w:ascii="Times New Roman" w:hAnsi="Times New Roman" w:cs="Times New Roman" w:eastAsia="Times New Roman" w:hint="default"/>
          <w:spacing w:val="-3"/>
        </w:rPr>
        <w:t>2012</w:t>
      </w:r>
      <w:r>
        <w:rPr>
          <w:spacing w:val="-3"/>
        </w:rPr>
        <w:t>年在公司董事会的指导下，公司稳步开展各项工作：一是以创新为动力，强化人力资源人才队伍</w:t>
      </w:r>
      <w:r>
        <w:rPr>
          <w:w w:val="100"/>
        </w:rPr>
        <w:t> </w:t>
      </w:r>
      <w:r>
        <w:rPr>
          <w:spacing w:val="-3"/>
        </w:rPr>
        <w:t>保障工作，大力提升技术创新水平，开发新产品，不断满足市场需求。二是以市场为导向，大力实施“三</w:t>
      </w:r>
      <w:r>
        <w:rPr/>
        <w:t> </w:t>
      </w:r>
      <w:r>
        <w:rPr/>
      </w:r>
      <w:r>
        <w:rPr>
          <w:spacing w:val="-3"/>
        </w:rPr>
        <w:t>足鼎立”营销战略，加快销售方式转变，倡导价值营销理念，围绕专业市场、重点客户、网点服务及国际</w:t>
      </w:r>
      <w:r>
        <w:rPr>
          <w:spacing w:val="2"/>
        </w:rPr>
        <w:t> </w:t>
      </w:r>
      <w:r>
        <w:rPr>
          <w:spacing w:val="2"/>
        </w:rPr>
      </w:r>
      <w:r>
        <w:rPr>
          <w:spacing w:val="-3"/>
        </w:rPr>
        <w:t>市场开拓，市场占有率明显提升。三是以积极推行卓越绩效管理，大力实施品牌建设工程，在荣获“市长</w:t>
      </w:r>
      <w:r>
        <w:rPr>
          <w:spacing w:val="3"/>
        </w:rPr>
        <w:t> </w:t>
      </w:r>
      <w:r>
        <w:rPr>
          <w:spacing w:val="3"/>
        </w:rPr>
      </w:r>
      <w:r>
        <w:rPr/>
        <w:t>质量奖”的基础上，</w:t>
      </w:r>
      <w:r>
        <w:rPr>
          <w:rFonts w:ascii="Times New Roman" w:hAnsi="Times New Roman" w:cs="Times New Roman" w:eastAsia="Times New Roman" w:hint="default"/>
        </w:rPr>
        <w:t>“</w:t>
      </w:r>
      <w:r>
        <w:rPr/>
        <w:t>双星</w:t>
      </w:r>
      <w:r>
        <w:rPr>
          <w:rFonts w:ascii="Times New Roman" w:hAnsi="Times New Roman" w:cs="Times New Roman" w:eastAsia="Times New Roman" w:hint="default"/>
        </w:rPr>
        <w:t>SHUANG</w:t>
      </w:r>
      <w:r>
        <w:rPr>
          <w:rFonts w:ascii="Times New Roman" w:hAnsi="Times New Roman" w:cs="Times New Roman" w:eastAsia="Times New Roman" w:hint="default"/>
          <w:spacing w:val="12"/>
        </w:rPr>
        <w:t> </w:t>
      </w:r>
      <w:r>
        <w:rPr>
          <w:rFonts w:ascii="Times New Roman" w:hAnsi="Times New Roman" w:cs="Times New Roman" w:eastAsia="Times New Roman" w:hint="default"/>
        </w:rPr>
        <w:t>XING”</w:t>
      </w:r>
      <w:r>
        <w:rPr/>
        <w:t>商标</w:t>
      </w:r>
      <w:r>
        <w:rPr>
          <w:rFonts w:ascii="Times New Roman" w:hAnsi="Times New Roman" w:cs="Times New Roman" w:eastAsia="Times New Roman" w:hint="default"/>
        </w:rPr>
        <w:t>2012</w:t>
      </w:r>
      <w:r>
        <w:rPr/>
        <w:t>年被国家工商总局认定为“中国驰名商标”。四是认</w:t>
      </w:r>
      <w:r>
        <w:rPr>
          <w:w w:val="100"/>
        </w:rPr>
        <w:t> </w:t>
      </w:r>
      <w:r>
        <w:rPr>
          <w:spacing w:val="-4"/>
        </w:rPr>
        <w:t>真做好募集项目生产运营。</w:t>
      </w:r>
      <w:r>
        <w:rPr>
          <w:rFonts w:ascii="Times New Roman" w:hAnsi="Times New Roman" w:cs="Times New Roman" w:eastAsia="Times New Roman" w:hint="default"/>
          <w:spacing w:val="-4"/>
        </w:rPr>
        <w:t>2012</w:t>
      </w:r>
      <w:r>
        <w:rPr>
          <w:spacing w:val="-4"/>
        </w:rPr>
        <w:t>年公司主要产品聚酯薄膜的销量超过了</w:t>
      </w:r>
      <w:r>
        <w:rPr>
          <w:rFonts w:ascii="Times New Roman" w:hAnsi="Times New Roman" w:cs="Times New Roman" w:eastAsia="Times New Roman" w:hint="default"/>
          <w:spacing w:val="-4"/>
        </w:rPr>
        <w:t>18</w:t>
      </w:r>
      <w:r>
        <w:rPr>
          <w:spacing w:val="-4"/>
        </w:rPr>
        <w:t>万吨，较</w:t>
      </w:r>
      <w:r>
        <w:rPr>
          <w:rFonts w:ascii="Times New Roman" w:hAnsi="Times New Roman" w:cs="Times New Roman" w:eastAsia="Times New Roman" w:hint="default"/>
          <w:spacing w:val="-4"/>
        </w:rPr>
        <w:t>2011</w:t>
      </w:r>
      <w:r>
        <w:rPr>
          <w:spacing w:val="-4"/>
        </w:rPr>
        <w:t>年增长了</w:t>
      </w:r>
      <w:r>
        <w:rPr>
          <w:rFonts w:ascii="Times New Roman" w:hAnsi="Times New Roman" w:cs="Times New Roman" w:eastAsia="Times New Roman" w:hint="default"/>
          <w:spacing w:val="-4"/>
        </w:rPr>
        <w:t>40%</w:t>
      </w:r>
      <w:r>
        <w:rPr>
          <w:spacing w:val="-4"/>
        </w:rPr>
        <w:t>以上，</w:t>
      </w:r>
      <w:r>
        <w:rPr>
          <w:spacing w:val="-1"/>
        </w:rPr>
        <w:t> </w:t>
      </w:r>
      <w:r>
        <w:rPr>
          <w:spacing w:val="-1"/>
        </w:rPr>
      </w:r>
      <w:r>
        <w:rPr/>
        <w:t>差异化产品的比例超过了</w:t>
      </w:r>
      <w:r>
        <w:rPr>
          <w:rFonts w:ascii="Times New Roman" w:hAnsi="Times New Roman" w:cs="Times New Roman" w:eastAsia="Times New Roman" w:hint="default"/>
        </w:rPr>
        <w:t>30%</w:t>
      </w:r>
      <w:r>
        <w:rPr/>
        <w:t>，达到了计划目标。全年实现销售收入</w:t>
      </w:r>
      <w:r>
        <w:rPr>
          <w:rFonts w:ascii="Times New Roman" w:hAnsi="Times New Roman" w:cs="Times New Roman" w:eastAsia="Times New Roman" w:hint="default"/>
        </w:rPr>
        <w:t>21.05</w:t>
      </w:r>
      <w:r>
        <w:rPr/>
        <w:t>亿元，较上年增长</w:t>
      </w:r>
      <w:r>
        <w:rPr>
          <w:rFonts w:ascii="Times New Roman" w:hAnsi="Times New Roman" w:cs="Times New Roman" w:eastAsia="Times New Roman" w:hint="default"/>
        </w:rPr>
        <w:t>7.61%</w:t>
      </w:r>
      <w:r>
        <w:rPr/>
        <w:t>；实现</w:t>
      </w:r>
      <w:r>
        <w:rPr>
          <w:spacing w:val="-81"/>
        </w:rPr>
        <w:t> </w:t>
      </w:r>
      <w:r>
        <w:rPr>
          <w:spacing w:val="-81"/>
        </w:rPr>
      </w:r>
      <w:r>
        <w:rPr/>
        <w:t>净利润</w:t>
      </w:r>
      <w:r>
        <w:rPr>
          <w:rFonts w:ascii="Times New Roman" w:hAnsi="Times New Roman" w:cs="Times New Roman" w:eastAsia="Times New Roman" w:hint="default"/>
        </w:rPr>
        <w:t>1.19</w:t>
      </w:r>
      <w:r>
        <w:rPr/>
        <w:t>亿元，较上年同期减少了</w:t>
      </w:r>
      <w:r>
        <w:rPr>
          <w:rFonts w:ascii="Times New Roman" w:hAnsi="Times New Roman" w:cs="Times New Roman" w:eastAsia="Times New Roman" w:hint="default"/>
        </w:rPr>
        <w:t>68.97%</w:t>
      </w:r>
      <w:r>
        <w:rPr/>
        <w:t>。</w:t>
      </w:r>
    </w:p>
    <w:p>
      <w:pPr>
        <w:pStyle w:val="Heading2"/>
        <w:spacing w:line="240" w:lineRule="auto" w:before="126"/>
        <w:ind w:left="2922" w:right="0"/>
        <w:jc w:val="left"/>
      </w:pPr>
      <w:r>
        <w:rPr/>
        <w:t>营业收入、成本、费用等同比变动情况</w:t>
      </w:r>
    </w:p>
    <w:p>
      <w:pPr>
        <w:pStyle w:val="BodyText"/>
        <w:spacing w:line="240" w:lineRule="auto" w:before="25"/>
        <w:ind w:left="0" w:right="2251"/>
        <w:jc w:val="right"/>
      </w:pPr>
      <w:r>
        <w:rPr>
          <w:spacing w:val="-2"/>
        </w:rPr>
        <w:t>单位：万元</w:t>
      </w:r>
    </w:p>
    <w:p>
      <w:pPr>
        <w:spacing w:line="240" w:lineRule="auto" w:before="10"/>
        <w:rPr>
          <w:rFonts w:ascii="宋体" w:hAnsi="宋体" w:cs="宋体" w:eastAsia="宋体" w:hint="default"/>
          <w:sz w:val="3"/>
          <w:szCs w:val="3"/>
        </w:rPr>
      </w:pPr>
    </w:p>
    <w:tbl>
      <w:tblPr>
        <w:tblW w:w="0" w:type="auto"/>
        <w:jc w:val="left"/>
        <w:tblInd w:w="731" w:type="dxa"/>
        <w:tblLayout w:type="fixed"/>
        <w:tblCellMar>
          <w:top w:w="0" w:type="dxa"/>
          <w:left w:w="0" w:type="dxa"/>
          <w:bottom w:w="0" w:type="dxa"/>
          <w:right w:w="0" w:type="dxa"/>
        </w:tblCellMar>
        <w:tblLook w:val="01E0"/>
      </w:tblPr>
      <w:tblGrid>
        <w:gridCol w:w="1610"/>
        <w:gridCol w:w="1339"/>
        <w:gridCol w:w="1337"/>
        <w:gridCol w:w="1339"/>
        <w:gridCol w:w="1337"/>
        <w:gridCol w:w="1505"/>
      </w:tblGrid>
      <w:tr>
        <w:trPr>
          <w:trHeight w:val="595"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8"/>
              <w:ind w:left="28" w:right="26" w:firstLine="2"/>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年费用占</w:t>
            </w:r>
            <w:r>
              <w:rPr>
                <w:rFonts w:ascii="宋体" w:hAnsi="宋体" w:cs="宋体" w:eastAsia="宋体" w:hint="default"/>
                <w:w w:val="100"/>
                <w:sz w:val="21"/>
                <w:szCs w:val="21"/>
              </w:rPr>
              <w:t> </w:t>
            </w:r>
            <w:r>
              <w:rPr>
                <w:rFonts w:ascii="宋体" w:hAnsi="宋体" w:cs="宋体" w:eastAsia="宋体" w:hint="default"/>
                <w:sz w:val="21"/>
                <w:szCs w:val="21"/>
              </w:rPr>
              <w:t>营业收入比例</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8"/>
              <w:ind w:left="28" w:right="26" w:firstLine="2"/>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年费用占</w:t>
            </w:r>
            <w:r>
              <w:rPr>
                <w:rFonts w:ascii="宋体" w:hAnsi="宋体" w:cs="宋体" w:eastAsia="宋体" w:hint="default"/>
                <w:w w:val="100"/>
                <w:sz w:val="21"/>
                <w:szCs w:val="21"/>
              </w:rPr>
              <w:t> </w:t>
            </w:r>
            <w:r>
              <w:rPr>
                <w:rFonts w:ascii="宋体" w:hAnsi="宋体" w:cs="宋体" w:eastAsia="宋体" w:hint="default"/>
                <w:sz w:val="21"/>
                <w:szCs w:val="21"/>
              </w:rPr>
              <w:t>营业收入比例</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14"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210,477.09</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195,592.26</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7.61%</w:t>
            </w:r>
          </w:p>
        </w:tc>
      </w:tr>
      <w:tr>
        <w:trPr>
          <w:trHeight w:val="317"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188,468.75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89.54%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147,577.46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75.45%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27.71%</w:t>
            </w:r>
          </w:p>
        </w:tc>
      </w:tr>
      <w:tr>
        <w:trPr>
          <w:trHeight w:val="314"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2,637.38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1.25%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1,609.22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0.82%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63.89%</w:t>
            </w:r>
          </w:p>
        </w:tc>
      </w:tr>
      <w:tr>
        <w:trPr>
          <w:trHeight w:val="314"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8,848.30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4.20%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8,274.48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4.23%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6.93%</w:t>
            </w:r>
          </w:p>
        </w:tc>
      </w:tr>
      <w:tr>
        <w:trPr>
          <w:trHeight w:val="314"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-1,263.80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2"/>
                <w:sz w:val="21"/>
              </w:rPr>
              <w:t>-0.60%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-1,616.01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2"/>
                <w:sz w:val="21"/>
              </w:rPr>
              <w:t>-0.83%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21.80%</w:t>
            </w:r>
          </w:p>
        </w:tc>
      </w:tr>
      <w:tr>
        <w:trPr>
          <w:trHeight w:val="317"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10,221.88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4.86%</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8,267.70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4.23%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23.64%</w:t>
            </w:r>
          </w:p>
        </w:tc>
      </w:tr>
      <w:tr>
        <w:trPr>
          <w:trHeight w:val="314"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6,555.10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3.11%</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6,007.43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3.07%</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9.12%</w:t>
            </w:r>
          </w:p>
        </w:tc>
      </w:tr>
      <w:tr>
        <w:trPr>
          <w:trHeight w:val="314"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11,883.34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5.65%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38,290.17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19.58%</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2"/>
                <w:sz w:val="21"/>
              </w:rPr>
              <w:t>-68.97%</w:t>
            </w:r>
          </w:p>
        </w:tc>
      </w:tr>
      <w:tr>
        <w:trPr>
          <w:trHeight w:val="317"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2"/>
                <w:sz w:val="21"/>
              </w:rPr>
              <w:t>1,570.52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0.75%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2"/>
                <w:sz w:val="21"/>
              </w:rPr>
              <w:t>11,071.39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5.66%</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2"/>
                <w:sz w:val="21"/>
              </w:rPr>
              <w:t>-85.81%</w:t>
            </w:r>
          </w:p>
        </w:tc>
      </w:tr>
    </w:tbl>
    <w:p>
      <w:pPr>
        <w:spacing w:after="0" w:line="240" w:lineRule="auto"/>
        <w:jc w:val="right"/>
        <w:rPr>
          <w:rFonts w:ascii="Times New Roman" w:hAnsi="Times New Roman" w:cs="Times New Roman" w:eastAsia="Times New Roman" w:hint="default"/>
          <w:sz w:val="21"/>
          <w:szCs w:val="21"/>
        </w:rPr>
        <w:sectPr>
          <w:footerReference w:type="default" r:id="rId13"/>
          <w:pgSz w:w="11900" w:h="16840"/>
          <w:pgMar w:footer="982" w:header="746" w:top="1060" w:bottom="1180" w:left="980" w:right="900"/>
          <w:pgNumType w:start="10"/>
        </w:sectPr>
      </w:pPr>
    </w:p>
    <w:p>
      <w:pPr>
        <w:spacing w:line="240" w:lineRule="auto" w:before="6"/>
        <w:rPr>
          <w:rFonts w:ascii="宋体" w:hAnsi="宋体" w:cs="宋体" w:eastAsia="宋体" w:hint="default"/>
          <w:sz w:val="23"/>
          <w:szCs w:val="23"/>
        </w:rPr>
      </w:pPr>
    </w:p>
    <w:p>
      <w:pPr>
        <w:pStyle w:val="Heading2"/>
        <w:spacing w:line="240" w:lineRule="auto" w:before="26"/>
        <w:ind w:right="145"/>
        <w:jc w:val="left"/>
      </w:pPr>
      <w:r>
        <w:rPr/>
        <w:t>说明：</w:t>
      </w:r>
    </w:p>
    <w:p>
      <w:pPr>
        <w:pStyle w:val="BodyText"/>
        <w:spacing w:line="240" w:lineRule="auto" w:before="181"/>
        <w:ind w:left="572" w:right="145"/>
        <w:jc w:val="left"/>
      </w:pPr>
      <w:r>
        <w:rPr>
          <w:rFonts w:ascii="Times New Roman" w:hAnsi="Times New Roman" w:cs="Times New Roman" w:eastAsia="Times New Roman" w:hint="default"/>
        </w:rPr>
        <w:t>2012</w:t>
      </w:r>
      <w:r>
        <w:rPr/>
        <w:t>年度三项期间费用率合计较</w:t>
      </w:r>
      <w:r>
        <w:rPr>
          <w:rFonts w:ascii="Times New Roman" w:hAnsi="Times New Roman" w:cs="Times New Roman" w:eastAsia="Times New Roman" w:hint="default"/>
        </w:rPr>
        <w:t>2011</w:t>
      </w:r>
      <w:r>
        <w:rPr/>
        <w:t>年度费用占营业收入的比例增加了</w:t>
      </w:r>
      <w:r>
        <w:rPr>
          <w:rFonts w:ascii="Times New Roman" w:hAnsi="Times New Roman" w:cs="Times New Roman" w:eastAsia="Times New Roman" w:hint="default"/>
        </w:rPr>
        <w:t>0.63%</w:t>
      </w:r>
      <w:r>
        <w:rPr/>
        <w:t>。</w:t>
      </w:r>
    </w:p>
    <w:p>
      <w:pPr>
        <w:pStyle w:val="BodyText"/>
        <w:spacing w:line="256" w:lineRule="auto" w:before="177"/>
        <w:ind w:right="146" w:firstLine="420"/>
        <w:jc w:val="both"/>
      </w:pPr>
      <w:r>
        <w:rPr>
          <w:rFonts w:ascii="Times New Roman" w:hAnsi="Times New Roman" w:cs="Times New Roman" w:eastAsia="Times New Roman" w:hint="default"/>
          <w:spacing w:val="-3"/>
        </w:rPr>
        <w:t>2012</w:t>
      </w:r>
      <w:r>
        <w:rPr>
          <w:spacing w:val="-3"/>
        </w:rPr>
        <w:t>年，公司受到经济下行的影响，市场竞争激烈，产品单价下降幅度较大，使得公司</w:t>
      </w:r>
      <w:r>
        <w:rPr>
          <w:rFonts w:ascii="Times New Roman" w:hAnsi="Times New Roman" w:cs="Times New Roman" w:eastAsia="Times New Roman" w:hint="default"/>
          <w:spacing w:val="-3"/>
        </w:rPr>
        <w:t>2012</w:t>
      </w:r>
      <w:r>
        <w:rPr>
          <w:spacing w:val="-3"/>
        </w:rPr>
        <w:t>年度利润</w:t>
      </w:r>
      <w:r>
        <w:rPr>
          <w:w w:val="100"/>
        </w:rPr>
        <w:t> </w:t>
      </w:r>
      <w:r>
        <w:rPr/>
        <w:t>总额、所得税费用相应减少。净利润较上年同期减少了</w:t>
      </w:r>
      <w:r>
        <w:rPr>
          <w:rFonts w:ascii="Times New Roman" w:hAnsi="Times New Roman" w:cs="Times New Roman" w:eastAsia="Times New Roman" w:hint="default"/>
        </w:rPr>
        <w:t>68.97%</w:t>
      </w:r>
      <w:r>
        <w:rPr/>
        <w:t>，所得税费用较上年减少</w:t>
      </w:r>
      <w:r>
        <w:rPr>
          <w:rFonts w:ascii="Times New Roman" w:hAnsi="Times New Roman" w:cs="Times New Roman" w:eastAsia="Times New Roman" w:hint="default"/>
        </w:rPr>
        <w:t>-85.81%</w:t>
      </w:r>
      <w:r>
        <w:rPr/>
        <w:t>。</w:t>
      </w:r>
    </w:p>
    <w:p>
      <w:pPr>
        <w:pStyle w:val="BodyText"/>
        <w:spacing w:line="240" w:lineRule="auto" w:before="161"/>
        <w:ind w:right="145"/>
        <w:jc w:val="left"/>
      </w:pPr>
      <w:r>
        <w:rPr/>
        <w:t>公司回顾总结前期披露的发展战略和经营计划在报告期内的进展情况</w:t>
      </w:r>
    </w:p>
    <w:p>
      <w:pPr>
        <w:spacing w:line="240" w:lineRule="auto" w:before="10"/>
        <w:rPr>
          <w:rFonts w:ascii="宋体" w:hAnsi="宋体" w:cs="宋体" w:eastAsia="宋体" w:hint="default"/>
          <w:sz w:val="14"/>
          <w:szCs w:val="14"/>
        </w:rPr>
      </w:pPr>
    </w:p>
    <w:p>
      <w:pPr>
        <w:pStyle w:val="BodyText"/>
        <w:spacing w:line="256" w:lineRule="auto"/>
        <w:ind w:right="146" w:firstLine="420"/>
        <w:jc w:val="both"/>
      </w:pPr>
      <w:r>
        <w:rPr>
          <w:rFonts w:ascii="Times New Roman" w:hAnsi="Times New Roman" w:cs="Times New Roman" w:eastAsia="Times New Roman" w:hint="default"/>
        </w:rPr>
        <w:t>1</w:t>
      </w:r>
      <w:r>
        <w:rPr/>
        <w:t>、公司始终坚持先规模化、后差异化的发展战略，</w:t>
      </w:r>
      <w:r>
        <w:rPr>
          <w:rFonts w:ascii="Times New Roman" w:hAnsi="Times New Roman" w:cs="Times New Roman" w:eastAsia="Times New Roman" w:hint="default"/>
        </w:rPr>
        <w:t>2012</w:t>
      </w:r>
      <w:r>
        <w:rPr/>
        <w:t>年公司主要产品聚酯薄膜的销量超过了</w:t>
      </w:r>
      <w:r>
        <w:rPr>
          <w:rFonts w:ascii="Times New Roman" w:hAnsi="Times New Roman" w:cs="Times New Roman" w:eastAsia="Times New Roman" w:hint="default"/>
        </w:rPr>
        <w:t>18</w:t>
      </w:r>
      <w:r>
        <w:rPr/>
        <w:t>万</w:t>
      </w:r>
      <w:r>
        <w:rPr>
          <w:w w:val="100"/>
        </w:rPr>
        <w:t> </w:t>
      </w:r>
      <w:r>
        <w:rPr/>
        <w:t>吨，较</w:t>
      </w:r>
      <w:r>
        <w:rPr>
          <w:rFonts w:ascii="Times New Roman" w:hAnsi="Times New Roman" w:cs="Times New Roman" w:eastAsia="Times New Roman" w:hint="default"/>
        </w:rPr>
        <w:t>2011</w:t>
      </w:r>
      <w:r>
        <w:rPr/>
        <w:t>年增长了</w:t>
      </w:r>
      <w:r>
        <w:rPr>
          <w:rFonts w:ascii="Times New Roman" w:hAnsi="Times New Roman" w:cs="Times New Roman" w:eastAsia="Times New Roman" w:hint="default"/>
        </w:rPr>
        <w:t>40%</w:t>
      </w:r>
      <w:r>
        <w:rPr/>
        <w:t>以上，差异化产品的比例超过了</w:t>
      </w:r>
      <w:r>
        <w:rPr>
          <w:rFonts w:ascii="Times New Roman" w:hAnsi="Times New Roman" w:cs="Times New Roman" w:eastAsia="Times New Roman" w:hint="default"/>
        </w:rPr>
        <w:t>30%</w:t>
      </w:r>
      <w:r>
        <w:rPr/>
        <w:t>，达到了计划目标。</w:t>
      </w:r>
    </w:p>
    <w:p>
      <w:pPr>
        <w:pStyle w:val="BodyText"/>
        <w:spacing w:line="256" w:lineRule="auto" w:before="161"/>
        <w:ind w:right="146" w:firstLine="420"/>
        <w:jc w:val="both"/>
      </w:pPr>
      <w:r>
        <w:rPr>
          <w:rFonts w:ascii="Times New Roman" w:hAnsi="Times New Roman" w:cs="Times New Roman" w:eastAsia="Times New Roman" w:hint="default"/>
        </w:rPr>
        <w:t>2</w:t>
      </w:r>
      <w:r>
        <w:rPr/>
        <w:t>、报告期内加强营销团队建设，完善营销激励制度，培养高素质营销管理人才，加大海外市场的开</w:t>
      </w:r>
      <w:r>
        <w:rPr>
          <w:w w:val="100"/>
        </w:rPr>
        <w:t> </w:t>
      </w:r>
      <w:r>
        <w:rPr/>
        <w:t>拓，同时利用多种渠道加强销售服务建设。</w:t>
      </w:r>
    </w:p>
    <w:p>
      <w:pPr>
        <w:pStyle w:val="BodyText"/>
        <w:spacing w:line="261" w:lineRule="auto" w:before="178"/>
        <w:ind w:right="141" w:firstLine="420"/>
        <w:jc w:val="both"/>
      </w:pPr>
      <w:r>
        <w:rPr>
          <w:rFonts w:ascii="Times New Roman" w:hAnsi="Times New Roman" w:cs="Times New Roman" w:eastAsia="Times New Roman" w:hint="default"/>
        </w:rPr>
        <w:t>3</w:t>
      </w:r>
      <w:r>
        <w:rPr/>
        <w:t>、强化人力资源人才队伍保障工作，认真抓好项目建设。公司于超募项目之一“年产</w:t>
      </w:r>
      <w:r>
        <w:rPr>
          <w:rFonts w:ascii="Times New Roman" w:hAnsi="Times New Roman" w:cs="Times New Roman" w:eastAsia="Times New Roman" w:hint="default"/>
        </w:rPr>
        <w:t>12</w:t>
      </w:r>
      <w:r>
        <w:rPr/>
        <w:t>万吨新型功</w:t>
      </w:r>
      <w:r>
        <w:rPr>
          <w:w w:val="100"/>
        </w:rPr>
        <w:t> </w:t>
      </w:r>
      <w:r>
        <w:rPr/>
        <w:t>能性聚酯薄膜及年产</w:t>
      </w:r>
      <w:r>
        <w:rPr>
          <w:rFonts w:ascii="Times New Roman" w:hAnsi="Times New Roman" w:cs="Times New Roman" w:eastAsia="Times New Roman" w:hint="default"/>
        </w:rPr>
        <w:t>18</w:t>
      </w:r>
      <w:r>
        <w:rPr/>
        <w:t>万吨功能性膜级切片项目”已调试试车运行，公司的另一超募项目“年产</w:t>
      </w:r>
      <w:r>
        <w:rPr>
          <w:rFonts w:ascii="Times New Roman" w:hAnsi="Times New Roman" w:cs="Times New Roman" w:eastAsia="Times New Roman" w:hint="default"/>
        </w:rPr>
        <w:t>5</w:t>
      </w:r>
      <w:r>
        <w:rPr/>
        <w:t>万吨太</w:t>
      </w:r>
      <w:r>
        <w:rPr>
          <w:spacing w:val="-47"/>
        </w:rPr>
        <w:t> </w:t>
      </w:r>
      <w:r>
        <w:rPr>
          <w:spacing w:val="-47"/>
        </w:rPr>
      </w:r>
      <w:r>
        <w:rPr>
          <w:spacing w:val="-3"/>
        </w:rPr>
        <w:t>阳能电池封装材料基材项目”的建设有序推进，目前公司正加大对太阳能电池封装材料背材产品和市场的</w:t>
      </w:r>
      <w:r>
        <w:rPr>
          <w:spacing w:val="4"/>
        </w:rPr>
        <w:t> </w:t>
      </w:r>
      <w:r>
        <w:rPr>
          <w:spacing w:val="4"/>
        </w:rPr>
      </w:r>
      <w:r>
        <w:rPr/>
        <w:t>研发开拓力度，通过延伸该项目的产业链以提高公司的效益。</w:t>
      </w:r>
    </w:p>
    <w:p>
      <w:pPr>
        <w:pStyle w:val="BodyText"/>
        <w:spacing w:line="256" w:lineRule="auto" w:before="174"/>
        <w:ind w:right="146" w:firstLine="420"/>
        <w:jc w:val="both"/>
      </w:pPr>
      <w:r>
        <w:rPr>
          <w:rFonts w:ascii="Times New Roman" w:hAnsi="Times New Roman" w:cs="Times New Roman" w:eastAsia="Times New Roman" w:hint="default"/>
        </w:rPr>
        <w:t>4</w:t>
      </w:r>
      <w:r>
        <w:rPr/>
        <w:t>、公司进一步完善了企业管理制度，严格按照上市公司的标准规范运作。加强内部控制，提高规范</w:t>
      </w:r>
      <w:r>
        <w:rPr>
          <w:w w:val="100"/>
        </w:rPr>
        <w:t> </w:t>
      </w:r>
      <w:r>
        <w:rPr/>
        <w:t>运作水平，加强信息披露和投资者关系管理，健全信息系统，促进公司稳健发展。</w:t>
      </w:r>
    </w:p>
    <w:p>
      <w:pPr>
        <w:spacing w:line="240" w:lineRule="auto" w:before="3"/>
        <w:rPr>
          <w:rFonts w:ascii="宋体" w:hAnsi="宋体" w:cs="宋体" w:eastAsia="宋体" w:hint="default"/>
          <w:sz w:val="15"/>
          <w:szCs w:val="15"/>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pacing w:val="-1"/>
          <w:sz w:val="18"/>
          <w:szCs w:val="18"/>
        </w:rPr>
        <w:t>公司实际经营业绩较曾公开披露过的本年度盈利预测低于或高于</w:t>
      </w:r>
      <w:r>
        <w:rPr>
          <w:rFonts w:ascii="宋体" w:hAnsi="宋体" w:cs="宋体" w:eastAsia="宋体" w:hint="default"/>
          <w:spacing w:val="-2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以上的差异原因</w:t>
      </w:r>
    </w:p>
    <w:p>
      <w:pPr>
        <w:spacing w:before="10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、收入</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4"/>
        <w:rPr>
          <w:rFonts w:ascii="宋体" w:hAnsi="宋体" w:cs="宋体" w:eastAsia="宋体" w:hint="default"/>
          <w:sz w:val="8"/>
          <w:szCs w:val="8"/>
        </w:rPr>
      </w:pPr>
    </w:p>
    <w:tbl>
      <w:tblPr>
        <w:tblW w:w="0" w:type="auto"/>
        <w:jc w:val="left"/>
        <w:tblInd w:w="1081" w:type="dxa"/>
        <w:tblLayout w:type="fixed"/>
        <w:tblCellMar>
          <w:top w:w="0" w:type="dxa"/>
          <w:left w:w="0" w:type="dxa"/>
          <w:bottom w:w="0" w:type="dxa"/>
          <w:right w:w="0" w:type="dxa"/>
        </w:tblCellMar>
        <w:tblLook w:val="01E0"/>
      </w:tblPr>
      <w:tblGrid>
        <w:gridCol w:w="2222"/>
        <w:gridCol w:w="1848"/>
        <w:gridCol w:w="1848"/>
        <w:gridCol w:w="1848"/>
      </w:tblGrid>
      <w:tr>
        <w:trPr>
          <w:trHeight w:val="346"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85"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34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2"/>
                <w:sz w:val="21"/>
              </w:rPr>
              <w:t>2,088,609,782.41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1,944,939,559.85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7.39%</w:t>
            </w:r>
          </w:p>
        </w:tc>
      </w:tr>
      <w:tr>
        <w:trPr>
          <w:trHeight w:val="34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2"/>
                <w:sz w:val="21"/>
              </w:rPr>
              <w:t>16,161,092.56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10,983,053.47</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47.15%</w:t>
            </w:r>
          </w:p>
        </w:tc>
      </w:tr>
      <w:tr>
        <w:trPr>
          <w:trHeight w:val="346"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2"/>
                <w:sz w:val="21"/>
              </w:rPr>
              <w:t>2,104,770,874.97</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1,955,922,613.32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7.61%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2" w:right="14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27"/>
        <w:gridCol w:w="1890"/>
        <w:gridCol w:w="1926"/>
        <w:gridCol w:w="1913"/>
        <w:gridCol w:w="1915"/>
      </w:tblGrid>
      <w:tr>
        <w:trPr>
          <w:trHeight w:val="371" w:hRule="exact"/>
        </w:trPr>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3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1" w:hRule="exact"/>
        </w:trPr>
        <w:tc>
          <w:tcPr>
            <w:tcW w:w="1927"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182,286.42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124,439.16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46.49%</w:t>
            </w:r>
          </w:p>
        </w:tc>
      </w:tr>
      <w:tr>
        <w:trPr>
          <w:trHeight w:val="370" w:hRule="exact"/>
        </w:trPr>
        <w:tc>
          <w:tcPr>
            <w:tcW w:w="1927" w:type="dxa"/>
            <w:vMerge/>
            <w:tcBorders>
              <w:left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181,647.16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140,453.48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29.33%</w:t>
            </w:r>
          </w:p>
        </w:tc>
      </w:tr>
      <w:tr>
        <w:trPr>
          <w:trHeight w:val="370" w:hRule="exact"/>
        </w:trPr>
        <w:tc>
          <w:tcPr>
            <w:tcW w:w="1927" w:type="dxa"/>
            <w:vMerge/>
            <w:tcBorders>
              <w:left w:val="single" w:sz="4" w:space="0" w:color="000000"/>
              <w:bottom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16,104.29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16,743.55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-3.82%</w:t>
            </w:r>
          </w:p>
        </w:tc>
      </w:tr>
      <w:tr>
        <w:trPr>
          <w:trHeight w:val="370" w:hRule="exact"/>
        </w:trPr>
        <w:tc>
          <w:tcPr>
            <w:tcW w:w="1927"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17,179.74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14,286.76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20.25%</w:t>
            </w:r>
          </w:p>
        </w:tc>
      </w:tr>
      <w:tr>
        <w:trPr>
          <w:trHeight w:val="370" w:hRule="exact"/>
        </w:trPr>
        <w:tc>
          <w:tcPr>
            <w:tcW w:w="1927" w:type="dxa"/>
            <w:vMerge/>
            <w:tcBorders>
              <w:left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16,418.23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15,335.64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7.06%</w:t>
            </w:r>
          </w:p>
        </w:tc>
      </w:tr>
      <w:tr>
        <w:trPr>
          <w:trHeight w:val="371" w:hRule="exact"/>
        </w:trPr>
        <w:tc>
          <w:tcPr>
            <w:tcW w:w="1927" w:type="dxa"/>
            <w:vMerge/>
            <w:tcBorders>
              <w:left w:val="single" w:sz="4" w:space="0" w:color="000000"/>
              <w:bottom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-60.22%</w:t>
            </w:r>
          </w:p>
        </w:tc>
      </w:tr>
      <w:tr>
        <w:trPr>
          <w:trHeight w:val="371" w:hRule="exact"/>
        </w:trPr>
        <w:tc>
          <w:tcPr>
            <w:tcW w:w="1927"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6,094.7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7,412.6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-17.78%</w:t>
            </w:r>
          </w:p>
        </w:tc>
      </w:tr>
      <w:tr>
        <w:trPr>
          <w:trHeight w:val="370" w:hRule="exact"/>
        </w:trPr>
        <w:tc>
          <w:tcPr>
            <w:tcW w:w="1927" w:type="dxa"/>
            <w:vMerge/>
            <w:tcBorders>
              <w:left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6,153.51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7,358.13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-16.37%</w:t>
            </w:r>
          </w:p>
        </w:tc>
      </w:tr>
      <w:tr>
        <w:trPr>
          <w:trHeight w:val="370" w:hRule="exact"/>
        </w:trPr>
        <w:tc>
          <w:tcPr>
            <w:tcW w:w="1927" w:type="dxa"/>
            <w:vMerge/>
            <w:tcBorders>
              <w:left w:val="single" w:sz="4" w:space="0" w:color="000000"/>
              <w:bottom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26.39%</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3"/>
        <w:ind w:left="152" w:right="7799"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公司重大的在手订单情况</w:t>
      </w:r>
    </w:p>
    <w:p>
      <w:pPr>
        <w:spacing w:line="360" w:lineRule="auto" w:before="29"/>
        <w:ind w:left="152" w:right="5247"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公司报告期内产品或服务发生重大变化或调整有关情况</w:t>
      </w:r>
    </w:p>
    <w:p>
      <w:pPr>
        <w:spacing w:line="360" w:lineRule="auto" w:before="25"/>
        <w:ind w:left="152" w:right="7978"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公司主要销售客户情况</w:t>
      </w:r>
    </w:p>
    <w:tbl>
      <w:tblPr>
        <w:tblW w:w="0" w:type="auto"/>
        <w:jc w:val="left"/>
        <w:tblInd w:w="147" w:type="dxa"/>
        <w:tblLayout w:type="fixed"/>
        <w:tblCellMar>
          <w:top w:w="0" w:type="dxa"/>
          <w:left w:w="0" w:type="dxa"/>
          <w:bottom w:w="0" w:type="dxa"/>
          <w:right w:w="0" w:type="dxa"/>
        </w:tblCellMar>
        <w:tblLook w:val="01E0"/>
      </w:tblPr>
      <w:tblGrid>
        <w:gridCol w:w="4248"/>
        <w:gridCol w:w="5299"/>
      </w:tblGrid>
      <w:tr>
        <w:trPr>
          <w:trHeight w:val="562" w:hRule="exact"/>
        </w:trPr>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235,815,026.71</w:t>
            </w:r>
          </w:p>
        </w:tc>
      </w:tr>
      <w:tr>
        <w:trPr>
          <w:trHeight w:val="564" w:hRule="exact"/>
        </w:trPr>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11.21%</w:t>
            </w:r>
          </w:p>
        </w:tc>
      </w:tr>
    </w:tbl>
    <w:p>
      <w:pPr>
        <w:spacing w:before="68"/>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1"/>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799"/>
        <w:gridCol w:w="3295"/>
        <w:gridCol w:w="2316"/>
        <w:gridCol w:w="3137"/>
      </w:tblGrid>
      <w:tr>
        <w:trPr>
          <w:trHeight w:val="353"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499"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6"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w w:val="100"/>
                <w:sz w:val="18"/>
              </w:rPr>
              <w:t>1</w:t>
            </w:r>
          </w:p>
        </w:tc>
        <w:tc>
          <w:tcPr>
            <w:tcW w:w="3295" w:type="dxa"/>
            <w:tcBorders>
              <w:top w:val="single" w:sz="10" w:space="0" w:color="D3D3D3"/>
              <w:left w:val="single" w:sz="12" w:space="0" w:color="D3D3D3"/>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16" w:type="dxa"/>
            <w:tcBorders>
              <w:top w:val="single" w:sz="10" w:space="0" w:color="D3D3D3"/>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73,818,371.71</w:t>
            </w:r>
          </w:p>
        </w:tc>
        <w:tc>
          <w:tcPr>
            <w:tcW w:w="3137" w:type="dxa"/>
            <w:tcBorders>
              <w:top w:val="single" w:sz="10" w:space="0" w:color="D3D3D3"/>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w:t>
            </w:r>
          </w:p>
        </w:tc>
      </w:tr>
      <w:tr>
        <w:trPr>
          <w:trHeight w:val="37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w w:val="100"/>
                <w:sz w:val="18"/>
              </w:rPr>
              <w:t>2</w:t>
            </w:r>
          </w:p>
        </w:tc>
        <w:tc>
          <w:tcPr>
            <w:tcW w:w="32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60,567,255.48</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2.88%</w:t>
            </w:r>
          </w:p>
        </w:tc>
      </w:tr>
      <w:tr>
        <w:trPr>
          <w:trHeight w:val="37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w w:val="100"/>
                <w:sz w:val="18"/>
              </w:rPr>
              <w:t>3</w:t>
            </w:r>
          </w:p>
        </w:tc>
        <w:tc>
          <w:tcPr>
            <w:tcW w:w="32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37,216,883.79</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1.77%</w:t>
            </w:r>
          </w:p>
        </w:tc>
      </w:tr>
      <w:tr>
        <w:trPr>
          <w:trHeight w:val="37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w w:val="100"/>
                <w:sz w:val="18"/>
              </w:rPr>
              <w:t>4</w:t>
            </w:r>
          </w:p>
        </w:tc>
        <w:tc>
          <w:tcPr>
            <w:tcW w:w="32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37,038,452.05</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1.76%</w:t>
            </w:r>
          </w:p>
        </w:tc>
      </w:tr>
      <w:tr>
        <w:trPr>
          <w:trHeight w:val="37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w w:val="100"/>
                <w:sz w:val="18"/>
              </w:rPr>
              <w:t>5</w:t>
            </w:r>
          </w:p>
        </w:tc>
        <w:tc>
          <w:tcPr>
            <w:tcW w:w="3295" w:type="dxa"/>
            <w:tcBorders>
              <w:top w:val="single" w:sz="4" w:space="0" w:color="000000"/>
              <w:left w:val="single" w:sz="12" w:space="0" w:color="D3D3D3"/>
              <w:bottom w:val="single" w:sz="13" w:space="0" w:color="D3D3D3"/>
              <w:right w:val="single" w:sz="4" w:space="0" w:color="000000"/>
            </w:tcBorders>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27,174,063.68</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1.29%</w:t>
            </w:r>
          </w:p>
        </w:tc>
      </w:tr>
      <w:tr>
        <w:trPr>
          <w:trHeight w:val="39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235,815,026.71</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11.21%</w:t>
            </w:r>
          </w:p>
        </w:tc>
      </w:tr>
    </w:tbl>
    <w:p>
      <w:pPr>
        <w:spacing w:line="240" w:lineRule="auto" w:before="3"/>
        <w:rPr>
          <w:rFonts w:ascii="宋体" w:hAnsi="宋体" w:cs="宋体" w:eastAsia="宋体" w:hint="default"/>
          <w:sz w:val="19"/>
          <w:szCs w:val="19"/>
        </w:rPr>
      </w:pPr>
    </w:p>
    <w:p>
      <w:pPr>
        <w:spacing w:before="36"/>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sz w:val="21"/>
          <w:szCs w:val="21"/>
        </w:rPr>
        <w:t>、成本</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3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569"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薄膜制造业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1,884,687,490.26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6"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1,475,774,568.97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6"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27.71%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1,607,260,586.48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1,179,476,936.19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197,661,811.54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201,453,327.24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79,745,991.75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94,843,202.98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-15.92%</w:t>
            </w:r>
          </w:p>
        </w:tc>
      </w:tr>
    </w:tbl>
    <w:p>
      <w:pPr>
        <w:spacing w:line="240" w:lineRule="auto" w:before="2"/>
        <w:rPr>
          <w:rFonts w:ascii="宋体" w:hAnsi="宋体" w:cs="宋体" w:eastAsia="宋体" w:hint="default"/>
          <w:sz w:val="27"/>
          <w:szCs w:val="27"/>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9"/>
        <w:rPr>
          <w:rFonts w:ascii="宋体" w:hAnsi="宋体" w:cs="宋体" w:eastAsia="宋体" w:hint="default"/>
          <w:sz w:val="25"/>
          <w:szCs w:val="25"/>
        </w:rPr>
      </w:pPr>
    </w:p>
    <w:p>
      <w:pPr>
        <w:spacing w:line="360" w:lineRule="auto" w:before="44"/>
        <w:ind w:left="152" w:right="4490" w:firstLine="0"/>
        <w:jc w:val="left"/>
        <w:rPr>
          <w:rFonts w:ascii="宋体" w:hAnsi="宋体" w:cs="宋体" w:eastAsia="宋体" w:hint="default"/>
          <w:sz w:val="18"/>
          <w:szCs w:val="18"/>
        </w:rPr>
      </w:pPr>
      <w:r>
        <w:rPr>
          <w:rFonts w:ascii="宋体" w:hAnsi="宋体" w:cs="宋体" w:eastAsia="宋体" w:hint="default"/>
          <w:spacing w:val="-1"/>
          <w:sz w:val="18"/>
          <w:szCs w:val="18"/>
        </w:rPr>
        <w:t>公司按产品分类的成本占营业成本比重无重大变化。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公司主要供应商情况</w:t>
      </w:r>
    </w:p>
    <w:tbl>
      <w:tblPr>
        <w:tblW w:w="0" w:type="auto"/>
        <w:jc w:val="left"/>
        <w:tblInd w:w="159" w:type="dxa"/>
        <w:tblLayout w:type="fixed"/>
        <w:tblCellMar>
          <w:top w:w="0" w:type="dxa"/>
          <w:left w:w="0" w:type="dxa"/>
          <w:bottom w:w="0" w:type="dxa"/>
          <w:right w:w="0" w:type="dxa"/>
        </w:tblCellMar>
        <w:tblLook w:val="01E0"/>
      </w:tblPr>
      <w:tblGrid>
        <w:gridCol w:w="4234"/>
        <w:gridCol w:w="5294"/>
      </w:tblGrid>
      <w:tr>
        <w:trPr>
          <w:trHeight w:val="403" w:hRule="exact"/>
        </w:trPr>
        <w:tc>
          <w:tcPr>
            <w:tcW w:w="4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1,530,896,199.69</w:t>
            </w:r>
          </w:p>
        </w:tc>
      </w:tr>
      <w:tr>
        <w:trPr>
          <w:trHeight w:val="401" w:hRule="exact"/>
        </w:trPr>
        <w:tc>
          <w:tcPr>
            <w:tcW w:w="423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294" w:type="dxa"/>
            <w:tcBorders>
              <w:top w:val="single" w:sz="4" w:space="0" w:color="000000"/>
              <w:left w:val="single" w:sz="13" w:space="0" w:color="FFFFFF"/>
              <w:bottom w:val="single" w:sz="4" w:space="0" w:color="000000"/>
              <w:right w:val="single" w:sz="4" w:space="0" w:color="000000"/>
            </w:tcBorders>
          </w:tcPr>
          <w:p>
            <w:pPr>
              <w:pStyle w:val="TableParagraph"/>
              <w:tabs>
                <w:tab w:pos="4694" w:val="left" w:leader="none"/>
              </w:tabs>
              <w:spacing w:line="240" w:lineRule="auto" w:before="49"/>
              <w:ind w:left="-137"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50.71%</w:t>
            </w:r>
          </w:p>
        </w:tc>
      </w:tr>
    </w:tbl>
    <w:p>
      <w:pPr>
        <w:spacing w:before="65"/>
        <w:ind w:left="152" w:right="4490" w:firstLine="0"/>
        <w:jc w:val="left"/>
        <w:rPr>
          <w:rFonts w:ascii="宋体" w:hAnsi="宋体" w:cs="宋体" w:eastAsia="宋体" w:hint="default"/>
          <w:sz w:val="18"/>
          <w:szCs w:val="18"/>
        </w:rPr>
      </w:pPr>
      <w:r>
        <w:rPr/>
        <w:pict>
          <v:group style="position:absolute;margin-left:270.358795pt;margin-top:-19.238359pt;width:262pt;height:19.6pt;mso-position-horizontal-relative:page;mso-position-vertical-relative:paragraph;z-index:-687712" coordorigin="5407,-385" coordsize="5240,392">
            <v:shape style="position:absolute;left:5407;top:-385;width:5240;height:392" coordorigin="5407,-385" coordsize="5240,392" path="m5407,6l10646,6,10646,-385,5407,-385,5407,6xe" filled="true" fillcolor="#ffffff" stroked="false">
              <v:path arrowok="t"/>
              <v:fill type="solid"/>
            </v:shape>
            <w10:wrap type="none"/>
          </v:group>
        </w:pict>
      </w: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2" w:right="4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911"/>
        <w:gridCol w:w="3172"/>
        <w:gridCol w:w="2316"/>
        <w:gridCol w:w="3137"/>
      </w:tblGrid>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100"/>
                <w:sz w:val="18"/>
              </w:rPr>
              <w:t>1</w:t>
            </w:r>
          </w:p>
        </w:tc>
        <w:tc>
          <w:tcPr>
            <w:tcW w:w="31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635,832,770.73</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100"/>
                <w:sz w:val="18"/>
              </w:rPr>
              <w:t>2</w:t>
            </w:r>
          </w:p>
        </w:tc>
        <w:tc>
          <w:tcPr>
            <w:tcW w:w="31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344,146,268.58</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100"/>
                <w:sz w:val="18"/>
              </w:rPr>
              <w:t>3</w:t>
            </w:r>
          </w:p>
        </w:tc>
        <w:tc>
          <w:tcPr>
            <w:tcW w:w="31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268,575,270.95</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100"/>
                <w:sz w:val="18"/>
              </w:rPr>
              <w:t>4</w:t>
            </w:r>
          </w:p>
        </w:tc>
        <w:tc>
          <w:tcPr>
            <w:tcW w:w="31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143,063,640.72</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100"/>
                <w:sz w:val="18"/>
              </w:rPr>
              <w:t>5</w:t>
            </w:r>
          </w:p>
        </w:tc>
        <w:tc>
          <w:tcPr>
            <w:tcW w:w="31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139,278,248.71</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1,530,896,199.69</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w:t>
            </w:r>
          </w:p>
        </w:tc>
      </w:tr>
    </w:tbl>
    <w:p>
      <w:pPr>
        <w:spacing w:line="240" w:lineRule="auto" w:before="3"/>
        <w:rPr>
          <w:rFonts w:ascii="宋体" w:hAnsi="宋体" w:cs="宋体" w:eastAsia="宋体" w:hint="default"/>
          <w:sz w:val="19"/>
          <w:szCs w:val="19"/>
        </w:rPr>
      </w:pPr>
    </w:p>
    <w:p>
      <w:pPr>
        <w:spacing w:before="36"/>
        <w:ind w:left="152" w:right="4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sz w:val="21"/>
          <w:szCs w:val="21"/>
        </w:rPr>
        <w:t>、费用</w:t>
      </w:r>
    </w:p>
    <w:p>
      <w:pPr>
        <w:spacing w:line="240" w:lineRule="auto" w:before="9"/>
        <w:rPr>
          <w:rFonts w:ascii="宋体" w:hAnsi="宋体" w:cs="宋体" w:eastAsia="宋体" w:hint="default"/>
          <w:sz w:val="25"/>
          <w:szCs w:val="25"/>
        </w:rPr>
      </w:pPr>
    </w:p>
    <w:tbl>
      <w:tblPr>
        <w:tblW w:w="0" w:type="auto"/>
        <w:jc w:val="left"/>
        <w:tblInd w:w="1335" w:type="dxa"/>
        <w:tblLayout w:type="fixed"/>
        <w:tblCellMar>
          <w:top w:w="0" w:type="dxa"/>
          <w:left w:w="0" w:type="dxa"/>
          <w:bottom w:w="0" w:type="dxa"/>
          <w:right w:w="0" w:type="dxa"/>
        </w:tblCellMar>
        <w:tblLook w:val="01E0"/>
      </w:tblPr>
      <w:tblGrid>
        <w:gridCol w:w="1944"/>
        <w:gridCol w:w="1942"/>
        <w:gridCol w:w="1944"/>
        <w:gridCol w:w="1426"/>
      </w:tblGrid>
      <w:tr>
        <w:trPr>
          <w:trHeight w:val="372"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8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74"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2"/>
                <w:sz w:val="21"/>
              </w:rPr>
              <w:t>26,373,751.22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16,092,205.77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63.89%</w:t>
            </w:r>
          </w:p>
        </w:tc>
      </w:tr>
      <w:tr>
        <w:trPr>
          <w:trHeight w:val="372"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2"/>
                <w:sz w:val="21"/>
              </w:rPr>
              <w:t>88,483,006.27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82,744,825.51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6.93%</w:t>
            </w:r>
          </w:p>
        </w:tc>
      </w:tr>
      <w:tr>
        <w:trPr>
          <w:trHeight w:val="389"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2"/>
                <w:sz w:val="21"/>
              </w:rPr>
              <w:t>-12,637,993.37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-16,160,080.28</w:t>
            </w:r>
          </w:p>
        </w:tc>
        <w:tc>
          <w:tcPr>
            <w:tcW w:w="1426"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2"/>
                <w:sz w:val="21"/>
              </w:rPr>
              <w:t>15,705,224.98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110,713,944.51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-85.81%</w:t>
            </w:r>
          </w:p>
        </w:tc>
      </w:tr>
    </w:tbl>
    <w:p>
      <w:pPr>
        <w:pStyle w:val="BodyText"/>
        <w:spacing w:line="408" w:lineRule="auto"/>
        <w:ind w:left="572" w:right="1318"/>
        <w:jc w:val="left"/>
      </w:pPr>
      <w:r>
        <w:rPr/>
        <w:t>说明：</w:t>
      </w:r>
      <w:r>
        <w:rPr>
          <w:spacing w:val="-102"/>
        </w:rPr>
        <w:t> </w:t>
      </w:r>
      <w:r>
        <w:rPr>
          <w:spacing w:val="-102"/>
        </w:rPr>
      </w:r>
      <w:r>
        <w:rPr>
          <w:spacing w:val="-2"/>
        </w:rPr>
        <w:t>销售费用增加了</w:t>
      </w:r>
      <w:r>
        <w:rPr>
          <w:rFonts w:ascii="Times New Roman" w:hAnsi="Times New Roman" w:cs="Times New Roman" w:eastAsia="Times New Roman" w:hint="default"/>
          <w:spacing w:val="-2"/>
        </w:rPr>
        <w:t>63.89%</w:t>
      </w:r>
      <w:r>
        <w:rPr>
          <w:spacing w:val="-2"/>
        </w:rPr>
        <w:t>，主要原因系公司为开拓市场而相应增加了营销投入所致；</w:t>
      </w:r>
    </w:p>
    <w:p>
      <w:pPr>
        <w:pStyle w:val="BodyText"/>
        <w:spacing w:line="273" w:lineRule="auto" w:before="14"/>
        <w:ind w:right="96" w:firstLine="420"/>
        <w:jc w:val="left"/>
      </w:pPr>
      <w:r>
        <w:rPr>
          <w:spacing w:val="-3"/>
        </w:rPr>
        <w:t>财务费用变动，主要原因是报告期内将暂时闲置的部分募集资金办理定期存款减少，利息收入较同期</w:t>
      </w:r>
      <w:r>
        <w:rPr>
          <w:w w:val="100"/>
        </w:rPr>
        <w:t> </w:t>
      </w:r>
      <w:r>
        <w:rPr/>
        <w:t>减少。</w:t>
      </w:r>
    </w:p>
    <w:p>
      <w:pPr>
        <w:pStyle w:val="BodyText"/>
        <w:spacing w:line="256" w:lineRule="auto" w:before="163"/>
        <w:ind w:right="98" w:firstLine="504"/>
        <w:jc w:val="both"/>
      </w:pPr>
      <w:r>
        <w:rPr/>
        <w:t>所得税费用减少了</w:t>
      </w:r>
      <w:r>
        <w:rPr>
          <w:rFonts w:ascii="Times New Roman" w:hAnsi="Times New Roman" w:cs="Times New Roman" w:eastAsia="Times New Roman" w:hint="default"/>
        </w:rPr>
        <w:t>85.81%</w:t>
      </w:r>
      <w:r>
        <w:rPr/>
        <w:t>，主要原因为受到经济形势的影响，市场竞争激烈，产品单价下降幅度较</w:t>
      </w:r>
      <w:r>
        <w:rPr>
          <w:w w:val="100"/>
        </w:rPr>
        <w:t> </w:t>
      </w:r>
      <w:r>
        <w:rPr>
          <w:spacing w:val="-3"/>
        </w:rPr>
        <w:t>大，使得公司</w:t>
      </w:r>
      <w:r>
        <w:rPr>
          <w:rFonts w:ascii="Times New Roman" w:hAnsi="Times New Roman" w:cs="Times New Roman" w:eastAsia="Times New Roman" w:hint="default"/>
          <w:spacing w:val="-3"/>
        </w:rPr>
        <w:t>2012</w:t>
      </w:r>
      <w:r>
        <w:rPr>
          <w:spacing w:val="-3"/>
        </w:rPr>
        <w:t>年度利润总额有所下降相应所得税费用较同期减少；此外，公司</w:t>
      </w:r>
      <w:r>
        <w:rPr>
          <w:rFonts w:ascii="Times New Roman" w:hAnsi="Times New Roman" w:cs="Times New Roman" w:eastAsia="Times New Roman" w:hint="default"/>
          <w:spacing w:val="-3"/>
        </w:rPr>
        <w:t>2012</w:t>
      </w:r>
      <w:r>
        <w:rPr>
          <w:spacing w:val="-3"/>
        </w:rPr>
        <w:t>年被评定为高新技</w:t>
      </w:r>
      <w:r>
        <w:rPr>
          <w:spacing w:val="11"/>
        </w:rPr>
        <w:t> </w:t>
      </w:r>
      <w:r>
        <w:rPr>
          <w:spacing w:val="11"/>
        </w:rPr>
      </w:r>
      <w:r>
        <w:rPr>
          <w:spacing w:val="-4"/>
        </w:rPr>
        <w:t>术企业并取得认定证书，按照《中华人民共和国企业所得税法》的规定，</w:t>
      </w:r>
      <w:r>
        <w:rPr>
          <w:rFonts w:ascii="Times New Roman" w:hAnsi="Times New Roman" w:cs="Times New Roman" w:eastAsia="Times New Roman" w:hint="default"/>
          <w:spacing w:val="-4"/>
        </w:rPr>
        <w:t>2012</w:t>
      </w:r>
      <w:r>
        <w:rPr>
          <w:spacing w:val="-4"/>
        </w:rPr>
        <w:t>年度执行</w:t>
      </w:r>
      <w:r>
        <w:rPr>
          <w:rFonts w:ascii="Times New Roman" w:hAnsi="Times New Roman" w:cs="Times New Roman" w:eastAsia="Times New Roman" w:hint="default"/>
          <w:spacing w:val="-4"/>
        </w:rPr>
        <w:t>15%</w:t>
      </w:r>
      <w:r>
        <w:rPr>
          <w:spacing w:val="-4"/>
        </w:rPr>
        <w:t>的所得税税率。</w:t>
      </w:r>
    </w:p>
    <w:p>
      <w:pPr>
        <w:spacing w:line="240" w:lineRule="auto" w:before="4"/>
        <w:rPr>
          <w:rFonts w:ascii="宋体" w:hAnsi="宋体" w:cs="宋体" w:eastAsia="宋体" w:hint="default"/>
          <w:sz w:val="23"/>
          <w:szCs w:val="23"/>
        </w:rPr>
      </w:pPr>
    </w:p>
    <w:p>
      <w:pPr>
        <w:pStyle w:val="BodyText"/>
        <w:spacing w:line="240" w:lineRule="auto"/>
        <w:ind w:right="4490"/>
        <w:jc w:val="left"/>
      </w:pPr>
      <w:r>
        <w:rPr>
          <w:rFonts w:ascii="Times New Roman" w:hAnsi="Times New Roman" w:cs="Times New Roman" w:eastAsia="Times New Roman" w:hint="default"/>
          <w:b/>
          <w:bCs/>
        </w:rPr>
        <w:t>5</w:t>
      </w:r>
      <w:r>
        <w:rPr/>
        <w:t>、研发支出</w:t>
      </w:r>
    </w:p>
    <w:p>
      <w:pPr>
        <w:spacing w:line="240" w:lineRule="auto" w:before="9"/>
        <w:rPr>
          <w:rFonts w:ascii="宋体" w:hAnsi="宋体" w:cs="宋体" w:eastAsia="宋体"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3706"/>
        <w:gridCol w:w="1860"/>
        <w:gridCol w:w="1860"/>
      </w:tblGrid>
      <w:tr>
        <w:trPr>
          <w:trHeight w:val="330" w:hRule="exact"/>
        </w:trPr>
        <w:tc>
          <w:tcPr>
            <w:tcW w:w="3706" w:type="dxa"/>
            <w:tcBorders>
              <w:top w:val="single" w:sz="6" w:space="0" w:color="000000"/>
              <w:left w:val="nil" w:sz="6" w:space="0" w:color="auto"/>
              <w:bottom w:val="single" w:sz="12" w:space="0" w:color="000000"/>
              <w:right w:val="single" w:sz="8" w:space="0" w:color="000000"/>
            </w:tcBorders>
            <w:shd w:val="clear" w:color="auto" w:fill="C0C0C0"/>
          </w:tcPr>
          <w:p>
            <w:pPr>
              <w:pStyle w:val="TableParagraph"/>
              <w:tabs>
                <w:tab w:pos="499" w:val="left" w:leader="none"/>
              </w:tabs>
              <w:spacing w:line="272"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60" w:type="dxa"/>
            <w:tcBorders>
              <w:top w:val="single" w:sz="6" w:space="0" w:color="000000"/>
              <w:left w:val="single" w:sz="8" w:space="0" w:color="000000"/>
              <w:bottom w:val="single" w:sz="12" w:space="0" w:color="000000"/>
              <w:right w:val="single" w:sz="8" w:space="0" w:color="000000"/>
            </w:tcBorders>
            <w:shd w:val="clear" w:color="auto" w:fill="C0C0C0"/>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宋体" w:hAnsi="宋体" w:cs="宋体" w:eastAsia="宋体" w:hint="default"/>
                <w:sz w:val="21"/>
                <w:szCs w:val="21"/>
              </w:rPr>
              <w:t>年</w:t>
            </w:r>
          </w:p>
        </w:tc>
        <w:tc>
          <w:tcPr>
            <w:tcW w:w="1860" w:type="dxa"/>
            <w:tcBorders>
              <w:top w:val="single" w:sz="6" w:space="0" w:color="000000"/>
              <w:left w:val="single" w:sz="8" w:space="0" w:color="000000"/>
              <w:bottom w:val="single" w:sz="12" w:space="0" w:color="000000"/>
              <w:right w:val="single" w:sz="8" w:space="0" w:color="000000"/>
            </w:tcBorders>
            <w:shd w:val="clear" w:color="auto" w:fill="C0C0C0"/>
          </w:tcPr>
          <w:p>
            <w:pPr>
              <w:pStyle w:val="TableParagraph"/>
              <w:spacing w:line="288"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sz w:val="21"/>
                <w:szCs w:val="21"/>
              </w:rPr>
              <w:t>年</w:t>
            </w:r>
          </w:p>
        </w:tc>
      </w:tr>
      <w:tr>
        <w:trPr>
          <w:trHeight w:val="376" w:hRule="exact"/>
        </w:trPr>
        <w:tc>
          <w:tcPr>
            <w:tcW w:w="3706" w:type="dxa"/>
            <w:tcBorders>
              <w:top w:val="single" w:sz="15" w:space="0" w:color="000000"/>
              <w:left w:val="nil" w:sz="6" w:space="0" w:color="auto"/>
              <w:bottom w:val="single" w:sz="12" w:space="0" w:color="000000"/>
              <w:right w:val="single" w:sz="8" w:space="0" w:color="000000"/>
            </w:tcBorders>
          </w:tcPr>
          <w:p>
            <w:pPr>
              <w:pStyle w:val="TableParagraph"/>
              <w:spacing w:line="240" w:lineRule="auto" w:before="8"/>
              <w:ind w:left="22" w:right="0"/>
              <w:jc w:val="center"/>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15" w:space="0" w:color="000000"/>
              <w:left w:val="single" w:sz="8" w:space="0" w:color="000000"/>
              <w:bottom w:val="single" w:sz="12"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21"/>
                <w:szCs w:val="21"/>
              </w:rPr>
            </w:pPr>
            <w:r>
              <w:rPr>
                <w:rFonts w:ascii="Times New Roman"/>
                <w:sz w:val="21"/>
              </w:rPr>
              <w:t>65,551,047.82</w:t>
            </w:r>
          </w:p>
        </w:tc>
        <w:tc>
          <w:tcPr>
            <w:tcW w:w="1860" w:type="dxa"/>
            <w:tcBorders>
              <w:top w:val="single" w:sz="15" w:space="0" w:color="000000"/>
              <w:left w:val="single" w:sz="8" w:space="0" w:color="000000"/>
              <w:bottom w:val="single" w:sz="12"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21"/>
                <w:szCs w:val="21"/>
              </w:rPr>
            </w:pPr>
            <w:r>
              <w:rPr>
                <w:rFonts w:ascii="Times New Roman"/>
                <w:sz w:val="21"/>
              </w:rPr>
              <w:t>60,074,348.91</w:t>
            </w:r>
          </w:p>
        </w:tc>
      </w:tr>
      <w:tr>
        <w:trPr>
          <w:trHeight w:val="353" w:hRule="exact"/>
        </w:trPr>
        <w:tc>
          <w:tcPr>
            <w:tcW w:w="3706" w:type="dxa"/>
            <w:tcBorders>
              <w:top w:val="single" w:sz="12" w:space="0" w:color="000000"/>
              <w:left w:val="nil" w:sz="6" w:space="0" w:color="auto"/>
              <w:bottom w:val="single" w:sz="12" w:space="0" w:color="000000"/>
              <w:right w:val="single" w:sz="8" w:space="0" w:color="000000"/>
            </w:tcBorders>
          </w:tcPr>
          <w:p>
            <w:pPr>
              <w:pStyle w:val="TableParagraph"/>
              <w:spacing w:line="281" w:lineRule="exact"/>
              <w:ind w:left="24" w:right="0"/>
              <w:jc w:val="center"/>
              <w:rPr>
                <w:rFonts w:ascii="宋体" w:hAnsi="宋体" w:cs="宋体" w:eastAsia="宋体" w:hint="default"/>
                <w:sz w:val="21"/>
                <w:szCs w:val="21"/>
              </w:rPr>
            </w:pPr>
            <w:r>
              <w:rPr>
                <w:rFonts w:ascii="宋体" w:hAnsi="宋体" w:cs="宋体" w:eastAsia="宋体" w:hint="default"/>
                <w:sz w:val="21"/>
                <w:szCs w:val="21"/>
              </w:rPr>
              <w:t>研发支出占净资产比例（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1.81%</w:t>
            </w:r>
          </w:p>
        </w:tc>
        <w:tc>
          <w:tcPr>
            <w:tcW w:w="18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1.62%</w:t>
            </w:r>
          </w:p>
        </w:tc>
      </w:tr>
      <w:tr>
        <w:trPr>
          <w:trHeight w:val="353" w:hRule="exact"/>
        </w:trPr>
        <w:tc>
          <w:tcPr>
            <w:tcW w:w="3706" w:type="dxa"/>
            <w:tcBorders>
              <w:top w:val="single" w:sz="12" w:space="0" w:color="000000"/>
              <w:left w:val="nil" w:sz="6" w:space="0" w:color="auto"/>
              <w:bottom w:val="single" w:sz="12" w:space="0" w:color="000000"/>
              <w:right w:val="single" w:sz="8" w:space="0" w:color="000000"/>
            </w:tcBorders>
          </w:tcPr>
          <w:p>
            <w:pPr>
              <w:pStyle w:val="TableParagraph"/>
              <w:spacing w:line="281" w:lineRule="exact"/>
              <w:ind w:left="22" w:right="0"/>
              <w:jc w:val="center"/>
              <w:rPr>
                <w:rFonts w:ascii="宋体" w:hAnsi="宋体" w:cs="宋体" w:eastAsia="宋体" w:hint="default"/>
                <w:sz w:val="21"/>
                <w:szCs w:val="21"/>
              </w:rPr>
            </w:pPr>
            <w:r>
              <w:rPr>
                <w:rFonts w:ascii="宋体" w:hAnsi="宋体" w:cs="宋体" w:eastAsia="宋体" w:hint="default"/>
                <w:sz w:val="21"/>
                <w:szCs w:val="21"/>
              </w:rPr>
              <w:t>研发支出占主营业务收入比例（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3.11%</w:t>
            </w:r>
          </w:p>
        </w:tc>
        <w:tc>
          <w:tcPr>
            <w:tcW w:w="18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3.07%</w:t>
            </w:r>
          </w:p>
        </w:tc>
      </w:tr>
    </w:tbl>
    <w:p>
      <w:pPr>
        <w:spacing w:line="240" w:lineRule="auto" w:before="3"/>
        <w:rPr>
          <w:rFonts w:ascii="宋体" w:hAnsi="宋体" w:cs="宋体" w:eastAsia="宋体" w:hint="default"/>
          <w:sz w:val="8"/>
          <w:szCs w:val="8"/>
        </w:rPr>
      </w:pPr>
    </w:p>
    <w:p>
      <w:pPr>
        <w:pStyle w:val="BodyText"/>
        <w:spacing w:line="408" w:lineRule="auto" w:before="36"/>
        <w:ind w:left="572" w:right="96"/>
        <w:jc w:val="left"/>
      </w:pPr>
      <w:r>
        <w:rPr/>
        <w:t>公司报告期正在从事的研发项目情况如下：</w:t>
      </w:r>
      <w:r>
        <w:rPr>
          <w:w w:val="100"/>
        </w:rPr>
        <w:t> </w:t>
      </w:r>
      <w:r>
        <w:rPr>
          <w:spacing w:val="-1"/>
        </w:rPr>
        <w:t>公司研发支出主要是公司开展新材料功能性聚酯薄膜发生的支出。本年与上年同比增长了</w:t>
      </w:r>
      <w:r>
        <w:rPr>
          <w:rFonts w:ascii="Times New Roman" w:hAnsi="Times New Roman" w:cs="Times New Roman" w:eastAsia="Times New Roman" w:hint="default"/>
          <w:spacing w:val="-1"/>
        </w:rPr>
        <w:t>9.11%</w:t>
      </w:r>
      <w:r>
        <w:rPr>
          <w:spacing w:val="-1"/>
        </w:rPr>
        <w:t>，主</w:t>
      </w:r>
    </w:p>
    <w:p>
      <w:pPr>
        <w:spacing w:after="0" w:line="408" w:lineRule="auto"/>
        <w:jc w:val="left"/>
        <w:sectPr>
          <w:pgSz w:w="11900" w:h="16840"/>
          <w:pgMar w:header="746" w:footer="982" w:top="1060" w:bottom="118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318"/>
        <w:jc w:val="left"/>
      </w:pPr>
      <w:r>
        <w:rPr/>
        <w:t>要是由于公司加大了功能性聚酯薄膜及原料的研发投入力度，部份产品已投放市场。</w:t>
      </w:r>
    </w:p>
    <w:p>
      <w:pPr>
        <w:spacing w:line="240" w:lineRule="auto" w:before="10"/>
        <w:rPr>
          <w:rFonts w:ascii="宋体" w:hAnsi="宋体" w:cs="宋体" w:eastAsia="宋体" w:hint="default"/>
          <w:sz w:val="25"/>
          <w:szCs w:val="25"/>
        </w:rPr>
      </w:pPr>
    </w:p>
    <w:p>
      <w:pPr>
        <w:pStyle w:val="BodyText"/>
        <w:spacing w:line="240" w:lineRule="auto"/>
        <w:ind w:right="4490"/>
        <w:jc w:val="left"/>
      </w:pPr>
      <w:r>
        <w:rPr>
          <w:rFonts w:ascii="Times New Roman" w:hAnsi="Times New Roman" w:cs="Times New Roman" w:eastAsia="Times New Roman" w:hint="default"/>
          <w:b/>
          <w:bCs/>
        </w:rPr>
        <w:t>6</w:t>
      </w:r>
      <w:r>
        <w:rPr/>
        <w:t>、现金流</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12"/>
        <w:rPr>
          <w:rFonts w:ascii="宋体" w:hAnsi="宋体" w:cs="宋体" w:eastAsia="宋体"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3108"/>
        <w:gridCol w:w="2203"/>
        <w:gridCol w:w="2203"/>
        <w:gridCol w:w="2206"/>
      </w:tblGrid>
      <w:tr>
        <w:trPr>
          <w:trHeight w:val="359"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48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7"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03" w:type="dxa"/>
            <w:tcBorders>
              <w:top w:val="single" w:sz="14" w:space="0" w:color="D3D3D3"/>
              <w:left w:val="single" w:sz="4" w:space="0" w:color="000000"/>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2"/>
                <w:sz w:val="18"/>
              </w:rPr>
              <w:t>2,381,732,117.36</w:t>
            </w:r>
          </w:p>
        </w:tc>
        <w:tc>
          <w:tcPr>
            <w:tcW w:w="2203" w:type="dxa"/>
            <w:tcBorders>
              <w:top w:val="single" w:sz="14" w:space="0" w:color="D3D3D3"/>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1,861,317,439.63</w:t>
            </w:r>
          </w:p>
        </w:tc>
        <w:tc>
          <w:tcPr>
            <w:tcW w:w="2206" w:type="dxa"/>
            <w:tcBorders>
              <w:top w:val="single" w:sz="14" w:space="0" w:color="D3D3D3"/>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27.96%</w:t>
            </w:r>
          </w:p>
        </w:tc>
      </w:tr>
      <w:tr>
        <w:trPr>
          <w:trHeight w:val="415"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2,301,267,628.93</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1,808,696,191.20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27.23%</w:t>
            </w:r>
          </w:p>
        </w:tc>
      </w:tr>
      <w:tr>
        <w:trPr>
          <w:trHeight w:val="415"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80,464,488.43</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52,621,248.43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52.91%</w:t>
            </w:r>
          </w:p>
        </w:tc>
      </w:tr>
      <w:tr>
        <w:trPr>
          <w:trHeight w:val="437"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1,057,666,758.83</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6,948,635.59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15,121.21%</w:t>
            </w:r>
          </w:p>
        </w:tc>
      </w:tr>
      <w:tr>
        <w:trPr>
          <w:trHeight w:val="415"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895,874,378.30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2,524,066,048.04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-64.51%</w:t>
            </w:r>
          </w:p>
        </w:tc>
      </w:tr>
      <w:tr>
        <w:trPr>
          <w:trHeight w:val="415"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161,792,380.53</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2"/>
                <w:sz w:val="18"/>
              </w:rPr>
              <w:t>-2,517,117,412.45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-106.43%</w:t>
            </w:r>
          </w:p>
        </w:tc>
      </w:tr>
      <w:tr>
        <w:trPr>
          <w:trHeight w:val="437"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45,234,091.39</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2,858,492,595.78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-98.42%</w:t>
            </w:r>
          </w:p>
        </w:tc>
      </w:tr>
      <w:tr>
        <w:trPr>
          <w:trHeight w:val="415" w:hRule="exact"/>
        </w:trPr>
        <w:tc>
          <w:tcPr>
            <w:tcW w:w="3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275,446,046.36</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349,831,650.07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-21.26%</w:t>
            </w:r>
          </w:p>
        </w:tc>
      </w:tr>
      <w:tr>
        <w:trPr>
          <w:trHeight w:val="415" w:hRule="exact"/>
        </w:trPr>
        <w:tc>
          <w:tcPr>
            <w:tcW w:w="3108"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0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-230,211,954.97</w:t>
            </w:r>
          </w:p>
        </w:tc>
        <w:tc>
          <w:tcPr>
            <w:tcW w:w="220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2,508,660,945.71</w:t>
            </w:r>
          </w:p>
        </w:tc>
        <w:tc>
          <w:tcPr>
            <w:tcW w:w="22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-109.18%</w:t>
            </w:r>
          </w:p>
        </w:tc>
      </w:tr>
      <w:tr>
        <w:trPr>
          <w:trHeight w:val="437" w:hRule="exact"/>
        </w:trPr>
        <w:tc>
          <w:tcPr>
            <w:tcW w:w="3108"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0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12,474,079.13</w:t>
            </w:r>
          </w:p>
        </w:tc>
        <w:tc>
          <w:tcPr>
            <w:tcW w:w="220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43,609,948.64</w:t>
            </w:r>
          </w:p>
        </w:tc>
        <w:tc>
          <w:tcPr>
            <w:tcW w:w="22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-71.4%</w:t>
            </w:r>
          </w:p>
        </w:tc>
      </w:tr>
    </w:tbl>
    <w:p>
      <w:pPr>
        <w:spacing w:before="49"/>
        <w:ind w:left="152" w:right="449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4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60" w:lineRule="atLeast" w:before="31"/>
        <w:ind w:left="572" w:right="96" w:hanging="420"/>
        <w:jc w:val="left"/>
      </w:pPr>
      <w:r>
        <w:rPr/>
        <w:t>报告期末现金及现金等价物净增加额为</w:t>
      </w:r>
      <w:r>
        <w:rPr>
          <w:rFonts w:ascii="Times New Roman" w:hAnsi="Times New Roman" w:cs="Times New Roman" w:eastAsia="Times New Roman" w:hint="default"/>
        </w:rPr>
        <w:t>12,474,079.13</w:t>
      </w:r>
      <w:r>
        <w:rPr/>
        <w:t>元。其中：</w:t>
      </w:r>
      <w:r>
        <w:rPr>
          <w:w w:val="100"/>
        </w:rPr>
        <w:t> </w:t>
      </w:r>
      <w:r>
        <w:rPr>
          <w:spacing w:val="-2"/>
        </w:rPr>
        <w:t>1.公司经营活动产生的现金净流量</w:t>
      </w:r>
      <w:r>
        <w:rPr>
          <w:rFonts w:ascii="Times New Roman" w:hAnsi="Times New Roman" w:cs="Times New Roman" w:eastAsia="Times New Roman" w:hint="default"/>
          <w:spacing w:val="-2"/>
        </w:rPr>
        <w:t>80,464,488.43</w:t>
      </w:r>
      <w:r>
        <w:rPr>
          <w:spacing w:val="-2"/>
        </w:rPr>
        <w:t>元，较</w:t>
      </w:r>
      <w:r>
        <w:rPr>
          <w:rFonts w:ascii="Times New Roman" w:hAnsi="Times New Roman" w:cs="Times New Roman" w:eastAsia="Times New Roman" w:hint="default"/>
          <w:spacing w:val="-2"/>
        </w:rPr>
        <w:t>2011</w:t>
      </w:r>
      <w:r>
        <w:rPr>
          <w:spacing w:val="-2"/>
        </w:rPr>
        <w:t>年度增加了</w:t>
      </w:r>
      <w:r>
        <w:rPr>
          <w:rFonts w:ascii="Times New Roman" w:hAnsi="Times New Roman" w:cs="Times New Roman" w:eastAsia="Times New Roman" w:hint="default"/>
          <w:spacing w:val="-2"/>
        </w:rPr>
        <w:t>52.91%</w:t>
      </w:r>
      <w:r>
        <w:rPr>
          <w:spacing w:val="-2"/>
        </w:rPr>
        <w:t>，主要原因是报告期内</w:t>
      </w:r>
    </w:p>
    <w:p>
      <w:pPr>
        <w:pStyle w:val="BodyText"/>
        <w:spacing w:line="240" w:lineRule="auto" w:before="21"/>
        <w:ind w:right="4490"/>
        <w:jc w:val="left"/>
      </w:pPr>
      <w:r>
        <w:rPr/>
        <w:t>公司主营收入增加；</w:t>
      </w:r>
    </w:p>
    <w:p>
      <w:pPr>
        <w:spacing w:line="240" w:lineRule="auto" w:before="10"/>
        <w:rPr>
          <w:rFonts w:ascii="宋体" w:hAnsi="宋体" w:cs="宋体" w:eastAsia="宋体" w:hint="default"/>
          <w:sz w:val="14"/>
          <w:szCs w:val="14"/>
        </w:rPr>
      </w:pPr>
    </w:p>
    <w:p>
      <w:pPr>
        <w:pStyle w:val="BodyText"/>
        <w:spacing w:line="256" w:lineRule="auto"/>
        <w:ind w:right="96" w:firstLine="420"/>
        <w:jc w:val="left"/>
      </w:pPr>
      <w:r>
        <w:rPr>
          <w:spacing w:val="-2"/>
        </w:rPr>
        <w:t>2.投资活动产生的现金净流量为</w:t>
      </w:r>
      <w:r>
        <w:rPr>
          <w:rFonts w:ascii="Times New Roman" w:hAnsi="Times New Roman" w:cs="Times New Roman" w:eastAsia="Times New Roman" w:hint="default"/>
          <w:spacing w:val="-2"/>
        </w:rPr>
        <w:t>161,792,380.53</w:t>
      </w:r>
      <w:r>
        <w:rPr>
          <w:spacing w:val="-2"/>
        </w:rPr>
        <w:t>元，较</w:t>
      </w:r>
      <w:r>
        <w:rPr>
          <w:rFonts w:ascii="Times New Roman" w:hAnsi="Times New Roman" w:cs="Times New Roman" w:eastAsia="Times New Roman" w:hint="default"/>
          <w:spacing w:val="-2"/>
        </w:rPr>
        <w:t>2011</w:t>
      </w:r>
      <w:r>
        <w:rPr>
          <w:spacing w:val="-2"/>
        </w:rPr>
        <w:t>年度减少了</w:t>
      </w:r>
      <w:r>
        <w:rPr>
          <w:rFonts w:ascii="Times New Roman" w:hAnsi="Times New Roman" w:cs="Times New Roman" w:eastAsia="Times New Roman" w:hint="default"/>
          <w:spacing w:val="-2"/>
        </w:rPr>
        <w:t>106.43%</w:t>
      </w:r>
      <w:r>
        <w:rPr>
          <w:spacing w:val="-2"/>
        </w:rPr>
        <w:t>，主要原因是报告期内</w:t>
      </w:r>
      <w:r>
        <w:rPr>
          <w:w w:val="100"/>
        </w:rPr>
        <w:t> </w:t>
      </w:r>
      <w:r>
        <w:rPr/>
        <w:t>公司的募集资金投资项目投入，使投资活动现金流出较</w:t>
      </w:r>
      <w:r>
        <w:rPr>
          <w:rFonts w:ascii="Times New Roman" w:hAnsi="Times New Roman" w:cs="Times New Roman" w:eastAsia="Times New Roman" w:hint="default"/>
        </w:rPr>
        <w:t>2011</w:t>
      </w:r>
      <w:r>
        <w:rPr/>
        <w:t>年同期减少所致；</w:t>
      </w:r>
    </w:p>
    <w:p>
      <w:pPr>
        <w:pStyle w:val="BodyText"/>
        <w:spacing w:line="256" w:lineRule="auto" w:before="161"/>
        <w:ind w:right="96" w:firstLine="420"/>
        <w:jc w:val="left"/>
      </w:pPr>
      <w:r>
        <w:rPr>
          <w:spacing w:val="-3"/>
        </w:rPr>
        <w:t>3.筹资活动产生的现金净流量为</w:t>
      </w:r>
      <w:r>
        <w:rPr>
          <w:rFonts w:ascii="Times New Roman" w:hAnsi="Times New Roman" w:cs="Times New Roman" w:eastAsia="Times New Roman" w:hint="default"/>
          <w:spacing w:val="-3"/>
        </w:rPr>
        <w:t>-230,211,954.97</w:t>
      </w:r>
      <w:r>
        <w:rPr>
          <w:spacing w:val="-3"/>
        </w:rPr>
        <w:t>元，较</w:t>
      </w:r>
      <w:r>
        <w:rPr>
          <w:rFonts w:ascii="Times New Roman" w:hAnsi="Times New Roman" w:cs="Times New Roman" w:eastAsia="Times New Roman" w:hint="default"/>
          <w:spacing w:val="-3"/>
        </w:rPr>
        <w:t>2011</w:t>
      </w:r>
      <w:r>
        <w:rPr>
          <w:spacing w:val="-3"/>
        </w:rPr>
        <w:t>年度减少了</w:t>
      </w:r>
      <w:r>
        <w:rPr>
          <w:rFonts w:ascii="Times New Roman" w:hAnsi="Times New Roman" w:cs="Times New Roman" w:eastAsia="Times New Roman" w:hint="default"/>
          <w:spacing w:val="-3"/>
        </w:rPr>
        <w:t>109.18%</w:t>
      </w:r>
      <w:r>
        <w:rPr>
          <w:spacing w:val="-3"/>
        </w:rPr>
        <w:t>，主要是公司</w:t>
      </w:r>
      <w:r>
        <w:rPr>
          <w:rFonts w:ascii="Times New Roman" w:hAnsi="Times New Roman" w:cs="Times New Roman" w:eastAsia="Times New Roman" w:hint="default"/>
          <w:spacing w:val="-3"/>
        </w:rPr>
        <w:t>2011</w:t>
      </w:r>
      <w:r>
        <w:rPr>
          <w:spacing w:val="-3"/>
        </w:rPr>
        <w:t>年公</w:t>
      </w:r>
      <w:r>
        <w:rPr>
          <w:w w:val="100"/>
        </w:rPr>
        <w:t> </w:t>
      </w:r>
      <w:r>
        <w:rPr/>
        <w:t>开发行股票募集资金。</w:t>
      </w:r>
    </w:p>
    <w:p>
      <w:pPr>
        <w:spacing w:line="240" w:lineRule="auto" w:before="3"/>
        <w:rPr>
          <w:rFonts w:ascii="宋体" w:hAnsi="宋体" w:cs="宋体" w:eastAsia="宋体" w:hint="default"/>
          <w:sz w:val="15"/>
          <w:szCs w:val="15"/>
        </w:rPr>
      </w:pPr>
    </w:p>
    <w:p>
      <w:pPr>
        <w:spacing w:before="0"/>
        <w:ind w:left="152" w:right="1318"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2" w:right="449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4490"/>
        <w:jc w:val="left"/>
      </w:pPr>
      <w:r>
        <w:rPr/>
        <w:t>三、主营业务构成情况</w:t>
      </w:r>
    </w:p>
    <w:p>
      <w:pPr>
        <w:spacing w:line="240" w:lineRule="auto" w:before="6"/>
        <w:rPr>
          <w:rFonts w:ascii="宋体" w:hAnsi="宋体" w:cs="宋体" w:eastAsia="宋体" w:hint="default"/>
          <w:sz w:val="26"/>
          <w:szCs w:val="26"/>
        </w:rPr>
      </w:pPr>
    </w:p>
    <w:p>
      <w:pPr>
        <w:spacing w:before="0"/>
        <w:ind w:left="0" w:right="20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3"/>
        <w:gridCol w:w="1363"/>
        <w:gridCol w:w="1363"/>
        <w:gridCol w:w="1366"/>
        <w:gridCol w:w="1363"/>
        <w:gridCol w:w="1363"/>
        <w:gridCol w:w="1368"/>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2" w:right="43" w:hanging="15"/>
              <w:jc w:val="left"/>
              <w:rPr>
                <w:rFonts w:ascii="宋体" w:hAnsi="宋体" w:cs="宋体" w:eastAsia="宋体" w:hint="default"/>
                <w:sz w:val="18"/>
                <w:szCs w:val="18"/>
              </w:rPr>
            </w:pPr>
            <w:r>
              <w:rPr>
                <w:rFonts w:ascii="宋体" w:hAnsi="宋体" w:cs="宋体" w:eastAsia="宋体" w:hint="default"/>
                <w:sz w:val="18"/>
                <w:szCs w:val="18"/>
              </w:rPr>
              <w:t>营业收入比上年</w:t>
            </w:r>
            <w:r>
              <w:rPr>
                <w:rFonts w:ascii="宋体" w:hAnsi="宋体" w:cs="宋体" w:eastAsia="宋体" w:hint="default"/>
                <w:w w:val="100"/>
                <w:sz w:val="18"/>
                <w:szCs w:val="18"/>
              </w:rPr>
              <w:t> </w:t>
            </w:r>
            <w:r>
              <w:rPr>
                <w:rFonts w:ascii="宋体" w:hAnsi="宋体" w:cs="宋体" w:eastAsia="宋体" w:hint="default"/>
                <w:sz w:val="18"/>
                <w:szCs w:val="18"/>
              </w:rPr>
              <w:t>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4" w:right="40" w:hanging="15"/>
              <w:jc w:val="left"/>
              <w:rPr>
                <w:rFonts w:ascii="宋体" w:hAnsi="宋体" w:cs="宋体" w:eastAsia="宋体" w:hint="default"/>
                <w:sz w:val="18"/>
                <w:szCs w:val="18"/>
              </w:rPr>
            </w:pPr>
            <w:r>
              <w:rPr>
                <w:rFonts w:ascii="宋体" w:hAnsi="宋体" w:cs="宋体" w:eastAsia="宋体" w:hint="default"/>
                <w:sz w:val="18"/>
                <w:szCs w:val="18"/>
              </w:rPr>
              <w:t>营业成本比上年</w:t>
            </w:r>
            <w:r>
              <w:rPr>
                <w:rFonts w:ascii="宋体" w:hAnsi="宋体" w:cs="宋体" w:eastAsia="宋体" w:hint="default"/>
                <w:w w:val="100"/>
                <w:sz w:val="18"/>
                <w:szCs w:val="18"/>
              </w:rPr>
              <w:t> </w:t>
            </w:r>
            <w:r>
              <w:rPr>
                <w:rFonts w:ascii="宋体" w:hAnsi="宋体" w:cs="宋体" w:eastAsia="宋体" w:hint="default"/>
                <w:sz w:val="18"/>
                <w:szCs w:val="18"/>
              </w:rPr>
              <w:t>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56" w:right="45" w:hanging="106"/>
              <w:jc w:val="left"/>
              <w:rPr>
                <w:rFonts w:ascii="宋体" w:hAnsi="宋体" w:cs="宋体" w:eastAsia="宋体" w:hint="default"/>
                <w:sz w:val="18"/>
                <w:szCs w:val="18"/>
              </w:rPr>
            </w:pPr>
            <w:r>
              <w:rPr>
                <w:rFonts w:ascii="宋体" w:hAnsi="宋体" w:cs="宋体" w:eastAsia="宋体" w:hint="default"/>
                <w:sz w:val="18"/>
                <w:szCs w:val="18"/>
              </w:rPr>
              <w:t>毛利率比上年同</w:t>
            </w:r>
            <w:r>
              <w:rPr>
                <w:rFonts w:ascii="宋体" w:hAnsi="宋体" w:cs="宋体" w:eastAsia="宋体" w:hint="default"/>
                <w:w w:val="100"/>
                <w:sz w:val="18"/>
                <w:szCs w:val="18"/>
              </w:rPr>
              <w:t> </w:t>
            </w:r>
            <w:r>
              <w:rPr>
                <w:rFonts w:ascii="宋体" w:hAnsi="宋体" w:cs="宋体" w:eastAsia="宋体" w:hint="default"/>
                <w:sz w:val="18"/>
                <w:szCs w:val="18"/>
              </w:rPr>
              <w:t>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塑料薄膜制造业</w:t>
            </w:r>
          </w:p>
        </w:tc>
        <w:tc>
          <w:tcPr>
            <w:tcW w:w="136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2,088,609,782.41</w:t>
            </w:r>
          </w:p>
        </w:tc>
        <w:tc>
          <w:tcPr>
            <w:tcW w:w="136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1,884,668,389.77</w:t>
            </w:r>
          </w:p>
        </w:tc>
        <w:tc>
          <w:tcPr>
            <w:tcW w:w="1366"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9.76%</w:t>
            </w:r>
          </w:p>
        </w:tc>
        <w:tc>
          <w:tcPr>
            <w:tcW w:w="136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7.39%</w:t>
            </w:r>
          </w:p>
        </w:tc>
        <w:tc>
          <w:tcPr>
            <w:tcW w:w="136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27.71%</w:t>
            </w:r>
          </w:p>
        </w:tc>
        <w:tc>
          <w:tcPr>
            <w:tcW w:w="1368"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-59.52%</w:t>
            </w:r>
          </w:p>
        </w:tc>
      </w:tr>
      <w:tr>
        <w:trPr>
          <w:trHeight w:val="409" w:hRule="exact"/>
        </w:trPr>
        <w:tc>
          <w:tcPr>
            <w:tcW w:w="95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3"/>
        <w:gridCol w:w="1363"/>
        <w:gridCol w:w="1363"/>
        <w:gridCol w:w="1366"/>
        <w:gridCol w:w="1363"/>
        <w:gridCol w:w="1363"/>
        <w:gridCol w:w="1368"/>
      </w:tblGrid>
      <w:tr>
        <w:trPr>
          <w:trHeight w:val="4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1,769,739,690.74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1,607,260,586.48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-63.07%</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213,349,224.08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197,661,811.54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-61.32%</w:t>
            </w:r>
          </w:p>
        </w:tc>
      </w:tr>
      <w:tr>
        <w:trPr>
          <w:trHeight w:val="415" w:hRule="exact"/>
        </w:trPr>
        <w:tc>
          <w:tcPr>
            <w:tcW w:w="136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105,520,867.59</w:t>
            </w:r>
          </w:p>
        </w:tc>
        <w:tc>
          <w:tcPr>
            <w:tcW w:w="136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79,745,991.75</w:t>
            </w:r>
          </w:p>
        </w:tc>
        <w:tc>
          <w:tcPr>
            <w:tcW w:w="136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24.43%</w:t>
            </w:r>
          </w:p>
        </w:tc>
        <w:tc>
          <w:tcPr>
            <w:tcW w:w="136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-16.61%</w:t>
            </w:r>
          </w:p>
        </w:tc>
        <w:tc>
          <w:tcPr>
            <w:tcW w:w="136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-15.92%</w:t>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-2.48%</w:t>
            </w:r>
          </w:p>
        </w:tc>
      </w:tr>
      <w:tr>
        <w:trPr>
          <w:trHeight w:val="409" w:hRule="exact"/>
        </w:trPr>
        <w:tc>
          <w:tcPr>
            <w:tcW w:w="95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6" w:hRule="exact"/>
        </w:trPr>
        <w:tc>
          <w:tcPr>
            <w:tcW w:w="1363"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3"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1,088,516,374.10</w:t>
            </w:r>
          </w:p>
        </w:tc>
        <w:tc>
          <w:tcPr>
            <w:tcW w:w="1363"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990,438,307.52</w:t>
            </w:r>
          </w:p>
        </w:tc>
        <w:tc>
          <w:tcPr>
            <w:tcW w:w="1366"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9.01%</w:t>
            </w:r>
          </w:p>
        </w:tc>
        <w:tc>
          <w:tcPr>
            <w:tcW w:w="1363"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13.69%</w:t>
            </w:r>
          </w:p>
        </w:tc>
        <w:tc>
          <w:tcPr>
            <w:tcW w:w="1363"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36.61%</w:t>
            </w:r>
          </w:p>
        </w:tc>
        <w:tc>
          <w:tcPr>
            <w:tcW w:w="136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-62.89%</w:t>
            </w:r>
          </w:p>
        </w:tc>
      </w:tr>
      <w:tr>
        <w:trPr>
          <w:trHeight w:val="4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155,126,896.35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141,082,627.08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88.98%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127.88%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-63.16%</w:t>
            </w: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20,303,299.87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18,505,155.89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-63.77%</w:t>
            </w:r>
          </w:p>
        </w:tc>
      </w:tr>
      <w:tr>
        <w:trPr>
          <w:trHeight w:val="4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5,190,467.42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4,725,875.94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-63.6%</w:t>
            </w:r>
          </w:p>
        </w:tc>
      </w:tr>
      <w:tr>
        <w:trPr>
          <w:trHeight w:val="4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503,574,670.78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459,200,195.46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-62.26%</w:t>
            </w:r>
          </w:p>
        </w:tc>
      </w:tr>
      <w:tr>
        <w:trPr>
          <w:trHeight w:val="4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19,766,359.63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18,011,263.06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-59.61%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-64.02%</w:t>
            </w:r>
          </w:p>
        </w:tc>
      </w:tr>
      <w:tr>
        <w:trPr>
          <w:trHeight w:val="4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296,131,714.26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252,704,964.82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-40.05%</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年按报告期末口径调整后的主营业务数据</w:t>
      </w:r>
    </w:p>
    <w:p>
      <w:pPr>
        <w:spacing w:before="101"/>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spacing w:line="506" w:lineRule="auto" w:before="0"/>
        <w:ind w:left="152" w:right="7128" w:firstLine="0"/>
        <w:jc w:val="left"/>
        <w:rPr>
          <w:rFonts w:ascii="宋体" w:hAnsi="宋体" w:cs="宋体" w:eastAsia="宋体" w:hint="default"/>
          <w:sz w:val="18"/>
          <w:szCs w:val="18"/>
        </w:rPr>
      </w:pPr>
      <w:r>
        <w:rPr/>
        <w:pict>
          <v:shape style="position:absolute;margin-left:56.39904pt;margin-top:81.33564pt;width:478.2pt;height:285.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34"/>
                    <w:gridCol w:w="895"/>
                    <w:gridCol w:w="1368"/>
                    <w:gridCol w:w="1066"/>
                    <w:gridCol w:w="799"/>
                    <w:gridCol w:w="2719"/>
                  </w:tblGrid>
                  <w:tr>
                    <w:trPr>
                      <w:trHeight w:val="257"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right="4"/>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19" w:type="dxa"/>
                        <w:vMerge w:val="restart"/>
                        <w:tcBorders>
                          <w:top w:val="single" w:sz="4" w:space="0" w:color="000000"/>
                          <w:left w:val="single" w:sz="4" w:space="0" w:color="000000"/>
                          <w:right w:val="single" w:sz="4" w:space="0" w:color="000000"/>
                        </w:tcBorders>
                        <w:shd w:val="clear" w:color="auto" w:fill="D3D3D3"/>
                      </w:tcPr>
                      <w:p>
                        <w:pPr/>
                      </w:p>
                    </w:tc>
                  </w:tr>
                  <w:tr>
                    <w:trPr>
                      <w:trHeight w:val="158"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2230" w:type="dxa"/>
                        <w:gridSpan w:val="2"/>
                        <w:vMerge/>
                        <w:tcBorders>
                          <w:left w:val="single" w:sz="4" w:space="0" w:color="000000"/>
                          <w:bottom w:val="single" w:sz="4" w:space="0" w:color="000000"/>
                          <w:right w:val="single" w:sz="4" w:space="0" w:color="000000"/>
                        </w:tcBorders>
                        <w:shd w:val="clear" w:color="auto" w:fill="D3D3D3"/>
                      </w:tcPr>
                      <w:p>
                        <w:pPr/>
                      </w:p>
                    </w:tc>
                    <w:tc>
                      <w:tcPr>
                        <w:tcW w:w="2434"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19" w:type="dxa"/>
                        <w:vMerge/>
                        <w:tcBorders>
                          <w:left w:val="single" w:sz="4" w:space="0" w:color="000000"/>
                          <w:bottom w:val="nil" w:sz="6" w:space="0" w:color="auto"/>
                          <w:right w:val="single" w:sz="4" w:space="0" w:color="000000"/>
                        </w:tcBorders>
                        <w:shd w:val="clear" w:color="auto" w:fill="D3D3D3"/>
                      </w:tcPr>
                      <w:p>
                        <w:pPr/>
                      </w:p>
                    </w:tc>
                  </w:tr>
                  <w:tr>
                    <w:trPr>
                      <w:trHeight w:val="223"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1"/>
                          <w:ind w:left="26" w:right="-11" w:firstLine="60"/>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1"/>
                          <w:ind w:left="182" w:right="76" w:hanging="106"/>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7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7"/>
                          <w:ind w:left="8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6"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3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vMerge/>
                        <w:tcBorders>
                          <w:left w:val="single" w:sz="4" w:space="0" w:color="000000"/>
                          <w:right w:val="single" w:sz="4" w:space="0" w:color="000000"/>
                        </w:tcBorders>
                        <w:shd w:val="clear" w:color="auto" w:fill="D3D3D3"/>
                      </w:tcPr>
                      <w:p>
                        <w:pPr/>
                      </w:p>
                    </w:tc>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719" w:type="dxa"/>
                        <w:vMerge/>
                        <w:tcBorders>
                          <w:left w:val="single" w:sz="4" w:space="0" w:color="000000"/>
                          <w:bottom w:val="nil" w:sz="6" w:space="0" w:color="auto"/>
                          <w:right w:val="single" w:sz="4" w:space="0" w:color="000000"/>
                        </w:tcBorders>
                        <w:shd w:val="clear" w:color="auto" w:fill="D3D3D3"/>
                      </w:tcPr>
                      <w:p>
                        <w:pP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334" w:type="dxa"/>
                        <w:vMerge/>
                        <w:tcBorders>
                          <w:left w:val="single" w:sz="4" w:space="0" w:color="000000"/>
                          <w:bottom w:val="nil" w:sz="6" w:space="0" w:color="auto"/>
                          <w:right w:val="single" w:sz="4" w:space="0" w:color="000000"/>
                        </w:tcBorders>
                        <w:shd w:val="clear" w:color="auto" w:fill="D3D3D3"/>
                      </w:tcPr>
                      <w:p>
                        <w:pPr/>
                      </w:p>
                    </w:tc>
                    <w:tc>
                      <w:tcPr>
                        <w:tcW w:w="895" w:type="dxa"/>
                        <w:vMerge/>
                        <w:tcBorders>
                          <w:left w:val="single" w:sz="4" w:space="0" w:color="000000"/>
                          <w:right w:val="single" w:sz="4" w:space="0" w:color="000000"/>
                        </w:tcBorders>
                        <w:shd w:val="clear" w:color="auto" w:fill="D3D3D3"/>
                      </w:tcPr>
                      <w:p>
                        <w:pPr/>
                      </w:p>
                    </w:tc>
                    <w:tc>
                      <w:tcPr>
                        <w:tcW w:w="1368" w:type="dxa"/>
                        <w:vMerge/>
                        <w:tcBorders>
                          <w:left w:val="single" w:sz="4" w:space="0" w:color="000000"/>
                          <w:bottom w:val="nil" w:sz="6" w:space="0" w:color="auto"/>
                          <w:right w:val="single" w:sz="4" w:space="0" w:color="000000"/>
                        </w:tcBorders>
                        <w:shd w:val="clear" w:color="auto" w:fill="D3D3D3"/>
                      </w:tcPr>
                      <w:p>
                        <w:pPr/>
                      </w:p>
                    </w:tc>
                    <w:tc>
                      <w:tcPr>
                        <w:tcW w:w="1066"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719" w:type="dxa"/>
                        <w:vMerge w:val="restart"/>
                        <w:tcBorders>
                          <w:top w:val="nil" w:sz="6" w:space="0" w:color="auto"/>
                          <w:left w:val="single" w:sz="4" w:space="0" w:color="000000"/>
                          <w:right w:val="single" w:sz="4" w:space="0" w:color="000000"/>
                        </w:tcBorders>
                        <w:shd w:val="clear" w:color="auto" w:fill="D3D3D3"/>
                      </w:tcPr>
                      <w:p>
                        <w:pPr/>
                      </w:p>
                    </w:tc>
                  </w:tr>
                  <w:tr>
                    <w:trPr>
                      <w:trHeight w:val="226"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6"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719" w:type="dxa"/>
                        <w:vMerge/>
                        <w:tcBorders>
                          <w:left w:val="single" w:sz="4" w:space="0" w:color="000000"/>
                          <w:bottom w:val="single" w:sz="4" w:space="0" w:color="000000"/>
                          <w:right w:val="single" w:sz="4" w:space="0" w:color="000000"/>
                        </w:tcBorders>
                        <w:shd w:val="clear" w:color="auto" w:fill="D3D3D3"/>
                      </w:tcPr>
                      <w:p>
                        <w:pPr/>
                      </w:p>
                    </w:tc>
                  </w:tr>
                  <w:tr>
                    <w:trPr>
                      <w:trHeight w:val="189"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4" w:type="dxa"/>
                        <w:vMerge w:val="restart"/>
                        <w:tcBorders>
                          <w:top w:val="single" w:sz="4" w:space="0" w:color="000000"/>
                          <w:left w:val="single" w:sz="8" w:space="0" w:color="D3D3D3"/>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427,700,674.24</w:t>
                        </w:r>
                      </w:p>
                    </w:tc>
                    <w:tc>
                      <w:tcPr>
                        <w:tcW w:w="895" w:type="dxa"/>
                        <w:vMerge w:val="restart"/>
                        <w:tcBorders>
                          <w:top w:val="single" w:sz="19" w:space="0" w:color="D3D3D3"/>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10.56%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1,440,526,595.11</w:t>
                        </w:r>
                      </w:p>
                    </w:tc>
                    <w:tc>
                      <w:tcPr>
                        <w:tcW w:w="1066" w:type="dxa"/>
                        <w:vMerge w:val="restart"/>
                        <w:tcBorders>
                          <w:top w:val="single" w:sz="19" w:space="0" w:color="D3D3D3"/>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34.65%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-24.09%</w:t>
                        </w:r>
                      </w:p>
                    </w:tc>
                    <w:tc>
                      <w:tcPr>
                        <w:tcW w:w="2719" w:type="dxa"/>
                        <w:vMerge w:val="restart"/>
                        <w:tcBorders>
                          <w:top w:val="single" w:sz="4" w:space="0" w:color="000000"/>
                          <w:left w:val="single" w:sz="4" w:space="0" w:color="000000"/>
                          <w:right w:val="single" w:sz="4" w:space="0" w:color="000000"/>
                        </w:tcBorders>
                      </w:tcPr>
                      <w:p>
                        <w:pPr>
                          <w:pStyle w:val="TableParagraph"/>
                          <w:spacing w:line="316" w:lineRule="auto" w:before="77"/>
                          <w:ind w:left="24" w:right="163"/>
                          <w:jc w:val="left"/>
                          <w:rPr>
                            <w:rFonts w:ascii="宋体" w:hAnsi="宋体" w:cs="宋体" w:eastAsia="宋体" w:hint="default"/>
                            <w:sz w:val="18"/>
                            <w:szCs w:val="18"/>
                          </w:rPr>
                        </w:pPr>
                        <w:r>
                          <w:rPr>
                            <w:rFonts w:ascii="宋体" w:hAnsi="宋体" w:cs="宋体" w:eastAsia="宋体" w:hint="default"/>
                            <w:spacing w:val="-1"/>
                            <w:sz w:val="18"/>
                            <w:szCs w:val="18"/>
                          </w:rPr>
                          <w:t>原因系募集资金用于募投项目支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出所致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4" w:type="dxa"/>
                        <w:vMerge/>
                        <w:tcBorders>
                          <w:left w:val="single" w:sz="8" w:space="0" w:color="D3D3D3"/>
                          <w:right w:val="single" w:sz="4" w:space="0" w:color="000000"/>
                        </w:tcBorders>
                      </w:tcPr>
                      <w:p>
                        <w:pPr/>
                      </w:p>
                    </w:tc>
                    <w:tc>
                      <w:tcPr>
                        <w:tcW w:w="895"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719" w:type="dxa"/>
                        <w:vMerge/>
                        <w:tcBorders>
                          <w:left w:val="single" w:sz="4" w:space="0" w:color="000000"/>
                          <w:right w:val="single" w:sz="4" w:space="0" w:color="000000"/>
                        </w:tcBorders>
                      </w:tcPr>
                      <w:p>
                        <w:pPr/>
                      </w:p>
                    </w:tc>
                  </w:tr>
                  <w:tr>
                    <w:trPr>
                      <w:trHeight w:val="194"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4" w:type="dxa"/>
                        <w:vMerge/>
                        <w:tcBorders>
                          <w:left w:val="single" w:sz="8" w:space="0" w:color="D3D3D3"/>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719" w:type="dxa"/>
                        <w:vMerge/>
                        <w:tcBorders>
                          <w:left w:val="single" w:sz="4" w:space="0" w:color="000000"/>
                          <w:bottom w:val="single" w:sz="4" w:space="0" w:color="000000"/>
                          <w:right w:val="single" w:sz="4" w:space="0" w:color="000000"/>
                        </w:tcBorders>
                      </w:tcPr>
                      <w:p>
                        <w:pPr/>
                      </w:p>
                    </w:tc>
                  </w:tr>
                  <w:tr>
                    <w:trPr>
                      <w:trHeight w:val="200"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4" w:type="dxa"/>
                        <w:vMerge w:val="restart"/>
                        <w:tcBorders>
                          <w:top w:val="single" w:sz="4" w:space="0" w:color="000000"/>
                          <w:left w:val="single" w:sz="8" w:space="0" w:color="D3D3D3"/>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75,598,665.71</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1.87%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22,887,807.04</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0.55%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1.32%</w:t>
                        </w:r>
                      </w:p>
                    </w:tc>
                    <w:tc>
                      <w:tcPr>
                        <w:tcW w:w="2719" w:type="dxa"/>
                        <w:vMerge w:val="restart"/>
                        <w:tcBorders>
                          <w:top w:val="single" w:sz="4" w:space="0" w:color="000000"/>
                          <w:left w:val="single" w:sz="4" w:space="0" w:color="000000"/>
                          <w:right w:val="single" w:sz="4" w:space="0" w:color="000000"/>
                        </w:tcBorders>
                      </w:tcPr>
                      <w:p>
                        <w:pPr>
                          <w:pStyle w:val="TableParagraph"/>
                          <w:spacing w:line="314" w:lineRule="auto" w:before="87"/>
                          <w:ind w:left="24" w:right="163"/>
                          <w:jc w:val="left"/>
                          <w:rPr>
                            <w:rFonts w:ascii="宋体" w:hAnsi="宋体" w:cs="宋体" w:eastAsia="宋体" w:hint="default"/>
                            <w:sz w:val="18"/>
                            <w:szCs w:val="18"/>
                          </w:rPr>
                        </w:pPr>
                        <w:r>
                          <w:rPr>
                            <w:rFonts w:ascii="宋体" w:hAnsi="宋体" w:cs="宋体" w:eastAsia="宋体" w:hint="default"/>
                            <w:spacing w:val="-1"/>
                            <w:sz w:val="18"/>
                            <w:szCs w:val="18"/>
                          </w:rPr>
                          <w:t>原因系报告期内公司同意给部分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优质客户授信所致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4" w:type="dxa"/>
                        <w:vMerge/>
                        <w:tcBorders>
                          <w:left w:val="single" w:sz="8" w:space="0" w:color="D3D3D3"/>
                          <w:right w:val="single" w:sz="4" w:space="0" w:color="000000"/>
                        </w:tcBorders>
                      </w:tcPr>
                      <w:p>
                        <w:pPr/>
                      </w:p>
                    </w:tc>
                    <w:tc>
                      <w:tcPr>
                        <w:tcW w:w="895"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719" w:type="dxa"/>
                        <w:vMerge/>
                        <w:tcBorders>
                          <w:left w:val="single" w:sz="4" w:space="0" w:color="000000"/>
                          <w:right w:val="single" w:sz="4" w:space="0" w:color="000000"/>
                        </w:tcBorders>
                      </w:tcPr>
                      <w:p>
                        <w:pPr/>
                      </w:p>
                    </w:tc>
                  </w:tr>
                  <w:tr>
                    <w:trPr>
                      <w:trHeight w:val="199"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4" w:type="dxa"/>
                        <w:vMerge/>
                        <w:tcBorders>
                          <w:left w:val="single" w:sz="8" w:space="0" w:color="D3D3D3"/>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719" w:type="dxa"/>
                        <w:vMerge/>
                        <w:tcBorders>
                          <w:left w:val="single" w:sz="4" w:space="0" w:color="000000"/>
                          <w:bottom w:val="single" w:sz="4" w:space="0" w:color="000000"/>
                          <w:right w:val="single" w:sz="4" w:space="0" w:color="000000"/>
                        </w:tcBorders>
                      </w:tcPr>
                      <w:p>
                        <w:pPr/>
                      </w:p>
                    </w:tc>
                  </w:tr>
                  <w:tr>
                    <w:trPr>
                      <w:trHeight w:val="199"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4" w:type="dxa"/>
                        <w:vMerge w:val="restart"/>
                        <w:tcBorders>
                          <w:top w:val="single" w:sz="4" w:space="0" w:color="000000"/>
                          <w:left w:val="single" w:sz="8" w:space="0" w:color="D3D3D3"/>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494,324,221.77</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12.2%</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337,983,184.82</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8.13%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4.07%</w:t>
                        </w:r>
                      </w:p>
                    </w:tc>
                    <w:tc>
                      <w:tcPr>
                        <w:tcW w:w="2719" w:type="dxa"/>
                        <w:vMerge w:val="restart"/>
                        <w:tcBorders>
                          <w:top w:val="single" w:sz="4" w:space="0" w:color="000000"/>
                          <w:left w:val="single" w:sz="4" w:space="0" w:color="000000"/>
                          <w:right w:val="single" w:sz="4" w:space="0" w:color="000000"/>
                        </w:tcBorders>
                      </w:tcPr>
                      <w:p>
                        <w:pPr>
                          <w:pStyle w:val="TableParagraph"/>
                          <w:spacing w:line="316" w:lineRule="auto" w:before="87"/>
                          <w:ind w:left="24" w:right="19"/>
                          <w:jc w:val="left"/>
                          <w:rPr>
                            <w:rFonts w:ascii="宋体" w:hAnsi="宋体" w:cs="宋体" w:eastAsia="宋体" w:hint="default"/>
                            <w:sz w:val="18"/>
                            <w:szCs w:val="18"/>
                          </w:rPr>
                        </w:pPr>
                        <w:r>
                          <w:rPr>
                            <w:rFonts w:ascii="宋体" w:hAnsi="宋体" w:cs="宋体" w:eastAsia="宋体" w:hint="default"/>
                            <w:spacing w:val="-4"/>
                            <w:sz w:val="18"/>
                            <w:szCs w:val="18"/>
                          </w:rPr>
                          <w:t>原因系随着公司产品结构调整，相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应增加的原材料储备所致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4" w:type="dxa"/>
                        <w:vMerge/>
                        <w:tcBorders>
                          <w:left w:val="single" w:sz="8" w:space="0" w:color="D3D3D3"/>
                          <w:right w:val="single" w:sz="4" w:space="0" w:color="000000"/>
                        </w:tcBorders>
                      </w:tcPr>
                      <w:p>
                        <w:pPr/>
                      </w:p>
                    </w:tc>
                    <w:tc>
                      <w:tcPr>
                        <w:tcW w:w="895"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719" w:type="dxa"/>
                        <w:vMerge/>
                        <w:tcBorders>
                          <w:left w:val="single" w:sz="4" w:space="0" w:color="000000"/>
                          <w:right w:val="single" w:sz="4" w:space="0" w:color="000000"/>
                        </w:tcBorders>
                      </w:tcPr>
                      <w:p>
                        <w:pPr/>
                      </w:p>
                    </w:tc>
                  </w:tr>
                  <w:tr>
                    <w:trPr>
                      <w:trHeight w:val="199"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4" w:type="dxa"/>
                        <w:vMerge/>
                        <w:tcBorders>
                          <w:left w:val="single" w:sz="8" w:space="0" w:color="D3D3D3"/>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719" w:type="dxa"/>
                        <w:vMerge/>
                        <w:tcBorders>
                          <w:left w:val="single" w:sz="4" w:space="0" w:color="000000"/>
                          <w:bottom w:val="single" w:sz="4" w:space="0" w:color="000000"/>
                          <w:right w:val="single" w:sz="4" w:space="0" w:color="000000"/>
                        </w:tcBorders>
                      </w:tcPr>
                      <w:p>
                        <w:pPr/>
                      </w:p>
                    </w:tc>
                  </w:tr>
                  <w:tr>
                    <w:trPr>
                      <w:trHeight w:val="4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5,194,200.00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5"/>
                          <w:jc w:val="right"/>
                          <w:rPr>
                            <w:rFonts w:ascii="Times New Roman" w:hAnsi="Times New Roman" w:cs="Times New Roman" w:eastAsia="Times New Roman" w:hint="default"/>
                            <w:sz w:val="18"/>
                            <w:szCs w:val="18"/>
                          </w:rPr>
                        </w:pPr>
                        <w:r>
                          <w:rPr>
                            <w:rFonts w:ascii="Times New Roman"/>
                            <w:spacing w:val="-1"/>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5,194,200.00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2719"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1,335,989,469.93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5"/>
                          <w:jc w:val="right"/>
                          <w:rPr>
                            <w:rFonts w:ascii="Times New Roman" w:hAnsi="Times New Roman" w:cs="Times New Roman" w:eastAsia="Times New Roman" w:hint="default"/>
                            <w:sz w:val="18"/>
                            <w:szCs w:val="18"/>
                          </w:rPr>
                        </w:pPr>
                        <w:r>
                          <w:rPr>
                            <w:rFonts w:ascii="Times New Roman"/>
                            <w:spacing w:val="-1"/>
                            <w:sz w:val="18"/>
                          </w:rPr>
                          <w:t>32.98%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1,264,093,828.52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30.4%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2.58%</w:t>
                        </w:r>
                      </w:p>
                    </w:tc>
                    <w:tc>
                      <w:tcPr>
                        <w:tcW w:w="2719"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515,649,203.98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245,785,847.55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24" w:right="163"/>
                          <w:jc w:val="left"/>
                          <w:rPr>
                            <w:rFonts w:ascii="宋体" w:hAnsi="宋体" w:cs="宋体" w:eastAsia="宋体" w:hint="default"/>
                            <w:sz w:val="18"/>
                            <w:szCs w:val="18"/>
                          </w:rPr>
                        </w:pPr>
                        <w:r>
                          <w:rPr>
                            <w:rFonts w:ascii="宋体" w:hAnsi="宋体" w:cs="宋体" w:eastAsia="宋体" w:hint="default"/>
                            <w:spacing w:val="-1"/>
                            <w:sz w:val="18"/>
                            <w:szCs w:val="18"/>
                          </w:rPr>
                          <w:t>原因系公司本期超募项目建设未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到验收完工期所致</w:t>
                        </w:r>
                      </w:p>
                    </w:tc>
                  </w:tr>
                </w:tbl>
                <w:p>
                  <w:pPr/>
                </w:p>
              </w:txbxContent>
            </v:textbox>
            <w10:wrap type="none"/>
          </v:shape>
        </w:pict>
      </w:r>
      <w:r>
        <w:rPr>
          <w:rFonts w:ascii="宋体" w:hAnsi="宋体" w:cs="宋体" w:eastAsia="宋体" w:hint="default"/>
          <w:sz w:val="24"/>
          <w:szCs w:val="24"/>
        </w:rPr>
        <w:t>四、资产、负债状况分析</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sz w:val="21"/>
          <w:szCs w:val="21"/>
        </w:rPr>
        <w:t>、资产项目重大变动情况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18"/>
          <w:szCs w:val="18"/>
        </w:rPr>
        <w:t>单位：元</w:t>
      </w:r>
    </w:p>
    <w:p>
      <w:pPr>
        <w:spacing w:after="0" w:line="506"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4490"/>
        <w:jc w:val="left"/>
      </w:pPr>
      <w:r>
        <w:rPr>
          <w:rFonts w:ascii="Times New Roman" w:hAnsi="Times New Roman" w:cs="Times New Roman" w:eastAsia="Times New Roman" w:hint="default"/>
          <w:b/>
          <w:bCs/>
        </w:rPr>
        <w:t>2</w:t>
      </w:r>
      <w:r>
        <w:rPr/>
        <w:t>、负债项目重大变动情况</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8"/>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83"/>
        <w:gridCol w:w="1459"/>
        <w:gridCol w:w="1070"/>
        <w:gridCol w:w="1202"/>
        <w:gridCol w:w="1068"/>
        <w:gridCol w:w="804"/>
        <w:gridCol w:w="2933"/>
      </w:tblGrid>
      <w:tr>
        <w:trPr>
          <w:trHeight w:val="181" w:hRule="exact"/>
        </w:trPr>
        <w:tc>
          <w:tcPr>
            <w:tcW w:w="1183" w:type="dxa"/>
            <w:vMerge w:val="restart"/>
            <w:tcBorders>
              <w:top w:val="single" w:sz="4" w:space="0" w:color="000000"/>
              <w:left w:val="single" w:sz="4" w:space="0" w:color="000000"/>
              <w:right w:val="single" w:sz="4" w:space="0" w:color="000000"/>
            </w:tcBorders>
            <w:shd w:val="clear" w:color="auto" w:fill="D3D3D3"/>
          </w:tcPr>
          <w:p>
            <w:pPr/>
          </w:p>
        </w:tc>
        <w:tc>
          <w:tcPr>
            <w:tcW w:w="25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7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2"/>
              <w:ind w:right="2"/>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933" w:type="dxa"/>
            <w:vMerge w:val="restart"/>
            <w:tcBorders>
              <w:top w:val="single" w:sz="4" w:space="0" w:color="000000"/>
              <w:left w:val="single" w:sz="4" w:space="0" w:color="000000"/>
              <w:right w:val="single" w:sz="4" w:space="0" w:color="000000"/>
            </w:tcBorders>
            <w:shd w:val="clear" w:color="auto" w:fill="D3D3D3"/>
          </w:tcPr>
          <w:p>
            <w:pPr/>
          </w:p>
        </w:tc>
      </w:tr>
      <w:tr>
        <w:trPr>
          <w:trHeight w:val="155" w:hRule="exact"/>
        </w:trPr>
        <w:tc>
          <w:tcPr>
            <w:tcW w:w="1183" w:type="dxa"/>
            <w:vMerge/>
            <w:tcBorders>
              <w:left w:val="single" w:sz="4" w:space="0" w:color="000000"/>
              <w:bottom w:val="nil" w:sz="6" w:space="0" w:color="auto"/>
              <w:right w:val="single" w:sz="4" w:space="0" w:color="000000"/>
            </w:tcBorders>
            <w:shd w:val="clear" w:color="auto" w:fill="D3D3D3"/>
          </w:tcPr>
          <w:p>
            <w:pPr/>
          </w:p>
        </w:tc>
        <w:tc>
          <w:tcPr>
            <w:tcW w:w="2530" w:type="dxa"/>
            <w:gridSpan w:val="2"/>
            <w:vMerge/>
            <w:tcBorders>
              <w:left w:val="single" w:sz="4" w:space="0" w:color="000000"/>
              <w:bottom w:val="single" w:sz="4" w:space="0" w:color="000000"/>
              <w:right w:val="single" w:sz="4" w:space="0" w:color="000000"/>
            </w:tcBorders>
            <w:shd w:val="clear" w:color="auto" w:fill="D3D3D3"/>
          </w:tcPr>
          <w:p>
            <w:pPr/>
          </w:p>
        </w:tc>
        <w:tc>
          <w:tcPr>
            <w:tcW w:w="2270" w:type="dxa"/>
            <w:gridSpan w:val="2"/>
            <w:vMerge/>
            <w:tcBorders>
              <w:left w:val="single" w:sz="4" w:space="0" w:color="000000"/>
              <w:bottom w:val="single" w:sz="4" w:space="0" w:color="000000"/>
              <w:right w:val="single" w:sz="4" w:space="0" w:color="000000"/>
            </w:tcBorders>
            <w:shd w:val="clear" w:color="auto" w:fill="D3D3D3"/>
          </w:tcPr>
          <w:p>
            <w:pPr/>
          </w:p>
        </w:tc>
        <w:tc>
          <w:tcPr>
            <w:tcW w:w="8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3" w:type="dxa"/>
            <w:vMerge/>
            <w:tcBorders>
              <w:left w:val="single" w:sz="4" w:space="0" w:color="000000"/>
              <w:bottom w:val="nil" w:sz="6" w:space="0" w:color="auto"/>
              <w:right w:val="single" w:sz="4" w:space="0" w:color="000000"/>
            </w:tcBorders>
            <w:shd w:val="clear" w:color="auto" w:fill="D3D3D3"/>
          </w:tcPr>
          <w:p>
            <w:pPr/>
          </w:p>
        </w:tc>
      </w:tr>
      <w:tr>
        <w:trPr>
          <w:trHeight w:val="166" w:hRule="exact"/>
        </w:trPr>
        <w:tc>
          <w:tcPr>
            <w:tcW w:w="1183" w:type="dxa"/>
            <w:vMerge w:val="restart"/>
            <w:tcBorders>
              <w:top w:val="nil" w:sz="6" w:space="0" w:color="auto"/>
              <w:left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0" w:type="dxa"/>
            <w:vMerge w:val="restart"/>
            <w:tcBorders>
              <w:top w:val="single" w:sz="4" w:space="0" w:color="000000"/>
              <w:left w:val="single" w:sz="4" w:space="0" w:color="000000"/>
              <w:right w:val="single" w:sz="4" w:space="0" w:color="000000"/>
            </w:tcBorders>
            <w:shd w:val="clear" w:color="auto" w:fill="D3D3D3"/>
          </w:tcPr>
          <w:p>
            <w:pPr>
              <w:pStyle w:val="TableParagraph"/>
              <w:spacing w:line="264" w:lineRule="auto" w:before="71"/>
              <w:ind w:left="187" w:right="76" w:hanging="106"/>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264" w:lineRule="auto" w:before="71"/>
              <w:ind w:left="184" w:right="76" w:hanging="106"/>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4" w:type="dxa"/>
            <w:vMerge/>
            <w:tcBorders>
              <w:left w:val="single" w:sz="4" w:space="0" w:color="000000"/>
              <w:right w:val="single" w:sz="4" w:space="0" w:color="000000"/>
            </w:tcBorders>
            <w:shd w:val="clear" w:color="auto" w:fill="D3D3D3"/>
          </w:tcPr>
          <w:p>
            <w:pPr/>
          </w:p>
        </w:tc>
        <w:tc>
          <w:tcPr>
            <w:tcW w:w="29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91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49" w:hRule="exact"/>
        </w:trPr>
        <w:tc>
          <w:tcPr>
            <w:tcW w:w="1183" w:type="dxa"/>
            <w:vMerge/>
            <w:tcBorders>
              <w:left w:val="single" w:sz="4" w:space="0" w:color="000000"/>
              <w:bottom w:val="nil" w:sz="6" w:space="0" w:color="auto"/>
              <w:right w:val="single" w:sz="4" w:space="0" w:color="000000"/>
            </w:tcBorders>
            <w:shd w:val="clear" w:color="auto" w:fill="D3D3D3"/>
          </w:tcPr>
          <w:p>
            <w:pPr/>
          </w:p>
        </w:tc>
        <w:tc>
          <w:tcPr>
            <w:tcW w:w="14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7"/>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vMerge/>
            <w:tcBorders>
              <w:left w:val="single" w:sz="4" w:space="0" w:color="000000"/>
              <w:right w:val="single" w:sz="4" w:space="0" w:color="000000"/>
            </w:tcBorders>
            <w:shd w:val="clear" w:color="auto" w:fill="D3D3D3"/>
          </w:tcPr>
          <w:p>
            <w:pPr/>
          </w:p>
        </w:tc>
        <w:tc>
          <w:tcPr>
            <w:tcW w:w="120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8" w:type="dxa"/>
            <w:vMerge/>
            <w:tcBorders>
              <w:left w:val="single" w:sz="4" w:space="0" w:color="000000"/>
              <w:right w:val="single" w:sz="4" w:space="0" w:color="000000"/>
            </w:tcBorders>
            <w:shd w:val="clear" w:color="auto" w:fill="D3D3D3"/>
          </w:tcPr>
          <w:p>
            <w:pPr/>
          </w:p>
        </w:tc>
        <w:tc>
          <w:tcPr>
            <w:tcW w:w="804" w:type="dxa"/>
            <w:vMerge/>
            <w:tcBorders>
              <w:left w:val="single" w:sz="4" w:space="0" w:color="000000"/>
              <w:right w:val="single" w:sz="4" w:space="0" w:color="000000"/>
            </w:tcBorders>
            <w:shd w:val="clear" w:color="auto" w:fill="D3D3D3"/>
          </w:tcPr>
          <w:p>
            <w:pPr/>
          </w:p>
        </w:tc>
        <w:tc>
          <w:tcPr>
            <w:tcW w:w="2933" w:type="dxa"/>
            <w:vMerge/>
            <w:tcBorders>
              <w:left w:val="single" w:sz="4" w:space="0" w:color="000000"/>
              <w:bottom w:val="nil" w:sz="6" w:space="0" w:color="auto"/>
              <w:right w:val="single" w:sz="4" w:space="0" w:color="000000"/>
            </w:tcBorders>
            <w:shd w:val="clear" w:color="auto" w:fill="D3D3D3"/>
          </w:tcPr>
          <w:p>
            <w:pPr/>
          </w:p>
        </w:tc>
      </w:tr>
      <w:tr>
        <w:trPr>
          <w:trHeight w:val="263" w:hRule="exact"/>
        </w:trPr>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single" w:sz="4" w:space="0" w:color="000000"/>
              <w:right w:val="single" w:sz="4" w:space="0" w:color="000000"/>
            </w:tcBorders>
            <w:shd w:val="clear" w:color="auto" w:fill="D3D3D3"/>
          </w:tcPr>
          <w:p>
            <w:pPr/>
          </w:p>
        </w:tc>
        <w:tc>
          <w:tcPr>
            <w:tcW w:w="1070" w:type="dxa"/>
            <w:vMerge/>
            <w:tcBorders>
              <w:left w:val="single" w:sz="4" w:space="0" w:color="000000"/>
              <w:bottom w:val="single" w:sz="4" w:space="0" w:color="000000"/>
              <w:right w:val="single" w:sz="4" w:space="0" w:color="000000"/>
            </w:tcBorders>
            <w:shd w:val="clear" w:color="auto" w:fill="D3D3D3"/>
          </w:tcPr>
          <w:p>
            <w:pPr/>
          </w:p>
        </w:tc>
        <w:tc>
          <w:tcPr>
            <w:tcW w:w="1202" w:type="dxa"/>
            <w:vMerge/>
            <w:tcBorders>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804" w:type="dxa"/>
            <w:vMerge/>
            <w:tcBorders>
              <w:left w:val="single" w:sz="4" w:space="0" w:color="000000"/>
              <w:bottom w:val="single" w:sz="4" w:space="0" w:color="000000"/>
              <w:right w:val="single" w:sz="4" w:space="0" w:color="000000"/>
            </w:tcBorders>
            <w:shd w:val="clear" w:color="auto" w:fill="D3D3D3"/>
          </w:tcPr>
          <w:p>
            <w:pPr/>
          </w:p>
        </w:tc>
        <w:tc>
          <w:tcPr>
            <w:tcW w:w="293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89" w:hRule="exact"/>
        </w:trPr>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459" w:type="dxa"/>
            <w:vMerge w:val="restart"/>
            <w:tcBorders>
              <w:top w:val="single" w:sz="53" w:space="0" w:color="D3D3D3"/>
              <w:left w:val="single" w:sz="9" w:space="0" w:color="D3D3D3"/>
              <w:right w:val="single" w:sz="11"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26,144,552.96</w:t>
            </w:r>
          </w:p>
        </w:tc>
        <w:tc>
          <w:tcPr>
            <w:tcW w:w="1070" w:type="dxa"/>
            <w:vMerge w:val="restart"/>
            <w:tcBorders>
              <w:top w:val="single" w:sz="4" w:space="0" w:color="000000"/>
              <w:left w:val="single" w:sz="11"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0.65%</w:t>
            </w:r>
          </w:p>
        </w:tc>
        <w:tc>
          <w:tcPr>
            <w:tcW w:w="1202" w:type="dxa"/>
            <w:vMerge w:val="restart"/>
            <w:tcBorders>
              <w:top w:val="single" w:sz="53" w:space="0" w:color="D3D3D3"/>
              <w:left w:val="single" w:sz="9" w:space="0" w:color="D3D3D3"/>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068" w:type="dxa"/>
            <w:vMerge w:val="restart"/>
            <w:tcBorders>
              <w:top w:val="single" w:sz="4" w:space="0" w:color="000000"/>
              <w:left w:val="single" w:sz="10"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804"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0.65%</w:t>
            </w:r>
          </w:p>
        </w:tc>
        <w:tc>
          <w:tcPr>
            <w:tcW w:w="2933" w:type="dxa"/>
            <w:vMerge w:val="restart"/>
            <w:tcBorders>
              <w:top w:val="single" w:sz="4" w:space="0" w:color="000000"/>
              <w:left w:val="single" w:sz="4" w:space="0" w:color="000000"/>
              <w:right w:val="single" w:sz="4" w:space="0" w:color="000000"/>
            </w:tcBorders>
          </w:tcPr>
          <w:p>
            <w:pPr>
              <w:pStyle w:val="TableParagraph"/>
              <w:spacing w:line="264" w:lineRule="auto" w:before="131"/>
              <w:ind w:left="21" w:right="199"/>
              <w:jc w:val="left"/>
              <w:rPr>
                <w:rFonts w:ascii="宋体" w:hAnsi="宋体" w:cs="宋体" w:eastAsia="宋体" w:hint="default"/>
                <w:sz w:val="18"/>
                <w:szCs w:val="18"/>
              </w:rPr>
            </w:pPr>
            <w:r>
              <w:rPr>
                <w:rFonts w:ascii="宋体" w:hAnsi="宋体" w:cs="宋体" w:eastAsia="宋体" w:hint="default"/>
                <w:spacing w:val="-1"/>
                <w:sz w:val="18"/>
                <w:szCs w:val="18"/>
              </w:rPr>
              <w:t>是报告期内公司外币借款的外币金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4,159,502.50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美元，折算汇率</w:t>
            </w:r>
          </w:p>
          <w:p>
            <w:pPr>
              <w:pStyle w:val="TableParagraph"/>
              <w:spacing w:line="23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6.2855</w:t>
            </w:r>
            <w:r>
              <w:rPr>
                <w:rFonts w:ascii="宋体" w:hAnsi="宋体" w:cs="宋体" w:eastAsia="宋体" w:hint="default"/>
                <w:sz w:val="18"/>
                <w:szCs w:val="18"/>
              </w:rPr>
              <w:t>，折合人民币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26,144,552.96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338" w:hRule="exact"/>
        </w:trPr>
        <w:tc>
          <w:tcPr>
            <w:tcW w:w="11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6"/>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9" w:type="dxa"/>
            <w:vMerge/>
            <w:tcBorders>
              <w:left w:val="single" w:sz="9" w:space="0" w:color="D3D3D3"/>
              <w:right w:val="single" w:sz="11" w:space="0" w:color="D3D3D3"/>
            </w:tcBorders>
          </w:tcPr>
          <w:p>
            <w:pPr/>
          </w:p>
        </w:tc>
        <w:tc>
          <w:tcPr>
            <w:tcW w:w="1070" w:type="dxa"/>
            <w:vMerge/>
            <w:tcBorders>
              <w:left w:val="single" w:sz="11" w:space="0" w:color="D3D3D3"/>
              <w:right w:val="single" w:sz="9" w:space="0" w:color="D3D3D3"/>
            </w:tcBorders>
          </w:tcPr>
          <w:p>
            <w:pPr/>
          </w:p>
        </w:tc>
        <w:tc>
          <w:tcPr>
            <w:tcW w:w="1202" w:type="dxa"/>
            <w:vMerge/>
            <w:tcBorders>
              <w:left w:val="single" w:sz="9" w:space="0" w:color="D3D3D3"/>
              <w:right w:val="single" w:sz="10" w:space="0" w:color="D3D3D3"/>
            </w:tcBorders>
          </w:tcPr>
          <w:p>
            <w:pPr/>
          </w:p>
        </w:tc>
        <w:tc>
          <w:tcPr>
            <w:tcW w:w="1068" w:type="dxa"/>
            <w:vMerge/>
            <w:tcBorders>
              <w:left w:val="single" w:sz="10" w:space="0" w:color="D3D3D3"/>
              <w:right w:val="single" w:sz="9" w:space="0" w:color="D3D3D3"/>
            </w:tcBorders>
          </w:tcPr>
          <w:p>
            <w:pPr/>
          </w:p>
        </w:tc>
        <w:tc>
          <w:tcPr>
            <w:tcW w:w="804" w:type="dxa"/>
            <w:vMerge/>
            <w:tcBorders>
              <w:left w:val="single" w:sz="9" w:space="0" w:color="D3D3D3"/>
              <w:right w:val="single" w:sz="4" w:space="0" w:color="000000"/>
            </w:tcBorders>
          </w:tcPr>
          <w:p>
            <w:pPr/>
          </w:p>
        </w:tc>
        <w:tc>
          <w:tcPr>
            <w:tcW w:w="2933" w:type="dxa"/>
            <w:vMerge/>
            <w:tcBorders>
              <w:left w:val="single" w:sz="4" w:space="0" w:color="000000"/>
              <w:right w:val="single" w:sz="4" w:space="0" w:color="000000"/>
            </w:tcBorders>
          </w:tcPr>
          <w:p>
            <w:pPr/>
          </w:p>
        </w:tc>
      </w:tr>
      <w:tr>
        <w:trPr>
          <w:trHeight w:val="425" w:hRule="exact"/>
        </w:trPr>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9" w:type="dxa"/>
            <w:vMerge/>
            <w:tcBorders>
              <w:left w:val="single" w:sz="9" w:space="0" w:color="D3D3D3"/>
              <w:bottom w:val="single" w:sz="4" w:space="0" w:color="000000"/>
              <w:right w:val="single" w:sz="11" w:space="0" w:color="D3D3D3"/>
            </w:tcBorders>
          </w:tcPr>
          <w:p>
            <w:pPr/>
          </w:p>
        </w:tc>
        <w:tc>
          <w:tcPr>
            <w:tcW w:w="1070" w:type="dxa"/>
            <w:vMerge/>
            <w:tcBorders>
              <w:left w:val="single" w:sz="11" w:space="0" w:color="D3D3D3"/>
              <w:bottom w:val="single" w:sz="4" w:space="0" w:color="000000"/>
              <w:right w:val="single" w:sz="9" w:space="0" w:color="D3D3D3"/>
            </w:tcBorders>
          </w:tcPr>
          <w:p>
            <w:pPr/>
          </w:p>
        </w:tc>
        <w:tc>
          <w:tcPr>
            <w:tcW w:w="1202" w:type="dxa"/>
            <w:vMerge/>
            <w:tcBorders>
              <w:left w:val="single" w:sz="9" w:space="0" w:color="D3D3D3"/>
              <w:bottom w:val="single" w:sz="4" w:space="0" w:color="000000"/>
              <w:right w:val="single" w:sz="10" w:space="0" w:color="D3D3D3"/>
            </w:tcBorders>
          </w:tcPr>
          <w:p>
            <w:pPr/>
          </w:p>
        </w:tc>
        <w:tc>
          <w:tcPr>
            <w:tcW w:w="1068" w:type="dxa"/>
            <w:vMerge/>
            <w:tcBorders>
              <w:left w:val="single" w:sz="10" w:space="0" w:color="D3D3D3"/>
              <w:bottom w:val="single" w:sz="4" w:space="0" w:color="000000"/>
              <w:right w:val="single" w:sz="9" w:space="0" w:color="D3D3D3"/>
            </w:tcBorders>
          </w:tcPr>
          <w:p>
            <w:pPr/>
          </w:p>
        </w:tc>
        <w:tc>
          <w:tcPr>
            <w:tcW w:w="804" w:type="dxa"/>
            <w:vMerge/>
            <w:tcBorders>
              <w:left w:val="single" w:sz="9" w:space="0" w:color="D3D3D3"/>
              <w:bottom w:val="single" w:sz="4" w:space="0" w:color="000000"/>
              <w:right w:val="single" w:sz="4" w:space="0" w:color="000000"/>
            </w:tcBorders>
          </w:tcPr>
          <w:p>
            <w:pPr/>
          </w:p>
        </w:tc>
        <w:tc>
          <w:tcPr>
            <w:tcW w:w="2933" w:type="dxa"/>
            <w:vMerge/>
            <w:tcBorders>
              <w:left w:val="single" w:sz="4" w:space="0" w:color="000000"/>
              <w:bottom w:val="single" w:sz="4" w:space="0" w:color="000000"/>
              <w:right w:val="single" w:sz="4" w:space="0" w:color="000000"/>
            </w:tcBorders>
          </w:tcPr>
          <w:p>
            <w:pPr/>
          </w:p>
        </w:tc>
      </w:tr>
      <w:tr>
        <w:trPr>
          <w:trHeight w:val="151" w:hRule="exact"/>
        </w:trPr>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459" w:type="dxa"/>
            <w:vMerge w:val="restart"/>
            <w:tcBorders>
              <w:top w:val="single" w:sz="4" w:space="0" w:color="000000"/>
              <w:left w:val="single" w:sz="12" w:space="0" w:color="D3D3D3"/>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20,000,000.00</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0.48%</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-0.48%</w:t>
            </w:r>
          </w:p>
        </w:tc>
        <w:tc>
          <w:tcPr>
            <w:tcW w:w="2933" w:type="dxa"/>
            <w:vMerge w:val="restart"/>
            <w:tcBorders>
              <w:top w:val="single" w:sz="4" w:space="0" w:color="000000"/>
              <w:left w:val="single" w:sz="4" w:space="0" w:color="000000"/>
              <w:right w:val="single" w:sz="4" w:space="0" w:color="000000"/>
            </w:tcBorders>
          </w:tcPr>
          <w:p>
            <w:pPr>
              <w:pStyle w:val="TableParagraph"/>
              <w:spacing w:line="264" w:lineRule="auto" w:before="56"/>
              <w:ind w:left="21" w:right="199"/>
              <w:jc w:val="left"/>
              <w:rPr>
                <w:rFonts w:ascii="宋体" w:hAnsi="宋体" w:cs="宋体" w:eastAsia="宋体" w:hint="default"/>
                <w:sz w:val="18"/>
                <w:szCs w:val="18"/>
              </w:rPr>
            </w:pPr>
            <w:r>
              <w:rPr>
                <w:rFonts w:ascii="宋体" w:hAnsi="宋体" w:cs="宋体" w:eastAsia="宋体" w:hint="default"/>
                <w:spacing w:val="-1"/>
                <w:sz w:val="18"/>
                <w:szCs w:val="18"/>
              </w:rPr>
              <w:t>原因系使用自有资金偿还银行贷款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所致</w:t>
            </w:r>
          </w:p>
        </w:tc>
      </w:tr>
      <w:tr>
        <w:trPr>
          <w:trHeight w:val="338" w:hRule="exact"/>
        </w:trPr>
        <w:tc>
          <w:tcPr>
            <w:tcW w:w="11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6"/>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59" w:type="dxa"/>
            <w:vMerge/>
            <w:tcBorders>
              <w:left w:val="single" w:sz="12" w:space="0" w:color="D3D3D3"/>
              <w:right w:val="single" w:sz="4" w:space="0" w:color="000000"/>
            </w:tcBorders>
          </w:tcPr>
          <w:p>
            <w:pPr/>
          </w:p>
        </w:tc>
        <w:tc>
          <w:tcPr>
            <w:tcW w:w="107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804" w:type="dxa"/>
            <w:vMerge/>
            <w:tcBorders>
              <w:left w:val="single" w:sz="4" w:space="0" w:color="000000"/>
              <w:right w:val="single" w:sz="4" w:space="0" w:color="000000"/>
            </w:tcBorders>
          </w:tcPr>
          <w:p>
            <w:pPr/>
          </w:p>
        </w:tc>
        <w:tc>
          <w:tcPr>
            <w:tcW w:w="2933" w:type="dxa"/>
            <w:vMerge/>
            <w:tcBorders>
              <w:left w:val="single" w:sz="4" w:space="0" w:color="000000"/>
              <w:right w:val="single" w:sz="4" w:space="0" w:color="000000"/>
            </w:tcBorders>
          </w:tcPr>
          <w:p>
            <w:pPr/>
          </w:p>
        </w:tc>
      </w:tr>
      <w:tr>
        <w:trPr>
          <w:trHeight w:val="156" w:hRule="exact"/>
        </w:trPr>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9" w:type="dxa"/>
            <w:vMerge/>
            <w:tcBorders>
              <w:left w:val="single" w:sz="12" w:space="0" w:color="D3D3D3"/>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2933" w:type="dxa"/>
            <w:vMerge/>
            <w:tcBorders>
              <w:left w:val="single" w:sz="4" w:space="0" w:color="000000"/>
              <w:bottom w:val="single" w:sz="4" w:space="0" w:color="000000"/>
              <w:right w:val="single" w:sz="4" w:space="0" w:color="000000"/>
            </w:tcBorders>
          </w:tcPr>
          <w:p>
            <w:pPr/>
          </w:p>
        </w:tc>
      </w:tr>
      <w:tr>
        <w:trPr>
          <w:trHeight w:val="62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38,684,436.54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26,958,345.23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49"/>
              <w:ind w:left="21" w:right="199"/>
              <w:jc w:val="left"/>
              <w:rPr>
                <w:rFonts w:ascii="宋体" w:hAnsi="宋体" w:cs="宋体" w:eastAsia="宋体" w:hint="default"/>
                <w:sz w:val="18"/>
                <w:szCs w:val="18"/>
              </w:rPr>
            </w:pPr>
            <w:r>
              <w:rPr>
                <w:rFonts w:ascii="宋体" w:hAnsi="宋体" w:cs="宋体" w:eastAsia="宋体" w:hint="default"/>
                <w:spacing w:val="-1"/>
                <w:sz w:val="18"/>
                <w:szCs w:val="18"/>
              </w:rPr>
              <w:t>原因系公司本期应付供应商的货款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尚未到结算期所致</w:t>
            </w:r>
          </w:p>
        </w:tc>
      </w:tr>
      <w:tr>
        <w:trPr>
          <w:trHeight w:val="917"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-140,610,693.28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-18,248,744.21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-3.03%</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63"/>
              <w:ind w:left="21" w:right="199"/>
              <w:jc w:val="both"/>
              <w:rPr>
                <w:rFonts w:ascii="宋体" w:hAnsi="宋体" w:cs="宋体" w:eastAsia="宋体" w:hint="default"/>
                <w:sz w:val="18"/>
                <w:szCs w:val="18"/>
              </w:rPr>
            </w:pPr>
            <w:r>
              <w:rPr>
                <w:rFonts w:ascii="宋体" w:hAnsi="宋体" w:cs="宋体" w:eastAsia="宋体" w:hint="default"/>
                <w:spacing w:val="-1"/>
                <w:sz w:val="18"/>
                <w:szCs w:val="18"/>
              </w:rPr>
              <w:t>主要原因系公司本期超募项目建设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采购量较上年同期加大而相应增加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的进项税额待抵扣额所致</w:t>
            </w:r>
          </w:p>
        </w:tc>
      </w:tr>
      <w:tr>
        <w:trPr>
          <w:trHeight w:val="64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73,298,500.69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27,880,230.65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6"/>
              <w:ind w:left="21" w:right="199"/>
              <w:jc w:val="left"/>
              <w:rPr>
                <w:rFonts w:ascii="宋体" w:hAnsi="宋体" w:cs="宋体" w:eastAsia="宋体" w:hint="default"/>
                <w:sz w:val="18"/>
                <w:szCs w:val="18"/>
              </w:rPr>
            </w:pPr>
            <w:r>
              <w:rPr>
                <w:rFonts w:ascii="宋体" w:hAnsi="宋体" w:cs="宋体" w:eastAsia="宋体" w:hint="default"/>
                <w:spacing w:val="-1"/>
                <w:sz w:val="18"/>
                <w:szCs w:val="18"/>
              </w:rPr>
              <w:t>主要原因系公司本期应付设备工程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款较上年同期大幅增加所致</w:t>
            </w:r>
          </w:p>
        </w:tc>
      </w:tr>
      <w:tr>
        <w:trPr>
          <w:trHeight w:val="64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6"/>
              <w:ind w:left="24" w:right="67"/>
              <w:jc w:val="left"/>
              <w:rPr>
                <w:rFonts w:ascii="宋体" w:hAnsi="宋体" w:cs="宋体" w:eastAsia="宋体" w:hint="default"/>
                <w:sz w:val="18"/>
                <w:szCs w:val="18"/>
              </w:rPr>
            </w:pPr>
            <w:r>
              <w:rPr>
                <w:rFonts w:ascii="宋体" w:hAnsi="宋体" w:cs="宋体" w:eastAsia="宋体" w:hint="default"/>
                <w:sz w:val="18"/>
                <w:szCs w:val="18"/>
              </w:rPr>
              <w:t>一年内到期的</w:t>
            </w:r>
            <w:r>
              <w:rPr>
                <w:rFonts w:ascii="宋体" w:hAnsi="宋体" w:cs="宋体" w:eastAsia="宋体" w:hint="default"/>
                <w:w w:val="100"/>
                <w:sz w:val="18"/>
                <w:szCs w:val="18"/>
              </w:rPr>
              <w:t> </w:t>
            </w:r>
            <w:r>
              <w:rPr>
                <w:rFonts w:ascii="宋体" w:hAnsi="宋体" w:cs="宋体" w:eastAsia="宋体" w:hint="default"/>
                <w:sz w:val="18"/>
                <w:szCs w:val="18"/>
              </w:rPr>
              <w:t>非流动负债</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44,500,208.92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6"/>
              <w:ind w:left="21" w:right="199"/>
              <w:jc w:val="left"/>
              <w:rPr>
                <w:rFonts w:ascii="宋体" w:hAnsi="宋体" w:cs="宋体" w:eastAsia="宋体" w:hint="default"/>
                <w:sz w:val="18"/>
                <w:szCs w:val="18"/>
              </w:rPr>
            </w:pPr>
            <w:r>
              <w:rPr>
                <w:rFonts w:ascii="宋体" w:hAnsi="宋体" w:cs="宋体" w:eastAsia="宋体" w:hint="default"/>
                <w:spacing w:val="-1"/>
                <w:sz w:val="18"/>
                <w:szCs w:val="18"/>
              </w:rPr>
              <w:t>主要原因系使用自有资金偿还银行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贷款所致</w:t>
            </w:r>
          </w:p>
        </w:tc>
      </w:tr>
      <w:tr>
        <w:trPr>
          <w:trHeight w:val="64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416,000,000.00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5.27%</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6"/>
              <w:ind w:left="21" w:right="199"/>
              <w:jc w:val="left"/>
              <w:rPr>
                <w:rFonts w:ascii="宋体" w:hAnsi="宋体" w:cs="宋体" w:eastAsia="宋体" w:hint="default"/>
                <w:sz w:val="18"/>
                <w:szCs w:val="18"/>
              </w:rPr>
            </w:pPr>
            <w:r>
              <w:rPr>
                <w:rFonts w:ascii="宋体" w:hAnsi="宋体" w:cs="宋体" w:eastAsia="宋体" w:hint="default"/>
                <w:spacing w:val="-1"/>
                <w:sz w:val="18"/>
                <w:szCs w:val="18"/>
              </w:rPr>
              <w:t>主要原因系公司实施了资本公积转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增股本所致</w:t>
            </w:r>
          </w:p>
        </w:tc>
      </w:tr>
    </w:tbl>
    <w:p>
      <w:pPr>
        <w:spacing w:line="240" w:lineRule="auto" w:before="3"/>
        <w:rPr>
          <w:rFonts w:ascii="宋体" w:hAnsi="宋体" w:cs="宋体" w:eastAsia="宋体" w:hint="default"/>
          <w:sz w:val="19"/>
          <w:szCs w:val="19"/>
        </w:rPr>
      </w:pPr>
    </w:p>
    <w:p>
      <w:pPr>
        <w:pStyle w:val="BodyText"/>
        <w:spacing w:line="240" w:lineRule="auto" w:before="36"/>
        <w:ind w:right="4490"/>
        <w:jc w:val="left"/>
      </w:pPr>
      <w:r>
        <w:rPr>
          <w:rFonts w:ascii="Times New Roman" w:hAnsi="Times New Roman" w:cs="Times New Roman" w:eastAsia="Times New Roman" w:hint="default"/>
          <w:b/>
          <w:bCs/>
        </w:rPr>
        <w:t>3</w:t>
      </w:r>
      <w:r>
        <w:rPr/>
        <w:t>、以公允价值计量的资产和负债</w:t>
      </w:r>
    </w:p>
    <w:p>
      <w:pPr>
        <w:spacing w:line="240" w:lineRule="auto" w:before="10"/>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98"/>
        <w:gridCol w:w="1198"/>
        <w:gridCol w:w="1195"/>
        <w:gridCol w:w="1195"/>
        <w:gridCol w:w="1198"/>
        <w:gridCol w:w="1195"/>
        <w:gridCol w:w="1195"/>
        <w:gridCol w:w="1195"/>
      </w:tblGrid>
      <w:tr>
        <w:trPr>
          <w:trHeight w:val="869"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64"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本期公允价值</w:t>
            </w:r>
            <w:r>
              <w:rPr>
                <w:rFonts w:ascii="宋体" w:hAnsi="宋体" w:cs="宋体" w:eastAsia="宋体" w:hint="default"/>
                <w:w w:val="100"/>
                <w:sz w:val="18"/>
                <w:szCs w:val="18"/>
              </w:rPr>
              <w:t> </w:t>
            </w:r>
            <w:r>
              <w:rPr>
                <w:rFonts w:ascii="宋体" w:hAnsi="宋体" w:cs="宋体" w:eastAsia="宋体" w:hint="default"/>
                <w:sz w:val="18"/>
                <w:szCs w:val="18"/>
              </w:rPr>
              <w:t>变动损益</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39"/>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w:t>
            </w:r>
            <w:r>
              <w:rPr>
                <w:rFonts w:ascii="宋体" w:hAnsi="宋体" w:cs="宋体" w:eastAsia="宋体" w:hint="default"/>
                <w:w w:val="100"/>
                <w:sz w:val="18"/>
                <w:szCs w:val="18"/>
              </w:rPr>
              <w:t> </w:t>
            </w:r>
            <w:r>
              <w:rPr>
                <w:rFonts w:ascii="宋体" w:hAnsi="宋体" w:cs="宋体" w:eastAsia="宋体" w:hint="default"/>
                <w:sz w:val="18"/>
                <w:szCs w:val="18"/>
              </w:rPr>
              <w:t>计公允价值变</w:t>
            </w:r>
            <w:r>
              <w:rPr>
                <w:rFonts w:ascii="宋体" w:hAnsi="宋体" w:cs="宋体" w:eastAsia="宋体" w:hint="default"/>
                <w:w w:val="100"/>
                <w:sz w:val="18"/>
                <w:szCs w:val="18"/>
              </w:rPr>
              <w:t> </w:t>
            </w:r>
            <w:r>
              <w:rPr>
                <w:rFonts w:ascii="宋体" w:hAnsi="宋体" w:cs="宋体" w:eastAsia="宋体" w:hint="default"/>
                <w:sz w:val="18"/>
                <w:szCs w:val="18"/>
              </w:rPr>
              <w:t>动</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64" w:lineRule="auto"/>
              <w:ind w:left="504" w:right="52" w:hanging="452"/>
              <w:jc w:val="left"/>
              <w:rPr>
                <w:rFonts w:ascii="宋体" w:hAnsi="宋体" w:cs="宋体" w:eastAsia="宋体" w:hint="default"/>
                <w:sz w:val="18"/>
                <w:szCs w:val="18"/>
              </w:rPr>
            </w:pPr>
            <w:r>
              <w:rPr>
                <w:rFonts w:ascii="宋体" w:hAnsi="宋体" w:cs="宋体" w:eastAsia="宋体" w:hint="default"/>
                <w:sz w:val="18"/>
                <w:szCs w:val="18"/>
              </w:rPr>
              <w:t>本期计提的减</w:t>
            </w:r>
            <w:r>
              <w:rPr>
                <w:rFonts w:ascii="宋体" w:hAnsi="宋体" w:cs="宋体" w:eastAsia="宋体" w:hint="default"/>
                <w:w w:val="100"/>
                <w:sz w:val="18"/>
                <w:szCs w:val="18"/>
              </w:rPr>
              <w:t> </w:t>
            </w:r>
            <w:r>
              <w:rPr>
                <w:rFonts w:ascii="宋体" w:hAnsi="宋体" w:cs="宋体" w:eastAsia="宋体" w:hint="default"/>
                <w:sz w:val="18"/>
                <w:szCs w:val="18"/>
              </w:rPr>
              <w:t>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9"/>
              <w:ind w:right="226"/>
              <w:jc w:val="right"/>
              <w:rPr>
                <w:rFonts w:ascii="Times New Roman" w:hAnsi="Times New Roman" w:cs="Times New Roman" w:eastAsia="Times New Roman" w:hint="default"/>
                <w:sz w:val="18"/>
                <w:szCs w:val="18"/>
              </w:rPr>
            </w:pPr>
            <w:r>
              <w:rPr>
                <w:rFonts w:ascii="Times New Roman"/>
                <w:w w:val="100"/>
                <w:sz w:val="18"/>
              </w:rPr>
              <w:t>0</w:t>
            </w:r>
          </w:p>
        </w:tc>
      </w:tr>
    </w:tbl>
    <w:p>
      <w:pPr>
        <w:spacing w:before="49"/>
        <w:ind w:left="152" w:right="449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2" w:right="449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5"/>
          <w:szCs w:val="25"/>
        </w:rPr>
      </w:pPr>
    </w:p>
    <w:p>
      <w:pPr>
        <w:pStyle w:val="Heading2"/>
        <w:spacing w:line="240" w:lineRule="auto"/>
        <w:ind w:right="4490"/>
        <w:jc w:val="left"/>
      </w:pPr>
      <w:r>
        <w:rPr/>
        <w:t>五、核心竞争力分析</w:t>
      </w:r>
    </w:p>
    <w:p>
      <w:pPr>
        <w:spacing w:line="240" w:lineRule="auto" w:before="12"/>
        <w:rPr>
          <w:rFonts w:ascii="宋体" w:hAnsi="宋体" w:cs="宋体" w:eastAsia="宋体" w:hint="default"/>
          <w:sz w:val="24"/>
          <w:szCs w:val="24"/>
        </w:rPr>
      </w:pPr>
    </w:p>
    <w:p>
      <w:pPr>
        <w:pStyle w:val="BodyText"/>
        <w:spacing w:line="273" w:lineRule="auto"/>
        <w:ind w:right="96" w:firstLine="420"/>
        <w:jc w:val="left"/>
      </w:pPr>
      <w:r>
        <w:rPr>
          <w:spacing w:val="-3"/>
        </w:rPr>
        <w:t>公司主要从事聚酯薄膜的研发、生产和销售，并具有生产从聚酯薄膜上游聚酯切片到下游镀铝膜产品</w:t>
      </w:r>
      <w:r>
        <w:rPr>
          <w:w w:val="100"/>
        </w:rPr>
        <w:t> </w:t>
      </w:r>
      <w:r>
        <w:rPr/>
        <w:t>相对完整的产业链的现代化企业，在国内同行业处于龙头地位。</w:t>
      </w:r>
    </w:p>
    <w:p>
      <w:pPr>
        <w:pStyle w:val="BodyText"/>
        <w:spacing w:line="468" w:lineRule="exact" w:before="34"/>
        <w:ind w:left="572" w:right="96"/>
        <w:jc w:val="left"/>
      </w:pPr>
      <w:r>
        <w:rPr>
          <w:rFonts w:ascii="Times New Roman" w:hAnsi="Times New Roman" w:cs="Times New Roman" w:eastAsia="Times New Roman" w:hint="default"/>
        </w:rPr>
        <w:t>1</w:t>
      </w:r>
      <w:r>
        <w:rPr/>
        <w:t>、产能、规模、管理优势</w:t>
      </w:r>
      <w:r>
        <w:rPr>
          <w:w w:val="100"/>
        </w:rPr>
        <w:t> </w:t>
      </w:r>
      <w:r>
        <w:rPr>
          <w:spacing w:val="-2"/>
        </w:rPr>
        <w:t>随着公司超募项目“年产</w:t>
      </w:r>
      <w:r>
        <w:rPr>
          <w:rFonts w:ascii="Times New Roman" w:hAnsi="Times New Roman" w:cs="Times New Roman" w:eastAsia="Times New Roman" w:hint="default"/>
          <w:spacing w:val="-2"/>
        </w:rPr>
        <w:t>12</w:t>
      </w:r>
      <w:r>
        <w:rPr>
          <w:spacing w:val="-2"/>
        </w:rPr>
        <w:t>万吨新型功能性聚酯薄膜及</w:t>
      </w:r>
      <w:r>
        <w:rPr>
          <w:rFonts w:ascii="Times New Roman" w:hAnsi="Times New Roman" w:cs="Times New Roman" w:eastAsia="Times New Roman" w:hint="default"/>
          <w:spacing w:val="-2"/>
        </w:rPr>
        <w:t>18</w:t>
      </w:r>
      <w:r>
        <w:rPr>
          <w:spacing w:val="-2"/>
        </w:rPr>
        <w:t>万吨功能性膜级切片项目”全部顺利建成，</w:t>
      </w:r>
    </w:p>
    <w:p>
      <w:pPr>
        <w:pStyle w:val="BodyText"/>
        <w:spacing w:line="264" w:lineRule="exact"/>
        <w:ind w:right="96"/>
        <w:jc w:val="left"/>
      </w:pPr>
      <w:r>
        <w:rPr/>
        <w:t>目前公司聚酯薄膜产品年生产能力已超过</w:t>
      </w:r>
      <w:r>
        <w:rPr>
          <w:rFonts w:ascii="Times New Roman" w:hAnsi="Times New Roman" w:cs="Times New Roman" w:eastAsia="Times New Roman" w:hint="default"/>
        </w:rPr>
        <w:t>20</w:t>
      </w:r>
      <w:r>
        <w:rPr/>
        <w:t>万吨/年，在产能、规模、管理方面均位于国内同行业领先地</w:t>
      </w:r>
    </w:p>
    <w:p>
      <w:pPr>
        <w:pStyle w:val="BodyText"/>
        <w:spacing w:line="240" w:lineRule="auto" w:before="21"/>
        <w:ind w:right="4490"/>
        <w:jc w:val="left"/>
      </w:pPr>
      <w:r>
        <w:rPr/>
        <w:t>位。</w:t>
      </w:r>
    </w:p>
    <w:p>
      <w:pPr>
        <w:spacing w:after="0" w:line="240" w:lineRule="auto"/>
        <w:jc w:val="left"/>
        <w:sectPr>
          <w:pgSz w:w="11900" w:h="16840"/>
          <w:pgMar w:header="746" w:footer="982" w:top="1060" w:bottom="1180" w:left="980" w:right="920"/>
        </w:sectPr>
      </w:pPr>
    </w:p>
    <w:p>
      <w:pPr>
        <w:spacing w:line="240" w:lineRule="auto" w:before="10"/>
        <w:rPr>
          <w:rFonts w:ascii="宋体" w:hAnsi="宋体" w:cs="宋体" w:eastAsia="宋体" w:hint="default"/>
          <w:sz w:val="24"/>
          <w:szCs w:val="24"/>
        </w:rPr>
      </w:pPr>
    </w:p>
    <w:p>
      <w:pPr>
        <w:pStyle w:val="BodyText"/>
        <w:spacing w:line="240" w:lineRule="auto" w:before="36"/>
        <w:ind w:left="572" w:right="0"/>
        <w:jc w:val="left"/>
      </w:pPr>
      <w:r>
        <w:rPr>
          <w:rFonts w:ascii="Times New Roman" w:hAnsi="Times New Roman" w:cs="Times New Roman" w:eastAsia="Times New Roman" w:hint="default"/>
        </w:rPr>
        <w:t>2</w:t>
      </w:r>
      <w:r>
        <w:rPr/>
        <w:t>、先进设备集群优势及工艺优势</w:t>
      </w:r>
    </w:p>
    <w:p>
      <w:pPr>
        <w:pStyle w:val="BodyText"/>
        <w:spacing w:line="256" w:lineRule="auto" w:before="177"/>
        <w:ind w:right="303" w:firstLine="420"/>
        <w:jc w:val="both"/>
      </w:pPr>
      <w:r>
        <w:rPr>
          <w:spacing w:val="-4"/>
        </w:rPr>
        <w:t>公司主要生产设备</w:t>
      </w:r>
      <w:r>
        <w:rPr>
          <w:rFonts w:ascii="Times New Roman" w:hAnsi="Times New Roman" w:cs="Times New Roman" w:eastAsia="Times New Roman" w:hint="default"/>
          <w:spacing w:val="-4"/>
        </w:rPr>
        <w:t>8.7</w:t>
      </w:r>
      <w:r>
        <w:rPr>
          <w:spacing w:val="-4"/>
        </w:rPr>
        <w:t>米幅宽生产线大部分引进国际知名生产商，并且拥有配置切片法、直熔法不同工</w:t>
      </w:r>
      <w:r>
        <w:rPr>
          <w:w w:val="100"/>
        </w:rPr>
        <w:t> </w:t>
      </w:r>
      <w:r>
        <w:rPr/>
        <w:t>艺、生产不同品种的多条生产线形成了先进设备集群优势。</w:t>
      </w:r>
    </w:p>
    <w:p>
      <w:pPr>
        <w:pStyle w:val="BodyText"/>
        <w:spacing w:line="264" w:lineRule="auto" w:before="178"/>
        <w:ind w:right="301" w:firstLine="420"/>
        <w:jc w:val="both"/>
      </w:pPr>
      <w:r>
        <w:rPr>
          <w:spacing w:val="-3"/>
        </w:rPr>
        <w:t>此外，公司通过对生产工艺的改造和配方的改进，具有通过调整参数和配方，用同一生产线生产不同</w:t>
      </w:r>
      <w:r>
        <w:rPr>
          <w:w w:val="100"/>
        </w:rPr>
        <w:t> </w:t>
      </w:r>
      <w:r>
        <w:rPr>
          <w:spacing w:val="-4"/>
        </w:rPr>
        <w:t>规格、不同用途产品的核心技术优势。公司的生产线具有国际先进水平，可生产厚度在</w:t>
      </w:r>
      <w:r>
        <w:rPr>
          <w:rFonts w:ascii="Times New Roman" w:hAnsi="Times New Roman" w:cs="Times New Roman" w:eastAsia="Times New Roman" w:hint="default"/>
          <w:spacing w:val="-4"/>
        </w:rPr>
        <w:t>4.3~125ìm</w:t>
      </w:r>
      <w:r>
        <w:rPr>
          <w:spacing w:val="-4"/>
        </w:rPr>
        <w:t>之间的各</w:t>
      </w:r>
      <w:r>
        <w:rPr>
          <w:spacing w:val="-13"/>
        </w:rPr>
        <w:t> </w:t>
      </w:r>
      <w:r>
        <w:rPr>
          <w:spacing w:val="-13"/>
        </w:rPr>
      </w:r>
      <w:r>
        <w:rPr/>
        <w:t>类功能性聚酯薄膜，可满足国内不同领域对功能性聚酯薄膜的新需求。</w:t>
      </w:r>
    </w:p>
    <w:p>
      <w:pPr>
        <w:pStyle w:val="BodyText"/>
        <w:spacing w:line="450" w:lineRule="atLeast" w:before="13"/>
        <w:ind w:left="572" w:right="0"/>
        <w:jc w:val="left"/>
      </w:pPr>
      <w:r>
        <w:rPr>
          <w:rFonts w:ascii="Times New Roman" w:hAnsi="Times New Roman" w:cs="Times New Roman" w:eastAsia="Times New Roman" w:hint="default"/>
        </w:rPr>
        <w:t>3</w:t>
      </w:r>
      <w:r>
        <w:rPr/>
        <w:t>、技术研发优势</w:t>
      </w:r>
      <w:r>
        <w:rPr>
          <w:w w:val="100"/>
        </w:rPr>
        <w:t> </w:t>
      </w:r>
      <w:r>
        <w:rPr>
          <w:spacing w:val="-5"/>
        </w:rPr>
        <w:t>公司高度重视人才队伍建设，十分注重技术创新和新产品开发，在行业内技术水平一直处于领先地位，</w:t>
      </w:r>
    </w:p>
    <w:p>
      <w:pPr>
        <w:pStyle w:val="BodyText"/>
        <w:spacing w:line="256" w:lineRule="auto" w:before="37"/>
        <w:ind w:right="0"/>
        <w:jc w:val="left"/>
      </w:pPr>
      <w:r>
        <w:rPr>
          <w:spacing w:val="-5"/>
        </w:rPr>
        <w:t>公司的防收缩</w:t>
      </w:r>
      <w:r>
        <w:rPr>
          <w:rFonts w:ascii="Times New Roman" w:hAnsi="Times New Roman" w:cs="Times New Roman" w:eastAsia="Times New Roman" w:hint="default"/>
          <w:spacing w:val="-5"/>
        </w:rPr>
        <w:t>PET</w:t>
      </w:r>
      <w:r>
        <w:rPr>
          <w:spacing w:val="-5"/>
        </w:rPr>
        <w:t>镭射转移基膜、一种精密涂布复合法工艺生产太阳能电池背材、宽幅</w:t>
      </w:r>
      <w:r>
        <w:rPr>
          <w:rFonts w:ascii="Times New Roman" w:hAnsi="Times New Roman" w:cs="Times New Roman" w:eastAsia="Times New Roman" w:hint="default"/>
          <w:spacing w:val="-5"/>
        </w:rPr>
        <w:t>7200mmPET</w:t>
      </w:r>
      <w:r>
        <w:rPr>
          <w:spacing w:val="-5"/>
        </w:rPr>
        <w:t>收缩膜、</w:t>
      </w:r>
      <w:r>
        <w:rPr>
          <w:spacing w:val="-9"/>
        </w:rPr>
        <w:t> </w:t>
      </w:r>
      <w:r>
        <w:rPr>
          <w:spacing w:val="-9"/>
        </w:rPr>
      </w:r>
      <w:r>
        <w:rPr/>
        <w:t>平拉法</w:t>
      </w:r>
      <w:r>
        <w:rPr>
          <w:rFonts w:ascii="Times New Roman" w:hAnsi="Times New Roman" w:cs="Times New Roman" w:eastAsia="Times New Roman" w:hint="default"/>
        </w:rPr>
        <w:t>PVC</w:t>
      </w:r>
      <w:r>
        <w:rPr/>
        <w:t>宽幅印刷膜、高阻隔</w:t>
      </w:r>
      <w:r>
        <w:rPr>
          <w:rFonts w:ascii="Times New Roman" w:hAnsi="Times New Roman" w:cs="Times New Roman" w:eastAsia="Times New Roman" w:hint="default"/>
        </w:rPr>
        <w:t>PVC</w:t>
      </w:r>
      <w:r>
        <w:rPr/>
        <w:t>扭结膜、高阻隔真空镀铝薄膜均为江苏省高新技术产品。</w:t>
      </w:r>
    </w:p>
    <w:p>
      <w:pPr>
        <w:pStyle w:val="BodyText"/>
        <w:spacing w:line="273" w:lineRule="auto" w:before="161"/>
        <w:ind w:right="303" w:firstLine="420"/>
        <w:jc w:val="both"/>
      </w:pPr>
      <w:r>
        <w:rPr>
          <w:spacing w:val="-3"/>
        </w:rPr>
        <w:t>公司不断优化科技创新、管理创新，重点开展工业、光学、电子、电工等聚酯差异化新品研发，完善</w:t>
      </w:r>
      <w:r>
        <w:rPr>
          <w:w w:val="100"/>
        </w:rPr>
        <w:t> </w:t>
      </w:r>
      <w:r>
        <w:rPr/>
        <w:t>质量控制，努力研发超薄金属化膜、离型膜、玻璃贴膜、保护膜等高附加值新产品。</w:t>
      </w:r>
    </w:p>
    <w:p>
      <w:pPr>
        <w:pStyle w:val="BodyText"/>
        <w:spacing w:line="450" w:lineRule="atLeast" w:before="4"/>
        <w:ind w:left="572" w:right="0"/>
        <w:jc w:val="left"/>
      </w:pPr>
      <w:r>
        <w:rPr>
          <w:rFonts w:ascii="Times New Roman" w:hAnsi="Times New Roman" w:cs="Times New Roman" w:eastAsia="Times New Roman" w:hint="default"/>
        </w:rPr>
        <w:t>4</w:t>
      </w:r>
      <w:r>
        <w:rPr/>
        <w:t>、营销模式优势</w:t>
      </w:r>
      <w:r>
        <w:rPr>
          <w:w w:val="100"/>
        </w:rPr>
        <w:t> </w:t>
      </w:r>
      <w:r>
        <w:rPr>
          <w:spacing w:val="-3"/>
        </w:rPr>
        <w:t>目前公司已形成了以市场为导向的、多渠道立体式的销售服务模式，在国内市场建立了完善的销售网</w:t>
      </w:r>
    </w:p>
    <w:p>
      <w:pPr>
        <w:pStyle w:val="BodyText"/>
        <w:spacing w:line="240" w:lineRule="auto" w:before="37"/>
        <w:ind w:right="0"/>
        <w:jc w:val="left"/>
      </w:pPr>
      <w:r>
        <w:rPr/>
        <w:t>络，并继续拓展国际市场，市场占有率逐步提升。</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Times New Roman" w:hAnsi="Times New Roman" w:cs="Times New Roman" w:eastAsia="Times New Roman" w:hint="default"/>
        </w:rPr>
        <w:t>5</w:t>
      </w:r>
      <w:r>
        <w:rPr/>
        <w:t>、品牌优势</w:t>
      </w:r>
    </w:p>
    <w:p>
      <w:pPr>
        <w:pStyle w:val="BodyText"/>
        <w:spacing w:line="256" w:lineRule="auto" w:before="177"/>
        <w:ind w:right="301" w:firstLine="420"/>
        <w:jc w:val="both"/>
      </w:pPr>
      <w:r>
        <w:rPr>
          <w:rFonts w:ascii="Times New Roman" w:hAnsi="Times New Roman" w:cs="Times New Roman" w:eastAsia="Times New Roman" w:hint="default"/>
          <w:spacing w:val="-2"/>
        </w:rPr>
        <w:t>2012</w:t>
      </w:r>
      <w:r>
        <w:rPr>
          <w:spacing w:val="-2"/>
        </w:rPr>
        <w:t>年公司的</w:t>
      </w:r>
      <w:r>
        <w:rPr>
          <w:rFonts w:ascii="Times New Roman" w:hAnsi="Times New Roman" w:cs="Times New Roman" w:eastAsia="Times New Roman" w:hint="default"/>
          <w:spacing w:val="-2"/>
        </w:rPr>
        <w:t>“</w:t>
      </w:r>
      <w:r>
        <w:rPr>
          <w:spacing w:val="-2"/>
        </w:rPr>
        <w:t>双星</w:t>
      </w:r>
      <w:r>
        <w:rPr>
          <w:rFonts w:ascii="Times New Roman" w:hAnsi="Times New Roman" w:cs="Times New Roman" w:eastAsia="Times New Roman" w:hint="default"/>
          <w:spacing w:val="-2"/>
        </w:rPr>
        <w:t>SHUANG</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2"/>
        </w:rPr>
        <w:t>XING”</w:t>
      </w:r>
      <w:r>
        <w:rPr>
          <w:spacing w:val="-2"/>
        </w:rPr>
        <w:t>商标为中国驰名商标，加强了公司的知识产权保护，进一步提高</w:t>
      </w:r>
      <w:r>
        <w:rPr>
          <w:w w:val="100"/>
        </w:rPr>
        <w:t> </w:t>
      </w:r>
      <w:r>
        <w:rPr/>
        <w:t>公司的品牌美誉度和知名度。</w:t>
      </w:r>
    </w:p>
    <w:p>
      <w:pPr>
        <w:pStyle w:val="BodyText"/>
        <w:spacing w:line="273" w:lineRule="auto" w:before="178"/>
        <w:ind w:right="301" w:firstLine="420"/>
        <w:jc w:val="both"/>
      </w:pPr>
      <w:r>
        <w:rPr>
          <w:spacing w:val="-3"/>
        </w:rPr>
        <w:t>综上，公司自上市后在业内的影响力稳步提升，无论从技术装备还是人才的引进方面都取得了长足的</w:t>
      </w:r>
      <w:r>
        <w:rPr>
          <w:w w:val="100"/>
        </w:rPr>
        <w:t> </w:t>
      </w:r>
      <w:r>
        <w:rPr/>
        <w:t>进步，随着公司募投项目的陆续投产和达产，将进一步增强公司竞争优势。</w:t>
      </w:r>
    </w:p>
    <w:p>
      <w:pPr>
        <w:spacing w:line="240" w:lineRule="auto" w:before="8"/>
        <w:rPr>
          <w:rFonts w:ascii="宋体" w:hAnsi="宋体" w:cs="宋体" w:eastAsia="宋体" w:hint="default"/>
          <w:sz w:val="21"/>
          <w:szCs w:val="21"/>
        </w:rPr>
      </w:pPr>
    </w:p>
    <w:p>
      <w:pPr>
        <w:pStyle w:val="Heading2"/>
        <w:spacing w:line="240" w:lineRule="auto"/>
        <w:ind w:right="0"/>
        <w:jc w:val="left"/>
      </w:pPr>
      <w:r>
        <w:rPr/>
        <w:t>六、投资状况分析</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b/>
          <w:bCs/>
        </w:rPr>
        <w:t>1</w:t>
      </w:r>
      <w:r>
        <w:rPr/>
        <w:t>、对外股权投资情况</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b/>
          <w:bCs/>
        </w:rPr>
        <w:t>1</w:t>
      </w:r>
      <w:r>
        <w:rPr/>
        <w:t>）对外投资情况</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175"/>
        <w:gridCol w:w="3192"/>
        <w:gridCol w:w="3190"/>
      </w:tblGrid>
      <w:tr>
        <w:trPr>
          <w:trHeight w:val="401"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397"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9"/>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b/>
          <w:bCs/>
        </w:rPr>
        <w:t>2</w:t>
      </w:r>
      <w:r>
        <w:rPr/>
        <w:t>）持有金融企业股权情况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881"/>
        <w:gridCol w:w="881"/>
        <w:gridCol w:w="1118"/>
        <w:gridCol w:w="799"/>
        <w:gridCol w:w="866"/>
        <w:gridCol w:w="869"/>
        <w:gridCol w:w="886"/>
        <w:gridCol w:w="1080"/>
        <w:gridCol w:w="900"/>
        <w:gridCol w:w="682"/>
        <w:gridCol w:w="857"/>
      </w:tblGrid>
      <w:tr>
        <w:trPr>
          <w:trHeight w:val="715"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2" w:right="103" w:hanging="89"/>
              <w:jc w:val="left"/>
              <w:rPr>
                <w:rFonts w:ascii="宋体" w:hAnsi="宋体" w:cs="宋体" w:eastAsia="宋体" w:hint="default"/>
                <w:sz w:val="18"/>
                <w:szCs w:val="18"/>
              </w:rPr>
            </w:pPr>
            <w:r>
              <w:rPr>
                <w:rFonts w:ascii="宋体" w:hAnsi="宋体" w:cs="宋体" w:eastAsia="宋体" w:hint="default"/>
                <w:sz w:val="18"/>
                <w:szCs w:val="18"/>
              </w:rPr>
              <w:t>最初投资成</w:t>
            </w:r>
            <w:r>
              <w:rPr>
                <w:rFonts w:ascii="宋体" w:hAnsi="宋体" w:cs="宋体" w:eastAsia="宋体" w:hint="default"/>
                <w:w w:val="100"/>
                <w:sz w:val="18"/>
                <w:szCs w:val="18"/>
              </w:rPr>
              <w:t> </w:t>
            </w:r>
            <w:r>
              <w:rPr>
                <w:rFonts w:ascii="宋体" w:hAnsi="宋体" w:cs="宋体" w:eastAsia="宋体" w:hint="default"/>
                <w:sz w:val="18"/>
                <w:szCs w:val="18"/>
              </w:rPr>
              <w:t>本（元）</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32" w:firstLine="9"/>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w w:val="100"/>
                <w:sz w:val="18"/>
                <w:szCs w:val="18"/>
              </w:rPr>
              <w:t> </w:t>
            </w:r>
            <w:r>
              <w:rPr>
                <w:rFonts w:ascii="宋体" w:hAnsi="宋体" w:cs="宋体" w:eastAsia="宋体" w:hint="default"/>
                <w:spacing w:val="-22"/>
                <w:sz w:val="18"/>
                <w:szCs w:val="18"/>
              </w:rPr>
              <w:t>数量（股）</w:t>
            </w:r>
            <w:r>
              <w:rPr>
                <w:rFonts w:ascii="宋体" w:hAnsi="宋体" w:cs="宋体" w:eastAsia="宋体" w:hint="default"/>
                <w:sz w:val="18"/>
                <w:szCs w:val="18"/>
              </w:rPr>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35" w:firstLine="45"/>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34" w:firstLine="45"/>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w w:val="100"/>
                <w:sz w:val="18"/>
                <w:szCs w:val="18"/>
              </w:rPr>
              <w:t> </w:t>
            </w:r>
            <w:r>
              <w:rPr>
                <w:rFonts w:ascii="宋体" w:hAnsi="宋体" w:cs="宋体" w:eastAsia="宋体" w:hint="default"/>
                <w:spacing w:val="-8"/>
                <w:sz w:val="18"/>
                <w:szCs w:val="18"/>
              </w:rPr>
              <w:t>数量（股）</w:t>
            </w:r>
            <w:r>
              <w:rPr>
                <w:rFonts w:ascii="宋体" w:hAnsi="宋体" w:cs="宋体" w:eastAsia="宋体" w:hint="default"/>
                <w:sz w:val="18"/>
                <w:szCs w:val="18"/>
              </w:rPr>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 w:firstLine="55"/>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 w:right="81"/>
              <w:jc w:val="left"/>
              <w:rPr>
                <w:rFonts w:ascii="宋体" w:hAnsi="宋体" w:cs="宋体" w:eastAsia="宋体" w:hint="default"/>
                <w:sz w:val="18"/>
                <w:szCs w:val="18"/>
              </w:rPr>
            </w:pPr>
            <w:r>
              <w:rPr>
                <w:rFonts w:ascii="宋体" w:hAnsi="宋体" w:cs="宋体" w:eastAsia="宋体" w:hint="default"/>
                <w:sz w:val="18"/>
                <w:szCs w:val="18"/>
              </w:rPr>
              <w:t>报告期损</w:t>
            </w:r>
            <w:r>
              <w:rPr>
                <w:rFonts w:ascii="宋体" w:hAnsi="宋体" w:cs="宋体" w:eastAsia="宋体" w:hint="default"/>
                <w:w w:val="100"/>
                <w:sz w:val="18"/>
                <w:szCs w:val="18"/>
              </w:rPr>
              <w:t> </w:t>
            </w:r>
            <w:r>
              <w:rPr>
                <w:rFonts w:ascii="宋体" w:hAnsi="宋体" w:cs="宋体" w:eastAsia="宋体" w:hint="default"/>
                <w:sz w:val="18"/>
                <w:szCs w:val="18"/>
              </w:rPr>
              <w:t>益（元）</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7" w:right="62"/>
              <w:jc w:val="left"/>
              <w:rPr>
                <w:rFonts w:ascii="宋体" w:hAnsi="宋体" w:cs="宋体" w:eastAsia="宋体" w:hint="default"/>
                <w:sz w:val="18"/>
                <w:szCs w:val="18"/>
              </w:rPr>
            </w:pPr>
            <w:r>
              <w:rPr>
                <w:rFonts w:ascii="宋体" w:hAnsi="宋体" w:cs="宋体" w:eastAsia="宋体" w:hint="default"/>
                <w:sz w:val="18"/>
                <w:szCs w:val="18"/>
              </w:rPr>
              <w:t>会计核</w:t>
            </w:r>
            <w:r>
              <w:rPr>
                <w:rFonts w:ascii="宋体" w:hAnsi="宋体" w:cs="宋体" w:eastAsia="宋体" w:hint="default"/>
                <w:w w:val="100"/>
                <w:sz w:val="18"/>
                <w:szCs w:val="18"/>
              </w:rPr>
              <w:t> </w:t>
            </w:r>
            <w:r>
              <w:rPr>
                <w:rFonts w:ascii="宋体" w:hAnsi="宋体" w:cs="宋体" w:eastAsia="宋体" w:hint="default"/>
                <w:sz w:val="18"/>
                <w:szCs w:val="18"/>
              </w:rPr>
              <w:t>算科目</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8"/>
              <w:ind w:left="24" w:right="124"/>
              <w:jc w:val="left"/>
              <w:rPr>
                <w:rFonts w:ascii="宋体" w:hAnsi="宋体" w:cs="宋体" w:eastAsia="宋体" w:hint="default"/>
                <w:sz w:val="18"/>
                <w:szCs w:val="18"/>
              </w:rPr>
            </w:pPr>
            <w:r>
              <w:rPr>
                <w:rFonts w:ascii="宋体" w:hAnsi="宋体" w:cs="宋体" w:eastAsia="宋体" w:hint="default"/>
                <w:sz w:val="18"/>
                <w:szCs w:val="18"/>
              </w:rPr>
              <w:t>江苏宿迁</w:t>
            </w:r>
            <w:r>
              <w:rPr>
                <w:rFonts w:ascii="宋体" w:hAnsi="宋体" w:cs="宋体" w:eastAsia="宋体" w:hint="default"/>
                <w:w w:val="100"/>
                <w:sz w:val="18"/>
                <w:szCs w:val="18"/>
              </w:rPr>
              <w:t> </w:t>
            </w:r>
            <w:r>
              <w:rPr>
                <w:rFonts w:ascii="宋体" w:hAnsi="宋体" w:cs="宋体" w:eastAsia="宋体" w:hint="default"/>
                <w:sz w:val="18"/>
                <w:szCs w:val="18"/>
              </w:rPr>
              <w:t>民丰农村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3,000,000.00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5,194,200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1.23%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6,161,100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5,194,200.00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924,165.00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长期股</w:t>
            </w:r>
            <w:r>
              <w:rPr>
                <w:rFonts w:ascii="宋体" w:hAnsi="宋体" w:cs="宋体" w:eastAsia="宋体" w:hint="default"/>
                <w:w w:val="100"/>
                <w:sz w:val="18"/>
                <w:szCs w:val="18"/>
              </w:rPr>
              <w:t> </w:t>
            </w:r>
            <w:r>
              <w:rPr>
                <w:rFonts w:ascii="宋体" w:hAnsi="宋体" w:cs="宋体" w:eastAsia="宋体" w:hint="default"/>
                <w:sz w:val="18"/>
                <w:szCs w:val="18"/>
              </w:rPr>
              <w:t>权投资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82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881"/>
        <w:gridCol w:w="881"/>
        <w:gridCol w:w="1118"/>
        <w:gridCol w:w="799"/>
        <w:gridCol w:w="866"/>
        <w:gridCol w:w="869"/>
        <w:gridCol w:w="886"/>
        <w:gridCol w:w="1080"/>
        <w:gridCol w:w="900"/>
        <w:gridCol w:w="682"/>
        <w:gridCol w:w="857"/>
      </w:tblGrid>
      <w:tr>
        <w:trPr>
          <w:trHeight w:val="36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合作银行</w:t>
            </w:r>
          </w:p>
        </w:tc>
        <w:tc>
          <w:tcPr>
            <w:tcW w:w="8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3,000,000.00</w:t>
            </w:r>
          </w:p>
        </w:tc>
        <w:tc>
          <w:tcPr>
            <w:tcW w:w="799"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5,194,200</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6,161,100</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5,194,200.00</w:t>
            </w:r>
          </w:p>
        </w:tc>
        <w:tc>
          <w:tcPr>
            <w:tcW w:w="90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924,165.00</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b/>
          <w:bCs/>
        </w:rPr>
        <w:t>3</w:t>
      </w:r>
      <w:r>
        <w:rPr/>
        <w:t>）证券投资情况</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792"/>
        <w:gridCol w:w="799"/>
        <w:gridCol w:w="824"/>
        <w:gridCol w:w="786"/>
        <w:gridCol w:w="798"/>
        <w:gridCol w:w="798"/>
        <w:gridCol w:w="797"/>
        <w:gridCol w:w="799"/>
        <w:gridCol w:w="797"/>
        <w:gridCol w:w="800"/>
        <w:gridCol w:w="784"/>
        <w:gridCol w:w="786"/>
      </w:tblGrid>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82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3" w:right="-32" w:firstLine="12"/>
              <w:jc w:val="left"/>
              <w:rPr>
                <w:rFonts w:ascii="宋体" w:hAnsi="宋体" w:cs="宋体" w:eastAsia="宋体" w:hint="default"/>
                <w:sz w:val="18"/>
                <w:szCs w:val="18"/>
              </w:rPr>
            </w:pPr>
            <w:r>
              <w:rPr>
                <w:rFonts w:ascii="宋体" w:hAnsi="宋体" w:cs="宋体" w:eastAsia="宋体" w:hint="default"/>
                <w:sz w:val="18"/>
                <w:szCs w:val="18"/>
              </w:rPr>
              <w:t>最初投资</w:t>
            </w:r>
            <w:r>
              <w:rPr>
                <w:rFonts w:ascii="宋体" w:hAnsi="宋体" w:cs="宋体" w:eastAsia="宋体" w:hint="default"/>
                <w:w w:val="100"/>
                <w:sz w:val="18"/>
                <w:szCs w:val="18"/>
              </w:rPr>
              <w:t> </w:t>
            </w:r>
            <w:r>
              <w:rPr>
                <w:rFonts w:ascii="宋体" w:hAnsi="宋体" w:cs="宋体" w:eastAsia="宋体" w:hint="default"/>
                <w:spacing w:val="-22"/>
                <w:sz w:val="18"/>
                <w:szCs w:val="18"/>
              </w:rPr>
              <w:t>成本（元）</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1" w:right="34" w:firstLine="9"/>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w w:val="100"/>
                <w:sz w:val="18"/>
                <w:szCs w:val="18"/>
              </w:rPr>
              <w:t> </w:t>
            </w:r>
            <w:r>
              <w:rPr>
                <w:rFonts w:ascii="宋体" w:hAnsi="宋体" w:cs="宋体" w:eastAsia="宋体" w:hint="default"/>
                <w:spacing w:val="-19"/>
                <w:sz w:val="18"/>
                <w:szCs w:val="18"/>
              </w:rPr>
              <w:t>数量（股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97" w:right="-32"/>
              <w:jc w:val="center"/>
              <w:rPr>
                <w:rFonts w:ascii="宋体" w:hAnsi="宋体" w:cs="宋体" w:eastAsia="宋体" w:hint="default"/>
                <w:sz w:val="18"/>
                <w:szCs w:val="18"/>
              </w:rPr>
            </w:pPr>
            <w:r>
              <w:rPr>
                <w:rFonts w:ascii="宋体" w:hAnsi="宋体" w:cs="宋体" w:eastAsia="宋体" w:hint="default"/>
                <w:spacing w:val="-24"/>
                <w:sz w:val="18"/>
                <w:szCs w:val="18"/>
              </w:rPr>
              <w:t>）比例（</w:t>
            </w:r>
            <w:r>
              <w:rPr>
                <w:rFonts w:ascii="Times New Roman" w:hAnsi="Times New Roman" w:cs="Times New Roman" w:eastAsia="Times New Roman" w:hint="default"/>
                <w:spacing w:val="-24"/>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1" w:right="-34" w:firstLine="9"/>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w w:val="100"/>
                <w:sz w:val="18"/>
                <w:szCs w:val="18"/>
              </w:rPr>
              <w:t> </w:t>
            </w:r>
            <w:r>
              <w:rPr>
                <w:rFonts w:ascii="宋体" w:hAnsi="宋体" w:cs="宋体" w:eastAsia="宋体" w:hint="default"/>
                <w:spacing w:val="-22"/>
                <w:sz w:val="18"/>
                <w:szCs w:val="18"/>
              </w:rPr>
              <w:t>数量（股）</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4" w:right="31"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w:t>
            </w:r>
            <w:r>
              <w:rPr>
                <w:rFonts w:ascii="宋体" w:hAnsi="宋体" w:cs="宋体" w:eastAsia="宋体" w:hint="default"/>
                <w:w w:val="100"/>
                <w:sz w:val="18"/>
                <w:szCs w:val="18"/>
              </w:rPr>
              <w:t>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期末账面</w:t>
            </w:r>
          </w:p>
          <w:p>
            <w:pPr>
              <w:pStyle w:val="TableParagraph"/>
              <w:spacing w:line="240" w:lineRule="auto" w:before="76"/>
              <w:ind w:left="-96" w:right="33"/>
              <w:jc w:val="center"/>
              <w:rPr>
                <w:rFonts w:ascii="宋体" w:hAnsi="宋体" w:cs="宋体" w:eastAsia="宋体" w:hint="default"/>
                <w:sz w:val="18"/>
                <w:szCs w:val="18"/>
              </w:rPr>
            </w:pPr>
            <w:r>
              <w:rPr>
                <w:rFonts w:ascii="宋体" w:hAnsi="宋体" w:cs="宋体" w:eastAsia="宋体" w:hint="default"/>
                <w:spacing w:val="-12"/>
                <w:sz w:val="18"/>
                <w:szCs w:val="18"/>
              </w:rPr>
              <w:t>）值（元）</w:t>
            </w:r>
          </w:p>
        </w:tc>
        <w:tc>
          <w:tcPr>
            <w:tcW w:w="8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报告期损</w:t>
            </w:r>
            <w:r>
              <w:rPr>
                <w:rFonts w:ascii="宋体" w:hAnsi="宋体" w:cs="宋体" w:eastAsia="宋体" w:hint="default"/>
                <w:w w:val="100"/>
                <w:sz w:val="18"/>
                <w:szCs w:val="18"/>
              </w:rPr>
              <w:t> </w:t>
            </w:r>
            <w:r>
              <w:rPr>
                <w:rFonts w:ascii="宋体" w:hAnsi="宋体" w:cs="宋体" w:eastAsia="宋体" w:hint="default"/>
                <w:sz w:val="18"/>
                <w:szCs w:val="18"/>
              </w:rPr>
              <w:t>益（元）</w:t>
            </w:r>
          </w:p>
        </w:tc>
        <w:tc>
          <w:tcPr>
            <w:tcW w:w="7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12" w:right="19" w:hanging="180"/>
              <w:jc w:val="left"/>
              <w:rPr>
                <w:rFonts w:ascii="宋体" w:hAnsi="宋体" w:cs="宋体" w:eastAsia="宋体" w:hint="default"/>
                <w:sz w:val="18"/>
                <w:szCs w:val="18"/>
              </w:rPr>
            </w:pPr>
            <w:r>
              <w:rPr>
                <w:rFonts w:ascii="宋体" w:hAnsi="宋体" w:cs="宋体" w:eastAsia="宋体" w:hint="default"/>
                <w:sz w:val="18"/>
                <w:szCs w:val="18"/>
              </w:rPr>
              <w:t>会计核算</w:t>
            </w:r>
            <w:r>
              <w:rPr>
                <w:rFonts w:ascii="宋体" w:hAnsi="宋体" w:cs="宋体" w:eastAsia="宋体" w:hint="default"/>
                <w:w w:val="100"/>
                <w:sz w:val="18"/>
                <w:szCs w:val="18"/>
              </w:rPr>
              <w:t> </w:t>
            </w:r>
            <w:r>
              <w:rPr>
                <w:rFonts w:ascii="宋体" w:hAnsi="宋体" w:cs="宋体" w:eastAsia="宋体" w:hint="default"/>
                <w:sz w:val="18"/>
                <w:szCs w:val="18"/>
              </w:rPr>
              <w:t>科目</w:t>
            </w: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38"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86"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800" w:type="dxa"/>
            <w:vMerge/>
            <w:tcBorders>
              <w:left w:val="single" w:sz="4" w:space="0" w:color="000000"/>
              <w:right w:val="single" w:sz="4" w:space="0" w:color="000000"/>
            </w:tcBorders>
            <w:shd w:val="clear" w:color="auto" w:fill="D3D3D3"/>
          </w:tcPr>
          <w:p>
            <w:pPr/>
          </w:p>
        </w:tc>
        <w:tc>
          <w:tcPr>
            <w:tcW w:w="784" w:type="dxa"/>
            <w:vMerge/>
            <w:tcBorders>
              <w:left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0"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4" w:hRule="exact"/>
        </w:trPr>
        <w:tc>
          <w:tcPr>
            <w:tcW w:w="7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82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800" w:type="dxa"/>
            <w:vMerge/>
            <w:tcBorders>
              <w:left w:val="single" w:sz="4" w:space="0" w:color="000000"/>
              <w:bottom w:val="single" w:sz="4" w:space="0" w:color="000000"/>
              <w:right w:val="single" w:sz="4" w:space="0" w:color="000000"/>
            </w:tcBorders>
            <w:shd w:val="clear" w:color="auto" w:fill="D3D3D3"/>
          </w:tcPr>
          <w:p>
            <w:pPr/>
          </w:p>
        </w:tc>
        <w:tc>
          <w:tcPr>
            <w:tcW w:w="784" w:type="dxa"/>
            <w:vMerge/>
            <w:tcBorders>
              <w:left w:val="single" w:sz="4" w:space="0" w:color="000000"/>
              <w:bottom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24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100"/>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100"/>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持有其他上市公司股权情况的说明</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rFonts w:ascii="Times New Roman" w:hAnsi="Times New Roman" w:cs="Times New Roman" w:eastAsia="Times New Roman" w:hint="default"/>
          <w:b/>
          <w:bCs/>
        </w:rPr>
        <w:t>2</w:t>
      </w:r>
      <w:r>
        <w:rPr/>
        <w:t>、委托理财、衍生品投资和委托贷款情况</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b/>
          <w:bCs/>
        </w:rPr>
        <w:t>1</w:t>
      </w:r>
      <w:r>
        <w:rPr/>
        <w:t>）委托理财情况</w:t>
      </w:r>
    </w:p>
    <w:p>
      <w:pPr>
        <w:spacing w:line="240" w:lineRule="auto" w:before="12"/>
        <w:rPr>
          <w:rFonts w:ascii="宋体" w:hAnsi="宋体" w:cs="宋体" w:eastAsia="宋体" w:hint="default"/>
          <w:sz w:val="22"/>
          <w:szCs w:val="22"/>
        </w:rPr>
      </w:pPr>
    </w:p>
    <w:p>
      <w:pPr>
        <w:spacing w:before="44"/>
        <w:ind w:left="0" w:right="30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781"/>
        <w:gridCol w:w="798"/>
        <w:gridCol w:w="796"/>
        <w:gridCol w:w="806"/>
        <w:gridCol w:w="797"/>
        <w:gridCol w:w="800"/>
        <w:gridCol w:w="796"/>
        <w:gridCol w:w="799"/>
        <w:gridCol w:w="797"/>
        <w:gridCol w:w="799"/>
        <w:gridCol w:w="797"/>
        <w:gridCol w:w="793"/>
      </w:tblGrid>
      <w:tr>
        <w:trPr>
          <w:trHeight w:val="161" w:hRule="exact"/>
        </w:trPr>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290" w:right="29" w:hanging="272"/>
              <w:jc w:val="left"/>
              <w:rPr>
                <w:rFonts w:ascii="宋体" w:hAnsi="宋体" w:cs="宋体" w:eastAsia="宋体" w:hint="default"/>
                <w:sz w:val="18"/>
                <w:szCs w:val="18"/>
              </w:rPr>
            </w:pPr>
            <w:r>
              <w:rPr>
                <w:rFonts w:ascii="宋体" w:hAnsi="宋体" w:cs="宋体" w:eastAsia="宋体" w:hint="default"/>
                <w:sz w:val="18"/>
                <w:szCs w:val="18"/>
              </w:rPr>
              <w:t>受托人名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31" w:right="32"/>
              <w:jc w:val="left"/>
              <w:rPr>
                <w:rFonts w:ascii="宋体" w:hAnsi="宋体" w:cs="宋体" w:eastAsia="宋体" w:hint="default"/>
                <w:sz w:val="18"/>
                <w:szCs w:val="18"/>
              </w:rPr>
            </w:pPr>
            <w:r>
              <w:rPr>
                <w:rFonts w:ascii="宋体" w:hAnsi="宋体" w:cs="宋体" w:eastAsia="宋体" w:hint="default"/>
                <w:sz w:val="18"/>
                <w:szCs w:val="18"/>
              </w:rPr>
              <w:t>委托理财</w:t>
            </w:r>
            <w:r>
              <w:rPr>
                <w:rFonts w:ascii="宋体" w:hAnsi="宋体" w:cs="宋体" w:eastAsia="宋体" w:hint="default"/>
                <w:w w:val="100"/>
                <w:sz w:val="18"/>
                <w:szCs w:val="18"/>
              </w:rPr>
              <w:t> </w:t>
            </w:r>
            <w:r>
              <w:rPr>
                <w:rFonts w:ascii="宋体" w:hAnsi="宋体" w:cs="宋体" w:eastAsia="宋体" w:hint="default"/>
                <w:sz w:val="18"/>
                <w:szCs w:val="18"/>
              </w:rPr>
              <w:t>起始日期</w:t>
            </w:r>
          </w:p>
        </w:tc>
        <w:tc>
          <w:tcPr>
            <w:tcW w:w="806"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37" w:right="37"/>
              <w:jc w:val="left"/>
              <w:rPr>
                <w:rFonts w:ascii="宋体" w:hAnsi="宋体" w:cs="宋体" w:eastAsia="宋体" w:hint="default"/>
                <w:sz w:val="18"/>
                <w:szCs w:val="18"/>
              </w:rPr>
            </w:pPr>
            <w:r>
              <w:rPr>
                <w:rFonts w:ascii="宋体" w:hAnsi="宋体" w:cs="宋体" w:eastAsia="宋体" w:hint="default"/>
                <w:sz w:val="18"/>
                <w:szCs w:val="18"/>
              </w:rPr>
              <w:t>委托理财</w:t>
            </w:r>
            <w:r>
              <w:rPr>
                <w:rFonts w:ascii="宋体" w:hAnsi="宋体" w:cs="宋体" w:eastAsia="宋体" w:hint="default"/>
                <w:w w:val="100"/>
                <w:sz w:val="18"/>
                <w:szCs w:val="18"/>
              </w:rPr>
              <w:t> </w:t>
            </w:r>
            <w:r>
              <w:rPr>
                <w:rFonts w:ascii="宋体" w:hAnsi="宋体" w:cs="宋体" w:eastAsia="宋体" w:hint="default"/>
                <w:sz w:val="18"/>
                <w:szCs w:val="18"/>
              </w:rPr>
              <w:t>终止日期</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212" w:right="32" w:hanging="180"/>
              <w:jc w:val="left"/>
              <w:rPr>
                <w:rFonts w:ascii="宋体" w:hAnsi="宋体" w:cs="宋体" w:eastAsia="宋体" w:hint="default"/>
                <w:sz w:val="18"/>
                <w:szCs w:val="18"/>
              </w:rPr>
            </w:pPr>
            <w:r>
              <w:rPr>
                <w:rFonts w:ascii="宋体" w:hAnsi="宋体" w:cs="宋体" w:eastAsia="宋体" w:hint="default"/>
                <w:sz w:val="18"/>
                <w:szCs w:val="18"/>
              </w:rPr>
              <w:t>报酬确定</w:t>
            </w:r>
            <w:r>
              <w:rPr>
                <w:rFonts w:ascii="宋体" w:hAnsi="宋体" w:cs="宋体" w:eastAsia="宋体" w:hint="default"/>
                <w:w w:val="100"/>
                <w:sz w:val="18"/>
                <w:szCs w:val="18"/>
              </w:rPr>
              <w:t> </w:t>
            </w:r>
            <w:r>
              <w:rPr>
                <w:rFonts w:ascii="宋体" w:hAnsi="宋体" w:cs="宋体" w:eastAsia="宋体" w:hint="default"/>
                <w:sz w:val="18"/>
                <w:szCs w:val="18"/>
              </w:rPr>
              <w:t>方式</w:t>
            </w:r>
          </w:p>
        </w:tc>
        <w:tc>
          <w:tcPr>
            <w:tcW w:w="800"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34" w:right="33"/>
              <w:jc w:val="left"/>
              <w:rPr>
                <w:rFonts w:ascii="宋体" w:hAnsi="宋体" w:cs="宋体" w:eastAsia="宋体" w:hint="default"/>
                <w:sz w:val="18"/>
                <w:szCs w:val="18"/>
              </w:rPr>
            </w:pPr>
            <w:r>
              <w:rPr>
                <w:rFonts w:ascii="宋体" w:hAnsi="宋体" w:cs="宋体" w:eastAsia="宋体" w:hint="default"/>
                <w:sz w:val="18"/>
                <w:szCs w:val="18"/>
              </w:rPr>
              <w:t>实际收回</w:t>
            </w:r>
            <w:r>
              <w:rPr>
                <w:rFonts w:ascii="宋体" w:hAnsi="宋体" w:cs="宋体" w:eastAsia="宋体" w:hint="default"/>
                <w:w w:val="100"/>
                <w:sz w:val="18"/>
                <w:szCs w:val="18"/>
              </w:rPr>
              <w:t> </w:t>
            </w:r>
            <w:r>
              <w:rPr>
                <w:rFonts w:ascii="宋体" w:hAnsi="宋体" w:cs="宋体" w:eastAsia="宋体" w:hint="default"/>
                <w:sz w:val="18"/>
                <w:szCs w:val="18"/>
              </w:rPr>
              <w:t>本金金额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213" w:right="29" w:hanging="180"/>
              <w:jc w:val="left"/>
              <w:rPr>
                <w:rFonts w:ascii="宋体" w:hAnsi="宋体" w:cs="宋体" w:eastAsia="宋体" w:hint="default"/>
                <w:sz w:val="18"/>
                <w:szCs w:val="18"/>
              </w:rPr>
            </w:pPr>
            <w:r>
              <w:rPr>
                <w:rFonts w:ascii="宋体" w:hAnsi="宋体" w:cs="宋体" w:eastAsia="宋体" w:hint="default"/>
                <w:sz w:val="18"/>
                <w:szCs w:val="18"/>
              </w:rPr>
              <w:t>本期实际</w:t>
            </w:r>
            <w:r>
              <w:rPr>
                <w:rFonts w:ascii="宋体" w:hAnsi="宋体" w:cs="宋体" w:eastAsia="宋体" w:hint="default"/>
                <w:w w:val="100"/>
                <w:sz w:val="18"/>
                <w:szCs w:val="18"/>
              </w:rPr>
              <w:t> </w:t>
            </w:r>
            <w:r>
              <w:rPr>
                <w:rFonts w:ascii="宋体" w:hAnsi="宋体" w:cs="宋体" w:eastAsia="宋体" w:hint="default"/>
                <w:sz w:val="18"/>
                <w:szCs w:val="18"/>
              </w:rPr>
              <w:t>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214" w:right="32" w:hanging="180"/>
              <w:jc w:val="left"/>
              <w:rPr>
                <w:rFonts w:ascii="宋体" w:hAnsi="宋体" w:cs="宋体" w:eastAsia="宋体" w:hint="default"/>
                <w:sz w:val="18"/>
                <w:szCs w:val="18"/>
              </w:rPr>
            </w:pPr>
            <w:r>
              <w:rPr>
                <w:rFonts w:ascii="宋体" w:hAnsi="宋体" w:cs="宋体" w:eastAsia="宋体" w:hint="default"/>
                <w:sz w:val="18"/>
                <w:szCs w:val="18"/>
              </w:rPr>
              <w:t>实际获得</w:t>
            </w:r>
            <w:r>
              <w:rPr>
                <w:rFonts w:ascii="宋体" w:hAnsi="宋体" w:cs="宋体" w:eastAsia="宋体" w:hint="default"/>
                <w:w w:val="100"/>
                <w:sz w:val="18"/>
                <w:szCs w:val="18"/>
              </w:rPr>
              <w:t> </w:t>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是否经过</w:t>
            </w:r>
            <w:r>
              <w:rPr>
                <w:rFonts w:ascii="宋体" w:hAnsi="宋体" w:cs="宋体" w:eastAsia="宋体" w:hint="default"/>
                <w:w w:val="100"/>
                <w:sz w:val="18"/>
                <w:szCs w:val="18"/>
              </w:rPr>
              <w:t> </w:t>
            </w:r>
            <w:r>
              <w:rPr>
                <w:rFonts w:ascii="宋体" w:hAnsi="宋体" w:cs="宋体" w:eastAsia="宋体" w:hint="default"/>
                <w:sz w:val="18"/>
                <w:szCs w:val="18"/>
              </w:rPr>
              <w:t>法定程序</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34" w:right="32"/>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w w:val="100"/>
                <w:sz w:val="18"/>
                <w:szCs w:val="18"/>
              </w:rPr>
              <w:t> </w:t>
            </w:r>
            <w:r>
              <w:rPr>
                <w:rFonts w:ascii="宋体" w:hAnsi="宋体" w:cs="宋体" w:eastAsia="宋体" w:hint="default"/>
                <w:sz w:val="18"/>
                <w:szCs w:val="18"/>
              </w:rPr>
              <w:t>准备金额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212" w:right="32" w:hanging="180"/>
              <w:jc w:val="left"/>
              <w:rPr>
                <w:rFonts w:ascii="宋体" w:hAnsi="宋体" w:cs="宋体" w:eastAsia="宋体" w:hint="default"/>
                <w:sz w:val="18"/>
                <w:szCs w:val="18"/>
              </w:rPr>
            </w:pPr>
            <w:r>
              <w:rPr>
                <w:rFonts w:ascii="宋体" w:hAnsi="宋体" w:cs="宋体" w:eastAsia="宋体" w:hint="default"/>
                <w:sz w:val="18"/>
                <w:szCs w:val="18"/>
              </w:rPr>
              <w:t>是否关联</w:t>
            </w:r>
            <w:r>
              <w:rPr>
                <w:rFonts w:ascii="宋体" w:hAnsi="宋体" w:cs="宋体" w:eastAsia="宋体" w:hint="default"/>
                <w:w w:val="100"/>
                <w:sz w:val="18"/>
                <w:szCs w:val="18"/>
              </w:rPr>
              <w:t> </w:t>
            </w:r>
            <w:r>
              <w:rPr>
                <w:rFonts w:ascii="宋体" w:hAnsi="宋体" w:cs="宋体" w:eastAsia="宋体" w:hint="default"/>
                <w:sz w:val="18"/>
                <w:szCs w:val="18"/>
              </w:rPr>
              <w:t>交易</w:t>
            </w:r>
          </w:p>
        </w:tc>
        <w:tc>
          <w:tcPr>
            <w:tcW w:w="79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781"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c>
          <w:tcPr>
            <w:tcW w:w="806"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800"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81"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80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800"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100"/>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0</w:t>
            </w:r>
          </w:p>
        </w:tc>
        <w:tc>
          <w:tcPr>
            <w:tcW w:w="79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100"/>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100"/>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b/>
          <w:bCs/>
        </w:rPr>
        <w:t>2</w:t>
      </w:r>
      <w:r>
        <w:rPr/>
        <w:t>）衍生品投资情况</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w:t>
      </w:r>
      <w:r>
        <w:rPr>
          <w:rFonts w:ascii="Times New Roman" w:hAnsi="Times New Roman" w:cs="Times New Roman" w:eastAsia="Times New Roman" w:hint="default"/>
          <w:b/>
          <w:bCs/>
        </w:rPr>
        <w:t>3</w:t>
      </w:r>
      <w:r>
        <w:rPr/>
        <w:t>）委托贷款情况</w:t>
      </w:r>
    </w:p>
    <w:p>
      <w:pPr>
        <w:spacing w:line="240" w:lineRule="auto" w:before="12"/>
        <w:rPr>
          <w:rFonts w:ascii="宋体" w:hAnsi="宋体" w:cs="宋体" w:eastAsia="宋体" w:hint="default"/>
          <w:sz w:val="22"/>
          <w:szCs w:val="22"/>
        </w:rPr>
      </w:pPr>
    </w:p>
    <w:p>
      <w:pPr>
        <w:spacing w:before="44"/>
        <w:ind w:left="0" w:right="30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19"/>
        <w:gridCol w:w="960"/>
        <w:gridCol w:w="1181"/>
        <w:gridCol w:w="1181"/>
        <w:gridCol w:w="1181"/>
        <w:gridCol w:w="1181"/>
        <w:gridCol w:w="1181"/>
        <w:gridCol w:w="1181"/>
      </w:tblGrid>
      <w:tr>
        <w:trPr>
          <w:trHeight w:val="811" w:hRule="exact"/>
        </w:trPr>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0"/>
              <w:ind w:left="496" w:right="43" w:hanging="452"/>
              <w:jc w:val="left"/>
              <w:rPr>
                <w:rFonts w:ascii="宋体" w:hAnsi="宋体" w:cs="宋体" w:eastAsia="宋体" w:hint="default"/>
                <w:sz w:val="18"/>
                <w:szCs w:val="18"/>
              </w:rPr>
            </w:pPr>
            <w:r>
              <w:rPr>
                <w:rFonts w:ascii="宋体" w:hAnsi="宋体" w:cs="宋体" w:eastAsia="宋体" w:hint="default"/>
                <w:sz w:val="18"/>
                <w:szCs w:val="18"/>
              </w:rPr>
              <w:t>担保人或抵押</w:t>
            </w:r>
            <w:r>
              <w:rPr>
                <w:rFonts w:ascii="宋体" w:hAnsi="宋体" w:cs="宋体" w:eastAsia="宋体" w:hint="default"/>
                <w:w w:val="100"/>
                <w:sz w:val="18"/>
                <w:szCs w:val="18"/>
              </w:rPr>
              <w:t> </w:t>
            </w:r>
            <w:r>
              <w:rPr>
                <w:rFonts w:ascii="宋体" w:hAnsi="宋体" w:cs="宋体" w:eastAsia="宋体" w:hint="default"/>
                <w:sz w:val="18"/>
                <w:szCs w:val="18"/>
              </w:rPr>
              <w:t>物</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0"/>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w:t>
            </w:r>
            <w:r>
              <w:rPr>
                <w:rFonts w:ascii="宋体" w:hAnsi="宋体" w:cs="宋体" w:eastAsia="宋体" w:hint="default"/>
                <w:w w:val="100"/>
                <w:sz w:val="18"/>
                <w:szCs w:val="18"/>
              </w:rPr>
              <w:t> </w:t>
            </w:r>
            <w:r>
              <w:rPr>
                <w:rFonts w:ascii="宋体" w:hAnsi="宋体" w:cs="宋体" w:eastAsia="宋体" w:hint="default"/>
                <w:sz w:val="18"/>
                <w:szCs w:val="18"/>
              </w:rPr>
              <w:t>用途</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0"/>
              <w:ind w:left="228" w:right="40" w:hanging="180"/>
              <w:jc w:val="left"/>
              <w:rPr>
                <w:rFonts w:ascii="宋体" w:hAnsi="宋体" w:cs="宋体" w:eastAsia="宋体" w:hint="default"/>
                <w:sz w:val="18"/>
                <w:szCs w:val="18"/>
              </w:rPr>
            </w:pPr>
            <w:r>
              <w:rPr>
                <w:rFonts w:ascii="宋体" w:hAnsi="宋体" w:cs="宋体" w:eastAsia="宋体" w:hint="default"/>
                <w:sz w:val="18"/>
                <w:szCs w:val="18"/>
              </w:rPr>
              <w:t>展期、逾期或</w:t>
            </w:r>
            <w:r>
              <w:rPr>
                <w:rFonts w:ascii="宋体" w:hAnsi="宋体" w:cs="宋体" w:eastAsia="宋体" w:hint="default"/>
                <w:w w:val="100"/>
                <w:sz w:val="18"/>
                <w:szCs w:val="18"/>
              </w:rPr>
              <w:t> </w:t>
            </w:r>
            <w:r>
              <w:rPr>
                <w:rFonts w:ascii="宋体" w:hAnsi="宋体" w:cs="宋体" w:eastAsia="宋体" w:hint="default"/>
                <w:sz w:val="18"/>
                <w:szCs w:val="18"/>
              </w:rPr>
              <w:t>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0"/>
              <w:ind w:left="48" w:right="40"/>
              <w:jc w:val="both"/>
              <w:rPr>
                <w:rFonts w:ascii="宋体" w:hAnsi="宋体" w:cs="宋体" w:eastAsia="宋体" w:hint="default"/>
                <w:sz w:val="18"/>
                <w:szCs w:val="18"/>
              </w:rPr>
            </w:pPr>
            <w:r>
              <w:rPr>
                <w:rFonts w:ascii="宋体" w:hAnsi="宋体" w:cs="宋体" w:eastAsia="宋体" w:hint="default"/>
                <w:sz w:val="18"/>
                <w:szCs w:val="18"/>
              </w:rPr>
              <w:t>展期、逾期或</w:t>
            </w:r>
            <w:r>
              <w:rPr>
                <w:rFonts w:ascii="宋体" w:hAnsi="宋体" w:cs="宋体" w:eastAsia="宋体" w:hint="default"/>
                <w:w w:val="100"/>
                <w:sz w:val="18"/>
                <w:szCs w:val="18"/>
              </w:rPr>
              <w:t> </w:t>
            </w:r>
            <w:r>
              <w:rPr>
                <w:rFonts w:ascii="宋体" w:hAnsi="宋体" w:cs="宋体" w:eastAsia="宋体" w:hint="default"/>
                <w:sz w:val="18"/>
                <w:szCs w:val="18"/>
              </w:rPr>
              <w:t>诉讼事项等风</w:t>
            </w:r>
            <w:r>
              <w:rPr>
                <w:rFonts w:ascii="宋体" w:hAnsi="宋体" w:cs="宋体" w:eastAsia="宋体" w:hint="default"/>
                <w:w w:val="100"/>
                <w:sz w:val="18"/>
                <w:szCs w:val="18"/>
              </w:rPr>
              <w:t> </w:t>
            </w:r>
            <w:r>
              <w:rPr>
                <w:rFonts w:ascii="宋体" w:hAnsi="宋体" w:cs="宋体" w:eastAsia="宋体" w:hint="default"/>
                <w:sz w:val="18"/>
                <w:szCs w:val="18"/>
              </w:rPr>
              <w:t>险的应对措施</w:t>
            </w:r>
          </w:p>
        </w:tc>
      </w:tr>
      <w:tr>
        <w:trPr>
          <w:trHeight w:val="329" w:hRule="exact"/>
        </w:trPr>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100"/>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b/>
          <w:bCs/>
        </w:rPr>
        <w:t>3</w:t>
      </w:r>
      <w:r>
        <w:rPr/>
        <w:t>、募集资金使用情况</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b/>
          <w:bCs/>
        </w:rPr>
        <w:t>1</w:t>
      </w:r>
      <w:r>
        <w:rPr/>
        <w:t>）募集资金总体使用情况</w:t>
      </w:r>
    </w:p>
    <w:p>
      <w:pPr>
        <w:spacing w:line="240" w:lineRule="auto" w:before="10"/>
        <w:rPr>
          <w:rFonts w:ascii="宋体" w:hAnsi="宋体" w:cs="宋体" w:eastAsia="宋体" w:hint="default"/>
          <w:sz w:val="22"/>
          <w:szCs w:val="22"/>
        </w:rPr>
      </w:pPr>
    </w:p>
    <w:p>
      <w:pPr>
        <w:spacing w:before="44"/>
        <w:ind w:left="0" w:right="30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076"/>
        <w:gridCol w:w="5480"/>
      </w:tblGrid>
      <w:tr>
        <w:trPr>
          <w:trHeight w:val="350"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270,660.97</w:t>
            </w:r>
          </w:p>
        </w:tc>
      </w:tr>
      <w:tr>
        <w:trPr>
          <w:trHeight w:val="350"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89,443.32</w:t>
            </w:r>
          </w:p>
        </w:tc>
      </w:tr>
      <w:tr>
        <w:trPr>
          <w:trHeight w:val="355"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230,686.35</w:t>
            </w:r>
          </w:p>
        </w:tc>
      </w:tr>
      <w:tr>
        <w:trPr>
          <w:trHeight w:val="34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1" w:right="1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1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公司实际募集资金净额为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270,660.97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万元。实际募集资金净额超过计划募集资金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tc>
      </w:tr>
    </w:tbl>
    <w:p>
      <w:pPr>
        <w:spacing w:after="0" w:line="240" w:lineRule="auto"/>
        <w:jc w:val="left"/>
        <w:rPr>
          <w:rFonts w:ascii="Times New Roman" w:hAnsi="Times New Roman" w:cs="Times New Roman" w:eastAsia="Times New Roman" w:hint="default"/>
          <w:sz w:val="18"/>
          <w:szCs w:val="18"/>
        </w:rPr>
        <w:sectPr>
          <w:pgSz w:w="11900" w:h="16840"/>
          <w:pgMar w:header="746" w:footer="982" w:top="1060" w:bottom="1180" w:left="980" w:right="820"/>
        </w:sectPr>
      </w:pPr>
    </w:p>
    <w:p>
      <w:pPr>
        <w:spacing w:line="240" w:lineRule="auto" w:before="11"/>
        <w:rPr>
          <w:rFonts w:ascii="宋体" w:hAnsi="宋体" w:cs="宋体" w:eastAsia="宋体" w:hint="default"/>
          <w:sz w:val="28"/>
          <w:szCs w:val="28"/>
        </w:rPr>
      </w:pPr>
    </w:p>
    <w:p>
      <w:pPr>
        <w:spacing w:line="571" w:lineRule="exact"/>
        <w:ind w:left="292"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78.45pt;height:28.6pt;mso-position-horizontal-relative:char;mso-position-vertical-relative:line" type="#_x0000_t202" filled="false" stroked="true" strokeweight=".48pt" strokecolor="#000000">
            <w10:anchorlock/>
            <v:textbox inset="0,0,0,0">
              <w:txbxContent>
                <w:p>
                  <w:pPr>
                    <w:spacing w:line="248"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日，公司募集资金承诺投资项目已累计投入资金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66,192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164,494.35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万元投入使用，募集资金累计使用</w:t>
                  </w:r>
                </w:p>
                <w:p>
                  <w:pPr>
                    <w:spacing w:before="10"/>
                    <w:ind w:left="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230,686.35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xbxContent>
            </v:textbox>
          </v:shape>
        </w:pict>
      </w:r>
      <w:r>
        <w:rPr>
          <w:rFonts w:ascii="宋体" w:hAnsi="宋体" w:cs="宋体" w:eastAsia="宋体" w:hint="default"/>
          <w:position w:val="-10"/>
          <w:sz w:val="20"/>
          <w:szCs w:val="20"/>
        </w:rPr>
      </w:r>
    </w:p>
    <w:p>
      <w:pPr>
        <w:spacing w:line="240" w:lineRule="auto" w:before="8"/>
        <w:rPr>
          <w:rFonts w:ascii="宋体" w:hAnsi="宋体" w:cs="宋体" w:eastAsia="宋体" w:hint="default"/>
          <w:sz w:val="19"/>
          <w:szCs w:val="19"/>
        </w:rPr>
      </w:pPr>
    </w:p>
    <w:p>
      <w:pPr>
        <w:pStyle w:val="BodyText"/>
        <w:spacing w:line="240" w:lineRule="auto" w:before="36"/>
        <w:ind w:left="292" w:right="0"/>
        <w:jc w:val="left"/>
      </w:pPr>
      <w:r>
        <w:rPr/>
        <w:t>（</w:t>
      </w:r>
      <w:r>
        <w:rPr>
          <w:rFonts w:ascii="Times New Roman" w:hAnsi="Times New Roman" w:cs="Times New Roman" w:eastAsia="Times New Roman" w:hint="default"/>
          <w:b/>
          <w:bCs/>
        </w:rPr>
        <w:t>2</w:t>
      </w:r>
      <w:r>
        <w:rPr/>
        <w:t>）募集资金承诺项目情况</w:t>
      </w:r>
    </w:p>
    <w:p>
      <w:pPr>
        <w:spacing w:line="240" w:lineRule="auto" w:before="10"/>
        <w:rPr>
          <w:rFonts w:ascii="宋体" w:hAnsi="宋体" w:cs="宋体" w:eastAsia="宋体" w:hint="default"/>
          <w:sz w:val="22"/>
          <w:szCs w:val="22"/>
        </w:rPr>
      </w:pPr>
    </w:p>
    <w:p>
      <w:pPr>
        <w:spacing w:before="44"/>
        <w:ind w:left="0" w:right="26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00" w:firstLine="0"/>
        <w:jc w:val="right"/>
        <w:rPr>
          <w:rFonts w:ascii="宋体" w:hAnsi="宋体" w:cs="宋体" w:eastAsia="宋体" w:hint="default"/>
          <w:sz w:val="18"/>
          <w:szCs w:val="18"/>
        </w:rPr>
      </w:pPr>
      <w:r>
        <w:rPr/>
        <w:pict>
          <v:shape style="position:absolute;margin-left:47.39904pt;margin-top:-310.448212pt;width:496.8pt;height:597.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900"/>
                    <w:gridCol w:w="900"/>
                    <w:gridCol w:w="900"/>
                    <w:gridCol w:w="818"/>
                    <w:gridCol w:w="982"/>
                    <w:gridCol w:w="720"/>
                    <w:gridCol w:w="720"/>
                    <w:gridCol w:w="720"/>
                    <w:gridCol w:w="720"/>
                    <w:gridCol w:w="742"/>
                  </w:tblGrid>
                  <w:tr>
                    <w:trPr>
                      <w:trHeight w:val="343" w:hRule="exact"/>
                    </w:trPr>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8" w:type="dxa"/>
                        <w:tcBorders>
                          <w:top w:val="single" w:sz="4" w:space="0" w:color="000000"/>
                          <w:left w:val="single" w:sz="4" w:space="0" w:color="000000"/>
                          <w:bottom w:val="nil" w:sz="6" w:space="0" w:color="auto"/>
                          <w:right w:val="single" w:sz="4" w:space="0" w:color="000000"/>
                        </w:tcBorders>
                        <w:shd w:val="clear" w:color="auto" w:fill="D3D3D3"/>
                      </w:tcPr>
                      <w:p>
                        <w:pPr/>
                      </w:p>
                    </w:tc>
                    <w:tc>
                      <w:tcPr>
                        <w:tcW w:w="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right="81"/>
                          <w:jc w:val="right"/>
                          <w:rPr>
                            <w:rFonts w:ascii="宋体" w:hAnsi="宋体" w:cs="宋体" w:eastAsia="宋体" w:hint="default"/>
                            <w:sz w:val="18"/>
                            <w:szCs w:val="18"/>
                          </w:rPr>
                        </w:pPr>
                        <w:r>
                          <w:rPr>
                            <w:rFonts w:ascii="宋体" w:hAnsi="宋体" w:cs="宋体" w:eastAsia="宋体" w:hint="default"/>
                            <w:spacing w:val="-1"/>
                            <w:sz w:val="18"/>
                            <w:szCs w:val="18"/>
                          </w:rPr>
                          <w:t>截至期</w:t>
                        </w: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项目达</w:t>
                        </w: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4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项目可</w:t>
                        </w:r>
                      </w:p>
                    </w:tc>
                  </w:tr>
                  <w:tr>
                    <w:trPr>
                      <w:trHeight w:val="845"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3" w:lineRule="auto" w:before="135"/>
                          <w:ind w:left="535" w:right="81" w:hanging="449"/>
                          <w:jc w:val="left"/>
                          <w:rPr>
                            <w:rFonts w:ascii="宋体" w:hAnsi="宋体" w:cs="宋体" w:eastAsia="宋体" w:hint="default"/>
                            <w:sz w:val="18"/>
                            <w:szCs w:val="18"/>
                          </w:rPr>
                        </w:pPr>
                        <w:r>
                          <w:rPr>
                            <w:rFonts w:ascii="宋体" w:hAnsi="宋体" w:cs="宋体" w:eastAsia="宋体" w:hint="default"/>
                            <w:sz w:val="18"/>
                            <w:szCs w:val="18"/>
                          </w:rPr>
                          <w:t>承诺投资项目和超募</w:t>
                        </w:r>
                        <w:r>
                          <w:rPr>
                            <w:rFonts w:ascii="宋体" w:hAnsi="宋体" w:cs="宋体" w:eastAsia="宋体" w:hint="default"/>
                            <w:w w:val="100"/>
                            <w:sz w:val="18"/>
                            <w:szCs w:val="18"/>
                          </w:rPr>
                          <w:t> </w:t>
                        </w:r>
                        <w:r>
                          <w:rPr>
                            <w:rFonts w:ascii="宋体" w:hAnsi="宋体" w:cs="宋体" w:eastAsia="宋体" w:hint="default"/>
                            <w:sz w:val="18"/>
                            <w:szCs w:val="18"/>
                          </w:rPr>
                          <w:t>资金投向</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6" w:lineRule="auto"/>
                          <w:ind w:left="55" w:right="52"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w:t>
                        </w:r>
                        <w:r>
                          <w:rPr>
                            <w:rFonts w:ascii="宋体" w:hAnsi="宋体" w:cs="宋体" w:eastAsia="宋体" w:hint="default"/>
                            <w:w w:val="100"/>
                            <w:sz w:val="18"/>
                            <w:szCs w:val="18"/>
                          </w:rPr>
                          <w:t> </w:t>
                        </w:r>
                        <w:r>
                          <w:rPr>
                            <w:rFonts w:ascii="宋体" w:hAnsi="宋体" w:cs="宋体" w:eastAsia="宋体" w:hint="default"/>
                            <w:sz w:val="18"/>
                            <w:szCs w:val="18"/>
                          </w:rPr>
                          <w:t>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0"/>
                            <w:sz w:val="18"/>
                            <w:szCs w:val="18"/>
                          </w:rPr>
                          <w:t> </w:t>
                        </w:r>
                        <w:r>
                          <w:rPr>
                            <w:rFonts w:ascii="宋体" w:hAnsi="宋体" w:cs="宋体" w:eastAsia="宋体" w:hint="default"/>
                            <w:sz w:val="18"/>
                            <w:szCs w:val="18"/>
                          </w:rPr>
                          <w:t>部分变更</w:t>
                        </w:r>
                        <w:r>
                          <w:rPr>
                            <w:rFonts w:ascii="Times New Roman" w:hAnsi="Times New Roman" w:cs="Times New Roman" w:eastAsia="Times New Roman" w:hint="default"/>
                            <w:sz w:val="18"/>
                            <w:szCs w:val="18"/>
                          </w:rPr>
                          <w:t>)</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auto"/>
                          <w:ind w:left="86" w:right="81"/>
                          <w:jc w:val="center"/>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w w:val="100"/>
                            <w:sz w:val="18"/>
                            <w:szCs w:val="18"/>
                          </w:rPr>
                          <w:t> </w:t>
                        </w:r>
                        <w:r>
                          <w:rPr>
                            <w:rFonts w:ascii="宋体" w:hAnsi="宋体" w:cs="宋体" w:eastAsia="宋体" w:hint="default"/>
                            <w:sz w:val="18"/>
                            <w:szCs w:val="18"/>
                          </w:rPr>
                          <w:t>承诺投资</w:t>
                        </w:r>
                        <w:r>
                          <w:rPr>
                            <w:rFonts w:ascii="宋体" w:hAnsi="宋体" w:cs="宋体" w:eastAsia="宋体" w:hint="default"/>
                            <w:w w:val="100"/>
                            <w:sz w:val="18"/>
                            <w:szCs w:val="18"/>
                          </w:rPr>
                          <w:t> </w:t>
                        </w:r>
                        <w:r>
                          <w:rPr>
                            <w:rFonts w:ascii="宋体" w:hAnsi="宋体" w:cs="宋体" w:eastAsia="宋体" w:hint="default"/>
                            <w:sz w:val="18"/>
                            <w:szCs w:val="18"/>
                          </w:rPr>
                          <w:t>总额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3" w:lineRule="auto" w:before="135"/>
                          <w:ind w:left="69" w:right="67" w:firstLine="1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0"/>
                            <w:sz w:val="18"/>
                            <w:szCs w:val="18"/>
                          </w:rPr>
                          <w:t> </w:t>
                        </w:r>
                        <w:r>
                          <w:rPr>
                            <w:rFonts w:ascii="宋体" w:hAnsi="宋体" w:cs="宋体" w:eastAsia="宋体" w:hint="default"/>
                            <w:sz w:val="18"/>
                            <w:szCs w:val="18"/>
                          </w:rPr>
                          <w:t>资总额</w:t>
                        </w:r>
                        <w:r>
                          <w:rPr>
                            <w:rFonts w:ascii="Times New Roman" w:hAnsi="Times New Roman" w:cs="Times New Roman" w:eastAsia="Times New Roman" w:hint="default"/>
                            <w:sz w:val="18"/>
                            <w:szCs w:val="18"/>
                          </w:rPr>
                          <w:t>(1)</w:t>
                        </w:r>
                      </w:p>
                    </w:tc>
                    <w:tc>
                      <w:tcPr>
                        <w:tcW w:w="8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3" w:lineRule="auto" w:before="135"/>
                          <w:ind w:left="45" w:right="40"/>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w w:val="100"/>
                            <w:sz w:val="18"/>
                            <w:szCs w:val="18"/>
                          </w:rPr>
                          <w:t> </w:t>
                        </w:r>
                        <w:r>
                          <w:rPr>
                            <w:rFonts w:ascii="宋体" w:hAnsi="宋体" w:cs="宋体" w:eastAsia="宋体" w:hint="default"/>
                            <w:sz w:val="18"/>
                            <w:szCs w:val="18"/>
                          </w:rPr>
                          <w:t>投入金额</w:t>
                        </w:r>
                      </w:p>
                    </w:tc>
                    <w:tc>
                      <w:tcPr>
                        <w:tcW w:w="9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07" w:lineRule="auto"/>
                          <w:ind w:left="38"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w:t>
                        </w:r>
                        <w:r>
                          <w:rPr>
                            <w:rFonts w:ascii="宋体" w:hAnsi="宋体" w:cs="宋体" w:eastAsia="宋体" w:hint="default"/>
                            <w:w w:val="100"/>
                            <w:sz w:val="18"/>
                            <w:szCs w:val="18"/>
                          </w:rPr>
                          <w:t> </w:t>
                        </w:r>
                        <w:r>
                          <w:rPr>
                            <w:rFonts w:ascii="宋体" w:hAnsi="宋体" w:cs="宋体" w:eastAsia="宋体" w:hint="default"/>
                            <w:sz w:val="18"/>
                            <w:szCs w:val="18"/>
                          </w:rPr>
                          <w:t>计投入金额</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auto"/>
                          <w:ind w:left="26" w:right="21"/>
                          <w:jc w:val="center"/>
                          <w:rPr>
                            <w:rFonts w:ascii="宋体" w:hAnsi="宋体" w:cs="宋体" w:eastAsia="宋体" w:hint="default"/>
                            <w:sz w:val="18"/>
                            <w:szCs w:val="18"/>
                          </w:rPr>
                        </w:pPr>
                        <w:r>
                          <w:rPr>
                            <w:rFonts w:ascii="宋体" w:hAnsi="宋体" w:cs="宋体" w:eastAsia="宋体" w:hint="default"/>
                            <w:sz w:val="18"/>
                            <w:szCs w:val="18"/>
                          </w:rPr>
                          <w:t>末投资</w:t>
                        </w:r>
                        <w:r>
                          <w:rPr>
                            <w:rFonts w:ascii="宋体" w:hAnsi="宋体" w:cs="宋体" w:eastAsia="宋体" w:hint="default"/>
                            <w:w w:val="100"/>
                            <w:sz w:val="18"/>
                            <w:szCs w:val="18"/>
                          </w:rPr>
                          <w:t> </w:t>
                        </w:r>
                        <w:r>
                          <w:rPr>
                            <w:rFonts w:ascii="宋体" w:hAnsi="宋体" w:cs="宋体" w:eastAsia="宋体" w:hint="default"/>
                            <w:sz w:val="18"/>
                            <w:szCs w:val="18"/>
                          </w:rPr>
                          <w:t>进度</w:t>
                        </w:r>
                        <w:r>
                          <w:rPr>
                            <w:rFonts w:ascii="宋体" w:hAnsi="宋体" w:cs="宋体" w:eastAsia="宋体" w:hint="default"/>
                            <w:w w:val="100"/>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auto"/>
                          <w:ind w:left="86" w:right="81"/>
                          <w:jc w:val="both"/>
                          <w:rPr>
                            <w:rFonts w:ascii="宋体" w:hAnsi="宋体" w:cs="宋体" w:eastAsia="宋体" w:hint="default"/>
                            <w:sz w:val="18"/>
                            <w:szCs w:val="18"/>
                          </w:rPr>
                        </w:pPr>
                        <w:r>
                          <w:rPr>
                            <w:rFonts w:ascii="宋体" w:hAnsi="宋体" w:cs="宋体" w:eastAsia="宋体" w:hint="default"/>
                            <w:sz w:val="18"/>
                            <w:szCs w:val="18"/>
                          </w:rPr>
                          <w:t>到预定</w:t>
                        </w:r>
                        <w:r>
                          <w:rPr>
                            <w:rFonts w:ascii="宋体" w:hAnsi="宋体" w:cs="宋体" w:eastAsia="宋体" w:hint="default"/>
                            <w:w w:val="100"/>
                            <w:sz w:val="18"/>
                            <w:szCs w:val="18"/>
                          </w:rPr>
                          <w:t> </w:t>
                        </w:r>
                        <w:r>
                          <w:rPr>
                            <w:rFonts w:ascii="宋体" w:hAnsi="宋体" w:cs="宋体" w:eastAsia="宋体" w:hint="default"/>
                            <w:sz w:val="18"/>
                            <w:szCs w:val="18"/>
                          </w:rPr>
                          <w:t>可使用</w:t>
                        </w:r>
                        <w:r>
                          <w:rPr>
                            <w:rFonts w:ascii="宋体" w:hAnsi="宋体" w:cs="宋体" w:eastAsia="宋体" w:hint="default"/>
                            <w:w w:val="100"/>
                            <w:sz w:val="18"/>
                            <w:szCs w:val="18"/>
                          </w:rPr>
                          <w:t> </w:t>
                        </w:r>
                        <w:r>
                          <w:rPr>
                            <w:rFonts w:ascii="宋体" w:hAnsi="宋体" w:cs="宋体" w:eastAsia="宋体" w:hint="default"/>
                            <w:sz w:val="18"/>
                            <w:szCs w:val="18"/>
                          </w:rPr>
                          <w:t>状态日</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auto"/>
                          <w:ind w:left="86" w:right="81"/>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w w:val="100"/>
                            <w:sz w:val="18"/>
                            <w:szCs w:val="18"/>
                          </w:rPr>
                          <w:t> </w:t>
                        </w:r>
                        <w:r>
                          <w:rPr>
                            <w:rFonts w:ascii="宋体" w:hAnsi="宋体" w:cs="宋体" w:eastAsia="宋体" w:hint="default"/>
                            <w:sz w:val="18"/>
                            <w:szCs w:val="18"/>
                          </w:rPr>
                          <w:t>期实现</w:t>
                        </w:r>
                        <w:r>
                          <w:rPr>
                            <w:rFonts w:ascii="宋体" w:hAnsi="宋体" w:cs="宋体" w:eastAsia="宋体" w:hint="default"/>
                            <w:w w:val="100"/>
                            <w:sz w:val="18"/>
                            <w:szCs w:val="18"/>
                          </w:rPr>
                          <w:t> </w:t>
                        </w:r>
                        <w:r>
                          <w:rPr>
                            <w:rFonts w:ascii="宋体" w:hAnsi="宋体" w:cs="宋体" w:eastAsia="宋体" w:hint="default"/>
                            <w:sz w:val="18"/>
                            <w:szCs w:val="18"/>
                          </w:rPr>
                          <w:t>的效益</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auto"/>
                          <w:ind w:left="86" w:right="81"/>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w w:val="100"/>
                            <w:sz w:val="18"/>
                            <w:szCs w:val="18"/>
                          </w:rPr>
                          <w:t> </w:t>
                        </w:r>
                        <w:r>
                          <w:rPr>
                            <w:rFonts w:ascii="宋体" w:hAnsi="宋体" w:cs="宋体" w:eastAsia="宋体" w:hint="default"/>
                            <w:sz w:val="18"/>
                            <w:szCs w:val="18"/>
                          </w:rPr>
                          <w:t>到预计</w:t>
                        </w:r>
                        <w:r>
                          <w:rPr>
                            <w:rFonts w:ascii="宋体" w:hAnsi="宋体" w:cs="宋体" w:eastAsia="宋体" w:hint="default"/>
                            <w:w w:val="100"/>
                            <w:sz w:val="18"/>
                            <w:szCs w:val="18"/>
                          </w:rPr>
                          <w:t> </w:t>
                        </w:r>
                        <w:r>
                          <w:rPr>
                            <w:rFonts w:ascii="宋体" w:hAnsi="宋体" w:cs="宋体" w:eastAsia="宋体" w:hint="default"/>
                            <w:sz w:val="18"/>
                            <w:szCs w:val="18"/>
                          </w:rPr>
                          <w:t>效益</w:t>
                        </w:r>
                      </w:p>
                    </w:tc>
                    <w:tc>
                      <w:tcPr>
                        <w:tcW w:w="7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auto"/>
                          <w:ind w:left="96" w:right="93"/>
                          <w:jc w:val="both"/>
                          <w:rPr>
                            <w:rFonts w:ascii="宋体" w:hAnsi="宋体" w:cs="宋体" w:eastAsia="宋体" w:hint="default"/>
                            <w:sz w:val="18"/>
                            <w:szCs w:val="18"/>
                          </w:rPr>
                        </w:pPr>
                        <w:r>
                          <w:rPr>
                            <w:rFonts w:ascii="宋体" w:hAnsi="宋体" w:cs="宋体" w:eastAsia="宋体" w:hint="default"/>
                            <w:sz w:val="18"/>
                            <w:szCs w:val="18"/>
                          </w:rPr>
                          <w:t>行性是</w:t>
                        </w:r>
                        <w:r>
                          <w:rPr>
                            <w:rFonts w:ascii="宋体" w:hAnsi="宋体" w:cs="宋体" w:eastAsia="宋体" w:hint="default"/>
                            <w:w w:val="100"/>
                            <w:sz w:val="18"/>
                            <w:szCs w:val="18"/>
                          </w:rPr>
                          <w:t> </w:t>
                        </w:r>
                        <w:r>
                          <w:rPr>
                            <w:rFonts w:ascii="宋体" w:hAnsi="宋体" w:cs="宋体" w:eastAsia="宋体" w:hint="default"/>
                            <w:sz w:val="18"/>
                            <w:szCs w:val="18"/>
                          </w:rPr>
                          <w:t>否发生</w:t>
                        </w:r>
                        <w:r>
                          <w:rPr>
                            <w:rFonts w:ascii="宋体" w:hAnsi="宋体" w:cs="宋体" w:eastAsia="宋体" w:hint="default"/>
                            <w:w w:val="100"/>
                            <w:sz w:val="18"/>
                            <w:szCs w:val="18"/>
                          </w:rPr>
                          <w:t> </w:t>
                        </w:r>
                        <w:r>
                          <w:rPr>
                            <w:rFonts w:ascii="宋体" w:hAnsi="宋体" w:cs="宋体" w:eastAsia="宋体" w:hint="default"/>
                            <w:sz w:val="18"/>
                            <w:szCs w:val="18"/>
                          </w:rPr>
                          <w:t>重大变</w:t>
                        </w:r>
                      </w:p>
                    </w:tc>
                  </w:tr>
                  <w:tr>
                    <w:trPr>
                      <w:trHeight w:val="302" w:hRule="exact"/>
                    </w:trPr>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818" w:type="dxa"/>
                        <w:tcBorders>
                          <w:top w:val="nil" w:sz="6" w:space="0" w:color="auto"/>
                          <w:left w:val="single" w:sz="4" w:space="0" w:color="000000"/>
                          <w:bottom w:val="single" w:sz="4" w:space="0" w:color="000000"/>
                          <w:right w:val="single" w:sz="4" w:space="0" w:color="000000"/>
                        </w:tcBorders>
                        <w:shd w:val="clear" w:color="auto" w:fill="D3D3D3"/>
                      </w:tcPr>
                      <w:p>
                        <w:pPr/>
                      </w:p>
                    </w:tc>
                    <w:tc>
                      <w:tcPr>
                        <w:tcW w:w="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1"/>
                          <w:ind w:left="120" w:right="0"/>
                          <w:jc w:val="left"/>
                          <w:rPr>
                            <w:rFonts w:ascii="Times New Roman" w:hAnsi="Times New Roman" w:cs="Times New Roman" w:eastAsia="Times New Roman" w:hint="default"/>
                            <w:sz w:val="18"/>
                            <w:szCs w:val="18"/>
                          </w:rPr>
                        </w:pPr>
                        <w:r>
                          <w:rPr>
                            <w:rFonts w:ascii="Times New Roman"/>
                            <w:sz w:val="18"/>
                          </w:rPr>
                          <w:t>(2)/(1)</w:t>
                        </w: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4" w:lineRule="exact"/>
                          <w:ind w:left="2" w:right="0"/>
                          <w:jc w:val="center"/>
                          <w:rPr>
                            <w:rFonts w:ascii="宋体" w:hAnsi="宋体" w:cs="宋体" w:eastAsia="宋体" w:hint="default"/>
                            <w:sz w:val="18"/>
                            <w:szCs w:val="18"/>
                          </w:rPr>
                        </w:pPr>
                        <w:r>
                          <w:rPr>
                            <w:rFonts w:ascii="宋体" w:hAnsi="宋体" w:cs="宋体" w:eastAsia="宋体" w:hint="default"/>
                            <w:w w:val="100"/>
                            <w:sz w:val="18"/>
                            <w:szCs w:val="18"/>
                          </w:rPr>
                          <w:t>期</w:t>
                        </w: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4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w w:val="100"/>
                            <w:sz w:val="18"/>
                            <w:szCs w:val="18"/>
                          </w:rPr>
                          <w:t>化</w:t>
                        </w:r>
                      </w:p>
                    </w:tc>
                  </w:tr>
                  <w:tr>
                    <w:trPr>
                      <w:trHeight w:val="370" w:hRule="exact"/>
                    </w:trPr>
                    <w:tc>
                      <w:tcPr>
                        <w:tcW w:w="992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92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68" w:lineRule="auto"/>
                          <w:ind w:left="24" w:right="14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万吨新型功能</w:t>
                        </w:r>
                        <w:r>
                          <w:rPr>
                            <w:rFonts w:ascii="宋体" w:hAnsi="宋体" w:cs="宋体" w:eastAsia="宋体" w:hint="default"/>
                            <w:w w:val="100"/>
                            <w:sz w:val="18"/>
                            <w:szCs w:val="18"/>
                          </w:rPr>
                          <w:t> </w:t>
                        </w:r>
                        <w:r>
                          <w:rPr>
                            <w:rFonts w:ascii="宋体" w:hAnsi="宋体" w:cs="宋体" w:eastAsia="宋体" w:hint="default"/>
                            <w:sz w:val="18"/>
                            <w:szCs w:val="18"/>
                          </w:rPr>
                          <w:t>性聚酯薄膜项目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66,163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66,163</w:t>
                        </w:r>
                      </w:p>
                    </w:tc>
                    <w:tc>
                      <w:tcPr>
                        <w:tcW w:w="81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66,192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100.04%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55" w:right="0"/>
                          <w:jc w:val="left"/>
                          <w:rPr>
                            <w:rFonts w:ascii="Times New Roman" w:hAnsi="Times New Roman" w:cs="Times New Roman" w:eastAsia="Times New Roman" w:hint="default"/>
                            <w:sz w:val="18"/>
                            <w:szCs w:val="18"/>
                          </w:rPr>
                        </w:pPr>
                        <w:r>
                          <w:rPr>
                            <w:rFonts w:ascii="Times New Roman"/>
                            <w:sz w:val="18"/>
                          </w:rPr>
                          <w:t>5,337.35</w:t>
                        </w:r>
                      </w:p>
                    </w:tc>
                    <w:tc>
                      <w:tcPr>
                        <w:tcW w:w="72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7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81"/>
                          <w:jc w:val="right"/>
                          <w:rPr>
                            <w:rFonts w:ascii="Times New Roman" w:hAnsi="Times New Roman" w:cs="Times New Roman" w:eastAsia="Times New Roman" w:hint="default"/>
                            <w:sz w:val="18"/>
                            <w:szCs w:val="18"/>
                          </w:rPr>
                        </w:pPr>
                        <w:r>
                          <w:rPr>
                            <w:rFonts w:ascii="Times New Roman"/>
                            <w:spacing w:val="-1"/>
                            <w:sz w:val="18"/>
                          </w:rPr>
                          <w:t>--</w:t>
                        </w:r>
                      </w:p>
                    </w:tc>
                    <w:tc>
                      <w:tcPr>
                        <w:tcW w:w="9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66,163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66,163</w:t>
                        </w:r>
                      </w:p>
                    </w:tc>
                    <w:tc>
                      <w:tcPr>
                        <w:tcW w:w="81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66,192</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6"/>
                          <w:ind w:left="44" w:right="0"/>
                          <w:jc w:val="left"/>
                          <w:rPr>
                            <w:rFonts w:ascii="Times New Roman" w:hAnsi="Times New Roman" w:cs="Times New Roman" w:eastAsia="Times New Roman" w:hint="default"/>
                            <w:sz w:val="18"/>
                            <w:szCs w:val="18"/>
                          </w:rPr>
                        </w:pPr>
                        <w:r>
                          <w:rPr>
                            <w:rFonts w:ascii="Times New Roman"/>
                            <w:sz w:val="18"/>
                          </w:rPr>
                          <w:t>5,337.35</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95" w:right="0"/>
                          <w:jc w:val="left"/>
                          <w:rPr>
                            <w:rFonts w:ascii="Times New Roman" w:hAnsi="Times New Roman" w:cs="Times New Roman" w:eastAsia="Times New Roman" w:hint="default"/>
                            <w:sz w:val="18"/>
                            <w:szCs w:val="18"/>
                          </w:rPr>
                        </w:pPr>
                        <w:r>
                          <w:rPr>
                            <w:rFonts w:ascii="Times New Roman"/>
                            <w:sz w:val="18"/>
                          </w:rPr>
                          <w:t>--</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992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929" w:hRule="exact"/>
                    </w:trPr>
                    <w:tc>
                      <w:tcPr>
                        <w:tcW w:w="180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68" w:lineRule="auto"/>
                          <w:ind w:left="24" w:right="14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万吨太阳能电</w:t>
                        </w:r>
                        <w:r>
                          <w:rPr>
                            <w:rFonts w:ascii="宋体" w:hAnsi="宋体" w:cs="宋体" w:eastAsia="宋体" w:hint="default"/>
                            <w:w w:val="100"/>
                            <w:sz w:val="18"/>
                            <w:szCs w:val="18"/>
                          </w:rPr>
                          <w:t> </w:t>
                        </w:r>
                        <w:r>
                          <w:rPr>
                            <w:rFonts w:ascii="宋体" w:hAnsi="宋体" w:cs="宋体" w:eastAsia="宋体" w:hint="default"/>
                            <w:sz w:val="18"/>
                            <w:szCs w:val="18"/>
                          </w:rPr>
                          <w:t>池封装材料基材项目</w:t>
                        </w:r>
                      </w:p>
                    </w:tc>
                    <w:tc>
                      <w:tcPr>
                        <w:tcW w:w="9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2"/>
                            <w:sz w:val="18"/>
                          </w:rPr>
                          <w:t>65,811.42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2"/>
                            <w:sz w:val="18"/>
                          </w:rPr>
                          <w:t>65,811.42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13,637.9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46,499.7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70.66%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49" w:hRule="exact"/>
                    </w:trPr>
                    <w:tc>
                      <w:tcPr>
                        <w:tcW w:w="1800" w:type="dxa"/>
                        <w:tcBorders>
                          <w:top w:val="single" w:sz="4" w:space="0" w:color="000000"/>
                          <w:left w:val="single" w:sz="4" w:space="0" w:color="000000"/>
                          <w:bottom w:val="nil" w:sz="6" w:space="0" w:color="auto"/>
                          <w:right w:val="single" w:sz="4" w:space="0" w:color="FFFFFF"/>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万吨新型功能</w:t>
                        </w:r>
                      </w:p>
                    </w:tc>
                    <w:tc>
                      <w:tcPr>
                        <w:tcW w:w="900" w:type="dxa"/>
                        <w:tcBorders>
                          <w:top w:val="single" w:sz="4" w:space="0" w:color="000000"/>
                          <w:left w:val="single" w:sz="4" w:space="0" w:color="FFFFFF"/>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r>
                  <w:tr>
                    <w:trPr>
                      <w:trHeight w:val="280" w:hRule="exact"/>
                    </w:trPr>
                    <w:tc>
                      <w:tcPr>
                        <w:tcW w:w="1800" w:type="dxa"/>
                        <w:tcBorders>
                          <w:top w:val="nil" w:sz="6" w:space="0" w:color="auto"/>
                          <w:left w:val="single" w:sz="4" w:space="0" w:color="000000"/>
                          <w:bottom w:val="nil" w:sz="6" w:space="0" w:color="auto"/>
                          <w:right w:val="single" w:sz="4" w:space="0" w:color="FFFFFF"/>
                        </w:tcBorders>
                      </w:tcPr>
                      <w:p>
                        <w:pPr>
                          <w:pStyle w:val="TableParagraph"/>
                          <w:spacing w:line="239" w:lineRule="exact"/>
                          <w:ind w:left="24" w:right="0"/>
                          <w:jc w:val="left"/>
                          <w:rPr>
                            <w:rFonts w:ascii="宋体" w:hAnsi="宋体" w:cs="宋体" w:eastAsia="宋体" w:hint="default"/>
                            <w:sz w:val="18"/>
                            <w:szCs w:val="18"/>
                          </w:rPr>
                        </w:pPr>
                        <w:r>
                          <w:rPr>
                            <w:rFonts w:ascii="宋体" w:hAnsi="宋体" w:cs="宋体" w:eastAsia="宋体" w:hint="default"/>
                            <w:sz w:val="18"/>
                            <w:szCs w:val="18"/>
                          </w:rPr>
                          <w:t>性聚酯薄膜及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万吨</w:t>
                        </w:r>
                      </w:p>
                    </w:tc>
                    <w:tc>
                      <w:tcPr>
                        <w:tcW w:w="900" w:type="dxa"/>
                        <w:tcBorders>
                          <w:top w:val="nil" w:sz="6" w:space="0" w:color="auto"/>
                          <w:left w:val="single" w:sz="4" w:space="0" w:color="FFFFFF"/>
                          <w:bottom w:val="nil" w:sz="6" w:space="0" w:color="auto"/>
                          <w:right w:val="single" w:sz="4" w:space="0" w:color="000000"/>
                        </w:tcBorders>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138,686.55</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138,686.55</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75,805.42</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8"/>
                          <w:jc w:val="right"/>
                          <w:rPr>
                            <w:rFonts w:ascii="Times New Roman" w:hAnsi="Times New Roman" w:cs="Times New Roman" w:eastAsia="Times New Roman" w:hint="default"/>
                            <w:sz w:val="18"/>
                            <w:szCs w:val="18"/>
                          </w:rPr>
                        </w:pPr>
                        <w:r>
                          <w:rPr>
                            <w:rFonts w:ascii="Times New Roman"/>
                            <w:spacing w:val="-2"/>
                            <w:sz w:val="18"/>
                          </w:rPr>
                          <w:t>117,994.65</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8"/>
                          <w:jc w:val="right"/>
                          <w:rPr>
                            <w:rFonts w:ascii="Times New Roman" w:hAnsi="Times New Roman" w:cs="Times New Roman" w:eastAsia="Times New Roman" w:hint="default"/>
                            <w:sz w:val="18"/>
                            <w:szCs w:val="18"/>
                          </w:rPr>
                        </w:pPr>
                        <w:r>
                          <w:rPr>
                            <w:rFonts w:ascii="Times New Roman"/>
                            <w:spacing w:val="-1"/>
                            <w:sz w:val="18"/>
                          </w:rPr>
                          <w:t>85.08%</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02" w:hRule="exact"/>
                    </w:trPr>
                    <w:tc>
                      <w:tcPr>
                        <w:tcW w:w="1800" w:type="dxa"/>
                        <w:tcBorders>
                          <w:top w:val="nil" w:sz="6" w:space="0" w:color="auto"/>
                          <w:left w:val="single" w:sz="4" w:space="0" w:color="000000"/>
                          <w:bottom w:val="single" w:sz="4" w:space="0" w:color="000000"/>
                          <w:right w:val="single" w:sz="4" w:space="0" w:color="FFFFFF"/>
                        </w:tcBorders>
                      </w:tcPr>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t>功能性膜级切片项目</w:t>
                        </w:r>
                      </w:p>
                    </w:tc>
                    <w:tc>
                      <w:tcPr>
                        <w:tcW w:w="900" w:type="dxa"/>
                        <w:tcBorders>
                          <w:top w:val="nil" w:sz="6" w:space="0" w:color="auto"/>
                          <w:left w:val="single" w:sz="4" w:space="0" w:color="FFFFFF"/>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800" w:type="dxa"/>
                        <w:tcBorders>
                          <w:top w:val="single" w:sz="4" w:space="0" w:color="000000"/>
                          <w:left w:val="single" w:sz="4" w:space="0" w:color="000000"/>
                          <w:bottom w:val="single" w:sz="4" w:space="0" w:color="000000"/>
                          <w:right w:val="single" w:sz="4" w:space="0" w:color="FFFFFF"/>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900" w:type="dxa"/>
                        <w:tcBorders>
                          <w:top w:val="single" w:sz="4" w:space="0" w:color="000000"/>
                          <w:left w:val="single" w:sz="4" w:space="0" w:color="FFFFFF"/>
                          <w:bottom w:val="single" w:sz="4" w:space="0" w:color="000000"/>
                          <w:right w:val="single" w:sz="4" w:space="0" w:color="000000"/>
                        </w:tcBorders>
                        <w:shd w:val="clear" w:color="auto" w:fill="D3D3D3"/>
                      </w:tcPr>
                      <w:p>
                        <w:pPr>
                          <w:pStyle w:val="TableParagraph"/>
                          <w:spacing w:line="240" w:lineRule="auto" w:before="91"/>
                          <w:ind w:right="381"/>
                          <w:jc w:val="right"/>
                          <w:rPr>
                            <w:rFonts w:ascii="Times New Roman" w:hAnsi="Times New Roman" w:cs="Times New Roman" w:eastAsia="Times New Roman" w:hint="default"/>
                            <w:sz w:val="18"/>
                            <w:szCs w:val="18"/>
                          </w:rPr>
                        </w:pPr>
                        <w:r>
                          <w:rPr>
                            <w:rFonts w:ascii="Times New Roman"/>
                            <w:spacing w:val="-1"/>
                            <w:sz w:val="18"/>
                          </w:rPr>
                          <w:t>--</w:t>
                        </w:r>
                      </w:p>
                    </w:tc>
                    <w:tc>
                      <w:tcPr>
                        <w:tcW w:w="9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204,497.97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204,497.97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89,443.32</w:t>
                        </w:r>
                      </w:p>
                    </w:tc>
                    <w:tc>
                      <w:tcPr>
                        <w:tcW w:w="9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164,494.35</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13" w:space="0" w:color="D3D3D3"/>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800" w:type="dxa"/>
                        <w:tcBorders>
                          <w:top w:val="single" w:sz="4" w:space="0" w:color="000000"/>
                          <w:left w:val="single" w:sz="4" w:space="0" w:color="000000"/>
                          <w:bottom w:val="single" w:sz="4" w:space="0" w:color="000000"/>
                          <w:right w:val="single" w:sz="4" w:space="0" w:color="FFFFFF"/>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FFFFFF"/>
                          <w:bottom w:val="single" w:sz="4" w:space="0" w:color="000000"/>
                          <w:right w:val="single" w:sz="4" w:space="0" w:color="000000"/>
                        </w:tcBorders>
                        <w:shd w:val="clear" w:color="auto" w:fill="D3D3D3"/>
                      </w:tcPr>
                      <w:p>
                        <w:pPr>
                          <w:pStyle w:val="TableParagraph"/>
                          <w:spacing w:line="240" w:lineRule="auto" w:before="91"/>
                          <w:ind w:right="381"/>
                          <w:jc w:val="right"/>
                          <w:rPr>
                            <w:rFonts w:ascii="Times New Roman" w:hAnsi="Times New Roman" w:cs="Times New Roman" w:eastAsia="Times New Roman" w:hint="default"/>
                            <w:sz w:val="18"/>
                            <w:szCs w:val="18"/>
                          </w:rPr>
                        </w:pPr>
                        <w:r>
                          <w:rPr>
                            <w:rFonts w:ascii="Times New Roman"/>
                            <w:spacing w:val="-1"/>
                            <w:sz w:val="18"/>
                          </w:rPr>
                          <w:t>--</w:t>
                        </w:r>
                      </w:p>
                    </w:tc>
                    <w:tc>
                      <w:tcPr>
                        <w:tcW w:w="9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270,660.97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270,660.97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89,443.32</w:t>
                        </w:r>
                      </w:p>
                    </w:tc>
                    <w:tc>
                      <w:tcPr>
                        <w:tcW w:w="9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230,686.35</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5,337.35</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59" w:hRule="exact"/>
                    </w:trPr>
                    <w:tc>
                      <w:tcPr>
                        <w:tcW w:w="1800" w:type="dxa"/>
                        <w:vMerge w:val="restart"/>
                        <w:tcBorders>
                          <w:top w:val="single" w:sz="4" w:space="0" w:color="000000"/>
                          <w:left w:val="single" w:sz="4" w:space="0" w:color="000000"/>
                          <w:right w:val="single" w:sz="4" w:space="0" w:color="FFFFFF"/>
                        </w:tcBorders>
                        <w:shd w:val="clear" w:color="auto" w:fill="D3D3D3"/>
                      </w:tcPr>
                      <w:p>
                        <w:pPr/>
                      </w:p>
                    </w:tc>
                    <w:tc>
                      <w:tcPr>
                        <w:tcW w:w="8122" w:type="dxa"/>
                        <w:gridSpan w:val="10"/>
                        <w:tcBorders>
                          <w:top w:val="single" w:sz="4" w:space="0" w:color="000000"/>
                          <w:left w:val="single" w:sz="4" w:space="0" w:color="FFFFFF"/>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募集资金投资项目“年产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万吨新型功能性聚酯薄膜项目”累计实现收益低于承诺累计收益的说明如下</w:t>
                        </w:r>
                      </w:p>
                    </w:tc>
                  </w:tr>
                  <w:tr>
                    <w:trPr>
                      <w:trHeight w:val="311" w:hRule="exact"/>
                    </w:trPr>
                    <w:tc>
                      <w:tcPr>
                        <w:tcW w:w="1800" w:type="dxa"/>
                        <w:vMerge/>
                        <w:tcBorders>
                          <w:left w:val="single" w:sz="4" w:space="0" w:color="000000"/>
                          <w:right w:val="single" w:sz="4" w:space="0" w:color="FFFFFF"/>
                        </w:tcBorders>
                        <w:shd w:val="clear" w:color="auto" w:fill="D3D3D3"/>
                      </w:tcPr>
                      <w:p>
                        <w:pPr/>
                      </w:p>
                    </w:tc>
                    <w:tc>
                      <w:tcPr>
                        <w:tcW w:w="8122" w:type="dxa"/>
                        <w:gridSpan w:val="10"/>
                        <w:tcBorders>
                          <w:top w:val="nil" w:sz="6" w:space="0" w:color="auto"/>
                          <w:left w:val="single" w:sz="4" w:space="0" w:color="FFFFFF"/>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、公司募投项目建成后，由于受到整体经济下行影响，环保型热收缩聚酯薄膜的市场开拓和市场需求</w:t>
                        </w:r>
                      </w:p>
                    </w:tc>
                  </w:tr>
                  <w:tr>
                    <w:trPr>
                      <w:trHeight w:val="115" w:hRule="exact"/>
                    </w:trPr>
                    <w:tc>
                      <w:tcPr>
                        <w:tcW w:w="1800" w:type="dxa"/>
                        <w:vMerge/>
                        <w:tcBorders>
                          <w:left w:val="single" w:sz="4" w:space="0" w:color="000000"/>
                          <w:bottom w:val="nil" w:sz="6" w:space="0" w:color="auto"/>
                          <w:right w:val="single" w:sz="4" w:space="0" w:color="FFFFFF"/>
                        </w:tcBorders>
                        <w:shd w:val="clear" w:color="auto" w:fill="D3D3D3"/>
                      </w:tcPr>
                      <w:p>
                        <w:pPr/>
                      </w:p>
                    </w:tc>
                    <w:tc>
                      <w:tcPr>
                        <w:tcW w:w="8122" w:type="dxa"/>
                        <w:gridSpan w:val="10"/>
                        <w:vMerge w:val="restart"/>
                        <w:tcBorders>
                          <w:top w:val="nil" w:sz="6" w:space="0" w:color="auto"/>
                          <w:left w:val="single" w:sz="4" w:space="0" w:color="FFFFFF"/>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的增长均需要一定的时间，为保证资产利润率，公司在项目投产初期生产的聚酯薄膜主要以市场需求为</w:t>
                        </w:r>
                      </w:p>
                    </w:tc>
                  </w:tr>
                  <w:tr>
                    <w:trPr>
                      <w:trHeight w:val="192" w:hRule="exact"/>
                    </w:trPr>
                    <w:tc>
                      <w:tcPr>
                        <w:tcW w:w="1800" w:type="dxa"/>
                        <w:vMerge w:val="restart"/>
                        <w:tcBorders>
                          <w:top w:val="nil" w:sz="6" w:space="0" w:color="auto"/>
                          <w:left w:val="single" w:sz="4" w:space="0" w:color="000000"/>
                          <w:right w:val="single" w:sz="4" w:space="0" w:color="FFFFFF"/>
                        </w:tcBorders>
                        <w:shd w:val="clear" w:color="auto" w:fill="D3D3D3"/>
                      </w:tcPr>
                      <w:p>
                        <w:pPr>
                          <w:pStyle w:val="TableParagraph"/>
                          <w:spacing w:line="314"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未达到计划进度或预</w:t>
                        </w:r>
                        <w:r>
                          <w:rPr>
                            <w:rFonts w:ascii="宋体" w:hAnsi="宋体" w:cs="宋体" w:eastAsia="宋体" w:hint="default"/>
                            <w:w w:val="100"/>
                            <w:sz w:val="18"/>
                            <w:szCs w:val="18"/>
                          </w:rPr>
                          <w:t> </w:t>
                        </w:r>
                        <w:r>
                          <w:rPr>
                            <w:rFonts w:ascii="宋体" w:hAnsi="宋体" w:cs="宋体" w:eastAsia="宋体" w:hint="default"/>
                            <w:sz w:val="18"/>
                            <w:szCs w:val="18"/>
                          </w:rPr>
                          <w:t>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122" w:type="dxa"/>
                        <w:gridSpan w:val="10"/>
                        <w:vMerge/>
                        <w:tcBorders>
                          <w:left w:val="single" w:sz="4" w:space="0" w:color="FFFFFF"/>
                          <w:bottom w:val="nil" w:sz="6" w:space="0" w:color="auto"/>
                          <w:right w:val="single" w:sz="4" w:space="0" w:color="000000"/>
                        </w:tcBorders>
                      </w:tcPr>
                      <w:p>
                        <w:pPr/>
                      </w:p>
                    </w:tc>
                  </w:tr>
                  <w:tr>
                    <w:trPr>
                      <w:trHeight w:val="317" w:hRule="exact"/>
                    </w:trPr>
                    <w:tc>
                      <w:tcPr>
                        <w:tcW w:w="1800" w:type="dxa"/>
                        <w:vMerge/>
                        <w:tcBorders>
                          <w:left w:val="single" w:sz="4" w:space="0" w:color="000000"/>
                          <w:right w:val="single" w:sz="4" w:space="0" w:color="FFFFFF"/>
                        </w:tcBorders>
                        <w:shd w:val="clear" w:color="auto" w:fill="D3D3D3"/>
                      </w:tcPr>
                      <w:p>
                        <w:pPr/>
                      </w:p>
                    </w:tc>
                    <w:tc>
                      <w:tcPr>
                        <w:tcW w:w="8122" w:type="dxa"/>
                        <w:gridSpan w:val="10"/>
                        <w:tcBorders>
                          <w:top w:val="nil" w:sz="6" w:space="0" w:color="auto"/>
                          <w:left w:val="single" w:sz="4" w:space="0" w:color="FFFFFF"/>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导向，根据市场情况调整聚酯薄膜的种类和规格。</w:t>
                        </w:r>
                        <w:r>
                          <w:rPr>
                            <w:rFonts w:ascii="Times New Roman" w:hAnsi="Times New Roman" w:cs="Times New Roman" w:eastAsia="Times New Roman" w:hint="default"/>
                            <w:sz w:val="18"/>
                            <w:szCs w:val="18"/>
                          </w:rPr>
                          <w:t>2</w:t>
                        </w:r>
                        <w:r>
                          <w:rPr>
                            <w:rFonts w:ascii="宋体" w:hAnsi="宋体" w:cs="宋体" w:eastAsia="宋体" w:hint="default"/>
                            <w:sz w:val="18"/>
                            <w:szCs w:val="18"/>
                          </w:rPr>
                          <w:t>、项目在达产后公司产能利用率和产销率都已达到</w:t>
                        </w:r>
                      </w:p>
                    </w:tc>
                  </w:tr>
                  <w:tr>
                    <w:trPr>
                      <w:trHeight w:val="307" w:hRule="exact"/>
                    </w:trPr>
                    <w:tc>
                      <w:tcPr>
                        <w:tcW w:w="1800" w:type="dxa"/>
                        <w:vMerge/>
                        <w:tcBorders>
                          <w:left w:val="single" w:sz="4" w:space="0" w:color="000000"/>
                          <w:right w:val="single" w:sz="4" w:space="0" w:color="FFFFFF"/>
                        </w:tcBorders>
                        <w:shd w:val="clear" w:color="auto" w:fill="D3D3D3"/>
                      </w:tcPr>
                      <w:p>
                        <w:pPr/>
                      </w:p>
                    </w:tc>
                    <w:tc>
                      <w:tcPr>
                        <w:tcW w:w="8122" w:type="dxa"/>
                        <w:gridSpan w:val="10"/>
                        <w:tcBorders>
                          <w:top w:val="nil" w:sz="6" w:space="0" w:color="auto"/>
                          <w:left w:val="single" w:sz="4" w:space="0" w:color="FFFFFF"/>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预期，但由于全球经济持续低迷，经济增长乏力；国内经济受到大环境的影响增速下滑，市场竞争更加</w:t>
                        </w:r>
                      </w:p>
                    </w:tc>
                  </w:tr>
                  <w:tr>
                    <w:trPr>
                      <w:trHeight w:val="199" w:hRule="exact"/>
                    </w:trPr>
                    <w:tc>
                      <w:tcPr>
                        <w:tcW w:w="1800" w:type="dxa"/>
                        <w:vMerge/>
                        <w:tcBorders>
                          <w:left w:val="single" w:sz="4" w:space="0" w:color="000000"/>
                          <w:bottom w:val="nil" w:sz="6" w:space="0" w:color="auto"/>
                          <w:right w:val="single" w:sz="4" w:space="0" w:color="FFFFFF"/>
                        </w:tcBorders>
                        <w:shd w:val="clear" w:color="auto" w:fill="D3D3D3"/>
                      </w:tcPr>
                      <w:p>
                        <w:pPr/>
                      </w:p>
                    </w:tc>
                    <w:tc>
                      <w:tcPr>
                        <w:tcW w:w="8122" w:type="dxa"/>
                        <w:gridSpan w:val="10"/>
                        <w:vMerge w:val="restart"/>
                        <w:tcBorders>
                          <w:top w:val="nil" w:sz="6" w:space="0" w:color="auto"/>
                          <w:left w:val="single" w:sz="4" w:space="0" w:color="FFFFFF"/>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激烈，导致公司主要产品聚酯薄膜的价格出现了较大的波动，产品价格下降幅度超过原材料的下降幅度</w:t>
                        </w:r>
                      </w:p>
                    </w:tc>
                  </w:tr>
                  <w:tr>
                    <w:trPr>
                      <w:trHeight w:val="113" w:hRule="exact"/>
                    </w:trPr>
                    <w:tc>
                      <w:tcPr>
                        <w:tcW w:w="1800" w:type="dxa"/>
                        <w:vMerge w:val="restart"/>
                        <w:tcBorders>
                          <w:top w:val="nil" w:sz="6" w:space="0" w:color="auto"/>
                          <w:left w:val="single" w:sz="4" w:space="0" w:color="000000"/>
                          <w:right w:val="single" w:sz="4" w:space="0" w:color="FFFFFF"/>
                        </w:tcBorders>
                        <w:shd w:val="clear" w:color="auto" w:fill="D3D3D3"/>
                      </w:tcPr>
                      <w:p>
                        <w:pPr/>
                      </w:p>
                    </w:tc>
                    <w:tc>
                      <w:tcPr>
                        <w:tcW w:w="8122" w:type="dxa"/>
                        <w:gridSpan w:val="10"/>
                        <w:vMerge/>
                        <w:tcBorders>
                          <w:left w:val="single" w:sz="4" w:space="0" w:color="FFFFFF"/>
                          <w:bottom w:val="nil" w:sz="6" w:space="0" w:color="auto"/>
                          <w:right w:val="single" w:sz="4" w:space="0" w:color="000000"/>
                        </w:tcBorders>
                      </w:tcPr>
                      <w:p>
                        <w:pPr/>
                      </w:p>
                    </w:tc>
                  </w:tr>
                  <w:tr>
                    <w:trPr>
                      <w:trHeight w:val="317" w:hRule="exact"/>
                    </w:trPr>
                    <w:tc>
                      <w:tcPr>
                        <w:tcW w:w="1800" w:type="dxa"/>
                        <w:vMerge/>
                        <w:tcBorders>
                          <w:left w:val="single" w:sz="4" w:space="0" w:color="000000"/>
                          <w:right w:val="single" w:sz="4" w:space="0" w:color="FFFFFF"/>
                        </w:tcBorders>
                        <w:shd w:val="clear" w:color="auto" w:fill="D3D3D3"/>
                      </w:tcPr>
                      <w:p>
                        <w:pPr/>
                      </w:p>
                    </w:tc>
                    <w:tc>
                      <w:tcPr>
                        <w:tcW w:w="8122" w:type="dxa"/>
                        <w:gridSpan w:val="10"/>
                        <w:tcBorders>
                          <w:top w:val="nil" w:sz="6" w:space="0" w:color="auto"/>
                          <w:left w:val="single" w:sz="4" w:space="0" w:color="FFFFFF"/>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项目实现效益未达预期。</w:t>
                        </w:r>
                        <w:r>
                          <w:rPr>
                            <w:rFonts w:ascii="Times New Roman" w:hAnsi="Times New Roman" w:cs="Times New Roman" w:eastAsia="Times New Roman" w:hint="default"/>
                            <w:sz w:val="18"/>
                            <w:szCs w:val="18"/>
                          </w:rPr>
                          <w:t>3</w:t>
                        </w:r>
                        <w:r>
                          <w:rPr>
                            <w:rFonts w:ascii="宋体" w:hAnsi="宋体" w:cs="宋体" w:eastAsia="宋体" w:hint="default"/>
                            <w:sz w:val="18"/>
                            <w:szCs w:val="18"/>
                          </w:rPr>
                          <w:t>、热收缩聚酯薄膜属环保材料，产品单价较高，但随着国家对食品监管政策</w:t>
                        </w:r>
                      </w:p>
                    </w:tc>
                  </w:tr>
                  <w:tr>
                    <w:trPr>
                      <w:trHeight w:val="355" w:hRule="exact"/>
                    </w:trPr>
                    <w:tc>
                      <w:tcPr>
                        <w:tcW w:w="1800" w:type="dxa"/>
                        <w:vMerge/>
                        <w:tcBorders>
                          <w:left w:val="single" w:sz="4" w:space="0" w:color="000000"/>
                          <w:bottom w:val="single" w:sz="4" w:space="0" w:color="000000"/>
                          <w:right w:val="single" w:sz="4" w:space="0" w:color="FFFFFF"/>
                        </w:tcBorders>
                        <w:shd w:val="clear" w:color="auto" w:fill="D3D3D3"/>
                      </w:tcPr>
                      <w:p>
                        <w:pPr/>
                      </w:p>
                    </w:tc>
                    <w:tc>
                      <w:tcPr>
                        <w:tcW w:w="8122" w:type="dxa"/>
                        <w:gridSpan w:val="10"/>
                        <w:tcBorders>
                          <w:top w:val="nil" w:sz="6" w:space="0" w:color="auto"/>
                          <w:left w:val="single" w:sz="4" w:space="0" w:color="FFFFFF"/>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趋严、推行绿色包装将更加紧迫，该产品未来市场空间较大。公司将进一步加快推进该产品的市场推广</w:t>
                        </w:r>
                      </w:p>
                    </w:tc>
                  </w:tr>
                  <w:tr>
                    <w:trPr>
                      <w:trHeight w:val="715" w:hRule="exact"/>
                    </w:trPr>
                    <w:tc>
                      <w:tcPr>
                        <w:tcW w:w="1800" w:type="dxa"/>
                        <w:tcBorders>
                          <w:top w:val="single" w:sz="4" w:space="0" w:color="000000"/>
                          <w:left w:val="single" w:sz="4" w:space="0" w:color="000000"/>
                          <w:bottom w:val="single" w:sz="4" w:space="0" w:color="000000"/>
                          <w:right w:val="single" w:sz="4" w:space="0" w:color="FFFFFF"/>
                        </w:tcBorders>
                        <w:shd w:val="clear" w:color="auto" w:fill="D3D3D3"/>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项目可行性发生重大</w:t>
                        </w:r>
                        <w:r>
                          <w:rPr>
                            <w:rFonts w:ascii="宋体" w:hAnsi="宋体" w:cs="宋体" w:eastAsia="宋体" w:hint="default"/>
                            <w:w w:val="100"/>
                            <w:sz w:val="18"/>
                            <w:szCs w:val="18"/>
                          </w:rPr>
                          <w:t> </w:t>
                        </w:r>
                        <w:r>
                          <w:rPr>
                            <w:rFonts w:ascii="宋体" w:hAnsi="宋体" w:cs="宋体" w:eastAsia="宋体" w:hint="default"/>
                            <w:sz w:val="18"/>
                            <w:szCs w:val="18"/>
                          </w:rPr>
                          <w:t>变化的情况说明</w:t>
                        </w:r>
                      </w:p>
                    </w:tc>
                    <w:tc>
                      <w:tcPr>
                        <w:tcW w:w="8122" w:type="dxa"/>
                        <w:gridSpan w:val="10"/>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401" w:hRule="exact"/>
                    </w:trPr>
                    <w:tc>
                      <w:tcPr>
                        <w:tcW w:w="1800" w:type="dxa"/>
                        <w:vMerge w:val="restart"/>
                        <w:tcBorders>
                          <w:top w:val="single" w:sz="4" w:space="0" w:color="000000"/>
                          <w:left w:val="single" w:sz="4" w:space="0" w:color="000000"/>
                          <w:right w:val="single" w:sz="4" w:space="0" w:color="FFFFFF"/>
                        </w:tcBorders>
                        <w:shd w:val="clear" w:color="auto" w:fill="D3D3D3"/>
                      </w:tcPr>
                      <w:p>
                        <w:pPr/>
                      </w:p>
                    </w:tc>
                    <w:tc>
                      <w:tcPr>
                        <w:tcW w:w="8122" w:type="dxa"/>
                        <w:gridSpan w:val="10"/>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9" w:hRule="exact"/>
                    </w:trPr>
                    <w:tc>
                      <w:tcPr>
                        <w:tcW w:w="1800" w:type="dxa"/>
                        <w:vMerge/>
                        <w:tcBorders>
                          <w:left w:val="single" w:sz="4" w:space="0" w:color="000000"/>
                          <w:bottom w:val="nil" w:sz="6" w:space="0" w:color="auto"/>
                          <w:right w:val="single" w:sz="4" w:space="0" w:color="FFFFFF"/>
                        </w:tcBorders>
                        <w:shd w:val="clear" w:color="auto" w:fill="D3D3D3"/>
                      </w:tcPr>
                      <w:p>
                        <w:pPr/>
                      </w:p>
                    </w:tc>
                    <w:tc>
                      <w:tcPr>
                        <w:tcW w:w="8122" w:type="dxa"/>
                        <w:gridSpan w:val="10"/>
                        <w:vMerge w:val="restart"/>
                        <w:tcBorders>
                          <w:top w:val="single" w:sz="4" w:space="0" w:color="000000"/>
                          <w:left w:val="single" w:sz="4" w:space="0" w:color="FFFFFF"/>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日召开了关于超募资金投资项目的临时股东大会并对超募资金的使用计划进行了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公告。超募资金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万元将用于投资建设“年产</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万吨太阳能电池封装材料基材项目”及“年产</w:t>
                        </w:r>
                      </w:p>
                      <w:p>
                        <w:pPr>
                          <w:pStyle w:val="TableParagraph"/>
                          <w:spacing w:line="300" w:lineRule="auto" w:before="63"/>
                          <w:ind w:left="24"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万吨新型功能性聚酯薄膜及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万吨功能性膜级切片项目”超募资金不能满足项目资金需求部分，公</w:t>
                        </w:r>
                        <w:r>
                          <w:rPr>
                            <w:rFonts w:ascii="宋体" w:hAnsi="宋体" w:cs="宋体" w:eastAsia="宋体" w:hint="default"/>
                            <w:w w:val="100"/>
                            <w:sz w:val="18"/>
                            <w:szCs w:val="18"/>
                          </w:rPr>
                          <w:t> </w:t>
                        </w:r>
                        <w:r>
                          <w:rPr>
                            <w:rFonts w:ascii="宋体" w:hAnsi="宋体" w:cs="宋体" w:eastAsia="宋体" w:hint="default"/>
                            <w:sz w:val="18"/>
                            <w:szCs w:val="18"/>
                          </w:rPr>
                          <w:t>司将通过自筹等方式来解决，</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75,051.03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年度超募资金使用了</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89,443.32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日，超募资金累计使用了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164,494.35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03" w:hRule="exact"/>
                    </w:trPr>
                    <w:tc>
                      <w:tcPr>
                        <w:tcW w:w="1800" w:type="dxa"/>
                        <w:tcBorders>
                          <w:top w:val="nil" w:sz="6" w:space="0" w:color="auto"/>
                          <w:left w:val="single" w:sz="4" w:space="0" w:color="000000"/>
                          <w:bottom w:val="nil" w:sz="6" w:space="0" w:color="auto"/>
                          <w:right w:val="single" w:sz="4" w:space="0" w:color="FFFFFF"/>
                        </w:tcBorders>
                        <w:shd w:val="clear" w:color="auto" w:fill="D3D3D3"/>
                      </w:tcPr>
                      <w:p>
                        <w:pPr>
                          <w:pStyle w:val="TableParagraph"/>
                          <w:spacing w:line="314" w:lineRule="auto" w:before="48"/>
                          <w:ind w:left="24" w:right="19"/>
                          <w:jc w:val="left"/>
                          <w:rPr>
                            <w:rFonts w:ascii="宋体" w:hAnsi="宋体" w:cs="宋体" w:eastAsia="宋体" w:hint="default"/>
                            <w:sz w:val="18"/>
                            <w:szCs w:val="18"/>
                          </w:rPr>
                        </w:pPr>
                        <w:r>
                          <w:rPr>
                            <w:rFonts w:ascii="宋体" w:hAnsi="宋体" w:cs="宋体" w:eastAsia="宋体" w:hint="default"/>
                            <w:spacing w:val="-7"/>
                            <w:sz w:val="18"/>
                            <w:szCs w:val="18"/>
                          </w:rPr>
                          <w:t>超募资金的金额、用途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及使用进展情况</w:t>
                        </w:r>
                      </w:p>
                    </w:tc>
                    <w:tc>
                      <w:tcPr>
                        <w:tcW w:w="8122" w:type="dxa"/>
                        <w:gridSpan w:val="10"/>
                        <w:vMerge/>
                        <w:tcBorders>
                          <w:left w:val="single" w:sz="4" w:space="0" w:color="FFFFFF"/>
                          <w:right w:val="single" w:sz="4" w:space="0" w:color="000000"/>
                        </w:tcBorders>
                      </w:tcPr>
                      <w:p>
                        <w:pPr/>
                      </w:p>
                    </w:tc>
                  </w:tr>
                  <w:tr>
                    <w:trPr>
                      <w:trHeight w:val="679" w:hRule="exact"/>
                    </w:trPr>
                    <w:tc>
                      <w:tcPr>
                        <w:tcW w:w="1800" w:type="dxa"/>
                        <w:tcBorders>
                          <w:top w:val="nil" w:sz="6" w:space="0" w:color="auto"/>
                          <w:left w:val="single" w:sz="4" w:space="0" w:color="000000"/>
                          <w:bottom w:val="single" w:sz="4" w:space="0" w:color="000000"/>
                          <w:right w:val="single" w:sz="4" w:space="0" w:color="FFFFFF"/>
                        </w:tcBorders>
                        <w:shd w:val="clear" w:color="auto" w:fill="D3D3D3"/>
                      </w:tcPr>
                      <w:p>
                        <w:pPr/>
                      </w:p>
                    </w:tc>
                    <w:tc>
                      <w:tcPr>
                        <w:tcW w:w="8122" w:type="dxa"/>
                        <w:gridSpan w:val="10"/>
                        <w:vMerge/>
                        <w:tcBorders>
                          <w:left w:val="single" w:sz="4" w:space="0" w:color="FFFFFF"/>
                          <w:bottom w:val="single" w:sz="4" w:space="0" w:color="000000"/>
                          <w:right w:val="single" w:sz="4" w:space="0" w:color="000000"/>
                        </w:tcBorders>
                      </w:tcPr>
                      <w:p>
                        <w:pPr/>
                      </w:p>
                    </w:tc>
                  </w:tr>
                  <w:tr>
                    <w:trPr>
                      <w:trHeight w:val="401" w:hRule="exact"/>
                    </w:trPr>
                    <w:tc>
                      <w:tcPr>
                        <w:tcW w:w="1800" w:type="dxa"/>
                        <w:tcBorders>
                          <w:top w:val="single" w:sz="4" w:space="0" w:color="000000"/>
                          <w:left w:val="single" w:sz="4" w:space="0" w:color="000000"/>
                          <w:bottom w:val="single" w:sz="4" w:space="0" w:color="000000"/>
                          <w:right w:val="single" w:sz="4" w:space="0" w:color="FFFFFF"/>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8122" w:type="dxa"/>
                        <w:gridSpan w:val="10"/>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w w:val="100"/>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44"/>
        <w:ind w:left="0" w:right="100" w:firstLine="0"/>
        <w:jc w:val="right"/>
        <w:rPr>
          <w:rFonts w:ascii="宋体" w:hAnsi="宋体" w:cs="宋体" w:eastAsia="宋体" w:hint="default"/>
          <w:sz w:val="18"/>
          <w:szCs w:val="18"/>
        </w:rPr>
      </w:pPr>
      <w:r>
        <w:rPr>
          <w:rFonts w:ascii="宋体" w:hAnsi="宋体" w:cs="宋体" w:eastAsia="宋体" w:hint="default"/>
          <w:w w:val="100"/>
          <w:sz w:val="18"/>
          <w:szCs w:val="18"/>
        </w:rPr>
        <w:t>，</w:t>
      </w:r>
    </w:p>
    <w:p>
      <w:pPr>
        <w:spacing w:line="240" w:lineRule="auto" w:before="4"/>
        <w:rPr>
          <w:rFonts w:ascii="宋体" w:hAnsi="宋体" w:cs="宋体" w:eastAsia="宋体" w:hint="default"/>
          <w:sz w:val="26"/>
          <w:szCs w:val="26"/>
        </w:rPr>
      </w:pPr>
    </w:p>
    <w:p>
      <w:pPr>
        <w:spacing w:before="44"/>
        <w:ind w:left="0" w:right="98" w:firstLine="0"/>
        <w:jc w:val="right"/>
        <w:rPr>
          <w:rFonts w:ascii="宋体" w:hAnsi="宋体" w:cs="宋体" w:eastAsia="宋体" w:hint="default"/>
          <w:sz w:val="18"/>
          <w:szCs w:val="18"/>
        </w:rPr>
      </w:pPr>
      <w:r>
        <w:rPr>
          <w:rFonts w:ascii="宋体" w:hAnsi="宋体" w:cs="宋体" w:eastAsia="宋体" w:hint="default"/>
          <w:w w:val="100"/>
          <w:sz w:val="18"/>
          <w:szCs w:val="18"/>
        </w:rPr>
        <w:t>。</w:t>
      </w:r>
    </w:p>
    <w:p>
      <w:pPr>
        <w:spacing w:after="0"/>
        <w:jc w:val="right"/>
        <w:rPr>
          <w:rFonts w:ascii="宋体" w:hAnsi="宋体" w:cs="宋体" w:eastAsia="宋体" w:hint="default"/>
          <w:sz w:val="18"/>
          <w:szCs w:val="18"/>
        </w:rPr>
        <w:sectPr>
          <w:pgSz w:w="11900" w:h="16840"/>
          <w:pgMar w:header="746" w:footer="982" w:top="1060" w:bottom="1180" w:left="840" w:right="86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800"/>
        <w:gridCol w:w="8122"/>
      </w:tblGrid>
      <w:tr>
        <w:trPr>
          <w:trHeight w:val="36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81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100"/>
                <w:sz w:val="18"/>
                <w:szCs w:val="18"/>
              </w:rPr>
              <w:t> </w:t>
            </w:r>
            <w:r>
              <w:rPr>
                <w:rFonts w:ascii="宋体" w:hAnsi="宋体" w:cs="宋体" w:eastAsia="宋体" w:hint="default"/>
                <w:sz w:val="18"/>
                <w:szCs w:val="18"/>
              </w:rPr>
              <w:t>施方式调整情况</w:t>
            </w: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143"/>
              <w:jc w:val="left"/>
              <w:rPr>
                <w:rFonts w:ascii="宋体" w:hAnsi="宋体" w:cs="宋体" w:eastAsia="宋体" w:hint="default"/>
                <w:sz w:val="18"/>
                <w:szCs w:val="18"/>
              </w:rPr>
            </w:pPr>
            <w:r>
              <w:rPr>
                <w:rFonts w:ascii="宋体" w:hAnsi="宋体" w:cs="宋体" w:eastAsia="宋体" w:hint="default"/>
                <w:sz w:val="18"/>
                <w:szCs w:val="18"/>
              </w:rPr>
              <w:t>募集资金投资项目先</w:t>
            </w:r>
            <w:r>
              <w:rPr>
                <w:rFonts w:ascii="宋体" w:hAnsi="宋体" w:cs="宋体" w:eastAsia="宋体" w:hint="default"/>
                <w:w w:val="100"/>
                <w:sz w:val="18"/>
                <w:szCs w:val="18"/>
              </w:rPr>
              <w:t> </w:t>
            </w:r>
            <w:r>
              <w:rPr>
                <w:rFonts w:ascii="宋体" w:hAnsi="宋体" w:cs="宋体" w:eastAsia="宋体" w:hint="default"/>
                <w:sz w:val="18"/>
                <w:szCs w:val="18"/>
              </w:rPr>
              <w:t>期投入及置换情况</w:t>
            </w: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日，公司第一届董事会第七次会议审议并通过了《关于使用募集资金置换预先已投入募</w:t>
            </w:r>
            <w:r>
              <w:rPr>
                <w:rFonts w:ascii="宋体" w:hAnsi="宋体" w:cs="宋体" w:eastAsia="宋体" w:hint="default"/>
                <w:w w:val="100"/>
                <w:sz w:val="18"/>
                <w:szCs w:val="18"/>
              </w:rPr>
              <w:t> </w:t>
            </w:r>
            <w:r>
              <w:rPr>
                <w:rFonts w:ascii="宋体" w:hAnsi="宋体" w:cs="宋体" w:eastAsia="宋体" w:hint="default"/>
                <w:spacing w:val="-3"/>
                <w:w w:val="100"/>
                <w:sz w:val="18"/>
                <w:szCs w:val="18"/>
              </w:rPr>
              <w:t>集资金项目的自筹资金的议案》，同意公司以首次公开发行股票募集资金置换预先已投入募集资金投资</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项目的自筹资金共计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315,102,774.23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元。上述置换资金已经保荐机构确认，并经上海众华沪银会计师事</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务所有限公司沪众会字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4114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号专项鉴证报告确认。</w:t>
            </w:r>
          </w:p>
        </w:tc>
      </w:tr>
      <w:tr>
        <w:trPr>
          <w:trHeight w:val="403" w:hRule="exact"/>
        </w:trPr>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4" w:right="143"/>
              <w:jc w:val="left"/>
              <w:rPr>
                <w:rFonts w:ascii="宋体" w:hAnsi="宋体" w:cs="宋体" w:eastAsia="宋体" w:hint="default"/>
                <w:sz w:val="18"/>
                <w:szCs w:val="18"/>
              </w:rPr>
            </w:pPr>
            <w:r>
              <w:rPr>
                <w:rFonts w:ascii="宋体" w:hAnsi="宋体" w:cs="宋体" w:eastAsia="宋体" w:hint="default"/>
                <w:sz w:val="18"/>
                <w:szCs w:val="18"/>
              </w:rPr>
              <w:t>用闲置募集资金暂时</w:t>
            </w:r>
            <w:r>
              <w:rPr>
                <w:rFonts w:ascii="宋体" w:hAnsi="宋体" w:cs="宋体" w:eastAsia="宋体" w:hint="default"/>
                <w:w w:val="100"/>
                <w:sz w:val="18"/>
                <w:szCs w:val="18"/>
              </w:rPr>
              <w:t> </w:t>
            </w:r>
            <w:r>
              <w:rPr>
                <w:rFonts w:ascii="宋体" w:hAnsi="宋体" w:cs="宋体" w:eastAsia="宋体" w:hint="default"/>
                <w:sz w:val="18"/>
                <w:szCs w:val="18"/>
              </w:rPr>
              <w:t>补充流动资金情况</w:t>
            </w: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日本公司第一届董事会第十三次会议决议，使用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亿元募集资金用于暂时补充流动</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5"/>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日止，到期归还募集资金专用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账户。本公司于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亿元至募投资金专用账户。根据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日本公司第一</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届董事会第十九次会议决议，使用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亿元募集资金用于暂时补充流动资金，使用期限不超过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个月，从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日止，到期归还募集资金专用账户。截止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日，本</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公司已归还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3,538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万元至募集资金专用账户，</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日，公司已将其余流动资金归还并存入公司</w:t>
            </w:r>
            <w:r>
              <w:rPr>
                <w:rFonts w:ascii="宋体" w:hAnsi="宋体" w:cs="宋体" w:eastAsia="宋体" w:hint="default"/>
                <w:w w:val="100"/>
                <w:sz w:val="18"/>
                <w:szCs w:val="18"/>
              </w:rPr>
              <w:t> </w:t>
            </w:r>
            <w:r>
              <w:rPr>
                <w:rFonts w:ascii="宋体" w:hAnsi="宋体" w:cs="宋体" w:eastAsia="宋体" w:hint="default"/>
                <w:sz w:val="18"/>
                <w:szCs w:val="18"/>
              </w:rPr>
              <w:t>募集资金专用账户。</w:t>
            </w: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项目实施出现募集资</w:t>
            </w:r>
            <w:r>
              <w:rPr>
                <w:rFonts w:ascii="宋体" w:hAnsi="宋体" w:cs="宋体" w:eastAsia="宋体" w:hint="default"/>
                <w:w w:val="100"/>
                <w:sz w:val="18"/>
                <w:szCs w:val="18"/>
              </w:rPr>
              <w:t> </w:t>
            </w:r>
            <w:r>
              <w:rPr>
                <w:rFonts w:ascii="宋体" w:hAnsi="宋体" w:cs="宋体" w:eastAsia="宋体" w:hint="default"/>
                <w:sz w:val="18"/>
                <w:szCs w:val="18"/>
              </w:rPr>
              <w:t>金结余的金额及原因</w:t>
            </w: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w w:val="100"/>
                <w:sz w:val="18"/>
                <w:szCs w:val="18"/>
              </w:rPr>
              <w:t> </w:t>
            </w:r>
            <w:r>
              <w:rPr>
                <w:rFonts w:ascii="宋体" w:hAnsi="宋体" w:cs="宋体" w:eastAsia="宋体" w:hint="default"/>
                <w:sz w:val="18"/>
                <w:szCs w:val="18"/>
              </w:rPr>
              <w:t>用途及去向</w:t>
            </w: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为了提高募集资金的使用效率，公司将部分尚未使用的募集资金转为定期存款，到期后该部分资金将返</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还至募集资金专户。剩余尚未使用的募集资金均存放于募集资金专户中。</w:t>
            </w:r>
          </w:p>
        </w:tc>
      </w:tr>
      <w:tr>
        <w:trPr>
          <w:trHeight w:val="3523"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43"/>
              <w:jc w:val="both"/>
              <w:rPr>
                <w:rFonts w:ascii="宋体" w:hAnsi="宋体" w:cs="宋体" w:eastAsia="宋体" w:hint="default"/>
                <w:sz w:val="18"/>
                <w:szCs w:val="18"/>
              </w:rPr>
            </w:pPr>
            <w:r>
              <w:rPr>
                <w:rFonts w:ascii="宋体" w:hAnsi="宋体" w:cs="宋体" w:eastAsia="宋体" w:hint="default"/>
                <w:sz w:val="18"/>
                <w:szCs w:val="18"/>
              </w:rPr>
              <w:t>募集资金使用及披露</w:t>
            </w:r>
            <w:r>
              <w:rPr>
                <w:rFonts w:ascii="宋体" w:hAnsi="宋体" w:cs="宋体" w:eastAsia="宋体" w:hint="default"/>
                <w:w w:val="100"/>
                <w:sz w:val="18"/>
                <w:szCs w:val="18"/>
              </w:rPr>
              <w:t> </w:t>
            </w:r>
            <w:r>
              <w:rPr>
                <w:rFonts w:ascii="宋体" w:hAnsi="宋体" w:cs="宋体" w:eastAsia="宋体" w:hint="default"/>
                <w:sz w:val="18"/>
                <w:szCs w:val="18"/>
              </w:rPr>
              <w:t>中存在的问题或其他</w:t>
            </w:r>
            <w:r>
              <w:rPr>
                <w:rFonts w:ascii="宋体" w:hAnsi="宋体" w:cs="宋体" w:eastAsia="宋体" w:hint="default"/>
                <w:w w:val="100"/>
                <w:sz w:val="18"/>
                <w:szCs w:val="18"/>
              </w:rPr>
              <w:t> </w:t>
            </w:r>
            <w:r>
              <w:rPr>
                <w:rFonts w:ascii="宋体" w:hAnsi="宋体" w:cs="宋体" w:eastAsia="宋体" w:hint="default"/>
                <w:sz w:val="18"/>
                <w:szCs w:val="18"/>
              </w:rPr>
              <w:t>情况</w:t>
            </w:r>
          </w:p>
        </w:tc>
        <w:tc>
          <w:tcPr>
            <w:tcW w:w="8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
              <w:jc w:val="both"/>
              <w:rPr>
                <w:rFonts w:ascii="宋体" w:hAnsi="宋体" w:cs="宋体" w:eastAsia="宋体" w:hint="default"/>
                <w:sz w:val="18"/>
                <w:szCs w:val="18"/>
              </w:rPr>
            </w:pPr>
            <w:r>
              <w:rPr>
                <w:rFonts w:ascii="宋体" w:hAnsi="宋体" w:cs="宋体" w:eastAsia="宋体" w:hint="default"/>
                <w:spacing w:val="-2"/>
                <w:sz w:val="18"/>
                <w:szCs w:val="18"/>
              </w:rPr>
              <w:t>公司募投项目建成后，由于受到整体经济下行影响，环保型热收缩聚酯薄膜的市场开拓和市场需求的增</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长均需要一定的时间，为保证资产利润率，公司决定以市场需求为导向，根据市场情况调整聚酯薄膜的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种类及规格。目前公司正在进一步开拓热收缩聚酯薄膜的国际、国内市场。热收缩聚酯薄膜属于环保型</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材料，产品的单价较高，随着国家的食品监管政策趋严，推行绿色包装更加紧迫切，该产品未来的市场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空间较大。公司根据市场情况一方面保证热缩膜市场持续拓展，另一方面适时的生产市场需求较大的各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类功能性聚酯薄膜产品以提高资产利润率。此外，公司于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日对超募项目之一“年产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吨新型功能性聚酯薄膜及年产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万吨功能性膜级切片项目”的调试试车运行情况进行了披露。公司的</w:t>
            </w:r>
          </w:p>
          <w:p>
            <w:pPr>
              <w:pStyle w:val="TableParagraph"/>
              <w:spacing w:line="312" w:lineRule="auto" w:before="63"/>
              <w:ind w:left="24" w:right="19"/>
              <w:jc w:val="both"/>
              <w:rPr>
                <w:rFonts w:ascii="宋体" w:hAnsi="宋体" w:cs="宋体" w:eastAsia="宋体" w:hint="default"/>
                <w:sz w:val="18"/>
                <w:szCs w:val="18"/>
              </w:rPr>
            </w:pPr>
            <w:r>
              <w:rPr>
                <w:rFonts w:ascii="宋体" w:hAnsi="宋体" w:cs="宋体" w:eastAsia="宋体" w:hint="default"/>
                <w:spacing w:val="-3"/>
                <w:sz w:val="18"/>
                <w:szCs w:val="18"/>
              </w:rPr>
              <w:t>另一超募项目“年产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万吨太阳能电池封装材料基材项目”的建设有序推进，目前公司正加大对太阳能</w:t>
            </w:r>
            <w:r>
              <w:rPr>
                <w:rFonts w:ascii="宋体" w:hAnsi="宋体" w:cs="宋体" w:eastAsia="宋体" w:hint="default"/>
                <w:w w:val="100"/>
                <w:sz w:val="18"/>
                <w:szCs w:val="18"/>
              </w:rPr>
              <w:t> </w:t>
            </w:r>
            <w:r>
              <w:rPr>
                <w:rFonts w:ascii="宋体" w:hAnsi="宋体" w:cs="宋体" w:eastAsia="宋体" w:hint="default"/>
                <w:spacing w:val="-2"/>
                <w:sz w:val="18"/>
                <w:szCs w:val="18"/>
              </w:rPr>
              <w:t>电池封装材料背材产品和市场的研发开拓力度，通过延伸该项目的产业链以提高公司的效益。公司未来</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将根据市场需求情况，发挥设备的集群优势在各生产线上生产不同种类和规格的聚酯薄膜产品以提高设</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备的使用效率。</w:t>
            </w:r>
          </w:p>
        </w:tc>
      </w:tr>
    </w:tbl>
    <w:p>
      <w:pPr>
        <w:spacing w:line="240" w:lineRule="auto" w:before="3"/>
        <w:rPr>
          <w:rFonts w:ascii="宋体" w:hAnsi="宋体" w:cs="宋体" w:eastAsia="宋体" w:hint="default"/>
          <w:sz w:val="19"/>
          <w:szCs w:val="19"/>
        </w:rPr>
      </w:pPr>
    </w:p>
    <w:p>
      <w:pPr>
        <w:pStyle w:val="BodyText"/>
        <w:spacing w:line="240" w:lineRule="auto" w:before="36"/>
        <w:ind w:left="292" w:right="0"/>
        <w:jc w:val="left"/>
      </w:pPr>
      <w:r>
        <w:rPr/>
        <w:t>（</w:t>
      </w:r>
      <w:r>
        <w:rPr>
          <w:rFonts w:ascii="Times New Roman" w:hAnsi="Times New Roman" w:cs="Times New Roman" w:eastAsia="Times New Roman" w:hint="default"/>
          <w:b/>
          <w:bCs/>
        </w:rPr>
        <w:t>3</w:t>
      </w:r>
      <w:r>
        <w:rPr/>
        <w:t>）募集资金变更项目情况</w:t>
      </w:r>
    </w:p>
    <w:p>
      <w:pPr>
        <w:spacing w:line="240" w:lineRule="auto" w:before="12"/>
        <w:rPr>
          <w:rFonts w:ascii="宋体" w:hAnsi="宋体" w:cs="宋体" w:eastAsia="宋体" w:hint="default"/>
          <w:sz w:val="22"/>
          <w:szCs w:val="22"/>
        </w:rPr>
      </w:pPr>
    </w:p>
    <w:p>
      <w:pPr>
        <w:spacing w:before="44"/>
        <w:ind w:left="0" w:right="22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2"/>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958"/>
        <w:gridCol w:w="970"/>
        <w:gridCol w:w="935"/>
        <w:gridCol w:w="968"/>
        <w:gridCol w:w="958"/>
        <w:gridCol w:w="943"/>
        <w:gridCol w:w="971"/>
        <w:gridCol w:w="954"/>
        <w:gridCol w:w="968"/>
        <w:gridCol w:w="935"/>
      </w:tblGrid>
      <w:tr>
        <w:trPr>
          <w:trHeight w:val="161" w:hRule="exact"/>
        </w:trPr>
        <w:tc>
          <w:tcPr>
            <w:tcW w:w="958" w:type="dxa"/>
            <w:vMerge w:val="restart"/>
            <w:tcBorders>
              <w:top w:val="single" w:sz="4" w:space="0" w:color="000000"/>
              <w:left w:val="single" w:sz="4" w:space="0" w:color="000000"/>
              <w:right w:val="single" w:sz="4" w:space="0" w:color="000000"/>
            </w:tcBorders>
            <w:shd w:val="clear" w:color="auto" w:fill="D3D3D3"/>
          </w:tcPr>
          <w:p>
            <w:pPr/>
          </w:p>
        </w:tc>
        <w:tc>
          <w:tcPr>
            <w:tcW w:w="970" w:type="dxa"/>
            <w:vMerge w:val="restart"/>
            <w:tcBorders>
              <w:top w:val="single" w:sz="4" w:space="0" w:color="000000"/>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9"/>
              <w:ind w:left="12" w:right="1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w:t>
            </w:r>
            <w:r>
              <w:rPr>
                <w:rFonts w:ascii="宋体" w:hAnsi="宋体" w:cs="宋体" w:eastAsia="宋体" w:hint="default"/>
                <w:w w:val="100"/>
                <w:sz w:val="18"/>
                <w:szCs w:val="18"/>
              </w:rPr>
              <w:t> </w:t>
            </w:r>
            <w:r>
              <w:rPr>
                <w:rFonts w:ascii="宋体" w:hAnsi="宋体" w:cs="宋体" w:eastAsia="宋体" w:hint="default"/>
                <w:sz w:val="18"/>
                <w:szCs w:val="18"/>
              </w:rPr>
              <w:t>拟投入募集</w:t>
            </w:r>
            <w:r>
              <w:rPr>
                <w:rFonts w:ascii="宋体" w:hAnsi="宋体" w:cs="宋体" w:eastAsia="宋体" w:hint="default"/>
                <w:w w:val="100"/>
                <w:sz w:val="18"/>
                <w:szCs w:val="18"/>
              </w:rPr>
              <w:t> </w:t>
            </w:r>
            <w:r>
              <w:rPr>
                <w:rFonts w:ascii="宋体" w:hAnsi="宋体" w:cs="宋体" w:eastAsia="宋体" w:hint="default"/>
                <w:sz w:val="18"/>
                <w:szCs w:val="18"/>
              </w:rPr>
              <w:t>资金总额</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(1)</w:t>
            </w:r>
          </w:p>
        </w:tc>
        <w:tc>
          <w:tcPr>
            <w:tcW w:w="968" w:type="dxa"/>
            <w:vMerge w:val="restart"/>
            <w:tcBorders>
              <w:top w:val="single" w:sz="4" w:space="0" w:color="000000"/>
              <w:left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43"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9"/>
              <w:ind w:left="21"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w:t>
            </w:r>
            <w:r>
              <w:rPr>
                <w:rFonts w:ascii="宋体" w:hAnsi="宋体" w:cs="宋体" w:eastAsia="宋体" w:hint="default"/>
                <w:w w:val="100"/>
                <w:sz w:val="18"/>
                <w:szCs w:val="18"/>
              </w:rPr>
              <w:t> </w:t>
            </w:r>
            <w:r>
              <w:rPr>
                <w:rFonts w:ascii="宋体" w:hAnsi="宋体" w:cs="宋体" w:eastAsia="宋体" w:hint="default"/>
                <w:sz w:val="18"/>
                <w:szCs w:val="18"/>
              </w:rPr>
              <w:t>资进度</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(1)</w:t>
            </w:r>
          </w:p>
        </w:tc>
        <w:tc>
          <w:tcPr>
            <w:tcW w:w="971" w:type="dxa"/>
            <w:tcBorders>
              <w:top w:val="single" w:sz="4" w:space="0" w:color="000000"/>
              <w:left w:val="single" w:sz="4" w:space="0" w:color="000000"/>
              <w:bottom w:val="nil" w:sz="6" w:space="0" w:color="auto"/>
              <w:right w:val="single" w:sz="4" w:space="0" w:color="000000"/>
            </w:tcBorders>
            <w:shd w:val="clear" w:color="auto" w:fill="D3D3D3"/>
          </w:tcPr>
          <w:p>
            <w:pPr/>
          </w:p>
        </w:tc>
        <w:tc>
          <w:tcPr>
            <w:tcW w:w="954" w:type="dxa"/>
            <w:vMerge w:val="restart"/>
            <w:tcBorders>
              <w:top w:val="single" w:sz="4" w:space="0" w:color="000000"/>
              <w:left w:val="single" w:sz="4" w:space="0" w:color="000000"/>
              <w:right w:val="single" w:sz="4" w:space="0" w:color="000000"/>
            </w:tcBorders>
            <w:shd w:val="clear" w:color="auto" w:fill="D3D3D3"/>
          </w:tcPr>
          <w:p>
            <w:pPr/>
          </w:p>
        </w:tc>
        <w:tc>
          <w:tcPr>
            <w:tcW w:w="968" w:type="dxa"/>
            <w:vMerge w:val="restart"/>
            <w:tcBorders>
              <w:top w:val="single" w:sz="4" w:space="0" w:color="000000"/>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0" w:right="11"/>
              <w:jc w:val="center"/>
              <w:rPr>
                <w:rFonts w:ascii="宋体" w:hAnsi="宋体" w:cs="宋体" w:eastAsia="宋体" w:hint="default"/>
                <w:sz w:val="18"/>
                <w:szCs w:val="18"/>
              </w:rPr>
            </w:pPr>
            <w:r>
              <w:rPr>
                <w:rFonts w:ascii="宋体" w:hAnsi="宋体" w:cs="宋体" w:eastAsia="宋体" w:hint="default"/>
                <w:sz w:val="18"/>
                <w:szCs w:val="18"/>
              </w:rPr>
              <w:t>变更后的项</w:t>
            </w:r>
            <w:r>
              <w:rPr>
                <w:rFonts w:ascii="宋体" w:hAnsi="宋体" w:cs="宋体" w:eastAsia="宋体" w:hint="default"/>
                <w:w w:val="100"/>
                <w:sz w:val="18"/>
                <w:szCs w:val="18"/>
              </w:rPr>
              <w:t> </w:t>
            </w:r>
            <w:r>
              <w:rPr>
                <w:rFonts w:ascii="宋体" w:hAnsi="宋体" w:cs="宋体" w:eastAsia="宋体" w:hint="default"/>
                <w:sz w:val="18"/>
                <w:szCs w:val="18"/>
              </w:rPr>
              <w:t>目可行性是</w:t>
            </w:r>
            <w:r>
              <w:rPr>
                <w:rFonts w:ascii="宋体" w:hAnsi="宋体" w:cs="宋体" w:eastAsia="宋体" w:hint="default"/>
                <w:w w:val="100"/>
                <w:sz w:val="18"/>
                <w:szCs w:val="18"/>
              </w:rPr>
              <w:t> </w:t>
            </w:r>
            <w:r>
              <w:rPr>
                <w:rFonts w:ascii="宋体" w:hAnsi="宋体" w:cs="宋体" w:eastAsia="宋体" w:hint="default"/>
                <w:sz w:val="18"/>
                <w:szCs w:val="18"/>
              </w:rPr>
              <w:t>否发生重大</w:t>
            </w:r>
            <w:r>
              <w:rPr>
                <w:rFonts w:ascii="宋体" w:hAnsi="宋体" w:cs="宋体" w:eastAsia="宋体" w:hint="default"/>
                <w:w w:val="100"/>
                <w:sz w:val="18"/>
                <w:szCs w:val="18"/>
              </w:rPr>
              <w:t> </w:t>
            </w:r>
            <w:r>
              <w:rPr>
                <w:rFonts w:ascii="宋体" w:hAnsi="宋体" w:cs="宋体" w:eastAsia="宋体" w:hint="default"/>
                <w:sz w:val="18"/>
                <w:szCs w:val="18"/>
              </w:rPr>
              <w:t>变化</w:t>
            </w:r>
          </w:p>
        </w:tc>
      </w:tr>
      <w:tr>
        <w:trPr>
          <w:trHeight w:val="156" w:hRule="exact"/>
        </w:trPr>
        <w:tc>
          <w:tcPr>
            <w:tcW w:w="958" w:type="dxa"/>
            <w:vMerge/>
            <w:tcBorders>
              <w:left w:val="single" w:sz="4" w:space="0" w:color="000000"/>
              <w:bottom w:val="nil" w:sz="6" w:space="0" w:color="auto"/>
              <w:right w:val="single" w:sz="4" w:space="0" w:color="000000"/>
            </w:tcBorders>
            <w:shd w:val="clear" w:color="auto" w:fill="D3D3D3"/>
          </w:tcPr>
          <w:p>
            <w:pPr/>
          </w:p>
        </w:tc>
        <w:tc>
          <w:tcPr>
            <w:tcW w:w="970" w:type="dxa"/>
            <w:vMerge/>
            <w:tcBorders>
              <w:left w:val="single" w:sz="4" w:space="0" w:color="000000"/>
              <w:bottom w:val="nil" w:sz="6" w:space="0" w:color="auto"/>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4"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w:t>
            </w:r>
            <w:r>
              <w:rPr>
                <w:rFonts w:ascii="宋体" w:hAnsi="宋体" w:cs="宋体" w:eastAsia="宋体" w:hint="default"/>
                <w:w w:val="100"/>
                <w:sz w:val="18"/>
                <w:szCs w:val="18"/>
              </w:rPr>
              <w:t> </w:t>
            </w:r>
            <w:r>
              <w:rPr>
                <w:rFonts w:ascii="宋体" w:hAnsi="宋体" w:cs="宋体" w:eastAsia="宋体" w:hint="default"/>
                <w:sz w:val="18"/>
                <w:szCs w:val="18"/>
              </w:rPr>
              <w:t>际累计投入</w:t>
            </w:r>
            <w:r>
              <w:rPr>
                <w:rFonts w:ascii="宋体" w:hAnsi="宋体" w:cs="宋体" w:eastAsia="宋体" w:hint="default"/>
                <w:w w:val="100"/>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43" w:type="dxa"/>
            <w:vMerge/>
            <w:tcBorders>
              <w:left w:val="single" w:sz="4" w:space="0" w:color="000000"/>
              <w:right w:val="single" w:sz="4" w:space="0" w:color="000000"/>
            </w:tcBorders>
            <w:shd w:val="clear" w:color="auto" w:fill="D3D3D3"/>
          </w:tcPr>
          <w:p>
            <w:pPr/>
          </w:p>
        </w:tc>
        <w:tc>
          <w:tcPr>
            <w:tcW w:w="97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38" w:right="20"/>
              <w:jc w:val="center"/>
              <w:rPr>
                <w:rFonts w:ascii="宋体" w:hAnsi="宋体" w:cs="宋体" w:eastAsia="宋体" w:hint="default"/>
                <w:sz w:val="18"/>
                <w:szCs w:val="18"/>
              </w:rPr>
            </w:pPr>
            <w:r>
              <w:rPr>
                <w:rFonts w:ascii="宋体" w:hAnsi="宋体" w:cs="宋体" w:eastAsia="宋体" w:hint="default"/>
                <w:sz w:val="18"/>
                <w:szCs w:val="18"/>
              </w:rPr>
              <w:t>项目达到预</w:t>
            </w:r>
            <w:r>
              <w:rPr>
                <w:rFonts w:ascii="宋体" w:hAnsi="宋体" w:cs="宋体" w:eastAsia="宋体" w:hint="default"/>
                <w:w w:val="100"/>
                <w:sz w:val="18"/>
                <w:szCs w:val="18"/>
              </w:rPr>
              <w:t> </w:t>
            </w:r>
            <w:r>
              <w:rPr>
                <w:rFonts w:ascii="宋体" w:hAnsi="宋体" w:cs="宋体" w:eastAsia="宋体" w:hint="default"/>
                <w:sz w:val="18"/>
                <w:szCs w:val="18"/>
              </w:rPr>
              <w:t>定可使用状</w:t>
            </w:r>
            <w:r>
              <w:rPr>
                <w:rFonts w:ascii="宋体" w:hAnsi="宋体" w:cs="宋体" w:eastAsia="宋体" w:hint="default"/>
                <w:w w:val="100"/>
                <w:sz w:val="18"/>
                <w:szCs w:val="18"/>
              </w:rPr>
              <w:t> </w:t>
            </w:r>
            <w:r>
              <w:rPr>
                <w:rFonts w:ascii="宋体" w:hAnsi="宋体" w:cs="宋体" w:eastAsia="宋体" w:hint="default"/>
                <w:sz w:val="18"/>
                <w:szCs w:val="18"/>
              </w:rPr>
              <w:t>态日期</w:t>
            </w:r>
          </w:p>
        </w:tc>
        <w:tc>
          <w:tcPr>
            <w:tcW w:w="954" w:type="dxa"/>
            <w:vMerge/>
            <w:tcBorders>
              <w:left w:val="single" w:sz="4" w:space="0" w:color="000000"/>
              <w:bottom w:val="nil" w:sz="6" w:space="0" w:color="auto"/>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r>
      <w:tr>
        <w:trPr>
          <w:trHeight w:val="702" w:hRule="exact"/>
        </w:trPr>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384" w:right="21" w:hanging="360"/>
              <w:jc w:val="left"/>
              <w:rPr>
                <w:rFonts w:ascii="宋体" w:hAnsi="宋体" w:cs="宋体" w:eastAsia="宋体" w:hint="default"/>
                <w:sz w:val="18"/>
                <w:szCs w:val="18"/>
              </w:rPr>
            </w:pPr>
            <w:r>
              <w:rPr>
                <w:rFonts w:ascii="宋体" w:hAnsi="宋体" w:cs="宋体" w:eastAsia="宋体" w:hint="default"/>
                <w:sz w:val="18"/>
                <w:szCs w:val="18"/>
              </w:rPr>
              <w:t>变更后的项</w:t>
            </w:r>
            <w:r>
              <w:rPr>
                <w:rFonts w:ascii="宋体" w:hAnsi="宋体" w:cs="宋体" w:eastAsia="宋体" w:hint="default"/>
                <w:w w:val="100"/>
                <w:sz w:val="18"/>
                <w:szCs w:val="18"/>
              </w:rPr>
              <w:t> </w:t>
            </w:r>
            <w:r>
              <w:rPr>
                <w:rFonts w:ascii="宋体" w:hAnsi="宋体" w:cs="宋体" w:eastAsia="宋体" w:hint="default"/>
                <w:sz w:val="18"/>
                <w:szCs w:val="18"/>
              </w:rPr>
              <w:t>目</w:t>
            </w:r>
          </w:p>
        </w:tc>
        <w:tc>
          <w:tcPr>
            <w:tcW w:w="9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201" w:right="35" w:hanging="180"/>
              <w:jc w:val="left"/>
              <w:rPr>
                <w:rFonts w:ascii="宋体" w:hAnsi="宋体" w:cs="宋体" w:eastAsia="宋体" w:hint="default"/>
                <w:sz w:val="18"/>
                <w:szCs w:val="18"/>
              </w:rPr>
            </w:pPr>
            <w:r>
              <w:rPr>
                <w:rFonts w:ascii="宋体" w:hAnsi="宋体" w:cs="宋体" w:eastAsia="宋体" w:hint="default"/>
                <w:sz w:val="18"/>
                <w:szCs w:val="18"/>
              </w:rPr>
              <w:t>对应的原承</w:t>
            </w:r>
            <w:r>
              <w:rPr>
                <w:rFonts w:ascii="宋体" w:hAnsi="宋体" w:cs="宋体" w:eastAsia="宋体" w:hint="default"/>
                <w:w w:val="100"/>
                <w:sz w:val="18"/>
                <w:szCs w:val="18"/>
              </w:rPr>
              <w:t> </w:t>
            </w:r>
            <w:r>
              <w:rPr>
                <w:rFonts w:ascii="宋体" w:hAnsi="宋体" w:cs="宋体" w:eastAsia="宋体" w:hint="default"/>
                <w:sz w:val="18"/>
                <w:szCs w:val="18"/>
              </w:rPr>
              <w:t>诺项目</w:t>
            </w:r>
          </w:p>
        </w:tc>
        <w:tc>
          <w:tcPr>
            <w:tcW w:w="935" w:type="dxa"/>
            <w:vMerge/>
            <w:tcBorders>
              <w:left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32" w:right="23"/>
              <w:jc w:val="left"/>
              <w:rPr>
                <w:rFonts w:ascii="宋体" w:hAnsi="宋体" w:cs="宋体" w:eastAsia="宋体" w:hint="default"/>
                <w:sz w:val="18"/>
                <w:szCs w:val="18"/>
              </w:rPr>
            </w:pPr>
            <w:r>
              <w:rPr>
                <w:rFonts w:ascii="宋体" w:hAnsi="宋体" w:cs="宋体" w:eastAsia="宋体" w:hint="default"/>
                <w:sz w:val="18"/>
                <w:szCs w:val="18"/>
              </w:rPr>
              <w:t>本报告期实</w:t>
            </w:r>
            <w:r>
              <w:rPr>
                <w:rFonts w:ascii="宋体" w:hAnsi="宋体" w:cs="宋体" w:eastAsia="宋体" w:hint="default"/>
                <w:w w:val="100"/>
                <w:sz w:val="18"/>
                <w:szCs w:val="18"/>
              </w:rPr>
              <w:t> </w:t>
            </w:r>
            <w:r>
              <w:rPr>
                <w:rFonts w:ascii="宋体" w:hAnsi="宋体" w:cs="宋体" w:eastAsia="宋体" w:hint="default"/>
                <w:sz w:val="18"/>
                <w:szCs w:val="18"/>
              </w:rPr>
              <w:t>际投入金额</w:t>
            </w:r>
          </w:p>
        </w:tc>
        <w:tc>
          <w:tcPr>
            <w:tcW w:w="958" w:type="dxa"/>
            <w:vMerge/>
            <w:tcBorders>
              <w:left w:val="single" w:sz="4" w:space="0" w:color="000000"/>
              <w:right w:val="single" w:sz="4" w:space="0" w:color="000000"/>
            </w:tcBorders>
            <w:shd w:val="clear" w:color="auto" w:fill="D3D3D3"/>
          </w:tcPr>
          <w:p>
            <w:pPr/>
          </w:p>
        </w:tc>
        <w:tc>
          <w:tcPr>
            <w:tcW w:w="943" w:type="dxa"/>
            <w:vMerge/>
            <w:tcBorders>
              <w:left w:val="single" w:sz="4" w:space="0" w:color="000000"/>
              <w:right w:val="single" w:sz="4" w:space="0" w:color="000000"/>
            </w:tcBorders>
            <w:shd w:val="clear" w:color="auto" w:fill="D3D3D3"/>
          </w:tcPr>
          <w:p>
            <w:pPr/>
          </w:p>
        </w:tc>
        <w:tc>
          <w:tcPr>
            <w:tcW w:w="971" w:type="dxa"/>
            <w:vMerge/>
            <w:tcBorders>
              <w:left w:val="single" w:sz="4" w:space="0" w:color="000000"/>
              <w:right w:val="single" w:sz="4" w:space="0" w:color="000000"/>
            </w:tcBorders>
            <w:shd w:val="clear" w:color="auto" w:fill="D3D3D3"/>
          </w:tcPr>
          <w:p>
            <w:pPr/>
          </w:p>
        </w:tc>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111" w:right="19" w:hanging="89"/>
              <w:jc w:val="left"/>
              <w:rPr>
                <w:rFonts w:ascii="宋体" w:hAnsi="宋体" w:cs="宋体" w:eastAsia="宋体" w:hint="default"/>
                <w:sz w:val="18"/>
                <w:szCs w:val="18"/>
              </w:rPr>
            </w:pPr>
            <w:r>
              <w:rPr>
                <w:rFonts w:ascii="宋体" w:hAnsi="宋体" w:cs="宋体" w:eastAsia="宋体" w:hint="default"/>
                <w:sz w:val="18"/>
                <w:szCs w:val="18"/>
              </w:rPr>
              <w:t>本报告期实</w:t>
            </w:r>
            <w:r>
              <w:rPr>
                <w:rFonts w:ascii="宋体" w:hAnsi="宋体" w:cs="宋体" w:eastAsia="宋体" w:hint="default"/>
                <w:w w:val="100"/>
                <w:sz w:val="18"/>
                <w:szCs w:val="18"/>
              </w:rPr>
              <w:t> </w:t>
            </w:r>
            <w:r>
              <w:rPr>
                <w:rFonts w:ascii="宋体" w:hAnsi="宋体" w:cs="宋体" w:eastAsia="宋体" w:hint="default"/>
                <w:sz w:val="18"/>
                <w:szCs w:val="18"/>
              </w:rPr>
              <w:t>现的效益</w:t>
            </w:r>
          </w:p>
        </w:tc>
        <w:tc>
          <w:tcPr>
            <w:tcW w:w="9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204" w:right="32" w:hanging="180"/>
              <w:jc w:val="left"/>
              <w:rPr>
                <w:rFonts w:ascii="宋体" w:hAnsi="宋体" w:cs="宋体" w:eastAsia="宋体" w:hint="default"/>
                <w:sz w:val="18"/>
                <w:szCs w:val="18"/>
              </w:rPr>
            </w:pPr>
            <w:r>
              <w:rPr>
                <w:rFonts w:ascii="宋体" w:hAnsi="宋体" w:cs="宋体" w:eastAsia="宋体" w:hint="default"/>
                <w:sz w:val="18"/>
                <w:szCs w:val="18"/>
              </w:rPr>
              <w:t>是否达到预</w:t>
            </w:r>
            <w:r>
              <w:rPr>
                <w:rFonts w:ascii="宋体" w:hAnsi="宋体" w:cs="宋体" w:eastAsia="宋体" w:hint="default"/>
                <w:w w:val="100"/>
                <w:sz w:val="18"/>
                <w:szCs w:val="18"/>
              </w:rPr>
              <w:t> </w:t>
            </w:r>
            <w:r>
              <w:rPr>
                <w:rFonts w:ascii="宋体" w:hAnsi="宋体" w:cs="宋体" w:eastAsia="宋体" w:hint="default"/>
                <w:sz w:val="18"/>
                <w:szCs w:val="18"/>
              </w:rPr>
              <w:t>计效益</w:t>
            </w:r>
          </w:p>
        </w:tc>
        <w:tc>
          <w:tcPr>
            <w:tcW w:w="935" w:type="dxa"/>
            <w:vMerge/>
            <w:tcBorders>
              <w:left w:val="single" w:sz="4" w:space="0" w:color="000000"/>
              <w:right w:val="single" w:sz="4" w:space="0" w:color="000000"/>
            </w:tcBorders>
            <w:shd w:val="clear" w:color="auto" w:fill="D3D3D3"/>
          </w:tcPr>
          <w:p>
            <w:pPr/>
          </w:p>
        </w:tc>
      </w:tr>
      <w:tr>
        <w:trPr>
          <w:trHeight w:val="156" w:hRule="exact"/>
        </w:trPr>
        <w:tc>
          <w:tcPr>
            <w:tcW w:w="958" w:type="dxa"/>
            <w:vMerge w:val="restart"/>
            <w:tcBorders>
              <w:top w:val="nil" w:sz="6" w:space="0" w:color="auto"/>
              <w:left w:val="single" w:sz="4" w:space="0" w:color="000000"/>
              <w:right w:val="single" w:sz="4" w:space="0" w:color="000000"/>
            </w:tcBorders>
            <w:shd w:val="clear" w:color="auto" w:fill="D3D3D3"/>
          </w:tcPr>
          <w:p>
            <w:pPr/>
          </w:p>
        </w:tc>
        <w:tc>
          <w:tcPr>
            <w:tcW w:w="970" w:type="dxa"/>
            <w:vMerge w:val="restart"/>
            <w:tcBorders>
              <w:top w:val="nil" w:sz="6" w:space="0" w:color="auto"/>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968" w:type="dxa"/>
            <w:vMerge w:val="restart"/>
            <w:tcBorders>
              <w:top w:val="nil" w:sz="6" w:space="0" w:color="auto"/>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43" w:type="dxa"/>
            <w:vMerge/>
            <w:tcBorders>
              <w:left w:val="single" w:sz="4" w:space="0" w:color="000000"/>
              <w:right w:val="single" w:sz="4" w:space="0" w:color="000000"/>
            </w:tcBorders>
            <w:shd w:val="clear" w:color="auto" w:fill="D3D3D3"/>
          </w:tcPr>
          <w:p>
            <w:pPr/>
          </w:p>
        </w:tc>
        <w:tc>
          <w:tcPr>
            <w:tcW w:w="971" w:type="dxa"/>
            <w:vMerge/>
            <w:tcBorders>
              <w:left w:val="single" w:sz="4" w:space="0" w:color="000000"/>
              <w:bottom w:val="nil" w:sz="6" w:space="0" w:color="auto"/>
              <w:right w:val="single" w:sz="4" w:space="0" w:color="000000"/>
            </w:tcBorders>
            <w:shd w:val="clear" w:color="auto" w:fill="D3D3D3"/>
          </w:tcPr>
          <w:p>
            <w:pPr/>
          </w:p>
        </w:tc>
        <w:tc>
          <w:tcPr>
            <w:tcW w:w="954" w:type="dxa"/>
            <w:vMerge w:val="restart"/>
            <w:tcBorders>
              <w:top w:val="nil" w:sz="6" w:space="0" w:color="auto"/>
              <w:left w:val="single" w:sz="4" w:space="0" w:color="000000"/>
              <w:right w:val="single" w:sz="4" w:space="0" w:color="000000"/>
            </w:tcBorders>
            <w:shd w:val="clear" w:color="auto" w:fill="D3D3D3"/>
          </w:tcPr>
          <w:p>
            <w:pPr/>
          </w:p>
        </w:tc>
        <w:tc>
          <w:tcPr>
            <w:tcW w:w="968" w:type="dxa"/>
            <w:vMerge w:val="restart"/>
            <w:tcBorders>
              <w:top w:val="nil" w:sz="6" w:space="0" w:color="auto"/>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r>
      <w:tr>
        <w:trPr>
          <w:trHeight w:val="162" w:hRule="exact"/>
        </w:trPr>
        <w:tc>
          <w:tcPr>
            <w:tcW w:w="958" w:type="dxa"/>
            <w:vMerge/>
            <w:tcBorders>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968" w:type="dxa"/>
            <w:vMerge/>
            <w:tcBorders>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43" w:type="dxa"/>
            <w:vMerge/>
            <w:tcBorders>
              <w:left w:val="single" w:sz="4" w:space="0" w:color="000000"/>
              <w:bottom w:val="single" w:sz="4" w:space="0" w:color="000000"/>
              <w:right w:val="single" w:sz="4" w:space="0" w:color="000000"/>
            </w:tcBorders>
            <w:shd w:val="clear" w:color="auto" w:fill="D3D3D3"/>
          </w:tcPr>
          <w:p>
            <w:pPr/>
          </w:p>
        </w:tc>
        <w:tc>
          <w:tcPr>
            <w:tcW w:w="971" w:type="dxa"/>
            <w:tcBorders>
              <w:top w:val="nil" w:sz="6" w:space="0" w:color="auto"/>
              <w:left w:val="single" w:sz="4" w:space="0" w:color="000000"/>
              <w:bottom w:val="single" w:sz="4" w:space="0" w:color="000000"/>
              <w:right w:val="single" w:sz="4" w:space="0" w:color="000000"/>
            </w:tcBorders>
            <w:shd w:val="clear" w:color="auto" w:fill="D3D3D3"/>
          </w:tcPr>
          <w:p>
            <w:pPr/>
          </w:p>
        </w:tc>
        <w:tc>
          <w:tcPr>
            <w:tcW w:w="954" w:type="dxa"/>
            <w:vMerge/>
            <w:tcBorders>
              <w:left w:val="single" w:sz="4" w:space="0" w:color="000000"/>
              <w:bottom w:val="single" w:sz="4" w:space="0" w:color="000000"/>
              <w:right w:val="single" w:sz="4" w:space="0" w:color="000000"/>
            </w:tcBorders>
            <w:shd w:val="clear" w:color="auto" w:fill="D3D3D3"/>
          </w:tcPr>
          <w:p>
            <w:pPr/>
          </w:p>
        </w:tc>
        <w:tc>
          <w:tcPr>
            <w:tcW w:w="968"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2"/>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5" w:space="0" w:color="000000"/>
              <w:left w:val="single" w:sz="13" w:space="0" w:color="D3D3D3"/>
              <w:bottom w:val="single" w:sz="11" w:space="0" w:color="D3D3D3"/>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100"/>
                <w:sz w:val="18"/>
              </w:rPr>
              <w:t>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100"/>
                <w:sz w:val="18"/>
              </w:rPr>
              <w:t>0</w:t>
            </w:r>
          </w:p>
        </w:tc>
        <w:tc>
          <w:tcPr>
            <w:tcW w:w="958"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954"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w w:val="100"/>
                <w:sz w:val="18"/>
              </w:rPr>
              <w:t>0</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7" w:type="dxa"/>
            <w:gridSpan w:val="7"/>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footerReference w:type="default" r:id="rId14"/>
          <w:pgSz w:w="11900" w:h="16840"/>
          <w:pgMar w:footer="982" w:header="746" w:top="1060" w:bottom="1180" w:left="840" w:right="900"/>
          <w:pgNumType w:start="20"/>
        </w:sectPr>
      </w:pPr>
    </w:p>
    <w:p>
      <w:pPr>
        <w:spacing w:line="240" w:lineRule="auto" w:before="2"/>
        <w:rPr>
          <w:rFonts w:ascii="宋体" w:hAnsi="宋体" w:cs="宋体" w:eastAsia="宋体" w:hint="default"/>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2;top:14;width:2;height:353" coordorigin="22,14" coordsize="2,353">
              <v:shape style="position:absolute;left:22;top:14;width:2;height:353" coordorigin="22,14" coordsize="0,353" path="m22,14l22,367e" filled="false" stroked="true" strokeweight="1.199996pt" strokecolor="#d3d3d3">
                <v:path arrowok="t"/>
              </v:shape>
            </v:group>
            <v:group style="position:absolute;left:2862;top:14;width:2;height:353" coordorigin="2862,14" coordsize="2,353">
              <v:shape style="position:absolute;left:2862;top:14;width:2;height:353" coordorigin="2862,14" coordsize="0,353" path="m2862,14l2862,367e" filled="false" stroked="true" strokeweight="1.08pt" strokecolor="#d3d3d3">
                <v:path arrowok="t"/>
              </v:shape>
            </v:group>
            <v:group style="position:absolute;left:34;top:14;width:2818;height:353" coordorigin="34,14" coordsize="2818,353">
              <v:shape style="position:absolute;left:34;top:14;width:2818;height:353" coordorigin="34,14" coordsize="2818,353" path="m34,367l2851,367,2851,14,34,14,34,367xe" filled="true" fillcolor="#d3d3d3" stroked="false">
                <v:path arrowok="t"/>
                <v:fill type="solid"/>
              </v:shape>
            </v:group>
            <v:group style="position:absolute;left:10;top:10;width:2864;height:2" coordorigin="10,10" coordsize="2864,2">
              <v:shape style="position:absolute;left:10;top:10;width:2864;height:2" coordorigin="10,10" coordsize="2864,0" path="m10,10l2873,10e" filled="false" stroked="true" strokeweight=".48pt" strokecolor="#000000">
                <v:path arrowok="t"/>
              </v:shape>
            </v:group>
            <v:group style="position:absolute;left:2882;top:10;width:6689;height:2" coordorigin="2882,10" coordsize="6689,2">
              <v:shape style="position:absolute;left:2882;top:10;width:6689;height:2" coordorigin="2882,10" coordsize="6689,0" path="m2882,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64;height:2" coordorigin="10,372" coordsize="2864,2">
              <v:shape style="position:absolute;left:10;top:372;width:2864;height:2" coordorigin="10,372" coordsize="2864,0" path="m10,372l2873,372e" filled="false" stroked="true" strokeweight=".48pt" strokecolor="#000000">
                <v:path arrowok="t"/>
              </v:shape>
            </v:group>
            <v:group style="position:absolute;left:2878;top:5;width:2;height:372" coordorigin="2878,5" coordsize="2,372">
              <v:shape style="position:absolute;left:2878;top:5;width:2;height:372" coordorigin="2878,5" coordsize="0,372" path="m2878,5l2878,377e" filled="false" stroked="true" strokeweight=".48pt" strokecolor="#000000">
                <v:path arrowok="t"/>
              </v:shape>
            </v:group>
            <v:group style="position:absolute;left:2882;top:372;width:6689;height:2" coordorigin="2882,372" coordsize="6689,2">
              <v:shape style="position:absolute;left:2882;top:372;width:6689;height:2" coordorigin="2882,372" coordsize="6689,0" path="m2882,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8pt" strokecolor="#000000">
                <v:path arrowok="t"/>
              </v:shape>
              <v:shape style="position:absolute;left:17;top:10;width:2861;height:363" type="#_x0000_t202" filled="false" stroked="false">
                <v:textbox inset="0,0,0,0">
                  <w:txbxContent>
                    <w:p>
                      <w:pPr>
                        <w:spacing w:before="13"/>
                        <w:ind w:left="1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BodyText"/>
        <w:spacing w:line="240" w:lineRule="auto" w:before="36"/>
        <w:ind w:right="145"/>
        <w:jc w:val="left"/>
      </w:pPr>
      <w:r>
        <w:rPr>
          <w:rFonts w:ascii="Times New Roman" w:hAnsi="Times New Roman" w:cs="Times New Roman" w:eastAsia="Times New Roman" w:hint="default"/>
          <w:b/>
          <w:bCs/>
        </w:rPr>
        <w:t>4</w:t>
      </w:r>
      <w:r>
        <w:rPr/>
        <w:t>、主要子公司、参股公司分析</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46"/>
        <w:gridCol w:w="1075"/>
        <w:gridCol w:w="943"/>
        <w:gridCol w:w="943"/>
        <w:gridCol w:w="941"/>
        <w:gridCol w:w="946"/>
        <w:gridCol w:w="943"/>
        <w:gridCol w:w="943"/>
        <w:gridCol w:w="809"/>
        <w:gridCol w:w="1075"/>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4" w:right="105" w:hanging="89"/>
              <w:jc w:val="left"/>
              <w:rPr>
                <w:rFonts w:ascii="宋体" w:hAnsi="宋体" w:cs="宋体" w:eastAsia="宋体" w:hint="default"/>
                <w:sz w:val="18"/>
                <w:szCs w:val="18"/>
              </w:rPr>
            </w:pPr>
            <w:r>
              <w:rPr>
                <w:rFonts w:ascii="宋体" w:hAnsi="宋体" w:cs="宋体" w:eastAsia="宋体" w:hint="default"/>
                <w:sz w:val="18"/>
                <w:szCs w:val="18"/>
              </w:rPr>
              <w:t>主要产品</w:t>
            </w:r>
            <w:r>
              <w:rPr>
                <w:rFonts w:ascii="宋体" w:hAnsi="宋体" w:cs="宋体" w:eastAsia="宋体" w:hint="default"/>
                <w:w w:val="100"/>
                <w:sz w:val="18"/>
                <w:szCs w:val="18"/>
              </w:rPr>
              <w:t> </w:t>
            </w:r>
            <w:r>
              <w:rPr>
                <w:rFonts w:ascii="宋体" w:hAnsi="宋体" w:cs="宋体" w:eastAsia="宋体" w:hint="default"/>
                <w:sz w:val="18"/>
                <w:szCs w:val="18"/>
              </w:rPr>
              <w:t>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37"/>
              <w:jc w:val="left"/>
              <w:rPr>
                <w:rFonts w:ascii="宋体" w:hAnsi="宋体" w:cs="宋体" w:eastAsia="宋体" w:hint="default"/>
                <w:sz w:val="18"/>
                <w:szCs w:val="18"/>
              </w:rPr>
            </w:pPr>
            <w:r>
              <w:rPr>
                <w:rFonts w:ascii="宋体" w:hAnsi="宋体" w:cs="宋体" w:eastAsia="宋体" w:hint="default"/>
                <w:sz w:val="18"/>
                <w:szCs w:val="18"/>
              </w:rPr>
              <w:t>净利润（元）</w:t>
            </w:r>
          </w:p>
        </w:tc>
      </w:tr>
    </w:tbl>
    <w:p>
      <w:pPr>
        <w:spacing w:line="357" w:lineRule="auto" w:before="49"/>
        <w:ind w:left="152" w:right="7083"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r>
        <w:rPr>
          <w:rFonts w:ascii="宋体" w:hAnsi="宋体" w:cs="宋体" w:eastAsia="宋体" w:hint="default"/>
          <w:w w:val="100"/>
          <w:sz w:val="18"/>
          <w:szCs w:val="18"/>
        </w:rPr>
        <w:t> </w:t>
      </w:r>
      <w:r>
        <w:rPr>
          <w:rFonts w:ascii="宋体" w:hAnsi="宋体" w:cs="宋体" w:eastAsia="宋体" w:hint="default"/>
          <w:spacing w:val="-1"/>
          <w:sz w:val="18"/>
          <w:szCs w:val="18"/>
        </w:rPr>
        <w:t>报告期内取得和处置子公司的情况</w:t>
      </w:r>
    </w:p>
    <w:p>
      <w:pPr>
        <w:spacing w:before="29"/>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5</w:t>
      </w:r>
      <w:r>
        <w:rPr/>
        <w:t>、非募集资金投资的重大项目情况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6"/>
        <w:gridCol w:w="1592"/>
        <w:gridCol w:w="1595"/>
        <w:gridCol w:w="1594"/>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32" w:right="68" w:hanging="360"/>
              <w:jc w:val="left"/>
              <w:rPr>
                <w:rFonts w:ascii="宋体" w:hAnsi="宋体" w:cs="宋体" w:eastAsia="宋体" w:hint="default"/>
                <w:sz w:val="18"/>
                <w:szCs w:val="18"/>
              </w:rPr>
            </w:pPr>
            <w:r>
              <w:rPr>
                <w:rFonts w:ascii="宋体" w:hAnsi="宋体" w:cs="宋体" w:eastAsia="宋体" w:hint="default"/>
                <w:sz w:val="18"/>
                <w:szCs w:val="18"/>
              </w:rPr>
              <w:t>截至期末累计实际</w:t>
            </w:r>
            <w:r>
              <w:rPr>
                <w:rFonts w:ascii="宋体" w:hAnsi="宋体" w:cs="宋体" w:eastAsia="宋体" w:hint="default"/>
                <w:w w:val="100"/>
                <w:sz w:val="18"/>
                <w:szCs w:val="18"/>
              </w:rPr>
              <w:t> </w:t>
            </w:r>
            <w:r>
              <w:rPr>
                <w:rFonts w:ascii="宋体" w:hAnsi="宋体" w:cs="宋体" w:eastAsia="宋体" w:hint="default"/>
                <w:sz w:val="18"/>
                <w:szCs w:val="18"/>
              </w:rPr>
              <w:t>投入金额</w:t>
            </w: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2" w:type="dxa"/>
            <w:vMerge/>
            <w:tcBorders>
              <w:left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3"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592" w:type="dxa"/>
            <w:tcBorders>
              <w:top w:val="single" w:sz="5" w:space="0" w:color="000000"/>
              <w:left w:val="single" w:sz="4" w:space="0" w:color="000000"/>
              <w:bottom w:val="single" w:sz="4" w:space="0" w:color="000000"/>
              <w:right w:val="single" w:sz="12" w:space="0" w:color="D3D3D3"/>
            </w:tcBorders>
          </w:tcPr>
          <w:p>
            <w:pPr>
              <w:pStyle w:val="TableParagraph"/>
              <w:spacing w:line="240" w:lineRule="auto" w:before="90"/>
              <w:ind w:right="8"/>
              <w:jc w:val="right"/>
              <w:rPr>
                <w:rFonts w:ascii="Times New Roman" w:hAnsi="Times New Roman" w:cs="Times New Roman" w:eastAsia="Times New Roman" w:hint="default"/>
                <w:sz w:val="18"/>
                <w:szCs w:val="18"/>
              </w:rPr>
            </w:pPr>
            <w:r>
              <w:rPr>
                <w:rFonts w:ascii="Times New Roman"/>
                <w:w w:val="100"/>
                <w:sz w:val="18"/>
              </w:rPr>
              <w:t>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2"/>
        <w:rPr>
          <w:rFonts w:ascii="宋体" w:hAnsi="宋体" w:cs="宋体" w:eastAsia="宋体" w:hint="default"/>
          <w:sz w:val="18"/>
          <w:szCs w:val="18"/>
        </w:rPr>
      </w:pPr>
    </w:p>
    <w:p>
      <w:pPr>
        <w:pStyle w:val="Heading2"/>
        <w:spacing w:line="240" w:lineRule="auto" w:before="26"/>
        <w:ind w:right="145"/>
        <w:jc w:val="left"/>
      </w:pPr>
      <w:r>
        <w:rPr/>
        <w:t>七、公司控制的特殊目的主体情况</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45"/>
        <w:jc w:val="left"/>
      </w:pPr>
      <w:r>
        <w:rPr/>
        <w:t>八、公司未来发展的展望</w:t>
      </w:r>
    </w:p>
    <w:p>
      <w:pPr>
        <w:spacing w:line="240" w:lineRule="auto" w:before="10"/>
        <w:rPr>
          <w:rFonts w:ascii="宋体" w:hAnsi="宋体" w:cs="宋体" w:eastAsia="宋体" w:hint="default"/>
          <w:sz w:val="22"/>
          <w:szCs w:val="22"/>
        </w:rPr>
      </w:pPr>
    </w:p>
    <w:p>
      <w:pPr>
        <w:pStyle w:val="Heading2"/>
        <w:spacing w:line="240" w:lineRule="auto"/>
        <w:ind w:left="635" w:right="145"/>
        <w:jc w:val="left"/>
      </w:pPr>
      <w:r>
        <w:rPr/>
        <w:t>（一）行业竞争格局和发展趋势</w:t>
      </w:r>
    </w:p>
    <w:p>
      <w:pPr>
        <w:pStyle w:val="BodyText"/>
        <w:spacing w:line="273" w:lineRule="auto" w:before="181"/>
        <w:ind w:right="141" w:firstLine="420"/>
        <w:jc w:val="both"/>
      </w:pPr>
      <w:r>
        <w:rPr>
          <w:spacing w:val="-3"/>
        </w:rPr>
        <w:t>随着工业技术的发展和消费者需求水平的提高，不同类型的食品饮料对塑料包装薄膜的性能提出了越</w:t>
      </w:r>
      <w:r>
        <w:rPr>
          <w:w w:val="100"/>
        </w:rPr>
        <w:t> </w:t>
      </w:r>
      <w:r>
        <w:rPr>
          <w:spacing w:val="-3"/>
        </w:rPr>
        <w:t>来越高的要求，如高阻隔、防腐抗菌、保鲜、耐热等。同时，随着家庭日用品包装、药品包装等与人民生</w:t>
      </w:r>
      <w:r>
        <w:rPr>
          <w:spacing w:val="2"/>
        </w:rPr>
        <w:t> </w:t>
      </w:r>
      <w:r>
        <w:rPr>
          <w:spacing w:val="2"/>
        </w:rPr>
      </w:r>
      <w:r>
        <w:rPr>
          <w:spacing w:val="-3"/>
        </w:rPr>
        <w:t>活密切相关的领域大量采用塑料包装薄膜，其安全、无毒成为用户最首要的要求，各个行业的用户均对塑</w:t>
      </w:r>
      <w:r>
        <w:rPr>
          <w:spacing w:val="5"/>
        </w:rPr>
        <w:t> </w:t>
      </w:r>
      <w:r>
        <w:rPr>
          <w:spacing w:val="5"/>
        </w:rPr>
      </w:r>
      <w:r>
        <w:rPr>
          <w:spacing w:val="-3"/>
        </w:rPr>
        <w:t>料包装薄膜的材料选取、复合和印刷工艺中的溶剂残留控制提出了严格的标准，塑料包装薄膜亦正向节省</w:t>
      </w:r>
      <w:r>
        <w:rPr>
          <w:spacing w:val="4"/>
        </w:rPr>
        <w:t> </w:t>
      </w:r>
      <w:r>
        <w:rPr>
          <w:spacing w:val="4"/>
        </w:rPr>
      </w:r>
      <w:r>
        <w:rPr/>
        <w:t>资源、节约能源、环保可回收、易被环境降解等环保方向发展。</w:t>
      </w:r>
    </w:p>
    <w:p>
      <w:pPr>
        <w:pStyle w:val="BodyText"/>
        <w:spacing w:line="273" w:lineRule="auto" w:before="163"/>
        <w:ind w:right="141" w:firstLine="420"/>
        <w:jc w:val="both"/>
      </w:pPr>
      <w:r>
        <w:rPr>
          <w:spacing w:val="-3"/>
        </w:rPr>
        <w:t>聚酯薄膜是性能全面的包装薄膜，其透明性好，具有良好的气密性和保香性，机械性能优良，抗张强</w:t>
      </w:r>
      <w:r>
        <w:rPr>
          <w:w w:val="100"/>
        </w:rPr>
        <w:t> </w:t>
      </w:r>
      <w:r>
        <w:rPr/>
        <w:t>度和抗冲击强度高，具有可回收再利用的环保特性，市场发展潜力巨大。</w:t>
      </w:r>
    </w:p>
    <w:p>
      <w:pPr>
        <w:pStyle w:val="BodyText"/>
        <w:spacing w:line="266" w:lineRule="auto" w:before="163"/>
        <w:ind w:right="119" w:firstLine="420"/>
        <w:jc w:val="both"/>
      </w:pPr>
      <w:r>
        <w:rPr>
          <w:spacing w:val="-2"/>
        </w:rPr>
        <w:t>我国塑料包装薄膜行业集中度较高，目前行业的规模化和优胜劣汰的市场机制已初步形成，规模小、</w:t>
      </w:r>
      <w:r>
        <w:rPr>
          <w:w w:val="100"/>
        </w:rPr>
        <w:t> </w:t>
      </w:r>
      <w:r>
        <w:rPr>
          <w:spacing w:val="-3"/>
        </w:rPr>
        <w:t>产品质量差的企业将逐步退出市场。目前我国大部分企业还处于在普通膜领域进行同质化的竞争，国内生</w:t>
      </w:r>
      <w:r>
        <w:rPr>
          <w:spacing w:val="4"/>
        </w:rPr>
        <w:t> </w:t>
      </w:r>
      <w:r>
        <w:rPr>
          <w:spacing w:val="4"/>
        </w:rPr>
      </w:r>
      <w:r>
        <w:rPr>
          <w:spacing w:val="-2"/>
        </w:rPr>
        <w:t>产的聚酯薄膜</w:t>
      </w:r>
      <w:r>
        <w:rPr>
          <w:rFonts w:ascii="Times New Roman" w:hAnsi="Times New Roman" w:cs="Times New Roman" w:eastAsia="Times New Roman" w:hint="default"/>
          <w:spacing w:val="-2"/>
        </w:rPr>
        <w:t>70%</w:t>
      </w:r>
      <w:r>
        <w:rPr>
          <w:spacing w:val="-2"/>
        </w:rPr>
        <w:t>以上为普通膜，大多用于食品包装等方面。而高附加值的差异性产品、特种功能性薄膜</w:t>
      </w:r>
      <w:r>
        <w:rPr>
          <w:spacing w:val="-11"/>
        </w:rPr>
        <w:t> </w:t>
      </w:r>
      <w:r>
        <w:rPr>
          <w:spacing w:val="-11"/>
        </w:rPr>
      </w:r>
      <w:r>
        <w:rPr/>
        <w:t>的推广将成为塑料薄膜行业发展的趋势。</w:t>
      </w:r>
    </w:p>
    <w:p>
      <w:pPr>
        <w:pStyle w:val="Heading2"/>
        <w:spacing w:line="240" w:lineRule="auto" w:before="142"/>
        <w:ind w:left="635" w:right="145"/>
        <w:jc w:val="left"/>
      </w:pPr>
      <w:r>
        <w:rPr/>
        <w:t>（二）公司发展战略</w:t>
      </w:r>
    </w:p>
    <w:p>
      <w:pPr>
        <w:pStyle w:val="BodyText"/>
        <w:spacing w:line="273" w:lineRule="auto" w:before="181"/>
        <w:ind w:right="143" w:firstLine="420"/>
        <w:jc w:val="both"/>
      </w:pPr>
      <w:r>
        <w:rPr>
          <w:spacing w:val="-3"/>
        </w:rPr>
        <w:t>公司从保持企业持续发展的战略高度，制定了期间发展战略：科技创新战略、产品规模化战略、差别</w:t>
      </w:r>
      <w:r>
        <w:rPr>
          <w:w w:val="100"/>
        </w:rPr>
        <w:t> </w:t>
      </w:r>
      <w:r>
        <w:rPr>
          <w:spacing w:val="-2"/>
        </w:rPr>
        <w:t>竞争战略、实施人才战略、</w:t>
      </w:r>
      <w:r>
        <w:rPr>
          <w:rFonts w:ascii="Times New Roman" w:hAnsi="Times New Roman" w:cs="Times New Roman" w:eastAsia="Times New Roman" w:hint="default"/>
          <w:spacing w:val="-2"/>
        </w:rPr>
        <w:t>“</w:t>
      </w:r>
      <w:r>
        <w:rPr>
          <w:spacing w:val="-2"/>
        </w:rPr>
        <w:t>三足鼎立</w:t>
      </w:r>
      <w:r>
        <w:rPr>
          <w:rFonts w:ascii="Times New Roman" w:hAnsi="Times New Roman" w:cs="Times New Roman" w:eastAsia="Times New Roman" w:hint="default"/>
          <w:spacing w:val="-2"/>
        </w:rPr>
        <w:t>”</w:t>
      </w:r>
      <w:r>
        <w:rPr>
          <w:spacing w:val="-2"/>
        </w:rPr>
        <w:t>营销战略；制定了</w:t>
      </w:r>
      <w:r>
        <w:rPr>
          <w:rFonts w:ascii="Times New Roman" w:hAnsi="Times New Roman" w:cs="Times New Roman" w:eastAsia="Times New Roman" w:hint="default"/>
          <w:spacing w:val="-2"/>
        </w:rPr>
        <w:t>“</w:t>
      </w:r>
      <w:r>
        <w:rPr>
          <w:spacing w:val="-2"/>
        </w:rPr>
        <w:t>做优做强</w:t>
      </w:r>
      <w:r>
        <w:rPr>
          <w:rFonts w:ascii="Times New Roman" w:hAnsi="Times New Roman" w:cs="Times New Roman" w:eastAsia="Times New Roman" w:hint="default"/>
          <w:spacing w:val="-2"/>
        </w:rPr>
        <w:t>”</w:t>
      </w:r>
      <w:r>
        <w:rPr>
          <w:spacing w:val="-2"/>
        </w:rPr>
        <w:t>的发展目标。围绕这个目标，公司理</w:t>
      </w:r>
    </w:p>
    <w:p>
      <w:pPr>
        <w:spacing w:after="0" w:line="273" w:lineRule="auto"/>
        <w:jc w:val="both"/>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5"/>
        </w:rPr>
        <w:t>顺内外部市场关系，建立健全现代化的企业运营体系，实现管理优化升级，运用先进的现代企业管理手段， </w:t>
      </w:r>
      <w:r>
        <w:rPr>
          <w:spacing w:val="-3"/>
        </w:rPr>
        <w:t>采取持续改进的方法，与客户实现互利共赢，以领先的技术、过硬的质量、便捷的服务创造与对手的差异</w:t>
      </w:r>
      <w:r>
        <w:rPr>
          <w:spacing w:val="2"/>
        </w:rPr>
        <w:t> </w:t>
      </w:r>
      <w:r>
        <w:rPr>
          <w:spacing w:val="2"/>
        </w:rPr>
      </w:r>
      <w:r>
        <w:rPr>
          <w:spacing w:val="-3"/>
        </w:rPr>
        <w:t>化优势，扩大市场份额；重视内部挖潜革新、开源节流，向管理要效益，保持收入和利润的持续增长；根</w:t>
      </w:r>
      <w:r>
        <w:rPr>
          <w:spacing w:val="2"/>
        </w:rPr>
        <w:t> </w:t>
      </w:r>
      <w:r>
        <w:rPr>
          <w:spacing w:val="2"/>
        </w:rPr>
      </w:r>
      <w:r>
        <w:rPr>
          <w:spacing w:val="-2"/>
        </w:rPr>
        <w:t>据公司的发展需求，引进高端专业的管理和技术人才，进行技术创新；根据市场的需求，发挥集群优势，</w:t>
      </w:r>
      <w:r>
        <w:rPr>
          <w:spacing w:val="-20"/>
        </w:rPr>
        <w:t> </w:t>
      </w:r>
      <w:r>
        <w:rPr>
          <w:spacing w:val="-20"/>
        </w:rPr>
      </w:r>
      <w:r>
        <w:rPr>
          <w:spacing w:val="-3"/>
        </w:rPr>
        <w:t>合理的安排各生产线生产不同种类和规格的聚酯薄膜产品，以规模化中的差异化和差异化中的规模化满足</w:t>
      </w:r>
      <w:r>
        <w:rPr>
          <w:spacing w:val="4"/>
        </w:rPr>
        <w:t> </w:t>
      </w:r>
      <w:r>
        <w:rPr>
          <w:spacing w:val="4"/>
        </w:rPr>
      </w:r>
      <w:r>
        <w:rPr/>
        <w:t>更多的客户需求，不断提高市场占有率和企业效益。公司力争达到综合实力行业第一的战略目标。</w:t>
      </w:r>
    </w:p>
    <w:p>
      <w:pPr>
        <w:pStyle w:val="BodyText"/>
        <w:spacing w:line="266" w:lineRule="auto" w:before="163"/>
        <w:ind w:right="0" w:firstLine="420"/>
        <w:jc w:val="left"/>
      </w:pPr>
      <w:r>
        <w:rPr>
          <w:spacing w:val="-3"/>
        </w:rPr>
        <w:t>公司自成立以来即专注于聚酯薄膜等产品的生产、研发和销售，在经营过程中公司逐步确定了以聚酯</w:t>
      </w:r>
      <w:r>
        <w:rPr>
          <w:w w:val="100"/>
        </w:rPr>
        <w:t> </w:t>
      </w:r>
      <w:r>
        <w:rPr/>
        <w:t>薄膜及相关差异化产品作为公司主导产品的战略。聚酯薄膜由于具有优良的性能及广阔的发展空间，在</w:t>
      </w:r>
      <w:r>
        <w:rPr>
          <w:spacing w:val="52"/>
        </w:rPr>
        <w:t> </w:t>
      </w:r>
      <w:r>
        <w:rPr>
          <w:spacing w:val="52"/>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日国家发改委新颁布的《产业结构调整指导目录（</w:t>
      </w:r>
      <w:r>
        <w:rPr>
          <w:rFonts w:ascii="Times New Roman" w:hAnsi="Times New Roman" w:cs="Times New Roman" w:eastAsia="Times New Roman" w:hint="default"/>
        </w:rPr>
        <w:t>2011</w:t>
      </w:r>
      <w:r>
        <w:rPr/>
        <w:t>年本）》中列入第一类鼓励类项目，</w:t>
      </w:r>
      <w:r>
        <w:rPr>
          <w:spacing w:val="-51"/>
        </w:rPr>
        <w:t> </w:t>
      </w:r>
      <w:r>
        <w:rPr>
          <w:spacing w:val="-51"/>
        </w:rPr>
      </w:r>
      <w:r>
        <w:rPr>
          <w:spacing w:val="-9"/>
        </w:rPr>
        <w:t>为第十九大项</w:t>
      </w:r>
      <w:r>
        <w:rPr>
          <w:rFonts w:ascii="Times New Roman" w:hAnsi="Times New Roman" w:cs="Times New Roman" w:eastAsia="Times New Roman" w:hint="default"/>
          <w:spacing w:val="-9"/>
        </w:rPr>
        <w:t>“</w:t>
      </w:r>
      <w:r>
        <w:rPr>
          <w:spacing w:val="-9"/>
        </w:rPr>
        <w:t>轻工</w:t>
      </w:r>
      <w:r>
        <w:rPr>
          <w:rFonts w:ascii="Times New Roman" w:hAnsi="Times New Roman" w:cs="Times New Roman" w:eastAsia="Times New Roman" w:hint="default"/>
          <w:spacing w:val="-9"/>
        </w:rPr>
        <w:t>”</w:t>
      </w:r>
      <w:r>
        <w:rPr>
          <w:spacing w:val="-9"/>
        </w:rPr>
        <w:t>类，第</w:t>
      </w:r>
      <w:r>
        <w:rPr>
          <w:rFonts w:ascii="Times New Roman" w:hAnsi="Times New Roman" w:cs="Times New Roman" w:eastAsia="Times New Roman" w:hint="default"/>
          <w:spacing w:val="-9"/>
        </w:rPr>
        <w:t>“14</w:t>
      </w:r>
      <w:r>
        <w:rPr>
          <w:spacing w:val="-9"/>
        </w:rPr>
        <w:t>、真空镀铝、喷镀氧化硅、聚乙烯醇（</w:t>
      </w:r>
      <w:r>
        <w:rPr>
          <w:rFonts w:ascii="Times New Roman" w:hAnsi="Times New Roman" w:cs="Times New Roman" w:eastAsia="Times New Roman" w:hint="default"/>
          <w:spacing w:val="-9"/>
        </w:rPr>
        <w:t>PVA</w:t>
      </w:r>
      <w:r>
        <w:rPr>
          <w:spacing w:val="-9"/>
        </w:rPr>
        <w:t>）涂布型薄膜、功能性聚酯（</w:t>
      </w:r>
      <w:r>
        <w:rPr>
          <w:rFonts w:ascii="Times New Roman" w:hAnsi="Times New Roman" w:cs="Times New Roman" w:eastAsia="Times New Roman" w:hint="default"/>
          <w:spacing w:val="-9"/>
        </w:rPr>
        <w:t>PET</w:t>
      </w:r>
      <w:r>
        <w:rPr>
          <w:spacing w:val="-9"/>
        </w:rPr>
        <w:t>） </w:t>
      </w:r>
      <w:r>
        <w:rPr>
          <w:spacing w:val="-4"/>
        </w:rPr>
        <w:t>薄膜、定向聚苯乙烯（</w:t>
      </w:r>
      <w:r>
        <w:rPr>
          <w:rFonts w:ascii="Times New Roman" w:hAnsi="Times New Roman" w:cs="Times New Roman" w:eastAsia="Times New Roman" w:hint="default"/>
          <w:spacing w:val="-4"/>
        </w:rPr>
        <w:t>OPS</w:t>
      </w:r>
      <w:r>
        <w:rPr>
          <w:spacing w:val="-4"/>
        </w:rPr>
        <w:t>）薄膜及纸塑基多层共挤或复合等新型包装材料</w:t>
      </w:r>
      <w:r>
        <w:rPr>
          <w:rFonts w:ascii="Times New Roman" w:hAnsi="Times New Roman" w:cs="Times New Roman" w:eastAsia="Times New Roman" w:hint="default"/>
          <w:spacing w:val="-4"/>
        </w:rPr>
        <w:t>”</w:t>
      </w:r>
      <w:r>
        <w:rPr>
          <w:spacing w:val="-4"/>
        </w:rPr>
        <w:t>。因此，随着国内和国外经济</w:t>
      </w:r>
      <w:r>
        <w:rPr>
          <w:spacing w:val="-6"/>
        </w:rPr>
        <w:t> </w:t>
      </w:r>
      <w:r>
        <w:rPr>
          <w:spacing w:val="-6"/>
        </w:rPr>
      </w:r>
      <w:r>
        <w:rPr>
          <w:spacing w:val="-5"/>
        </w:rPr>
        <w:t>形势的发展，功能性聚酯薄膜未来发展前景广阔。公司必须抓住机遇，理顺总体发展思路，以市场为导向，</w:t>
      </w:r>
      <w:r>
        <w:rPr>
          <w:spacing w:val="-9"/>
        </w:rPr>
        <w:t> </w:t>
      </w:r>
      <w:r>
        <w:rPr>
          <w:spacing w:val="-9"/>
        </w:rPr>
      </w:r>
      <w:r>
        <w:rPr>
          <w:spacing w:val="-3"/>
        </w:rPr>
        <w:t>以科技为依托，以发展为主题，以调整结构为主线，以加大差异化产品为目标，以创新为动力，以经济效</w:t>
      </w:r>
      <w:r>
        <w:rPr>
          <w:spacing w:val="3"/>
        </w:rPr>
        <w:t> </w:t>
      </w:r>
      <w:r>
        <w:rPr>
          <w:spacing w:val="3"/>
        </w:rPr>
      </w:r>
      <w:r>
        <w:rPr>
          <w:spacing w:val="-5"/>
        </w:rPr>
        <w:t>益为中心，实现资本多元化和经营专业化，深挖企业内部潜能和市场潜力，加大企业管理和技术创新力度，</w:t>
      </w:r>
      <w:r>
        <w:rPr>
          <w:spacing w:val="-6"/>
        </w:rPr>
        <w:t> </w:t>
      </w:r>
      <w:r>
        <w:rPr>
          <w:spacing w:val="-6"/>
        </w:rPr>
      </w:r>
      <w:r>
        <w:rPr>
          <w:spacing w:val="-3"/>
        </w:rPr>
        <w:t>提高技术含量，从而满足用户现实的和潜在的需求，引领市场和行业发展，同时优化整个产业链，继续做</w:t>
      </w:r>
      <w:r>
        <w:rPr>
          <w:spacing w:val="2"/>
        </w:rPr>
        <w:t> </w:t>
      </w:r>
      <w:r>
        <w:rPr>
          <w:spacing w:val="2"/>
        </w:rPr>
      </w:r>
      <w:r>
        <w:rPr>
          <w:spacing w:val="-2"/>
        </w:rPr>
        <w:t>大、做精、做强主导产业，增强产业积聚效应和企业核心竞争力，实现公司</w:t>
      </w:r>
      <w:r>
        <w:rPr>
          <w:rFonts w:ascii="Times New Roman" w:hAnsi="Times New Roman" w:cs="Times New Roman" w:eastAsia="Times New Roman" w:hint="default"/>
          <w:spacing w:val="-2"/>
        </w:rPr>
        <w:t>“</w:t>
      </w:r>
      <w:r>
        <w:rPr>
          <w:spacing w:val="-2"/>
        </w:rPr>
        <w:t>先规模化、后差异化</w:t>
      </w:r>
      <w:r>
        <w:rPr>
          <w:rFonts w:ascii="Times New Roman" w:hAnsi="Times New Roman" w:cs="Times New Roman" w:eastAsia="Times New Roman" w:hint="default"/>
          <w:spacing w:val="-2"/>
        </w:rPr>
        <w:t>”</w:t>
      </w:r>
      <w:r>
        <w:rPr>
          <w:spacing w:val="-2"/>
        </w:rPr>
        <w:t>的发展</w:t>
      </w:r>
      <w:r>
        <w:rPr>
          <w:spacing w:val="-21"/>
        </w:rPr>
        <w:t> </w:t>
      </w:r>
      <w:r>
        <w:rPr>
          <w:spacing w:val="-21"/>
        </w:rPr>
      </w:r>
      <w:r>
        <w:rPr/>
        <w:t>战略。</w:t>
      </w:r>
    </w:p>
    <w:p>
      <w:pPr>
        <w:pStyle w:val="Heading2"/>
        <w:spacing w:line="240" w:lineRule="auto" w:before="142"/>
        <w:ind w:left="635" w:right="0"/>
        <w:jc w:val="left"/>
      </w:pPr>
      <w:r>
        <w:rPr/>
        <w:t>（三）公司经营计划</w:t>
      </w:r>
    </w:p>
    <w:p>
      <w:pPr>
        <w:pStyle w:val="BodyText"/>
        <w:spacing w:line="264" w:lineRule="auto" w:before="181"/>
        <w:ind w:right="221" w:firstLine="420"/>
        <w:jc w:val="both"/>
      </w:pPr>
      <w:r>
        <w:rPr>
          <w:spacing w:val="-3"/>
        </w:rPr>
        <w:t>根据公司发展战略及</w:t>
      </w:r>
      <w:r>
        <w:rPr>
          <w:rFonts w:ascii="Times New Roman" w:hAnsi="Times New Roman" w:cs="Times New Roman" w:eastAsia="Times New Roman" w:hint="default"/>
          <w:spacing w:val="-3"/>
        </w:rPr>
        <w:t>2013</w:t>
      </w:r>
      <w:r>
        <w:rPr>
          <w:spacing w:val="-3"/>
        </w:rPr>
        <w:t>年发展目标，结合公司的实际情况，公司在</w:t>
      </w:r>
      <w:r>
        <w:rPr>
          <w:rFonts w:ascii="Times New Roman" w:hAnsi="Times New Roman" w:cs="Times New Roman" w:eastAsia="Times New Roman" w:hint="default"/>
          <w:spacing w:val="-3"/>
        </w:rPr>
        <w:t>2013</w:t>
      </w:r>
      <w:r>
        <w:rPr>
          <w:spacing w:val="-3"/>
        </w:rPr>
        <w:t>年的主要工作目标是稳中求</w:t>
      </w:r>
      <w:r>
        <w:rPr>
          <w:w w:val="100"/>
        </w:rPr>
        <w:t> </w:t>
      </w:r>
      <w:r>
        <w:rPr>
          <w:spacing w:val="-3"/>
        </w:rPr>
        <w:t>进，创新发展，不断提高增长质量和效益，努力开发新客户、开辟新市场、建立新的利润增长点。公司根</w:t>
      </w:r>
      <w:r>
        <w:rPr>
          <w:spacing w:val="2"/>
        </w:rPr>
        <w:t> </w:t>
      </w:r>
      <w:r>
        <w:rPr>
          <w:spacing w:val="2"/>
        </w:rPr>
      </w:r>
      <w:r>
        <w:rPr>
          <w:spacing w:val="-3"/>
        </w:rPr>
        <w:t>据现有的资源，通过科学合理安排，加快剩余募投项目的建设，继续调整产品结构和客户结构，重点加大</w:t>
      </w:r>
      <w:r>
        <w:rPr/>
        <w:t> </w:t>
      </w:r>
      <w:r>
        <w:rPr/>
      </w:r>
      <w:r>
        <w:rPr>
          <w:spacing w:val="-3"/>
        </w:rPr>
        <w:t>差异化产品的推广力度，大力开发高端优质客户，通过技术创新开发新品不断提高产品附加值，进一步提</w:t>
      </w:r>
      <w:r>
        <w:rPr>
          <w:spacing w:val="2"/>
        </w:rPr>
        <w:t> </w:t>
      </w:r>
      <w:r>
        <w:rPr>
          <w:spacing w:val="2"/>
        </w:rPr>
      </w:r>
      <w:r>
        <w:rPr>
          <w:spacing w:val="-2"/>
        </w:rPr>
        <w:t>高产品质量和服务。公司在</w:t>
      </w:r>
      <w:r>
        <w:rPr>
          <w:rFonts w:ascii="Times New Roman" w:hAnsi="Times New Roman" w:cs="Times New Roman" w:eastAsia="Times New Roman" w:hint="default"/>
          <w:spacing w:val="-2"/>
        </w:rPr>
        <w:t>2013</w:t>
      </w:r>
      <w:r>
        <w:rPr>
          <w:spacing w:val="-2"/>
        </w:rPr>
        <w:t>年的经营计划主要为：</w:t>
      </w:r>
      <w:r>
        <w:rPr>
          <w:rFonts w:ascii="Times New Roman" w:hAnsi="Times New Roman" w:cs="Times New Roman" w:eastAsia="Times New Roman" w:hint="default"/>
          <w:spacing w:val="-2"/>
        </w:rPr>
        <w:t>2013</w:t>
      </w:r>
      <w:r>
        <w:rPr>
          <w:spacing w:val="-2"/>
        </w:rPr>
        <w:t>年实现销售增幅</w:t>
      </w:r>
      <w:r>
        <w:rPr>
          <w:rFonts w:ascii="Times New Roman" w:hAnsi="Times New Roman" w:cs="Times New Roman" w:eastAsia="Times New Roman" w:hint="default"/>
          <w:spacing w:val="-2"/>
        </w:rPr>
        <w:t>20%</w:t>
      </w:r>
      <w:r>
        <w:rPr>
          <w:spacing w:val="-2"/>
        </w:rPr>
        <w:t>以上，差异化产品比例达</w:t>
      </w:r>
      <w:r>
        <w:rPr>
          <w:spacing w:val="-7"/>
        </w:rPr>
        <w:t> </w:t>
      </w:r>
      <w:r>
        <w:rPr>
          <w:spacing w:val="-7"/>
        </w:rPr>
      </w:r>
      <w:r>
        <w:rPr>
          <w:spacing w:val="-2"/>
        </w:rPr>
        <w:t>到</w:t>
      </w:r>
      <w:r>
        <w:rPr>
          <w:rFonts w:ascii="Times New Roman" w:hAnsi="Times New Roman" w:cs="Times New Roman" w:eastAsia="Times New Roman" w:hint="default"/>
          <w:spacing w:val="-2"/>
        </w:rPr>
        <w:t>35%</w:t>
      </w:r>
      <w:r>
        <w:rPr>
          <w:spacing w:val="-2"/>
        </w:rPr>
        <w:t>；同时继续开展节能降耗增收节支，提升企业经济效益；加强人才队伍建设，员工技能培训，全面</w:t>
      </w:r>
      <w:r>
        <w:rPr>
          <w:spacing w:val="-11"/>
        </w:rPr>
        <w:t> </w:t>
      </w:r>
      <w:r>
        <w:rPr>
          <w:spacing w:val="-11"/>
        </w:rPr>
      </w:r>
      <w:r>
        <w:rPr/>
        <w:t>提升企业经营管理水平。</w:t>
      </w:r>
    </w:p>
    <w:p>
      <w:pPr>
        <w:pStyle w:val="Heading2"/>
        <w:spacing w:line="240" w:lineRule="auto" w:before="144"/>
        <w:ind w:left="635" w:right="0"/>
        <w:jc w:val="left"/>
      </w:pPr>
      <w:r>
        <w:rPr/>
        <w:t>（四）资金需求及安排情况</w:t>
      </w:r>
    </w:p>
    <w:p>
      <w:pPr>
        <w:pStyle w:val="BodyText"/>
        <w:spacing w:line="273" w:lineRule="auto" w:before="181"/>
        <w:ind w:right="221" w:firstLine="420"/>
        <w:jc w:val="both"/>
      </w:pPr>
      <w:r>
        <w:rPr>
          <w:spacing w:val="-3"/>
        </w:rPr>
        <w:t>公司将通过向金融机构贷款融资、资本市场融资和自有资金解决公司生产经营所需资金，多采用银行</w:t>
      </w:r>
      <w:r>
        <w:rPr>
          <w:w w:val="100"/>
        </w:rPr>
        <w:t> </w:t>
      </w:r>
      <w:r>
        <w:rPr/>
        <w:t>承兑汇票支付货款，增强资金的流动性，在不影响募投项目进程的前提下合理使用募集资金。</w:t>
      </w:r>
    </w:p>
    <w:p>
      <w:pPr>
        <w:pStyle w:val="BodyText"/>
        <w:spacing w:line="256" w:lineRule="auto" w:before="163"/>
        <w:ind w:right="221" w:firstLine="420"/>
        <w:jc w:val="both"/>
      </w:pPr>
      <w:r>
        <w:rPr>
          <w:spacing w:val="-3"/>
        </w:rPr>
        <w:t>公司于</w:t>
      </w:r>
      <w:r>
        <w:rPr>
          <w:rFonts w:ascii="Times New Roman" w:hAnsi="Times New Roman" w:cs="Times New Roman" w:eastAsia="Times New Roman" w:hint="default"/>
          <w:spacing w:val="-3"/>
        </w:rPr>
        <w:t>2012</w:t>
      </w:r>
      <w:r>
        <w:rPr>
          <w:spacing w:val="-3"/>
        </w:rPr>
        <w:t>年第三次临时股东大会表决通过《关于公司公开发行可转换公司债券的议案》及《关于公</w:t>
      </w:r>
      <w:r>
        <w:rPr>
          <w:w w:val="100"/>
        </w:rPr>
        <w:t> </w:t>
      </w:r>
      <w:r>
        <w:rPr>
          <w:spacing w:val="-3"/>
        </w:rPr>
        <w:t>司公开发行可转换公司债券募集资金项目可行性报告的议案》，拟发行总额不超过人民币</w:t>
      </w:r>
      <w:r>
        <w:rPr>
          <w:rFonts w:ascii="Times New Roman" w:hAnsi="Times New Roman" w:cs="Times New Roman" w:eastAsia="Times New Roman" w:hint="default"/>
          <w:spacing w:val="-3"/>
        </w:rPr>
        <w:t>14</w:t>
      </w:r>
      <w:r>
        <w:rPr>
          <w:spacing w:val="-3"/>
        </w:rPr>
        <w:t>亿元的可转换</w:t>
      </w:r>
      <w:r>
        <w:rPr>
          <w:spacing w:val="6"/>
        </w:rPr>
        <w:t> </w:t>
      </w:r>
      <w:r>
        <w:rPr>
          <w:spacing w:val="6"/>
        </w:rPr>
      </w:r>
      <w:r>
        <w:rPr>
          <w:spacing w:val="-3"/>
        </w:rPr>
        <w:t>为本公司</w:t>
      </w:r>
      <w:r>
        <w:rPr>
          <w:rFonts w:ascii="Times New Roman" w:hAnsi="Times New Roman" w:cs="Times New Roman" w:eastAsia="Times New Roman" w:hint="default"/>
          <w:spacing w:val="-3"/>
        </w:rPr>
        <w:t>A</w:t>
      </w:r>
      <w:r>
        <w:rPr>
          <w:spacing w:val="-3"/>
        </w:rPr>
        <w:t>股股票的可转换公司债券，公司发行可转债拟募集资金不超过</w:t>
      </w:r>
      <w:r>
        <w:rPr>
          <w:rFonts w:ascii="Times New Roman" w:hAnsi="Times New Roman" w:cs="Times New Roman" w:eastAsia="Times New Roman" w:hint="default"/>
          <w:spacing w:val="-3"/>
        </w:rPr>
        <w:t>140,000</w:t>
      </w:r>
      <w:r>
        <w:rPr>
          <w:spacing w:val="-3"/>
        </w:rPr>
        <w:t>万元。本次募集资金净额</w:t>
      </w:r>
      <w:r>
        <w:rPr>
          <w:spacing w:val="14"/>
        </w:rPr>
        <w:t> </w:t>
      </w:r>
      <w:r>
        <w:rPr>
          <w:spacing w:val="14"/>
        </w:rPr>
      </w:r>
      <w:r>
        <w:rPr/>
        <w:t>将全部用于年产</w:t>
      </w:r>
      <w:r>
        <w:rPr>
          <w:rFonts w:ascii="Times New Roman" w:hAnsi="Times New Roman" w:cs="Times New Roman" w:eastAsia="Times New Roman" w:hint="default"/>
        </w:rPr>
        <w:t>12</w:t>
      </w:r>
      <w:r>
        <w:rPr/>
        <w:t>万吨新型功能性双向拉伸聚酯薄膜项目。</w:t>
      </w:r>
    </w:p>
    <w:p>
      <w:pPr>
        <w:pStyle w:val="Heading2"/>
        <w:spacing w:line="240" w:lineRule="auto" w:before="133"/>
        <w:ind w:left="635" w:right="0"/>
        <w:jc w:val="left"/>
      </w:pPr>
      <w:r>
        <w:rPr/>
        <w:t>（五）未来发展可能面对的风险因素</w:t>
      </w:r>
    </w:p>
    <w:p>
      <w:pPr>
        <w:pStyle w:val="Heading2"/>
        <w:spacing w:line="240" w:lineRule="auto" w:before="118"/>
        <w:ind w:left="632" w:right="0"/>
        <w:jc w:val="left"/>
      </w:pPr>
      <w:r>
        <w:rPr>
          <w:rFonts w:ascii="Times New Roman" w:hAnsi="Times New Roman" w:cs="Times New Roman" w:eastAsia="Times New Roman" w:hint="default"/>
          <w:b/>
          <w:bCs/>
        </w:rPr>
        <w:t>1</w:t>
      </w:r>
      <w:r>
        <w:rPr/>
        <w:t>、宏观经济与市场环境变化风险</w:t>
      </w:r>
    </w:p>
    <w:p>
      <w:pPr>
        <w:pStyle w:val="BodyText"/>
        <w:spacing w:line="273" w:lineRule="auto" w:before="163"/>
        <w:ind w:right="221" w:firstLine="420"/>
        <w:jc w:val="both"/>
      </w:pPr>
      <w:r>
        <w:rPr>
          <w:spacing w:val="-3"/>
        </w:rPr>
        <w:t>目前，受到国内外整体经济环境低迷等不利因素影响，聚酯薄膜行业增长速度放缓，如果未来我国经</w:t>
      </w:r>
      <w:r>
        <w:rPr>
          <w:w w:val="100"/>
        </w:rPr>
        <w:t> </w:t>
      </w:r>
      <w:r>
        <w:rPr>
          <w:spacing w:val="-3"/>
        </w:rPr>
        <w:t>济增速下滑，宏观经济景气不能持续向好或出现波动，使得聚酯薄膜行业的市场环境持续低迷，可能对公</w:t>
      </w:r>
      <w:r>
        <w:rPr>
          <w:spacing w:val="2"/>
        </w:rPr>
        <w:t> </w:t>
      </w:r>
      <w:r>
        <w:rPr>
          <w:spacing w:val="2"/>
        </w:rPr>
      </w:r>
      <w:r>
        <w:rPr/>
        <w:t>司的生产经营产生较大影响。</w:t>
      </w:r>
    </w:p>
    <w:p>
      <w:pPr>
        <w:pStyle w:val="Heading2"/>
        <w:spacing w:line="240" w:lineRule="auto" w:before="136"/>
        <w:ind w:left="632" w:right="0"/>
        <w:jc w:val="left"/>
      </w:pPr>
      <w:r>
        <w:rPr>
          <w:rFonts w:ascii="Times New Roman" w:hAnsi="Times New Roman" w:cs="Times New Roman" w:eastAsia="Times New Roman" w:hint="default"/>
          <w:b/>
          <w:bCs/>
        </w:rPr>
        <w:t>2</w:t>
      </w:r>
      <w:r>
        <w:rPr/>
        <w:t>、行业竞争风险</w:t>
      </w:r>
    </w:p>
    <w:p>
      <w:pPr>
        <w:pStyle w:val="BodyText"/>
        <w:spacing w:line="240" w:lineRule="auto" w:before="163"/>
        <w:ind w:left="572" w:right="0"/>
        <w:jc w:val="left"/>
      </w:pPr>
      <w:r>
        <w:rPr>
          <w:spacing w:val="-3"/>
        </w:rPr>
        <w:t>由于聚酯薄膜具有优异的物理性能、化学性能和环保性能，近年来，国内聚酯薄膜企业的生产规模不</w:t>
      </w:r>
    </w:p>
    <w:p>
      <w:pPr>
        <w:spacing w:after="0" w:line="240" w:lineRule="auto"/>
        <w:jc w:val="left"/>
        <w:sectPr>
          <w:pgSz w:w="11900" w:h="16840"/>
          <w:pgMar w:header="746" w:footer="982" w:top="1060" w:bottom="1180" w:left="980" w:right="900"/>
        </w:sectPr>
      </w:pPr>
    </w:p>
    <w:p>
      <w:pPr>
        <w:spacing w:line="240" w:lineRule="auto" w:before="10"/>
        <w:rPr>
          <w:rFonts w:ascii="宋体" w:hAnsi="宋体" w:cs="宋体" w:eastAsia="宋体" w:hint="default"/>
          <w:sz w:val="24"/>
          <w:szCs w:val="24"/>
        </w:rPr>
      </w:pPr>
    </w:p>
    <w:p>
      <w:pPr>
        <w:pStyle w:val="BodyText"/>
        <w:spacing w:line="273" w:lineRule="auto" w:before="36"/>
        <w:ind w:right="141"/>
        <w:jc w:val="both"/>
      </w:pPr>
      <w:r>
        <w:rPr>
          <w:spacing w:val="-3"/>
        </w:rPr>
        <w:t>断扩张，国内聚酯薄膜行业的市场竞争日趋激烈。尽管公司凭借高质量且品种齐全的产品、强大的品牌优</w:t>
      </w:r>
      <w:r>
        <w:rPr>
          <w:spacing w:val="3"/>
        </w:rPr>
        <w:t> </w:t>
      </w:r>
      <w:r>
        <w:rPr>
          <w:spacing w:val="3"/>
        </w:rPr>
      </w:r>
      <w:r>
        <w:rPr>
          <w:spacing w:val="-3"/>
        </w:rPr>
        <w:t>势位居国内聚酯薄膜生产企业龙头的位置。但如果公司不能进一步提高产品质量及经营效率，保持竞争优</w:t>
      </w:r>
      <w:r>
        <w:rPr>
          <w:spacing w:val="4"/>
        </w:rPr>
        <w:t> </w:t>
      </w:r>
      <w:r>
        <w:rPr>
          <w:spacing w:val="4"/>
        </w:rPr>
      </w:r>
      <w:r>
        <w:rPr/>
        <w:t>势，则存在因竞争优势减弱而导致经营业绩不能达到预期目标的风险。</w:t>
      </w:r>
    </w:p>
    <w:p>
      <w:pPr>
        <w:pStyle w:val="Heading2"/>
        <w:spacing w:line="240" w:lineRule="auto" w:before="136"/>
        <w:ind w:left="632" w:right="145"/>
        <w:jc w:val="left"/>
      </w:pPr>
      <w:r>
        <w:rPr>
          <w:rFonts w:ascii="Times New Roman" w:hAnsi="Times New Roman" w:cs="Times New Roman" w:eastAsia="Times New Roman" w:hint="default"/>
          <w:b/>
          <w:bCs/>
        </w:rPr>
        <w:t>3</w:t>
      </w:r>
      <w:r>
        <w:rPr/>
        <w:t>、主要产品及原材料价格波动的风险</w:t>
      </w:r>
    </w:p>
    <w:p>
      <w:pPr>
        <w:pStyle w:val="BodyText"/>
        <w:spacing w:line="268" w:lineRule="auto" w:before="163"/>
        <w:ind w:right="141" w:firstLine="420"/>
        <w:jc w:val="both"/>
      </w:pPr>
      <w:r>
        <w:rPr>
          <w:spacing w:val="-3"/>
        </w:rPr>
        <w:t>目前公司销售收入主要来自聚酯薄膜产品，公司的盈利能力受聚酯薄膜价格的影响较大。由于受到国</w:t>
      </w:r>
      <w:r>
        <w:rPr>
          <w:w w:val="100"/>
        </w:rPr>
        <w:t> </w:t>
      </w:r>
      <w:r>
        <w:rPr>
          <w:spacing w:val="-3"/>
        </w:rPr>
        <w:t>内外整体经济环境影响，</w:t>
      </w:r>
      <w:r>
        <w:rPr>
          <w:rFonts w:ascii="Times New Roman" w:hAnsi="Times New Roman" w:cs="Times New Roman" w:eastAsia="Times New Roman" w:hint="default"/>
          <w:spacing w:val="-3"/>
        </w:rPr>
        <w:t>2012</w:t>
      </w:r>
      <w:r>
        <w:rPr>
          <w:spacing w:val="-3"/>
        </w:rPr>
        <w:t>年聚酯薄膜价格较为低迷。虽然公司聚酯切片项目的投产使得公司具有生产</w:t>
      </w:r>
      <w:r>
        <w:rPr>
          <w:spacing w:val="6"/>
        </w:rPr>
        <w:t> </w:t>
      </w:r>
      <w:r>
        <w:rPr>
          <w:spacing w:val="6"/>
        </w:rPr>
      </w:r>
      <w:r>
        <w:rPr>
          <w:spacing w:val="-3"/>
        </w:rPr>
        <w:t>从聚酯薄膜上游聚酯切片到下游镀铝膜产品相对完整的产业链，可以在一定程度上减少聚酯薄膜价格波动</w:t>
      </w:r>
      <w:r>
        <w:rPr>
          <w:spacing w:val="4"/>
        </w:rPr>
        <w:t> </w:t>
      </w:r>
      <w:r>
        <w:rPr>
          <w:spacing w:val="4"/>
        </w:rPr>
      </w:r>
      <w:r>
        <w:rPr>
          <w:spacing w:val="-3"/>
        </w:rPr>
        <w:t>对公司业绩的影响。但如果聚酯薄膜价格持续低迷，从而导致产品的单位毛利下降，仍将对公司盈利能力</w:t>
      </w:r>
      <w:r>
        <w:rPr>
          <w:spacing w:val="3"/>
        </w:rPr>
        <w:t> </w:t>
      </w:r>
      <w:r>
        <w:rPr>
          <w:spacing w:val="3"/>
        </w:rPr>
      </w:r>
      <w:r>
        <w:rPr/>
        <w:t>产生影响。</w:t>
      </w:r>
    </w:p>
    <w:p>
      <w:pPr>
        <w:pStyle w:val="BodyText"/>
        <w:spacing w:line="256" w:lineRule="auto" w:before="168"/>
        <w:ind w:right="145" w:firstLine="420"/>
        <w:jc w:val="left"/>
      </w:pPr>
      <w:r>
        <w:rPr>
          <w:spacing w:val="-3"/>
        </w:rPr>
        <w:t>公司产品的主要原材料为石化产品</w:t>
      </w:r>
      <w:r>
        <w:rPr>
          <w:rFonts w:ascii="Times New Roman" w:hAnsi="Times New Roman" w:cs="Times New Roman" w:eastAsia="Times New Roman" w:hint="default"/>
          <w:spacing w:val="-3"/>
        </w:rPr>
        <w:t>PTA</w:t>
      </w:r>
      <w:r>
        <w:rPr>
          <w:spacing w:val="-3"/>
        </w:rPr>
        <w:t>和</w:t>
      </w:r>
      <w:r>
        <w:rPr>
          <w:rFonts w:ascii="Times New Roman" w:hAnsi="Times New Roman" w:cs="Times New Roman" w:eastAsia="Times New Roman" w:hint="default"/>
          <w:spacing w:val="-3"/>
        </w:rPr>
        <w:t>MEG</w:t>
      </w:r>
      <w:r>
        <w:rPr>
          <w:spacing w:val="-3"/>
        </w:rPr>
        <w:t>，合计占公司聚酯薄膜产品成本的比例超过</w:t>
      </w:r>
      <w:r>
        <w:rPr>
          <w:rFonts w:ascii="Times New Roman" w:hAnsi="Times New Roman" w:cs="Times New Roman" w:eastAsia="Times New Roman" w:hint="default"/>
          <w:spacing w:val="-3"/>
        </w:rPr>
        <w:t>70%</w:t>
      </w:r>
      <w:r>
        <w:rPr>
          <w:spacing w:val="-3"/>
        </w:rPr>
        <w:t>，因此</w:t>
      </w:r>
      <w:r>
        <w:rPr>
          <w:w w:val="100"/>
        </w:rPr>
        <w:t> </w:t>
      </w:r>
      <w:r>
        <w:rPr>
          <w:spacing w:val="-2"/>
        </w:rPr>
        <w:t>国际原油价格的波动将通过原材料采购价格直接影响产品的生产成本，从而对公司的盈利能力产生影响。</w:t>
      </w:r>
    </w:p>
    <w:p>
      <w:pPr>
        <w:pStyle w:val="Heading2"/>
        <w:spacing w:line="240" w:lineRule="auto" w:before="150"/>
        <w:ind w:left="632" w:right="145"/>
        <w:jc w:val="left"/>
      </w:pPr>
      <w:r>
        <w:rPr>
          <w:rFonts w:ascii="Times New Roman" w:hAnsi="Times New Roman" w:cs="Times New Roman" w:eastAsia="Times New Roman" w:hint="default"/>
          <w:b/>
          <w:bCs/>
        </w:rPr>
        <w:t>4</w:t>
      </w:r>
      <w:r>
        <w:rPr/>
        <w:t>、存货跌价的风险</w:t>
      </w:r>
    </w:p>
    <w:p>
      <w:pPr>
        <w:pStyle w:val="BodyText"/>
        <w:spacing w:line="256" w:lineRule="auto" w:before="163"/>
        <w:ind w:right="145" w:firstLine="420"/>
        <w:jc w:val="left"/>
      </w:pPr>
      <w:r>
        <w:rPr/>
        <w:t>截至</w:t>
      </w:r>
      <w:r>
        <w:rPr>
          <w:rFonts w:ascii="Times New Roman" w:hAnsi="Times New Roman" w:cs="Times New Roman" w:eastAsia="Times New Roman" w:hint="default"/>
        </w:rPr>
        <w:t>2012</w:t>
      </w:r>
      <w:r>
        <w:rPr/>
        <w:t>年，公司存货金额为</w:t>
      </w:r>
      <w:r>
        <w:rPr>
          <w:rFonts w:ascii="Times New Roman" w:hAnsi="Times New Roman" w:cs="Times New Roman" w:eastAsia="Times New Roman" w:hint="default"/>
        </w:rPr>
        <w:t>49432</w:t>
      </w:r>
      <w:r>
        <w:rPr/>
        <w:t>万元，不存在跌价情形，但如果聚酯薄膜产品销售价格出现大幅</w:t>
      </w:r>
      <w:r>
        <w:rPr>
          <w:w w:val="100"/>
        </w:rPr>
        <w:t> </w:t>
      </w:r>
      <w:r>
        <w:rPr/>
        <w:t>波动，导致存货可变现净值低于存货账面价值，存货将发生跌价损失，进而影响公司的效益。</w:t>
      </w:r>
    </w:p>
    <w:p>
      <w:pPr>
        <w:spacing w:line="240" w:lineRule="auto" w:before="9"/>
        <w:rPr>
          <w:rFonts w:ascii="宋体" w:hAnsi="宋体" w:cs="宋体" w:eastAsia="宋体" w:hint="default"/>
          <w:sz w:val="22"/>
          <w:szCs w:val="22"/>
        </w:rPr>
      </w:pPr>
    </w:p>
    <w:p>
      <w:pPr>
        <w:pStyle w:val="Heading2"/>
        <w:spacing w:line="240" w:lineRule="auto"/>
        <w:ind w:right="0"/>
        <w:jc w:val="both"/>
      </w:pPr>
      <w:r>
        <w:rPr/>
        <w:t>九、董事会对会计师事务所本报告期</w:t>
      </w:r>
      <w:r>
        <w:rPr>
          <w:rFonts w:ascii="Times New Roman" w:hAnsi="Times New Roman" w:cs="Times New Roman" w:eastAsia="Times New Roman" w:hint="default"/>
          <w:b/>
          <w:bCs/>
        </w:rPr>
        <w:t>“</w:t>
      </w:r>
      <w:r>
        <w:rPr/>
        <w:t>非标准审计报告</w:t>
      </w:r>
      <w:r>
        <w:rPr>
          <w:rFonts w:ascii="Times New Roman" w:hAnsi="Times New Roman" w:cs="Times New Roman" w:eastAsia="Times New Roman" w:hint="default"/>
          <w:b/>
          <w:bCs/>
        </w:rPr>
        <w:t>”</w:t>
      </w:r>
      <w:r>
        <w:rPr/>
        <w:t>的说明</w:t>
      </w:r>
    </w:p>
    <w:p>
      <w:pPr>
        <w:spacing w:line="240" w:lineRule="auto" w:before="7"/>
        <w:rPr>
          <w:rFonts w:ascii="宋体" w:hAnsi="宋体" w:cs="宋体" w:eastAsia="宋体" w:hint="default"/>
          <w:sz w:val="23"/>
          <w:szCs w:val="23"/>
        </w:rPr>
      </w:pPr>
    </w:p>
    <w:p>
      <w:pPr>
        <w:pStyle w:val="BodyText"/>
        <w:spacing w:line="240" w:lineRule="auto"/>
        <w:ind w:left="572" w:right="145"/>
        <w:jc w:val="left"/>
      </w:pPr>
      <w:r>
        <w:rPr/>
        <w:t>会计师事务所对本报告期财务报告出具了标准无保留意见的审计报告。</w:t>
      </w:r>
    </w:p>
    <w:p>
      <w:pPr>
        <w:spacing w:line="240" w:lineRule="auto" w:before="11"/>
        <w:rPr>
          <w:rFonts w:ascii="宋体" w:hAnsi="宋体" w:cs="宋体" w:eastAsia="宋体" w:hint="default"/>
          <w:sz w:val="23"/>
          <w:szCs w:val="23"/>
        </w:rPr>
      </w:pPr>
    </w:p>
    <w:p>
      <w:pPr>
        <w:pStyle w:val="Heading2"/>
        <w:spacing w:line="240" w:lineRule="auto"/>
        <w:ind w:right="0"/>
        <w:jc w:val="both"/>
      </w:pPr>
      <w:r>
        <w:rPr/>
        <w:t>十、与上年度财务报告相比，会计政策、会计估计和核算方法发生变化的情况说明</w:t>
      </w:r>
    </w:p>
    <w:p>
      <w:pPr>
        <w:spacing w:line="240" w:lineRule="auto" w:before="9"/>
        <w:rPr>
          <w:rFonts w:ascii="宋体" w:hAnsi="宋体" w:cs="宋体" w:eastAsia="宋体" w:hint="default"/>
          <w:sz w:val="24"/>
          <w:szCs w:val="24"/>
        </w:rPr>
      </w:pPr>
    </w:p>
    <w:p>
      <w:pPr>
        <w:pStyle w:val="BodyText"/>
        <w:spacing w:line="240" w:lineRule="auto"/>
        <w:ind w:left="572" w:right="145"/>
        <w:jc w:val="left"/>
      </w:pPr>
      <w:r>
        <w:rPr/>
        <w:t>与上年度财务报告相比，会计政策、会计估计和核算方法未发生变化。</w:t>
      </w:r>
    </w:p>
    <w:p>
      <w:pPr>
        <w:spacing w:line="240" w:lineRule="auto" w:before="11"/>
        <w:rPr>
          <w:rFonts w:ascii="宋体" w:hAnsi="宋体" w:cs="宋体" w:eastAsia="宋体" w:hint="default"/>
          <w:sz w:val="23"/>
          <w:szCs w:val="23"/>
        </w:rPr>
      </w:pPr>
    </w:p>
    <w:p>
      <w:pPr>
        <w:pStyle w:val="Heading2"/>
        <w:spacing w:line="240" w:lineRule="auto"/>
        <w:ind w:right="0"/>
        <w:jc w:val="both"/>
      </w:pPr>
      <w:r>
        <w:rPr/>
        <w:t>十一、报告期内发生重大会计差错更正需追溯重述的情况说明</w:t>
      </w:r>
    </w:p>
    <w:p>
      <w:pPr>
        <w:spacing w:line="240" w:lineRule="auto" w:before="12"/>
        <w:rPr>
          <w:rFonts w:ascii="宋体" w:hAnsi="宋体" w:cs="宋体" w:eastAsia="宋体" w:hint="default"/>
          <w:sz w:val="24"/>
          <w:szCs w:val="24"/>
        </w:rPr>
      </w:pPr>
    </w:p>
    <w:p>
      <w:pPr>
        <w:pStyle w:val="BodyText"/>
        <w:spacing w:line="240" w:lineRule="auto"/>
        <w:ind w:left="572" w:right="145"/>
        <w:jc w:val="left"/>
      </w:pPr>
      <w:r>
        <w:rPr/>
        <w:t>报告期内，未发生重大会计差错更正需追溯重述的情况。</w:t>
      </w:r>
    </w:p>
    <w:p>
      <w:pPr>
        <w:spacing w:line="240" w:lineRule="auto" w:before="11"/>
        <w:rPr>
          <w:rFonts w:ascii="宋体" w:hAnsi="宋体" w:cs="宋体" w:eastAsia="宋体" w:hint="default"/>
          <w:sz w:val="23"/>
          <w:szCs w:val="23"/>
        </w:rPr>
      </w:pPr>
    </w:p>
    <w:p>
      <w:pPr>
        <w:pStyle w:val="Heading2"/>
        <w:spacing w:line="240" w:lineRule="auto"/>
        <w:ind w:right="0"/>
        <w:jc w:val="both"/>
      </w:pPr>
      <w:r>
        <w:rPr/>
        <w:t>十二、与上年度财务报告相比，合并报表范围发生变化的情况说明</w:t>
      </w:r>
    </w:p>
    <w:p>
      <w:pPr>
        <w:spacing w:line="240" w:lineRule="auto" w:before="9"/>
        <w:rPr>
          <w:rFonts w:ascii="宋体" w:hAnsi="宋体" w:cs="宋体" w:eastAsia="宋体" w:hint="default"/>
          <w:sz w:val="24"/>
          <w:szCs w:val="24"/>
        </w:rPr>
      </w:pPr>
    </w:p>
    <w:p>
      <w:pPr>
        <w:spacing w:line="501" w:lineRule="auto" w:before="0"/>
        <w:ind w:left="152" w:right="3248" w:firstLine="420"/>
        <w:jc w:val="left"/>
        <w:rPr>
          <w:rFonts w:ascii="宋体" w:hAnsi="宋体" w:cs="宋体" w:eastAsia="宋体" w:hint="default"/>
          <w:sz w:val="21"/>
          <w:szCs w:val="21"/>
        </w:rPr>
      </w:pPr>
      <w:r>
        <w:rPr>
          <w:rFonts w:ascii="宋体" w:hAnsi="宋体" w:cs="宋体" w:eastAsia="宋体" w:hint="default"/>
          <w:sz w:val="21"/>
          <w:szCs w:val="21"/>
        </w:rPr>
        <w:t>与上年度财务报告相比，合并报表范围未发生变化。</w:t>
      </w:r>
      <w:r>
        <w:rPr>
          <w:rFonts w:ascii="宋体" w:hAnsi="宋体" w:cs="宋体" w:eastAsia="宋体" w:hint="default"/>
          <w:w w:val="100"/>
          <w:sz w:val="21"/>
          <w:szCs w:val="21"/>
        </w:rPr>
        <w:t> </w:t>
      </w:r>
      <w:r>
        <w:rPr>
          <w:rFonts w:ascii="宋体" w:hAnsi="宋体" w:cs="宋体" w:eastAsia="宋体" w:hint="default"/>
          <w:sz w:val="24"/>
          <w:szCs w:val="24"/>
        </w:rPr>
        <w:t>十三、公司利润分配及分红派息情况</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1"/>
          <w:szCs w:val="21"/>
        </w:rPr>
        <w:t>报告期内利润分配政策特别是现金分红政策的制定、执行或调整情况</w:t>
      </w:r>
    </w:p>
    <w:p>
      <w:pPr>
        <w:pStyle w:val="BodyText"/>
        <w:spacing w:line="239" w:lineRule="exact"/>
        <w:ind w:right="145" w:firstLine="420"/>
        <w:jc w:val="left"/>
      </w:pPr>
      <w:r>
        <w:rPr>
          <w:spacing w:val="-3"/>
        </w:rPr>
        <w:t>报告期内，根据中国证监会、深圳证券交易所和江苏证监局的有关规定，公司对《公司章程》中关于</w:t>
      </w:r>
    </w:p>
    <w:p>
      <w:pPr>
        <w:pStyle w:val="BodyText"/>
        <w:spacing w:line="264" w:lineRule="auto" w:before="37"/>
        <w:ind w:right="141"/>
        <w:jc w:val="both"/>
      </w:pPr>
      <w:r>
        <w:rPr>
          <w:spacing w:val="-3"/>
        </w:rPr>
        <w:t>利润分配政策的部分条款作出修改，对现金分红政策进行了进一步的细化，并制定了《未来三年股东回报</w:t>
      </w:r>
      <w:r>
        <w:rPr>
          <w:spacing w:val="3"/>
        </w:rPr>
        <w:t> </w:t>
      </w:r>
      <w:r>
        <w:rPr>
          <w:spacing w:val="3"/>
        </w:rPr>
      </w:r>
      <w:r>
        <w:rPr>
          <w:spacing w:val="-2"/>
        </w:rPr>
        <w:t>规划（</w:t>
      </w:r>
      <w:r>
        <w:rPr>
          <w:rFonts w:ascii="Times New Roman" w:hAnsi="Times New Roman" w:cs="Times New Roman" w:eastAsia="Times New Roman" w:hint="default"/>
          <w:spacing w:val="-2"/>
        </w:rPr>
        <w:t>2012-2014</w:t>
      </w:r>
      <w:r>
        <w:rPr>
          <w:spacing w:val="-2"/>
        </w:rPr>
        <w:t>）》。《公司章程》的修改及《未来三年股东回报规划（</w:t>
      </w:r>
      <w:r>
        <w:rPr>
          <w:rFonts w:ascii="Times New Roman" w:hAnsi="Times New Roman" w:cs="Times New Roman" w:eastAsia="Times New Roman" w:hint="default"/>
          <w:spacing w:val="-2"/>
        </w:rPr>
        <w:t>2012-2014</w:t>
      </w:r>
      <w:r>
        <w:rPr>
          <w:spacing w:val="-2"/>
        </w:rPr>
        <w:t>）》分别经公司</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年第二次、第三次临时股东大会审议通过，《公司章程》中关于利润分配政策的相关条款修改为：</w:t>
      </w:r>
    </w:p>
    <w:p>
      <w:pPr>
        <w:pStyle w:val="BodyText"/>
        <w:spacing w:line="273" w:lineRule="auto" w:before="172"/>
        <w:ind w:right="119" w:firstLine="420"/>
        <w:jc w:val="both"/>
      </w:pPr>
      <w:r>
        <w:rPr>
          <w:spacing w:val="-3"/>
        </w:rPr>
        <w:t>第一百六十一条（一）利润分配原则：公司实行持续、稳定的利润分配政策，充分考虑对投资者的回</w:t>
      </w:r>
      <w:r>
        <w:rPr>
          <w:w w:val="100"/>
        </w:rPr>
        <w:t> </w:t>
      </w:r>
      <w:r>
        <w:rPr>
          <w:spacing w:val="-2"/>
        </w:rPr>
        <w:t>报并兼顾公司可持续发展；每年按照规定比例以当年实现的可供分配利润向股东分配股利；公司董事会、</w:t>
      </w:r>
      <w:r>
        <w:rPr>
          <w:spacing w:val="-20"/>
        </w:rPr>
        <w:t> </w:t>
      </w:r>
      <w:r>
        <w:rPr>
          <w:spacing w:val="-20"/>
        </w:rPr>
      </w:r>
      <w:r>
        <w:rPr>
          <w:spacing w:val="-3"/>
        </w:rPr>
        <w:t>监事会和股东大会对利润分配政策的决策和论证过程中应当充分考虑独立董事、外部监事和公众投资者的</w:t>
      </w:r>
    </w:p>
    <w:p>
      <w:pPr>
        <w:spacing w:after="0" w:line="273" w:lineRule="auto"/>
        <w:jc w:val="both"/>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意见；</w:t>
      </w:r>
    </w:p>
    <w:p>
      <w:pPr>
        <w:spacing w:line="240" w:lineRule="auto" w:before="10"/>
        <w:rPr>
          <w:rFonts w:ascii="宋体" w:hAnsi="宋体" w:cs="宋体" w:eastAsia="宋体" w:hint="default"/>
          <w:sz w:val="14"/>
          <w:szCs w:val="14"/>
        </w:rPr>
      </w:pPr>
    </w:p>
    <w:p>
      <w:pPr>
        <w:pStyle w:val="BodyText"/>
        <w:spacing w:line="273" w:lineRule="auto"/>
        <w:ind w:right="221" w:firstLine="420"/>
        <w:jc w:val="both"/>
      </w:pPr>
      <w:r>
        <w:rPr>
          <w:spacing w:val="-3"/>
        </w:rPr>
        <w:t>（二）利润分配形式：公司可以采取现金、股票或现金与股票相结合的方式分配股利；在满足利润分</w:t>
      </w:r>
      <w:r>
        <w:rPr>
          <w:w w:val="100"/>
        </w:rPr>
        <w:t> </w:t>
      </w:r>
      <w:r>
        <w:rPr>
          <w:spacing w:val="-3"/>
        </w:rPr>
        <w:t>配条件的前提下，公司每年至少进行一次利润分配；公司董事会可以根据公司的资金需求情况提议公司进</w:t>
      </w:r>
      <w:r>
        <w:rPr>
          <w:spacing w:val="4"/>
        </w:rPr>
        <w:t> </w:t>
      </w:r>
      <w:r>
        <w:rPr>
          <w:spacing w:val="4"/>
        </w:rPr>
      </w:r>
      <w:r>
        <w:rPr/>
        <w:t>行中期利润分配；</w:t>
      </w:r>
    </w:p>
    <w:p>
      <w:pPr>
        <w:pStyle w:val="BodyText"/>
        <w:spacing w:line="266" w:lineRule="auto" w:before="163"/>
        <w:ind w:right="221" w:firstLine="420"/>
        <w:jc w:val="both"/>
      </w:pPr>
      <w:r>
        <w:rPr>
          <w:spacing w:val="-3"/>
        </w:rPr>
        <w:t>（三）现金分红条件及比例：公司在当年盈利且累计未分配利润为正的情况下，如无重大投资计划或</w:t>
      </w:r>
      <w:r>
        <w:rPr>
          <w:w w:val="100"/>
        </w:rPr>
        <w:t> </w:t>
      </w:r>
      <w:r>
        <w:rPr>
          <w:spacing w:val="-3"/>
        </w:rPr>
        <w:t>重大现金支出等事项发生，公司应当采取现金方式分配股利，以现金方式分配的利润不少于当年实现的可</w:t>
      </w:r>
      <w:r>
        <w:rPr>
          <w:spacing w:val="4"/>
        </w:rPr>
        <w:t> </w:t>
      </w:r>
      <w:r>
        <w:rPr>
          <w:spacing w:val="4"/>
        </w:rPr>
      </w:r>
      <w:r>
        <w:rPr>
          <w:spacing w:val="-2"/>
        </w:rPr>
        <w:t>分配利润的</w:t>
      </w:r>
      <w:r>
        <w:rPr>
          <w:rFonts w:ascii="Times New Roman" w:hAnsi="Times New Roman" w:cs="Times New Roman" w:eastAsia="Times New Roman" w:hint="default"/>
          <w:spacing w:val="-2"/>
        </w:rPr>
        <w:t>10%</w:t>
      </w:r>
      <w:r>
        <w:rPr>
          <w:spacing w:val="-2"/>
        </w:rPr>
        <w:t>，且任意三个连续会计年度内，公司以现金方式累计分配的利润不少于该三年实现的年均</w:t>
      </w:r>
      <w:r>
        <w:rPr>
          <w:spacing w:val="-11"/>
        </w:rPr>
        <w:t> </w:t>
      </w:r>
      <w:r>
        <w:rPr>
          <w:spacing w:val="-11"/>
        </w:rPr>
      </w:r>
      <w:r>
        <w:rPr/>
        <w:t>可分配利润的</w:t>
      </w:r>
      <w:r>
        <w:rPr>
          <w:rFonts w:ascii="Times New Roman" w:hAnsi="Times New Roman" w:cs="Times New Roman" w:eastAsia="Times New Roman" w:hint="default"/>
        </w:rPr>
        <w:t>30%</w:t>
      </w:r>
      <w:r>
        <w:rPr/>
        <w:t>。</w:t>
      </w:r>
    </w:p>
    <w:p>
      <w:pPr>
        <w:pStyle w:val="BodyText"/>
        <w:spacing w:line="273" w:lineRule="auto" w:before="151"/>
        <w:ind w:right="223" w:firstLine="420"/>
        <w:jc w:val="both"/>
      </w:pPr>
      <w:r>
        <w:rPr/>
        <w:t>重大投资计划或重大现金支出是指公司在一年内购买资产以及对外投资等交易涉及的资产总额占公</w:t>
      </w:r>
      <w:r>
        <w:rPr>
          <w:w w:val="100"/>
        </w:rPr>
        <w:t> </w:t>
      </w:r>
      <w:r>
        <w:rPr/>
        <w:t>司最近一期经审计净资产</w:t>
      </w:r>
      <w:r>
        <w:rPr>
          <w:rFonts w:ascii="Times New Roman" w:hAnsi="Times New Roman" w:cs="Times New Roman" w:eastAsia="Times New Roman" w:hint="default"/>
        </w:rPr>
        <w:t>30%</w:t>
      </w:r>
      <w:r>
        <w:rPr/>
        <w:t>以上的事项。</w:t>
      </w:r>
    </w:p>
    <w:p>
      <w:pPr>
        <w:pStyle w:val="BodyText"/>
        <w:spacing w:line="273" w:lineRule="auto" w:before="144"/>
        <w:ind w:right="221" w:firstLine="420"/>
        <w:jc w:val="both"/>
      </w:pPr>
      <w:r>
        <w:rPr>
          <w:spacing w:val="-3"/>
        </w:rPr>
        <w:t>（四）公司发放股票股利条件：公司在经营情况良好，并且董事会认为公司股票价格与公司股本规模</w:t>
      </w:r>
      <w:r>
        <w:rPr>
          <w:w w:val="100"/>
        </w:rPr>
        <w:t> </w:t>
      </w:r>
      <w:r>
        <w:rPr>
          <w:spacing w:val="-3"/>
        </w:rPr>
        <w:t>不匹配、发放股票股利有利于公司全体股东整体利益时，可以在满足上述现金分红的条件下，提出股票股</w:t>
      </w:r>
      <w:r>
        <w:rPr>
          <w:spacing w:val="4"/>
        </w:rPr>
        <w:t> </w:t>
      </w:r>
      <w:r>
        <w:rPr>
          <w:spacing w:val="4"/>
        </w:rPr>
      </w:r>
      <w:r>
        <w:rPr/>
        <w:t>利分配预案。</w:t>
      </w:r>
    </w:p>
    <w:p>
      <w:pPr>
        <w:pStyle w:val="BodyText"/>
        <w:spacing w:line="273" w:lineRule="auto" w:before="163"/>
        <w:ind w:right="221" w:firstLine="420"/>
        <w:jc w:val="both"/>
      </w:pPr>
      <w:r>
        <w:rPr>
          <w:spacing w:val="-3"/>
        </w:rPr>
        <w:t>（五）利润分配需履行的决策程序：公司的利润分配方案由公司总经理拟定后提交公司董事会、监事</w:t>
      </w:r>
      <w:r>
        <w:rPr>
          <w:w w:val="100"/>
        </w:rPr>
        <w:t> </w:t>
      </w:r>
      <w:r>
        <w:rPr>
          <w:spacing w:val="-3"/>
        </w:rPr>
        <w:t>会审议。董事会就利润分配方案的合理性进行充分讨论，并形成有效决议；公司董事会审议通过后公司利</w:t>
      </w:r>
      <w:r>
        <w:rPr>
          <w:spacing w:val="3"/>
        </w:rPr>
        <w:t> </w:t>
      </w:r>
      <w:r>
        <w:rPr>
          <w:spacing w:val="3"/>
        </w:rPr>
      </w:r>
      <w:r>
        <w:rPr>
          <w:spacing w:val="-3"/>
        </w:rPr>
        <w:t>润分配方案应当提交公司股东大会进行审议；股东大会审议利润分配方案时，公司应当为股东提供网络投</w:t>
      </w:r>
      <w:r>
        <w:rPr>
          <w:spacing w:val="4"/>
        </w:rPr>
        <w:t> </w:t>
      </w:r>
      <w:r>
        <w:rPr>
          <w:spacing w:val="4"/>
        </w:rPr>
      </w:r>
      <w:r>
        <w:rPr/>
        <w:t>票方式，切实保障社会公众股股东参与股东大会的权利。</w:t>
      </w:r>
    </w:p>
    <w:p>
      <w:pPr>
        <w:pStyle w:val="BodyText"/>
        <w:spacing w:line="273" w:lineRule="auto" w:before="163"/>
        <w:ind w:right="221" w:firstLine="420"/>
        <w:jc w:val="both"/>
      </w:pPr>
      <w:r>
        <w:rPr>
          <w:spacing w:val="-3"/>
        </w:rPr>
        <w:t>（六）公司当年盈利但未提出现金利润分配预案，董事会应当在指定媒体上披露未进行现金分红的具</w:t>
      </w:r>
      <w:r>
        <w:rPr>
          <w:w w:val="100"/>
        </w:rPr>
        <w:t> </w:t>
      </w:r>
      <w:r>
        <w:rPr>
          <w:spacing w:val="-3"/>
        </w:rPr>
        <w:t>体原因以及未用于现金分红的资金留存公司的用途，并由公司独立董事对此发表相关的独立意见后提交股</w:t>
      </w:r>
      <w:r>
        <w:rPr>
          <w:spacing w:val="4"/>
        </w:rPr>
        <w:t> </w:t>
      </w:r>
      <w:r>
        <w:rPr>
          <w:spacing w:val="4"/>
        </w:rPr>
      </w:r>
      <w:r>
        <w:rPr/>
        <w:t>东大会审议。</w:t>
      </w:r>
    </w:p>
    <w:p>
      <w:pPr>
        <w:pStyle w:val="BodyText"/>
        <w:spacing w:line="273" w:lineRule="auto" w:before="163"/>
        <w:ind w:right="0" w:firstLine="420"/>
        <w:jc w:val="left"/>
      </w:pPr>
      <w:r>
        <w:rPr>
          <w:spacing w:val="-3"/>
        </w:rPr>
        <w:t>（七）公司利润分配政策的调整：如遇到战争、自然灾害等不可抗力时，并对公司生产经营造成重大</w:t>
      </w:r>
      <w:r>
        <w:rPr>
          <w:w w:val="100"/>
        </w:rPr>
        <w:t> </w:t>
      </w:r>
      <w:r>
        <w:rPr>
          <w:spacing w:val="-3"/>
        </w:rPr>
        <w:t>影响，或公司根据生产经营情况、投资规划和长期发展的需要，或者外部经营环境发生变化，确需调整利</w:t>
      </w:r>
      <w:r>
        <w:rPr/>
        <w:t> </w:t>
      </w:r>
      <w:r>
        <w:rPr/>
      </w:r>
      <w:r>
        <w:rPr>
          <w:spacing w:val="-5"/>
        </w:rPr>
        <w:t>润分配政策的，公司可以调整利润分配政策。有关调整利润分配政策的方案应由董事会进行详细论证说明，</w:t>
      </w:r>
      <w:r>
        <w:rPr>
          <w:spacing w:val="-3"/>
        </w:rPr>
        <w:t> </w:t>
      </w:r>
      <w:r>
        <w:rPr>
          <w:spacing w:val="-3"/>
        </w:rPr>
        <w:t>并由公司独立董事发表独立意见后提交公司股东大会特别决议通过，股东大会审议利润分配政策调整事项</w:t>
      </w:r>
      <w:r>
        <w:rPr>
          <w:spacing w:val="4"/>
        </w:rPr>
        <w:t> </w:t>
      </w:r>
      <w:r>
        <w:rPr>
          <w:spacing w:val="4"/>
        </w:rPr>
      </w:r>
      <w:r>
        <w:rPr>
          <w:spacing w:val="-3"/>
        </w:rPr>
        <w:t>时，应当为股东提供网络投票方式。调整后的利润分配政策不得违反中国证监会和深圳证券交易所的有关</w:t>
      </w:r>
      <w:r>
        <w:rPr>
          <w:spacing w:val="4"/>
        </w:rPr>
        <w:t> </w:t>
      </w:r>
      <w:r>
        <w:rPr>
          <w:spacing w:val="4"/>
        </w:rPr>
      </w:r>
      <w:r>
        <w:rPr/>
        <w:t>规定。</w:t>
      </w:r>
    </w:p>
    <w:p>
      <w:pPr>
        <w:pStyle w:val="BodyText"/>
        <w:spacing w:line="468" w:lineRule="exact" w:before="34"/>
        <w:ind w:left="572" w:right="0"/>
        <w:jc w:val="left"/>
      </w:pPr>
      <w:r>
        <w:rPr/>
        <w:t>本年度利润分配预案</w:t>
      </w:r>
      <w:r>
        <w:rPr>
          <w:w w:val="100"/>
        </w:rPr>
        <w:t> </w:t>
      </w:r>
      <w:r>
        <w:rPr>
          <w:spacing w:val="-4"/>
        </w:rPr>
        <w:t>经上海众华沪银会计师事务所审计，公司本年度实现净利润</w:t>
      </w:r>
      <w:r>
        <w:rPr>
          <w:rFonts w:ascii="Times New Roman" w:hAnsi="Times New Roman" w:cs="Times New Roman" w:eastAsia="Times New Roman" w:hint="default"/>
          <w:spacing w:val="-4"/>
        </w:rPr>
        <w:t>118,833,435.20</w:t>
      </w:r>
      <w:r>
        <w:rPr>
          <w:spacing w:val="-4"/>
        </w:rPr>
        <w:t>元，根据《公司章程》的规</w:t>
      </w:r>
    </w:p>
    <w:p>
      <w:pPr>
        <w:pStyle w:val="BodyText"/>
        <w:spacing w:line="264" w:lineRule="exact"/>
        <w:ind w:right="0"/>
        <w:jc w:val="left"/>
      </w:pPr>
      <w:r>
        <w:rPr/>
        <w:t>定，按净利润的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11,883,343.52</w:t>
      </w:r>
      <w:r>
        <w:rPr/>
        <w:t>元；加上以前年度未分配利润</w:t>
      </w:r>
      <w:r>
        <w:rPr>
          <w:rFonts w:ascii="Times New Roman" w:hAnsi="Times New Roman" w:cs="Times New Roman" w:eastAsia="Times New Roman" w:hint="default"/>
        </w:rPr>
        <w:t>646</w:t>
      </w:r>
      <w:r>
        <w:rPr/>
        <w:t>，</w:t>
      </w:r>
      <w:r>
        <w:rPr>
          <w:rFonts w:ascii="Times New Roman" w:hAnsi="Times New Roman" w:cs="Times New Roman" w:eastAsia="Times New Roman" w:hint="default"/>
        </w:rPr>
        <w:t>753</w:t>
      </w:r>
      <w:r>
        <w:rPr/>
        <w:t>，</w:t>
      </w:r>
      <w:r>
        <w:rPr>
          <w:rFonts w:ascii="Times New Roman" w:hAnsi="Times New Roman" w:cs="Times New Roman" w:eastAsia="Times New Roman" w:hint="default"/>
        </w:rPr>
        <w:t>177.87</w:t>
      </w:r>
      <w:r>
        <w:rPr/>
        <w:t>元，</w:t>
      </w:r>
    </w:p>
    <w:p>
      <w:pPr>
        <w:pStyle w:val="BodyText"/>
        <w:spacing w:line="240" w:lineRule="auto" w:before="21"/>
        <w:ind w:right="0"/>
        <w:jc w:val="left"/>
      </w:pPr>
      <w:r>
        <w:rPr/>
        <w:t>减去已分配利润</w:t>
      </w:r>
      <w:r>
        <w:rPr>
          <w:rFonts w:ascii="Times New Roman" w:hAnsi="Times New Roman" w:cs="Times New Roman" w:eastAsia="Times New Roman" w:hint="default"/>
        </w:rPr>
        <w:t>208,000,000.00</w:t>
      </w:r>
      <w:r>
        <w:rPr/>
        <w:t>元，本年度实际可供投资者分配的利润为</w:t>
      </w:r>
      <w:r>
        <w:rPr>
          <w:rFonts w:ascii="Times New Roman" w:hAnsi="Times New Roman" w:cs="Times New Roman" w:eastAsia="Times New Roman" w:hint="default"/>
        </w:rPr>
        <w:t>545,703,269.55</w:t>
      </w:r>
      <w:r>
        <w:rPr/>
        <w:t>元。</w:t>
      </w:r>
    </w:p>
    <w:p>
      <w:pPr>
        <w:pStyle w:val="BodyText"/>
        <w:spacing w:line="256" w:lineRule="auto" w:before="177"/>
        <w:ind w:right="225" w:firstLine="420"/>
        <w:jc w:val="both"/>
      </w:pPr>
      <w:r>
        <w:rPr>
          <w:rFonts w:ascii="Times New Roman" w:hAnsi="Times New Roman" w:cs="Times New Roman" w:eastAsia="Times New Roman" w:hint="default"/>
          <w:spacing w:val="-3"/>
        </w:rPr>
        <w:t>2012</w:t>
      </w:r>
      <w:r>
        <w:rPr>
          <w:spacing w:val="-3"/>
        </w:rPr>
        <w:t>年度利润分配预案为：以</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日的公司总股本</w:t>
      </w:r>
      <w:r>
        <w:rPr>
          <w:rFonts w:ascii="Times New Roman" w:hAnsi="Times New Roman" w:cs="Times New Roman" w:eastAsia="Times New Roman" w:hint="default"/>
          <w:spacing w:val="-3"/>
        </w:rPr>
        <w:t>416,000,000.00</w:t>
      </w:r>
      <w:r>
        <w:rPr>
          <w:spacing w:val="-3"/>
        </w:rPr>
        <w:t>股，向全体股东每</w:t>
      </w:r>
      <w:r>
        <w:rPr>
          <w:rFonts w:ascii="Times New Roman" w:hAnsi="Times New Roman" w:cs="Times New Roman" w:eastAsia="Times New Roman" w:hint="default"/>
          <w:spacing w:val="-3"/>
        </w:rPr>
        <w:t>10</w:t>
      </w:r>
      <w:r>
        <w:rPr>
          <w:spacing w:val="-3"/>
        </w:rPr>
        <w:t>股现金</w:t>
      </w:r>
      <w:r>
        <w:rPr>
          <w:w w:val="100"/>
        </w:rPr>
        <w:t> </w:t>
      </w:r>
      <w:r>
        <w:rPr/>
        <w:t>派发红利</w:t>
      </w:r>
      <w:r>
        <w:rPr>
          <w:rFonts w:ascii="Times New Roman" w:hAnsi="Times New Roman" w:cs="Times New Roman" w:eastAsia="Times New Roman" w:hint="default"/>
        </w:rPr>
        <w:t>1</w:t>
      </w:r>
      <w:r>
        <w:rPr/>
        <w:t>元（含税），剩余利润结转以后年度分配。</w:t>
      </w:r>
    </w:p>
    <w:p>
      <w:pPr>
        <w:pStyle w:val="BodyText"/>
        <w:spacing w:line="468" w:lineRule="exact" w:before="32"/>
        <w:ind w:left="572" w:right="0"/>
        <w:jc w:val="left"/>
      </w:pPr>
      <w:r>
        <w:rPr/>
        <w:t>上述预案，尚需提交公司</w:t>
      </w:r>
      <w:r>
        <w:rPr>
          <w:rFonts w:ascii="Times New Roman" w:hAnsi="Times New Roman" w:cs="Times New Roman" w:eastAsia="Times New Roman" w:hint="default"/>
        </w:rPr>
        <w:t>2012</w:t>
      </w:r>
      <w:r>
        <w:rPr/>
        <w:t>年度股东大会审议。</w:t>
      </w:r>
      <w:r>
        <w:rPr>
          <w:w w:val="100"/>
        </w:rPr>
        <w:t> </w:t>
      </w:r>
      <w:r>
        <w:rPr>
          <w:spacing w:val="-3"/>
        </w:rPr>
        <w:t>独立董事对上述利润分配预案发表意见如下：公司目前经营状况良好，且有一定赢利。我们认为该分</w:t>
      </w:r>
    </w:p>
    <w:p>
      <w:pPr>
        <w:pStyle w:val="BodyText"/>
        <w:spacing w:line="264" w:lineRule="exact"/>
        <w:ind w:right="0"/>
        <w:jc w:val="left"/>
      </w:pPr>
      <w:r>
        <w:rPr>
          <w:spacing w:val="-3"/>
        </w:rPr>
        <w:t>配方案符合公司实际情况，符合公司积极稳健回报股东的分红策略，同意将该预案提请公司</w:t>
      </w:r>
      <w:r>
        <w:rPr>
          <w:rFonts w:ascii="Times New Roman" w:hAnsi="Times New Roman" w:cs="Times New Roman" w:eastAsia="Times New Roman" w:hint="default"/>
          <w:spacing w:val="-3"/>
        </w:rPr>
        <w:t>2012</w:t>
      </w:r>
      <w:r>
        <w:rPr>
          <w:spacing w:val="-3"/>
        </w:rPr>
        <w:t>年度股东</w:t>
      </w:r>
    </w:p>
    <w:p>
      <w:pPr>
        <w:pStyle w:val="BodyText"/>
        <w:spacing w:line="240" w:lineRule="auto" w:before="21"/>
        <w:ind w:right="0"/>
        <w:jc w:val="left"/>
      </w:pPr>
      <w:r>
        <w:rPr/>
        <w:t>大会进行审议。</w:t>
      </w:r>
    </w:p>
    <w:p>
      <w:pPr>
        <w:spacing w:line="240" w:lineRule="auto" w:before="4"/>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6"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3695"/>
        <w:gridCol w:w="5862"/>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w w:val="100"/>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w w:val="100"/>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股派息数（元</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（含税</w:t>
            </w:r>
            <w:r>
              <w:rPr>
                <w:rFonts w:ascii="宋体" w:hAnsi="宋体" w:cs="宋体" w:eastAsia="宋体" w:hint="default"/>
                <w:w w:val="100"/>
                <w:sz w:val="18"/>
                <w:szCs w:val="18"/>
              </w:rPr>
              <w:t>）</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1</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1"/>
                <w:w w:val="100"/>
                <w:sz w:val="18"/>
                <w:szCs w:val="18"/>
              </w:rPr>
              <w:t>现金分红总额（元</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（含税</w:t>
            </w:r>
            <w:r>
              <w:rPr>
                <w:rFonts w:ascii="宋体" w:hAnsi="宋体" w:cs="宋体" w:eastAsia="宋体" w:hint="default"/>
                <w:w w:val="100"/>
                <w:sz w:val="18"/>
                <w:szCs w:val="18"/>
              </w:rPr>
              <w:t>）</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545,703,269.55</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5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16"/>
              <w:jc w:val="left"/>
              <w:rPr>
                <w:rFonts w:ascii="宋体" w:hAnsi="宋体" w:cs="宋体" w:eastAsia="宋体" w:hint="default"/>
                <w:sz w:val="18"/>
                <w:szCs w:val="18"/>
              </w:rPr>
            </w:pPr>
            <w:r>
              <w:rPr>
                <w:rFonts w:ascii="宋体" w:hAnsi="宋体" w:cs="宋体" w:eastAsia="宋体" w:hint="default"/>
                <w:spacing w:val="-1"/>
                <w:w w:val="100"/>
                <w:sz w:val="18"/>
                <w:szCs w:val="18"/>
              </w:rPr>
              <w:t>已截止</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1"/>
                <w:w w:val="100"/>
                <w:sz w:val="18"/>
                <w:szCs w:val="18"/>
              </w:rPr>
              <w:t>2012</w:t>
            </w:r>
            <w:r>
              <w:rPr>
                <w:rFonts w:ascii="Times New Roman" w:hAnsi="Times New Roman" w:cs="Times New Roman" w:eastAsia="Times New Roman" w:hint="default"/>
                <w:w w:val="100"/>
                <w:sz w:val="18"/>
                <w:szCs w:val="18"/>
              </w:rPr>
              <w:t> </w:t>
            </w:r>
            <w:r>
              <w:rPr>
                <w:rFonts w:ascii="宋体" w:hAnsi="宋体" w:cs="宋体" w:eastAsia="宋体" w:hint="default"/>
                <w:w w:val="100"/>
                <w:sz w:val="18"/>
                <w:szCs w:val="18"/>
              </w:rPr>
              <w:t>年</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1"/>
                <w:w w:val="100"/>
                <w:sz w:val="18"/>
                <w:szCs w:val="18"/>
              </w:rPr>
              <w:t>12</w:t>
            </w:r>
            <w:r>
              <w:rPr>
                <w:rFonts w:ascii="Times New Roman" w:hAnsi="Times New Roman" w:cs="Times New Roman" w:eastAsia="Times New Roman" w:hint="default"/>
                <w:spacing w:val="3"/>
                <w:w w:val="100"/>
                <w:sz w:val="18"/>
                <w:szCs w:val="18"/>
              </w:rPr>
              <w:t> </w:t>
            </w:r>
            <w:r>
              <w:rPr>
                <w:rFonts w:ascii="宋体" w:hAnsi="宋体" w:cs="宋体" w:eastAsia="宋体" w:hint="default"/>
                <w:w w:val="100"/>
                <w:sz w:val="18"/>
                <w:szCs w:val="18"/>
              </w:rPr>
              <w:t>月</w:t>
            </w:r>
            <w:r>
              <w:rPr>
                <w:rFonts w:ascii="宋体" w:hAnsi="宋体" w:cs="宋体" w:eastAsia="宋体" w:hint="default"/>
                <w:spacing w:val="-47"/>
                <w:w w:val="100"/>
                <w:sz w:val="18"/>
                <w:szCs w:val="18"/>
              </w:rPr>
              <w:t> </w:t>
            </w:r>
            <w:r>
              <w:rPr>
                <w:rFonts w:ascii="Times New Roman" w:hAnsi="Times New Roman" w:cs="Times New Roman" w:eastAsia="Times New Roman" w:hint="default"/>
                <w:w w:val="100"/>
                <w:sz w:val="18"/>
                <w:szCs w:val="18"/>
              </w:rPr>
              <w:t>31</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2"/>
                <w:w w:val="100"/>
                <w:sz w:val="18"/>
                <w:szCs w:val="18"/>
              </w:rPr>
              <w:t>日公司总股本</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1"/>
                <w:w w:val="100"/>
                <w:sz w:val="18"/>
                <w:szCs w:val="18"/>
              </w:rPr>
              <w:t>416,000,000</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4"/>
                <w:w w:val="100"/>
                <w:sz w:val="18"/>
                <w:szCs w:val="18"/>
              </w:rPr>
              <w:t>股为基数，向全体股东每</w:t>
            </w:r>
            <w:r>
              <w:rPr>
                <w:rFonts w:ascii="宋体" w:hAnsi="宋体" w:cs="宋体" w:eastAsia="宋体" w:hint="default"/>
                <w:spacing w:val="-44"/>
                <w:w w:val="100"/>
                <w:sz w:val="18"/>
                <w:szCs w:val="18"/>
              </w:rPr>
              <w:t> </w:t>
            </w:r>
            <w:r>
              <w:rPr>
                <w:rFonts w:ascii="Times New Roman" w:hAnsi="Times New Roman" w:cs="Times New Roman" w:eastAsia="Times New Roman" w:hint="default"/>
                <w:w w:val="100"/>
                <w:sz w:val="18"/>
                <w:szCs w:val="18"/>
              </w:rPr>
              <w:t>10</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2"/>
                <w:w w:val="100"/>
                <w:sz w:val="18"/>
                <w:szCs w:val="18"/>
              </w:rPr>
              <w:t>股派发现金红利</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1"/>
                <w:w w:val="100"/>
                <w:sz w:val="18"/>
                <w:szCs w:val="18"/>
              </w:rPr>
              <w:t>1.00</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15"/>
                <w:w w:val="100"/>
                <w:sz w:val="18"/>
                <w:szCs w:val="18"/>
              </w:rPr>
              <w:t>元（含税），不送红股</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不转增。</w:t>
            </w:r>
          </w:p>
        </w:tc>
      </w:tr>
    </w:tbl>
    <w:p>
      <w:pPr>
        <w:spacing w:line="240" w:lineRule="auto" w:before="3"/>
        <w:rPr>
          <w:rFonts w:ascii="宋体" w:hAnsi="宋体" w:cs="宋体" w:eastAsia="宋体" w:hint="default"/>
          <w:sz w:val="8"/>
          <w:szCs w:val="8"/>
        </w:rPr>
      </w:pPr>
    </w:p>
    <w:p>
      <w:pPr>
        <w:pStyle w:val="BodyText"/>
        <w:spacing w:line="240" w:lineRule="auto" w:before="36"/>
        <w:ind w:right="0"/>
        <w:jc w:val="both"/>
      </w:pPr>
      <w:r>
        <w:rPr/>
        <w:t>公司近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w:t>
      </w:r>
    </w:p>
    <w:p>
      <w:pPr>
        <w:pStyle w:val="BodyText"/>
        <w:spacing w:line="240" w:lineRule="auto" w:before="177"/>
        <w:ind w:left="572" w:right="145"/>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年度利润分配方案为：不分配，不转增。</w:t>
      </w:r>
    </w:p>
    <w:p>
      <w:pPr>
        <w:pStyle w:val="BodyText"/>
        <w:spacing w:line="240" w:lineRule="auto" w:before="177"/>
        <w:ind w:left="572"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年度利润分配方案为：以公司总股本</w:t>
      </w:r>
      <w:r>
        <w:rPr>
          <w:rFonts w:ascii="Times New Roman" w:hAnsi="Times New Roman" w:cs="Times New Roman" w:eastAsia="Times New Roman" w:hint="default"/>
        </w:rPr>
        <w:t>208,000,000</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10.00</w:t>
      </w:r>
      <w:r>
        <w:rPr/>
        <w:t>元</w:t>
      </w:r>
    </w:p>
    <w:p>
      <w:pPr>
        <w:pStyle w:val="BodyText"/>
        <w:spacing w:line="256" w:lineRule="auto" w:before="21"/>
        <w:ind w:right="144"/>
        <w:jc w:val="both"/>
      </w:pPr>
      <w:r>
        <w:rPr>
          <w:spacing w:val="-6"/>
        </w:rPr>
        <w:t>（含税），共计派发</w:t>
      </w:r>
      <w:r>
        <w:rPr>
          <w:rFonts w:ascii="Times New Roman" w:hAnsi="Times New Roman" w:cs="Times New Roman" w:eastAsia="Times New Roman" w:hint="default"/>
          <w:spacing w:val="-6"/>
        </w:rPr>
        <w:t>208,000,000</w:t>
      </w:r>
      <w:r>
        <w:rPr>
          <w:spacing w:val="-6"/>
        </w:rPr>
        <w:t>元。剩余未分配利润暂不分配，结转入下一年度；以公司总股本</w:t>
      </w:r>
      <w:r>
        <w:rPr>
          <w:rFonts w:ascii="Times New Roman" w:hAnsi="Times New Roman" w:cs="Times New Roman" w:eastAsia="Times New Roman" w:hint="default"/>
          <w:spacing w:val="-6"/>
        </w:rPr>
        <w:t>208,000,000</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5"/>
        </w:rPr>
        <w:t>股为基数，以资本公积转增股本，每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股，共计转增</w:t>
      </w:r>
      <w:r>
        <w:rPr>
          <w:rFonts w:ascii="Times New Roman" w:hAnsi="Times New Roman" w:cs="Times New Roman" w:eastAsia="Times New Roman" w:hint="default"/>
          <w:spacing w:val="5"/>
        </w:rPr>
        <w:t>208,000,000</w:t>
      </w:r>
      <w:r>
        <w:rPr>
          <w:spacing w:val="5"/>
        </w:rPr>
        <w:t>股，转增后公司总股本增至</w:t>
      </w:r>
      <w:r>
        <w:rPr>
          <w:spacing w:val="15"/>
        </w:rPr>
        <w:t> </w:t>
      </w:r>
      <w:r>
        <w:rPr>
          <w:spacing w:val="15"/>
        </w:rPr>
      </w:r>
      <w:r>
        <w:rPr>
          <w:rFonts w:ascii="Times New Roman" w:hAnsi="Times New Roman" w:cs="Times New Roman" w:eastAsia="Times New Roman" w:hint="default"/>
        </w:rPr>
        <w:t>416,000,000</w:t>
      </w:r>
      <w:r>
        <w:rPr/>
        <w:t>股。</w:t>
      </w:r>
    </w:p>
    <w:p>
      <w:pPr>
        <w:pStyle w:val="BodyText"/>
        <w:spacing w:line="256" w:lineRule="auto" w:before="161"/>
        <w:ind w:right="141" w:firstLine="420"/>
        <w:jc w:val="both"/>
      </w:pPr>
      <w:r>
        <w:rPr>
          <w:rFonts w:ascii="Times New Roman" w:hAnsi="Times New Roman" w:cs="Times New Roman" w:eastAsia="Times New Roman" w:hint="default"/>
          <w:spacing w:val="-7"/>
        </w:rPr>
        <w:t>3</w:t>
      </w:r>
      <w:r>
        <w:rPr>
          <w:spacing w:val="-7"/>
        </w:rPr>
        <w:t>、公司</w:t>
      </w:r>
      <w:r>
        <w:rPr>
          <w:rFonts w:ascii="Times New Roman" w:hAnsi="Times New Roman" w:cs="Times New Roman" w:eastAsia="Times New Roman" w:hint="default"/>
          <w:spacing w:val="-7"/>
        </w:rPr>
        <w:t>2012</w:t>
      </w:r>
      <w:r>
        <w:rPr>
          <w:spacing w:val="-7"/>
        </w:rPr>
        <w:t>年度利润分配方案为：以公司总股本</w:t>
      </w:r>
      <w:r>
        <w:rPr>
          <w:rFonts w:ascii="Times New Roman" w:hAnsi="Times New Roman" w:cs="Times New Roman" w:eastAsia="Times New Roman" w:hint="default"/>
          <w:spacing w:val="-7"/>
        </w:rPr>
        <w:t>416,000,000</w:t>
      </w:r>
      <w:r>
        <w:rPr>
          <w:spacing w:val="-7"/>
        </w:rPr>
        <w:t>股为基数，每</w:t>
      </w:r>
      <w:r>
        <w:rPr>
          <w:rFonts w:ascii="Times New Roman" w:hAnsi="Times New Roman" w:cs="Times New Roman" w:eastAsia="Times New Roman" w:hint="default"/>
          <w:spacing w:val="-7"/>
        </w:rPr>
        <w:t>10</w:t>
      </w:r>
      <w:r>
        <w:rPr>
          <w:spacing w:val="-7"/>
        </w:rPr>
        <w:t>股派发现金红利</w:t>
      </w:r>
      <w:r>
        <w:rPr>
          <w:rFonts w:ascii="Times New Roman" w:hAnsi="Times New Roman" w:cs="Times New Roman" w:eastAsia="Times New Roman" w:hint="default"/>
          <w:spacing w:val="-7"/>
        </w:rPr>
        <w:t>1.00</w:t>
      </w:r>
      <w:r>
        <w:rPr>
          <w:spacing w:val="-7"/>
        </w:rPr>
        <w:t>元（含</w:t>
      </w:r>
      <w:r>
        <w:rPr>
          <w:w w:val="100"/>
        </w:rPr>
        <w:t> </w:t>
      </w:r>
      <w:r>
        <w:rPr>
          <w:spacing w:val="-1"/>
        </w:rPr>
        <w:t>税），共计派发</w:t>
      </w:r>
      <w:r>
        <w:rPr>
          <w:rFonts w:ascii="Times New Roman" w:hAnsi="Times New Roman" w:cs="Times New Roman" w:eastAsia="Times New Roman" w:hint="default"/>
          <w:spacing w:val="-1"/>
        </w:rPr>
        <w:t>41,600,000</w:t>
      </w:r>
      <w:r>
        <w:rPr>
          <w:spacing w:val="-1"/>
        </w:rPr>
        <w:t>元。剩余未分配利润暂不分配，结转入下一年度；公司</w:t>
      </w:r>
      <w:r>
        <w:rPr>
          <w:rFonts w:ascii="Times New Roman" w:hAnsi="Times New Roman" w:cs="Times New Roman" w:eastAsia="Times New Roman" w:hint="default"/>
          <w:spacing w:val="-1"/>
        </w:rPr>
        <w:t>2012</w:t>
      </w:r>
      <w:r>
        <w:rPr>
          <w:spacing w:val="-1"/>
        </w:rPr>
        <w:t>年度不进行资本公</w:t>
      </w:r>
      <w:r>
        <w:rPr>
          <w:spacing w:val="-2"/>
        </w:rPr>
        <w:t> </w:t>
      </w:r>
      <w:r>
        <w:rPr>
          <w:spacing w:val="-2"/>
        </w:rPr>
      </w:r>
      <w:r>
        <w:rPr/>
        <w:t>积金转增股本。</w:t>
      </w:r>
    </w:p>
    <w:p>
      <w:pPr>
        <w:spacing w:line="240" w:lineRule="auto" w:before="11"/>
        <w:rPr>
          <w:rFonts w:ascii="宋体" w:hAnsi="宋体" w:cs="宋体" w:eastAsia="宋体" w:hint="default"/>
          <w:sz w:val="11"/>
          <w:szCs w:val="11"/>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70"/>
        <w:gridCol w:w="2401"/>
        <w:gridCol w:w="2393"/>
        <w:gridCol w:w="2393"/>
      </w:tblGrid>
      <w:tr>
        <w:trPr>
          <w:trHeight w:val="162" w:hRule="exact"/>
        </w:trPr>
        <w:tc>
          <w:tcPr>
            <w:tcW w:w="2370"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1"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92" w:right="107"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w:t>
            </w:r>
            <w:r>
              <w:rPr>
                <w:rFonts w:ascii="宋体" w:hAnsi="宋体" w:cs="宋体" w:eastAsia="宋体" w:hint="default"/>
                <w:w w:val="100"/>
                <w:sz w:val="18"/>
                <w:szCs w:val="18"/>
              </w:rPr>
              <w:t> </w:t>
            </w:r>
            <w:r>
              <w:rPr>
                <w:rFonts w:ascii="宋体" w:hAnsi="宋体" w:cs="宋体" w:eastAsia="宋体" w:hint="default"/>
                <w:sz w:val="18"/>
                <w:szCs w:val="18"/>
              </w:rPr>
              <w:t>上市公司股东的净利润</w:t>
            </w: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6" w:right="35"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w:t>
            </w:r>
            <w:r>
              <w:rPr>
                <w:rFonts w:ascii="宋体" w:hAnsi="宋体" w:cs="宋体" w:eastAsia="宋体" w:hint="default"/>
                <w:w w:val="100"/>
                <w:sz w:val="18"/>
                <w:szCs w:val="18"/>
              </w:rPr>
              <w:t> </w:t>
            </w:r>
            <w:r>
              <w:rPr>
                <w:rFonts w:ascii="宋体" w:hAnsi="宋体" w:cs="宋体" w:eastAsia="宋体" w:hint="default"/>
                <w:spacing w:val="-1"/>
                <w:sz w:val="18"/>
                <w:szCs w:val="18"/>
              </w:rPr>
              <w:t>司股东的净利润的比率（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92" w:hRule="exact"/>
        </w:trPr>
        <w:tc>
          <w:tcPr>
            <w:tcW w:w="23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98"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3D3D3"/>
          </w:tcPr>
          <w:p>
            <w:pP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70"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1"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382,901,693.20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382,376,413.50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5"/>
        <w:jc w:val="left"/>
      </w:pPr>
      <w:r>
        <w:rPr/>
        <w:t>十四、社会责任情况</w:t>
      </w:r>
    </w:p>
    <w:p>
      <w:pPr>
        <w:spacing w:line="240" w:lineRule="auto" w:before="12"/>
        <w:rPr>
          <w:rFonts w:ascii="宋体" w:hAnsi="宋体" w:cs="宋体" w:eastAsia="宋体" w:hint="default"/>
          <w:sz w:val="24"/>
          <w:szCs w:val="24"/>
        </w:rPr>
      </w:pPr>
    </w:p>
    <w:p>
      <w:pPr>
        <w:pStyle w:val="BodyText"/>
        <w:spacing w:line="240" w:lineRule="auto"/>
        <w:ind w:right="145"/>
        <w:jc w:val="left"/>
      </w:pPr>
      <w:r>
        <w:rPr/>
        <w:t>（一）本报告期公司不披露专项社会责任报告。</w:t>
      </w:r>
    </w:p>
    <w:p>
      <w:pPr>
        <w:pStyle w:val="BodyText"/>
        <w:spacing w:line="468" w:lineRule="exact" w:before="64"/>
        <w:ind w:left="575" w:right="145" w:hanging="423"/>
        <w:jc w:val="left"/>
      </w:pPr>
      <w:r>
        <w:rPr/>
        <w:t>（二）报告期内公司履行社会责任的情况</w:t>
      </w:r>
      <w:r>
        <w:rPr>
          <w:w w:val="100"/>
        </w:rPr>
        <w:t> </w:t>
      </w:r>
      <w:r>
        <w:rPr>
          <w:spacing w:val="-3"/>
        </w:rPr>
        <w:t>双星新材的企业宗旨是</w:t>
      </w:r>
      <w:r>
        <w:rPr>
          <w:rFonts w:ascii="Times New Roman" w:hAnsi="Times New Roman" w:cs="Times New Roman" w:eastAsia="Times New Roman" w:hint="default"/>
          <w:spacing w:val="-3"/>
        </w:rPr>
        <w:t>:</w:t>
      </w:r>
      <w:r>
        <w:rPr>
          <w:spacing w:val="-3"/>
        </w:rPr>
        <w:t>为顾客创造价值</w:t>
      </w:r>
      <w:r>
        <w:rPr>
          <w:rFonts w:ascii="Times New Roman" w:hAnsi="Times New Roman" w:cs="Times New Roman" w:eastAsia="Times New Roman" w:hint="default"/>
          <w:spacing w:val="-3"/>
        </w:rPr>
        <w:t>,</w:t>
      </w:r>
      <w:r>
        <w:rPr>
          <w:spacing w:val="-3"/>
        </w:rPr>
        <w:t>为股东创造利益</w:t>
      </w:r>
      <w:r>
        <w:rPr>
          <w:rFonts w:ascii="Times New Roman" w:hAnsi="Times New Roman" w:cs="Times New Roman" w:eastAsia="Times New Roman" w:hint="default"/>
          <w:spacing w:val="-3"/>
        </w:rPr>
        <w:t>,</w:t>
      </w:r>
      <w:r>
        <w:rPr>
          <w:spacing w:val="-3"/>
        </w:rPr>
        <w:t>为员工创造前途</w:t>
      </w:r>
      <w:r>
        <w:rPr>
          <w:rFonts w:ascii="Times New Roman" w:hAnsi="Times New Roman" w:cs="Times New Roman" w:eastAsia="Times New Roman" w:hint="default"/>
          <w:spacing w:val="-3"/>
        </w:rPr>
        <w:t>,</w:t>
      </w:r>
      <w:r>
        <w:rPr>
          <w:spacing w:val="-3"/>
        </w:rPr>
        <w:t>为社会创造繁荣。弘扬自加</w:t>
      </w:r>
    </w:p>
    <w:p>
      <w:pPr>
        <w:pStyle w:val="BodyText"/>
        <w:spacing w:line="248" w:lineRule="exact"/>
        <w:ind w:right="145"/>
        <w:jc w:val="left"/>
      </w:pPr>
      <w:r>
        <w:rPr/>
        <w:t>压力、争创一流、加快发展、奉献社会的企业精神。</w:t>
      </w:r>
    </w:p>
    <w:p>
      <w:pPr>
        <w:spacing w:after="0" w:line="248" w:lineRule="exact"/>
        <w:jc w:val="left"/>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firstLine="420"/>
        <w:jc w:val="left"/>
      </w:pPr>
      <w:r>
        <w:rPr>
          <w:spacing w:val="-5"/>
        </w:rPr>
        <w:t>公司积极开展公司治理工作，股东大会、董事会、监事会规范运作。及时、准确、完整披露公司信息，</w:t>
      </w:r>
      <w:r>
        <w:rPr>
          <w:w w:val="100"/>
        </w:rPr>
        <w:t> </w:t>
      </w:r>
      <w:r>
        <w:rPr>
          <w:spacing w:val="-3"/>
        </w:rPr>
        <w:t>充分保障投资者的知情权。公司实行持续、稳定的利润分配政策，充分考虑对投资者的回报并兼顾公司可</w:t>
      </w:r>
      <w:r>
        <w:rPr>
          <w:spacing w:val="4"/>
        </w:rPr>
        <w:t> </w:t>
      </w:r>
      <w:r>
        <w:rPr>
          <w:spacing w:val="4"/>
        </w:rPr>
      </w:r>
      <w:r>
        <w:rPr/>
        <w:t>持续发展；每年按照规定比例以当年实现的可供分配利润向股东分配股利，回报股东和投资者。</w:t>
      </w:r>
    </w:p>
    <w:p>
      <w:pPr>
        <w:pStyle w:val="BodyText"/>
        <w:spacing w:line="273" w:lineRule="auto" w:before="163"/>
        <w:ind w:right="221" w:firstLine="420"/>
        <w:jc w:val="both"/>
      </w:pPr>
      <w:r>
        <w:rPr>
          <w:spacing w:val="-3"/>
        </w:rPr>
        <w:t>公司以客户为导向，不断完善和进行产品升级，诚信经营。公司与供应商在遵守国家法律法规的前提</w:t>
      </w:r>
      <w:r>
        <w:rPr>
          <w:w w:val="100"/>
        </w:rPr>
        <w:t> </w:t>
      </w:r>
      <w:r>
        <w:rPr>
          <w:spacing w:val="-3"/>
        </w:rPr>
        <w:t>下，本着平等互利的原则，构建与供应商利益共享、合作共赢的战略合作关系。公司严格遵守商业道德和</w:t>
      </w:r>
      <w:r>
        <w:rPr/>
        <w:t> </w:t>
      </w:r>
      <w:r>
        <w:rPr/>
        <w:t>社会公德，制定了相关内控制度，严格监控和防范各类商业贿赂行为。</w:t>
      </w:r>
    </w:p>
    <w:p>
      <w:pPr>
        <w:pStyle w:val="BodyText"/>
        <w:spacing w:line="273" w:lineRule="auto" w:before="163"/>
        <w:ind w:right="221" w:firstLine="472"/>
        <w:jc w:val="both"/>
      </w:pPr>
      <w:r>
        <w:rPr>
          <w:spacing w:val="-4"/>
        </w:rPr>
        <w:t>与员工共享发展的成果作为公司的重要理念。公司严格按照《劳动法》、《劳动合同法》要求签订劳</w:t>
      </w:r>
      <w:r>
        <w:rPr>
          <w:w w:val="100"/>
        </w:rPr>
        <w:t> </w:t>
      </w:r>
      <w:r>
        <w:rPr>
          <w:spacing w:val="-3"/>
        </w:rPr>
        <w:t>动合同，尊重员工各项权利。按照国家相关规定为职工缴纳各项社会保险、公积金等。建立了较为完善的</w:t>
      </w:r>
      <w:r>
        <w:rPr/>
        <w:t> </w:t>
      </w:r>
      <w:r>
        <w:rPr/>
      </w:r>
      <w:r>
        <w:rPr>
          <w:spacing w:val="-3"/>
        </w:rPr>
        <w:t>绩效考核与调薪机制，提高员工积极性，绩效考核机制同时针对员工的能力合理定位，为员工发展提供了</w:t>
      </w:r>
      <w:r>
        <w:rPr>
          <w:spacing w:val="5"/>
        </w:rPr>
        <w:t> </w:t>
      </w:r>
      <w:r>
        <w:rPr>
          <w:spacing w:val="5"/>
        </w:rPr>
      </w:r>
      <w:r>
        <w:rPr>
          <w:spacing w:val="-3"/>
        </w:rPr>
        <w:t>广阔的前景。公司按时、足额的发放员工工资，逢重大节日提供额外补贴，开展丰富多彩的文艺活动，丰</w:t>
      </w:r>
      <w:r>
        <w:rPr>
          <w:spacing w:val="3"/>
        </w:rPr>
        <w:t> </w:t>
      </w:r>
      <w:r>
        <w:rPr>
          <w:spacing w:val="3"/>
        </w:rPr>
      </w:r>
      <w:r>
        <w:rPr/>
        <w:t>富员工的业余生活。</w:t>
      </w:r>
    </w:p>
    <w:p>
      <w:pPr>
        <w:pStyle w:val="BodyText"/>
        <w:spacing w:line="240" w:lineRule="auto" w:before="163"/>
        <w:ind w:left="572" w:right="0"/>
        <w:jc w:val="left"/>
      </w:pPr>
      <w:r>
        <w:rPr/>
        <w:t>（三）报告期内环保情况</w:t>
      </w:r>
    </w:p>
    <w:p>
      <w:pPr>
        <w:pStyle w:val="BodyText"/>
        <w:spacing w:line="460" w:lineRule="atLeast" w:before="24"/>
        <w:ind w:left="656" w:right="0" w:hanging="84"/>
        <w:jc w:val="left"/>
      </w:pPr>
      <w:r>
        <w:rPr>
          <w:rFonts w:ascii="Times New Roman" w:hAnsi="Times New Roman" w:cs="Times New Roman" w:eastAsia="Times New Roman" w:hint="default"/>
        </w:rPr>
        <w:t>1</w:t>
      </w:r>
      <w:r>
        <w:rPr/>
        <w:t>、主要污染物达标排放情况；</w:t>
      </w:r>
      <w:r>
        <w:rPr>
          <w:w w:val="100"/>
        </w:rPr>
        <w:t> </w:t>
      </w:r>
      <w:r>
        <w:rPr>
          <w:spacing w:val="-2"/>
        </w:rPr>
        <w:t>公司在生产经营活动中严格遵守国家有关环保的法律、法规及相关政策。公司</w:t>
      </w:r>
      <w:r>
        <w:rPr>
          <w:rFonts w:ascii="Times New Roman" w:hAnsi="Times New Roman" w:cs="Times New Roman" w:eastAsia="Times New Roman" w:hint="default"/>
          <w:spacing w:val="-2"/>
        </w:rPr>
        <w:t>2012</w:t>
      </w:r>
      <w:r>
        <w:rPr>
          <w:spacing w:val="-2"/>
        </w:rPr>
        <w:t>年度各类污染物</w:t>
      </w:r>
    </w:p>
    <w:p>
      <w:pPr>
        <w:pStyle w:val="BodyText"/>
        <w:spacing w:line="240" w:lineRule="auto" w:before="21"/>
        <w:ind w:right="0"/>
        <w:jc w:val="left"/>
      </w:pPr>
      <w:r>
        <w:rPr/>
        <w:t>均能做到</w:t>
      </w:r>
      <w:r>
        <w:rPr>
          <w:rFonts w:ascii="Times New Roman" w:hAnsi="Times New Roman" w:cs="Times New Roman" w:eastAsia="Times New Roman" w:hint="default"/>
        </w:rPr>
        <w:t>100%</w:t>
      </w:r>
      <w:r>
        <w:rPr/>
        <w:t>达标排放。</w:t>
      </w:r>
    </w:p>
    <w:p>
      <w:pPr>
        <w:pStyle w:val="BodyText"/>
        <w:spacing w:line="450" w:lineRule="atLeast" w:before="18"/>
        <w:ind w:left="572" w:right="0"/>
        <w:jc w:val="left"/>
      </w:pPr>
      <w:r>
        <w:rPr>
          <w:rFonts w:ascii="Times New Roman" w:hAnsi="Times New Roman" w:cs="Times New Roman" w:eastAsia="Times New Roman" w:hint="default"/>
        </w:rPr>
        <w:t>2</w:t>
      </w:r>
      <w:r>
        <w:rPr/>
        <w:t>、一般工业固体废物和危险废物依法处理处置情况</w:t>
      </w:r>
      <w:r>
        <w:rPr>
          <w:w w:val="100"/>
        </w:rPr>
        <w:t> </w:t>
      </w:r>
      <w:r>
        <w:rPr>
          <w:spacing w:val="-3"/>
        </w:rPr>
        <w:t>公司严格按照有关法律法规和公司制度管理固体废物。对于可以回收循环利用的材料，设置专人负责</w:t>
      </w:r>
    </w:p>
    <w:p>
      <w:pPr>
        <w:pStyle w:val="BodyText"/>
        <w:spacing w:line="273" w:lineRule="auto" w:before="37"/>
        <w:ind w:right="0"/>
        <w:jc w:val="left"/>
      </w:pPr>
      <w:r>
        <w:rPr>
          <w:spacing w:val="-3"/>
        </w:rPr>
        <w:t>废旧物资的回收和循环使用工作；公司生产过程中产生的一般固体废弃物主要有生产废包装材料包括包装</w:t>
      </w:r>
      <w:r>
        <w:rPr>
          <w:spacing w:val="4"/>
        </w:rPr>
        <w:t> </w:t>
      </w:r>
      <w:r>
        <w:rPr>
          <w:spacing w:val="4"/>
        </w:rPr>
      </w:r>
      <w:r>
        <w:rPr/>
        <w:t>纸箱，一般生活垃圾等。其它废包材等由废品回收公司回收；一般生活垃圾由环卫部门统一回收。</w:t>
      </w:r>
    </w:p>
    <w:p>
      <w:pPr>
        <w:pStyle w:val="BodyText"/>
        <w:spacing w:line="386" w:lineRule="auto" w:before="163"/>
        <w:ind w:left="625" w:right="595" w:hanging="53"/>
        <w:jc w:val="left"/>
      </w:pPr>
      <w:r>
        <w:rPr>
          <w:rFonts w:ascii="Times New Roman" w:hAnsi="Times New Roman" w:cs="Times New Roman" w:eastAsia="Times New Roman" w:hint="default"/>
        </w:rPr>
        <w:t>3</w:t>
      </w:r>
      <w:r>
        <w:rPr/>
        <w:t>、企业环保设施的建设和运营情况；</w:t>
      </w:r>
      <w:r>
        <w:rPr>
          <w:w w:val="100"/>
        </w:rPr>
        <w:t> </w:t>
      </w:r>
      <w:r>
        <w:rPr>
          <w:spacing w:val="-2"/>
        </w:rPr>
        <w:t>公司环保设施总体运行情况良好，节能减排工作有序进行。</w:t>
      </w:r>
    </w:p>
    <w:p>
      <w:pPr>
        <w:pStyle w:val="BodyText"/>
        <w:spacing w:line="273" w:lineRule="auto" w:before="65"/>
        <w:ind w:right="223" w:firstLine="420"/>
        <w:jc w:val="both"/>
      </w:pPr>
      <w:r>
        <w:rPr>
          <w:spacing w:val="-3"/>
        </w:rPr>
        <w:t>公司不断加强环保管理队伍建设，采取谁主管，谁负责；并建立环保工作领导责任追究制，以保证环</w:t>
      </w:r>
      <w:r>
        <w:rPr>
          <w:w w:val="100"/>
        </w:rPr>
        <w:t> </w:t>
      </w:r>
      <w:r>
        <w:rPr/>
        <w:t>保管理覆盖公司的每个部门。</w:t>
      </w:r>
    </w:p>
    <w:p>
      <w:pPr>
        <w:spacing w:line="240" w:lineRule="auto" w:before="8"/>
        <w:rPr>
          <w:rFonts w:ascii="宋体" w:hAnsi="宋体" w:cs="宋体" w:eastAsia="宋体" w:hint="default"/>
          <w:sz w:val="21"/>
          <w:szCs w:val="21"/>
        </w:rPr>
      </w:pPr>
    </w:p>
    <w:p>
      <w:pPr>
        <w:pStyle w:val="Heading2"/>
        <w:spacing w:line="240" w:lineRule="auto"/>
        <w:ind w:right="0"/>
        <w:jc w:val="left"/>
      </w:pPr>
      <w:r>
        <w:rPr/>
        <w:t>十五、报告期内接待调研、沟通、采访等活动登记表</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856"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w:t>
            </w:r>
            <w:r>
              <w:rPr>
                <w:rFonts w:ascii="宋体" w:hAnsi="宋体" w:cs="宋体" w:eastAsia="宋体" w:hint="default"/>
                <w:w w:val="100"/>
                <w:sz w:val="18"/>
                <w:szCs w:val="18"/>
              </w:rPr>
              <w:t> </w:t>
            </w:r>
            <w:r>
              <w:rPr>
                <w:rFonts w:ascii="宋体" w:hAnsi="宋体" w:cs="宋体" w:eastAsia="宋体" w:hint="default"/>
                <w:sz w:val="18"/>
                <w:szCs w:val="18"/>
              </w:rPr>
              <w:t>资料</w:t>
            </w: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公司经营情况、发展状况</w:t>
            </w:r>
          </w:p>
        </w:tc>
      </w:tr>
      <w:tr>
        <w:trPr>
          <w:trHeight w:val="317"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博时基金中信证券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及对行业前景的看法。未</w:t>
            </w:r>
          </w:p>
        </w:tc>
      </w:tr>
      <w:tr>
        <w:trPr>
          <w:trHeight w:val="355"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提供书面资料。</w:t>
            </w:r>
          </w:p>
        </w:tc>
      </w:tr>
      <w:tr>
        <w:trPr>
          <w:trHeight w:val="354"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公司基本情况；核心产品</w:t>
            </w:r>
          </w:p>
        </w:tc>
      </w:tr>
      <w:tr>
        <w:trPr>
          <w:trHeight w:val="311"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的竞争优势及市场情况；</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71"/>
              <w:jc w:val="left"/>
              <w:rPr>
                <w:rFonts w:ascii="宋体" w:hAnsi="宋体" w:cs="宋体" w:eastAsia="宋体" w:hint="default"/>
                <w:sz w:val="18"/>
                <w:szCs w:val="18"/>
              </w:rPr>
            </w:pPr>
            <w:r>
              <w:rPr>
                <w:rFonts w:ascii="宋体" w:hAnsi="宋体" w:cs="宋体" w:eastAsia="宋体" w:hint="default"/>
                <w:sz w:val="18"/>
                <w:szCs w:val="18"/>
              </w:rPr>
              <w:t>技术优势及核心竞争力；</w:t>
            </w:r>
            <w:r>
              <w:rPr>
                <w:rFonts w:ascii="宋体" w:hAnsi="宋体" w:cs="宋体" w:eastAsia="宋体" w:hint="default"/>
                <w:w w:val="100"/>
                <w:sz w:val="18"/>
                <w:szCs w:val="18"/>
              </w:rPr>
              <w:t> </w:t>
            </w:r>
            <w:r>
              <w:rPr>
                <w:rFonts w:ascii="宋体" w:hAnsi="宋体" w:cs="宋体" w:eastAsia="宋体" w:hint="default"/>
                <w:sz w:val="18"/>
                <w:szCs w:val="18"/>
              </w:rPr>
              <w:t>各产业竞争优势；公司未</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来发展规划。未提供书面</w:t>
            </w:r>
          </w:p>
        </w:tc>
      </w:tr>
      <w:tr>
        <w:trPr>
          <w:trHeight w:val="360"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资料。</w:t>
            </w:r>
          </w:p>
        </w:tc>
      </w:tr>
      <w:tr>
        <w:trPr>
          <w:trHeight w:val="40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公司经营情况、发展状况</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44"/>
        <w:ind w:left="0" w:right="153" w:firstLine="0"/>
        <w:jc w:val="right"/>
        <w:rPr>
          <w:rFonts w:ascii="宋体" w:hAnsi="宋体" w:cs="宋体" w:eastAsia="宋体" w:hint="default"/>
          <w:sz w:val="18"/>
          <w:szCs w:val="18"/>
        </w:rPr>
      </w:pPr>
      <w:r>
        <w:rPr/>
        <w:pict>
          <v:shape style="position:absolute;margin-left:56.39904pt;margin-top:-331.088226pt;width:479.2pt;height:386.6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674"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71"/>
                          <w:jc w:val="left"/>
                          <w:rPr>
                            <w:rFonts w:ascii="宋体" w:hAnsi="宋体" w:cs="宋体" w:eastAsia="宋体" w:hint="default"/>
                            <w:sz w:val="18"/>
                            <w:szCs w:val="18"/>
                          </w:rPr>
                        </w:pPr>
                        <w:r>
                          <w:rPr>
                            <w:rFonts w:ascii="宋体" w:hAnsi="宋体" w:cs="宋体" w:eastAsia="宋体" w:hint="default"/>
                            <w:sz w:val="18"/>
                            <w:szCs w:val="18"/>
                          </w:rPr>
                          <w:t>及对行业前景的看法。未</w:t>
                        </w:r>
                        <w:r>
                          <w:rPr>
                            <w:rFonts w:ascii="宋体" w:hAnsi="宋体" w:cs="宋体" w:eastAsia="宋体" w:hint="default"/>
                            <w:w w:val="100"/>
                            <w:sz w:val="18"/>
                            <w:szCs w:val="18"/>
                          </w:rPr>
                          <w:t> </w:t>
                        </w:r>
                        <w:r>
                          <w:rPr>
                            <w:rFonts w:ascii="宋体" w:hAnsi="宋体" w:cs="宋体" w:eastAsia="宋体" w:hint="default"/>
                            <w:sz w:val="18"/>
                            <w:szCs w:val="18"/>
                          </w:rPr>
                          <w:t>提供书面资料。</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公司二季度生产经营情</w:t>
                        </w:r>
                        <w:r>
                          <w:rPr>
                            <w:rFonts w:ascii="宋体" w:hAnsi="宋体" w:cs="宋体" w:eastAsia="宋体" w:hint="default"/>
                            <w:w w:val="100"/>
                            <w:sz w:val="18"/>
                            <w:szCs w:val="18"/>
                          </w:rPr>
                          <w:t> </w:t>
                        </w:r>
                        <w:r>
                          <w:rPr>
                            <w:rFonts w:ascii="宋体" w:hAnsi="宋体" w:cs="宋体" w:eastAsia="宋体" w:hint="default"/>
                            <w:sz w:val="18"/>
                            <w:szCs w:val="18"/>
                          </w:rPr>
                          <w:t>况；募投项目进展情况。</w:t>
                        </w:r>
                        <w:r>
                          <w:rPr>
                            <w:rFonts w:ascii="宋体" w:hAnsi="宋体" w:cs="宋体" w:eastAsia="宋体" w:hint="default"/>
                            <w:w w:val="100"/>
                            <w:sz w:val="18"/>
                            <w:szCs w:val="18"/>
                          </w:rPr>
                          <w:t> </w:t>
                        </w:r>
                        <w:r>
                          <w:rPr>
                            <w:rFonts w:ascii="宋体" w:hAnsi="宋体" w:cs="宋体" w:eastAsia="宋体" w:hint="default"/>
                            <w:sz w:val="18"/>
                            <w:szCs w:val="18"/>
                          </w:rPr>
                          <w:t>未提供书面资料。</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公司基本情况。未提供书</w:t>
                        </w:r>
                        <w:r>
                          <w:rPr>
                            <w:rFonts w:ascii="宋体" w:hAnsi="宋体" w:cs="宋体" w:eastAsia="宋体" w:hint="default"/>
                            <w:w w:val="100"/>
                            <w:sz w:val="18"/>
                            <w:szCs w:val="18"/>
                          </w:rPr>
                          <w:t> </w:t>
                        </w:r>
                        <w:r>
                          <w:rPr>
                            <w:rFonts w:ascii="宋体" w:hAnsi="宋体" w:cs="宋体" w:eastAsia="宋体" w:hint="default"/>
                            <w:sz w:val="18"/>
                            <w:szCs w:val="18"/>
                          </w:rPr>
                          <w:t>面资料。</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募投项目进展情况。未提</w:t>
                        </w:r>
                        <w:r>
                          <w:rPr>
                            <w:rFonts w:ascii="宋体" w:hAnsi="宋体" w:cs="宋体" w:eastAsia="宋体" w:hint="default"/>
                            <w:w w:val="100"/>
                            <w:sz w:val="18"/>
                            <w:szCs w:val="18"/>
                          </w:rPr>
                          <w:t> </w:t>
                        </w:r>
                        <w:r>
                          <w:rPr>
                            <w:rFonts w:ascii="宋体" w:hAnsi="宋体" w:cs="宋体" w:eastAsia="宋体" w:hint="default"/>
                            <w:sz w:val="18"/>
                            <w:szCs w:val="18"/>
                          </w:rPr>
                          <w:t>供书面资料。</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新华资产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1"/>
                          <w:jc w:val="both"/>
                          <w:rPr>
                            <w:rFonts w:ascii="宋体" w:hAnsi="宋体" w:cs="宋体" w:eastAsia="宋体" w:hint="default"/>
                            <w:sz w:val="18"/>
                            <w:szCs w:val="18"/>
                          </w:rPr>
                        </w:pPr>
                        <w:r>
                          <w:rPr>
                            <w:rFonts w:ascii="宋体" w:hAnsi="宋体" w:cs="宋体" w:eastAsia="宋体" w:hint="default"/>
                            <w:sz w:val="18"/>
                            <w:szCs w:val="18"/>
                          </w:rPr>
                          <w:t>公司经营情况、发展状况</w:t>
                        </w:r>
                        <w:r>
                          <w:rPr>
                            <w:rFonts w:ascii="宋体" w:hAnsi="宋体" w:cs="宋体" w:eastAsia="宋体" w:hint="default"/>
                            <w:w w:val="100"/>
                            <w:sz w:val="18"/>
                            <w:szCs w:val="18"/>
                          </w:rPr>
                          <w:t> </w:t>
                        </w:r>
                        <w:r>
                          <w:rPr>
                            <w:rFonts w:ascii="宋体" w:hAnsi="宋体" w:cs="宋体" w:eastAsia="宋体" w:hint="default"/>
                            <w:sz w:val="18"/>
                            <w:szCs w:val="18"/>
                          </w:rPr>
                          <w:t>及对行业前景的看法。未</w:t>
                        </w:r>
                        <w:r>
                          <w:rPr>
                            <w:rFonts w:ascii="宋体" w:hAnsi="宋体" w:cs="宋体" w:eastAsia="宋体" w:hint="default"/>
                            <w:w w:val="100"/>
                            <w:sz w:val="18"/>
                            <w:szCs w:val="18"/>
                          </w:rPr>
                          <w:t> </w:t>
                        </w:r>
                        <w:r>
                          <w:rPr>
                            <w:rFonts w:ascii="宋体" w:hAnsi="宋体" w:cs="宋体" w:eastAsia="宋体" w:hint="default"/>
                            <w:sz w:val="18"/>
                            <w:szCs w:val="18"/>
                          </w:rPr>
                          <w:t>提供书面资料。</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公司经营情况。未提供书</w:t>
                        </w:r>
                        <w:r>
                          <w:rPr>
                            <w:rFonts w:ascii="宋体" w:hAnsi="宋体" w:cs="宋体" w:eastAsia="宋体" w:hint="default"/>
                            <w:w w:val="100"/>
                            <w:sz w:val="18"/>
                            <w:szCs w:val="18"/>
                          </w:rPr>
                          <w:t> </w:t>
                        </w:r>
                        <w:r>
                          <w:rPr>
                            <w:rFonts w:ascii="宋体" w:hAnsi="宋体" w:cs="宋体" w:eastAsia="宋体" w:hint="default"/>
                            <w:sz w:val="18"/>
                            <w:szCs w:val="18"/>
                          </w:rPr>
                          <w:t>面资料。</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51"/>
                          <w:jc w:val="left"/>
                          <w:rPr>
                            <w:rFonts w:ascii="宋体" w:hAnsi="宋体" w:cs="宋体" w:eastAsia="宋体" w:hint="default"/>
                            <w:sz w:val="18"/>
                            <w:szCs w:val="18"/>
                          </w:rPr>
                        </w:pPr>
                        <w:r>
                          <w:rPr>
                            <w:rFonts w:ascii="宋体" w:hAnsi="宋体" w:cs="宋体" w:eastAsia="宋体" w:hint="default"/>
                            <w:sz w:val="18"/>
                            <w:szCs w:val="18"/>
                          </w:rPr>
                          <w:t>公司三季度生产经营情</w:t>
                        </w:r>
                        <w:r>
                          <w:rPr>
                            <w:rFonts w:ascii="宋体" w:hAnsi="宋体" w:cs="宋体" w:eastAsia="宋体" w:hint="default"/>
                            <w:w w:val="100"/>
                            <w:sz w:val="18"/>
                            <w:szCs w:val="18"/>
                          </w:rPr>
                          <w:t> </w:t>
                        </w:r>
                        <w:r>
                          <w:rPr>
                            <w:rFonts w:ascii="宋体" w:hAnsi="宋体" w:cs="宋体" w:eastAsia="宋体" w:hint="default"/>
                            <w:sz w:val="18"/>
                            <w:szCs w:val="18"/>
                          </w:rPr>
                          <w:t>况。未提供书面资料。</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51"/>
                          <w:jc w:val="left"/>
                          <w:rPr>
                            <w:rFonts w:ascii="宋体" w:hAnsi="宋体" w:cs="宋体" w:eastAsia="宋体" w:hint="default"/>
                            <w:sz w:val="18"/>
                            <w:szCs w:val="18"/>
                          </w:rPr>
                        </w:pPr>
                        <w:r>
                          <w:rPr>
                            <w:rFonts w:ascii="宋体" w:hAnsi="宋体" w:cs="宋体" w:eastAsia="宋体" w:hint="default"/>
                            <w:sz w:val="18"/>
                            <w:szCs w:val="18"/>
                          </w:rPr>
                          <w:t>公司三季度生产经营情</w:t>
                        </w:r>
                        <w:r>
                          <w:rPr>
                            <w:rFonts w:ascii="宋体" w:hAnsi="宋体" w:cs="宋体" w:eastAsia="宋体" w:hint="default"/>
                            <w:w w:val="100"/>
                            <w:sz w:val="18"/>
                            <w:szCs w:val="18"/>
                          </w:rPr>
                          <w:t> </w:t>
                        </w:r>
                        <w:r>
                          <w:rPr>
                            <w:rFonts w:ascii="宋体" w:hAnsi="宋体" w:cs="宋体" w:eastAsia="宋体" w:hint="default"/>
                            <w:sz w:val="18"/>
                            <w:szCs w:val="18"/>
                          </w:rPr>
                          <w:t>况。未提供书面资料。</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公司生产经营情况，行情</w:t>
                        </w:r>
                        <w:r>
                          <w:rPr>
                            <w:rFonts w:ascii="宋体" w:hAnsi="宋体" w:cs="宋体" w:eastAsia="宋体" w:hint="default"/>
                            <w:w w:val="100"/>
                            <w:sz w:val="18"/>
                            <w:szCs w:val="18"/>
                          </w:rPr>
                          <w:t> </w:t>
                        </w:r>
                        <w:r>
                          <w:rPr>
                            <w:rFonts w:ascii="宋体" w:hAnsi="宋体" w:cs="宋体" w:eastAsia="宋体" w:hint="default"/>
                            <w:spacing w:val="-5"/>
                            <w:sz w:val="18"/>
                            <w:szCs w:val="18"/>
                          </w:rPr>
                          <w:t>的咨询。未提供书面资料</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公司募投项目进展情况。</w:t>
                        </w:r>
                        <w:r>
                          <w:rPr>
                            <w:rFonts w:ascii="宋体" w:hAnsi="宋体" w:cs="宋体" w:eastAsia="宋体" w:hint="default"/>
                            <w:w w:val="100"/>
                            <w:sz w:val="18"/>
                            <w:szCs w:val="18"/>
                          </w:rPr>
                          <w:t> </w:t>
                        </w:r>
                        <w:r>
                          <w:rPr>
                            <w:rFonts w:ascii="宋体" w:hAnsi="宋体" w:cs="宋体" w:eastAsia="宋体" w:hint="default"/>
                            <w:sz w:val="18"/>
                            <w:szCs w:val="18"/>
                          </w:rPr>
                          <w:t>未提供书面资料。</w:t>
                        </w:r>
                      </w:p>
                    </w:tc>
                  </w:tr>
                </w:tbl>
                <w:p>
                  <w:pPr/>
                </w:p>
              </w:txbxContent>
            </v:textbox>
            <w10:wrap type="none"/>
          </v:shape>
        </w:pict>
      </w:r>
      <w:r>
        <w:rPr>
          <w:rFonts w:ascii="宋体" w:hAnsi="宋体" w:cs="宋体" w:eastAsia="宋体" w:hint="default"/>
          <w:w w:val="100"/>
          <w:sz w:val="18"/>
          <w:szCs w:val="18"/>
        </w:rPr>
        <w:t>。</w:t>
      </w:r>
    </w:p>
    <w:p>
      <w:pPr>
        <w:spacing w:after="0"/>
        <w:jc w:val="right"/>
        <w:rPr>
          <w:rFonts w:ascii="宋体" w:hAnsi="宋体" w:cs="宋体" w:eastAsia="宋体" w:hint="default"/>
          <w:sz w:val="18"/>
          <w:szCs w:val="1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812"/>
        <w:jc w:val="center"/>
      </w:pPr>
      <w:bookmarkStart w:name="_TOC_250006" w:id="5"/>
      <w:r>
        <w:rPr/>
        <w:t>第五节</w:t>
      </w:r>
      <w:r>
        <w:rPr>
          <w:spacing w:val="7"/>
        </w:rPr>
        <w:t> </w:t>
      </w:r>
      <w:bookmarkEnd w:id="5"/>
      <w:r>
        <w:rPr/>
        <w:t>重要事项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145"/>
        <w:jc w:val="left"/>
      </w:pPr>
      <w:r>
        <w:rPr/>
        <w:t>一、重大诉讼仲裁事项</w:t>
      </w:r>
    </w:p>
    <w:p>
      <w:pPr>
        <w:spacing w:line="240" w:lineRule="auto" w:before="4"/>
        <w:rPr>
          <w:rFonts w:ascii="宋体" w:hAnsi="宋体" w:cs="宋体" w:eastAsia="宋体" w:hint="default"/>
          <w:sz w:val="26"/>
          <w:szCs w:val="26"/>
        </w:rPr>
      </w:pPr>
    </w:p>
    <w:p>
      <w:pPr>
        <w:spacing w:line="348" w:lineRule="auto" w:before="0"/>
        <w:ind w:left="152" w:right="61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w w:val="100"/>
          <w:sz w:val="18"/>
          <w:szCs w:val="18"/>
        </w:rPr>
        <w:t> </w:t>
      </w:r>
      <w:r>
        <w:rPr>
          <w:rFonts w:ascii="宋体" w:hAnsi="宋体" w:cs="宋体" w:eastAsia="宋体" w:hint="default"/>
          <w:spacing w:val="-1"/>
          <w:sz w:val="18"/>
          <w:szCs w:val="18"/>
        </w:rPr>
        <w:t>本年度公司无重大诉讼、仲裁事项。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媒体质疑情况</w:t>
      </w:r>
    </w:p>
    <w:p>
      <w:pPr>
        <w:spacing w:line="340" w:lineRule="auto" w:before="36"/>
        <w:ind w:left="152" w:right="74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w w:val="100"/>
          <w:sz w:val="18"/>
          <w:szCs w:val="18"/>
        </w:rPr>
        <w:t> </w:t>
      </w:r>
      <w:r>
        <w:rPr>
          <w:rFonts w:ascii="宋体" w:hAnsi="宋体" w:cs="宋体" w:eastAsia="宋体" w:hint="default"/>
          <w:spacing w:val="-1"/>
          <w:sz w:val="18"/>
          <w:szCs w:val="18"/>
        </w:rPr>
        <w:t>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45"/>
        <w:jc w:val="left"/>
      </w:pPr>
      <w:r>
        <w:rPr/>
        <w:t>二、上市公司发生控股股东及其关联方非经营性占用资金情况</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947"/>
        <w:gridCol w:w="968"/>
        <w:gridCol w:w="958"/>
        <w:gridCol w:w="958"/>
        <w:gridCol w:w="958"/>
        <w:gridCol w:w="956"/>
        <w:gridCol w:w="956"/>
        <w:gridCol w:w="955"/>
        <w:gridCol w:w="958"/>
        <w:gridCol w:w="958"/>
      </w:tblGrid>
      <w:tr>
        <w:trPr>
          <w:trHeight w:val="125" w:hRule="exact"/>
        </w:trPr>
        <w:tc>
          <w:tcPr>
            <w:tcW w:w="947" w:type="dxa"/>
            <w:tcBorders>
              <w:top w:val="single" w:sz="4" w:space="0" w:color="000000"/>
              <w:left w:val="single" w:sz="4" w:space="0" w:color="000000"/>
              <w:bottom w:val="nil" w:sz="6" w:space="0" w:color="auto"/>
              <w:right w:val="single" w:sz="4" w:space="0" w:color="000000"/>
            </w:tcBorders>
            <w:shd w:val="clear" w:color="auto" w:fill="D3D3D3"/>
          </w:tcPr>
          <w:p>
            <w:pPr/>
          </w:p>
        </w:tc>
        <w:tc>
          <w:tcPr>
            <w:tcW w:w="968" w:type="dxa"/>
            <w:vMerge w:val="restart"/>
            <w:tcBorders>
              <w:top w:val="single" w:sz="4" w:space="0" w:color="000000"/>
              <w:left w:val="single" w:sz="4" w:space="0" w:color="000000"/>
              <w:right w:val="single" w:sz="4" w:space="0" w:color="000000"/>
            </w:tcBorders>
            <w:shd w:val="clear" w:color="auto" w:fill="D3D3D3"/>
          </w:tcPr>
          <w:p>
            <w:pPr/>
          </w:p>
        </w:tc>
        <w:tc>
          <w:tcPr>
            <w:tcW w:w="958" w:type="dxa"/>
            <w:vMerge w:val="restart"/>
            <w:tcBorders>
              <w:top w:val="single" w:sz="4" w:space="0" w:color="000000"/>
              <w:left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247" w:lineRule="auto" w:before="20"/>
              <w:ind w:left="112" w:right="21" w:hanging="89"/>
              <w:jc w:val="left"/>
              <w:rPr>
                <w:rFonts w:ascii="宋体" w:hAnsi="宋体" w:cs="宋体" w:eastAsia="宋体" w:hint="default"/>
                <w:sz w:val="18"/>
                <w:szCs w:val="18"/>
              </w:rPr>
            </w:pPr>
            <w:r>
              <w:rPr>
                <w:rFonts w:ascii="宋体" w:hAnsi="宋体" w:cs="宋体" w:eastAsia="宋体" w:hint="default"/>
                <w:sz w:val="18"/>
                <w:szCs w:val="18"/>
              </w:rPr>
              <w:t>报告期新增</w:t>
            </w:r>
            <w:r>
              <w:rPr>
                <w:rFonts w:ascii="宋体" w:hAnsi="宋体" w:cs="宋体" w:eastAsia="宋体" w:hint="default"/>
                <w:w w:val="100"/>
                <w:sz w:val="18"/>
                <w:szCs w:val="18"/>
              </w:rPr>
              <w:t> </w:t>
            </w:r>
            <w:r>
              <w:rPr>
                <w:rFonts w:ascii="宋体" w:hAnsi="宋体" w:cs="宋体" w:eastAsia="宋体" w:hint="default"/>
                <w:sz w:val="18"/>
                <w:szCs w:val="18"/>
              </w:rPr>
              <w:t>占用金额</w:t>
            </w:r>
          </w:p>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0"/>
              <w:ind w:left="21" w:right="22"/>
              <w:jc w:val="center"/>
              <w:rPr>
                <w:rFonts w:ascii="宋体" w:hAnsi="宋体" w:cs="宋体" w:eastAsia="宋体" w:hint="default"/>
                <w:sz w:val="18"/>
                <w:szCs w:val="18"/>
              </w:rPr>
            </w:pPr>
            <w:r>
              <w:rPr>
                <w:rFonts w:ascii="宋体" w:hAnsi="宋体" w:cs="宋体" w:eastAsia="宋体" w:hint="default"/>
                <w:sz w:val="18"/>
                <w:szCs w:val="18"/>
              </w:rPr>
              <w:t>报告期偿还</w:t>
            </w:r>
            <w:r>
              <w:rPr>
                <w:rFonts w:ascii="宋体" w:hAnsi="宋体" w:cs="宋体" w:eastAsia="宋体" w:hint="default"/>
                <w:w w:val="100"/>
                <w:sz w:val="18"/>
                <w:szCs w:val="18"/>
              </w:rPr>
              <w:t> </w:t>
            </w:r>
            <w:r>
              <w:rPr>
                <w:rFonts w:ascii="宋体" w:hAnsi="宋体" w:cs="宋体" w:eastAsia="宋体" w:hint="default"/>
                <w:sz w:val="18"/>
                <w:szCs w:val="18"/>
              </w:rPr>
              <w:t>总金额（万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0" w:hRule="exact"/>
        </w:trPr>
        <w:tc>
          <w:tcPr>
            <w:tcW w:w="947"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0"/>
              <w:ind w:left="204" w:right="10" w:hanging="180"/>
              <w:jc w:val="left"/>
              <w:rPr>
                <w:rFonts w:ascii="宋体" w:hAnsi="宋体" w:cs="宋体" w:eastAsia="宋体" w:hint="default"/>
                <w:sz w:val="18"/>
                <w:szCs w:val="18"/>
              </w:rPr>
            </w:pPr>
            <w:r>
              <w:rPr>
                <w:rFonts w:ascii="宋体" w:hAnsi="宋体" w:cs="宋体" w:eastAsia="宋体" w:hint="default"/>
                <w:sz w:val="18"/>
                <w:szCs w:val="18"/>
              </w:rPr>
              <w:t>股东或关联</w:t>
            </w:r>
            <w:r>
              <w:rPr>
                <w:rFonts w:ascii="宋体" w:hAnsi="宋体" w:cs="宋体" w:eastAsia="宋体" w:hint="default"/>
                <w:w w:val="100"/>
                <w:sz w:val="18"/>
                <w:szCs w:val="18"/>
              </w:rPr>
              <w:t> </w:t>
            </w:r>
            <w:r>
              <w:rPr>
                <w:rFonts w:ascii="宋体" w:hAnsi="宋体" w:cs="宋体" w:eastAsia="宋体" w:hint="default"/>
                <w:sz w:val="18"/>
                <w:szCs w:val="18"/>
              </w:rPr>
              <w:t>人名称</w:t>
            </w:r>
          </w:p>
        </w:tc>
        <w:tc>
          <w:tcPr>
            <w:tcW w:w="968" w:type="dxa"/>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0"/>
              <w:ind w:left="292" w:right="23" w:hanging="272"/>
              <w:jc w:val="left"/>
              <w:rPr>
                <w:rFonts w:ascii="宋体" w:hAnsi="宋体" w:cs="宋体" w:eastAsia="宋体" w:hint="default"/>
                <w:sz w:val="18"/>
                <w:szCs w:val="18"/>
              </w:rPr>
            </w:pPr>
            <w:r>
              <w:rPr>
                <w:rFonts w:ascii="宋体" w:hAnsi="宋体" w:cs="宋体" w:eastAsia="宋体" w:hint="default"/>
                <w:sz w:val="18"/>
                <w:szCs w:val="18"/>
              </w:rPr>
              <w:t>期初数（万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95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6"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0"/>
              <w:ind w:left="294" w:right="19" w:hanging="269"/>
              <w:jc w:val="left"/>
              <w:rPr>
                <w:rFonts w:ascii="宋体" w:hAnsi="宋体" w:cs="宋体" w:eastAsia="宋体" w:hint="default"/>
                <w:sz w:val="18"/>
                <w:szCs w:val="18"/>
              </w:rPr>
            </w:pPr>
            <w:r>
              <w:rPr>
                <w:rFonts w:ascii="宋体" w:hAnsi="宋体" w:cs="宋体" w:eastAsia="宋体" w:hint="default"/>
                <w:sz w:val="18"/>
                <w:szCs w:val="18"/>
              </w:rPr>
              <w:t>期末数（万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955"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0"/>
              <w:ind w:left="384" w:right="19" w:hanging="360"/>
              <w:jc w:val="left"/>
              <w:rPr>
                <w:rFonts w:ascii="宋体" w:hAnsi="宋体" w:cs="宋体" w:eastAsia="宋体" w:hint="default"/>
                <w:sz w:val="18"/>
                <w:szCs w:val="18"/>
              </w:rPr>
            </w:pPr>
            <w:r>
              <w:rPr>
                <w:rFonts w:ascii="宋体" w:hAnsi="宋体" w:cs="宋体" w:eastAsia="宋体" w:hint="default"/>
                <w:sz w:val="18"/>
                <w:szCs w:val="18"/>
              </w:rPr>
              <w:t>预计偿还方</w:t>
            </w:r>
            <w:r>
              <w:rPr>
                <w:rFonts w:ascii="宋体" w:hAnsi="宋体" w:cs="宋体" w:eastAsia="宋体" w:hint="default"/>
                <w:w w:val="100"/>
                <w:sz w:val="18"/>
                <w:szCs w:val="18"/>
              </w:rPr>
              <w:t> </w:t>
            </w:r>
            <w:r>
              <w:rPr>
                <w:rFonts w:ascii="宋体" w:hAnsi="宋体" w:cs="宋体" w:eastAsia="宋体" w:hint="default"/>
                <w:sz w:val="18"/>
                <w:szCs w:val="18"/>
              </w:rPr>
              <w:t>式</w:t>
            </w: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0"/>
              <w:ind w:left="24" w:right="21"/>
              <w:jc w:val="left"/>
              <w:rPr>
                <w:rFonts w:ascii="宋体" w:hAnsi="宋体" w:cs="宋体" w:eastAsia="宋体" w:hint="default"/>
                <w:sz w:val="18"/>
                <w:szCs w:val="18"/>
              </w:rPr>
            </w:pPr>
            <w:r>
              <w:rPr>
                <w:rFonts w:ascii="宋体" w:hAnsi="宋体" w:cs="宋体" w:eastAsia="宋体" w:hint="default"/>
                <w:sz w:val="18"/>
                <w:szCs w:val="18"/>
              </w:rPr>
              <w:t>预计偿还金</w:t>
            </w:r>
            <w:r>
              <w:rPr>
                <w:rFonts w:ascii="宋体" w:hAnsi="宋体" w:cs="宋体" w:eastAsia="宋体" w:hint="default"/>
                <w:w w:val="100"/>
                <w:sz w:val="18"/>
                <w:szCs w:val="18"/>
              </w:rPr>
              <w:t> </w:t>
            </w:r>
            <w:r>
              <w:rPr>
                <w:rFonts w:ascii="宋体" w:hAnsi="宋体" w:cs="宋体" w:eastAsia="宋体" w:hint="default"/>
                <w:sz w:val="18"/>
                <w:szCs w:val="18"/>
              </w:rPr>
              <w:t>额（万元）</w:t>
            </w: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0"/>
              <w:ind w:left="21" w:right="23"/>
              <w:jc w:val="left"/>
              <w:rPr>
                <w:rFonts w:ascii="宋体" w:hAnsi="宋体" w:cs="宋体" w:eastAsia="宋体" w:hint="default"/>
                <w:sz w:val="18"/>
                <w:szCs w:val="18"/>
              </w:rPr>
            </w:pPr>
            <w:r>
              <w:rPr>
                <w:rFonts w:ascii="宋体" w:hAnsi="宋体" w:cs="宋体" w:eastAsia="宋体" w:hint="default"/>
                <w:sz w:val="18"/>
                <w:szCs w:val="18"/>
              </w:rPr>
              <w:t>预计偿还时</w:t>
            </w:r>
            <w:r>
              <w:rPr>
                <w:rFonts w:ascii="宋体" w:hAnsi="宋体" w:cs="宋体" w:eastAsia="宋体" w:hint="default"/>
                <w:w w:val="100"/>
                <w:sz w:val="18"/>
                <w:szCs w:val="18"/>
              </w:rPr>
              <w:t> </w:t>
            </w:r>
            <w:r>
              <w:rPr>
                <w:rFonts w:ascii="宋体" w:hAnsi="宋体" w:cs="宋体" w:eastAsia="宋体" w:hint="default"/>
                <w:sz w:val="18"/>
                <w:szCs w:val="18"/>
              </w:rPr>
              <w:t>间（月份）</w:t>
            </w:r>
          </w:p>
        </w:tc>
      </w:tr>
      <w:tr>
        <w:trPr>
          <w:trHeight w:val="322" w:hRule="exact"/>
        </w:trPr>
        <w:tc>
          <w:tcPr>
            <w:tcW w:w="947" w:type="dxa"/>
            <w:vMerge/>
            <w:tcBorders>
              <w:left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5"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r>
      <w:tr>
        <w:trPr>
          <w:trHeight w:val="244" w:hRule="exact"/>
        </w:trPr>
        <w:tc>
          <w:tcPr>
            <w:tcW w:w="947" w:type="dxa"/>
            <w:vMerge/>
            <w:tcBorders>
              <w:left w:val="single" w:sz="4" w:space="0" w:color="000000"/>
              <w:bottom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5"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r>
      <w:tr>
        <w:trPr>
          <w:trHeight w:val="329"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8" w:space="0" w:color="D3D3D3"/>
              <w:left w:val="single" w:sz="12" w:space="0" w:color="D3D3D3"/>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w w:val="100"/>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100"/>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4"/>
              <w:jc w:val="right"/>
              <w:rPr>
                <w:rFonts w:ascii="Times New Roman" w:hAnsi="Times New Roman" w:cs="Times New Roman" w:eastAsia="Times New Roman" w:hint="default"/>
                <w:sz w:val="18"/>
                <w:szCs w:val="18"/>
              </w:rPr>
            </w:pPr>
            <w:r>
              <w:rPr>
                <w:rFonts w:ascii="Times New Roman"/>
                <w:w w:val="100"/>
                <w:sz w:val="18"/>
              </w:rPr>
              <w:t>0</w:t>
            </w:r>
          </w:p>
        </w:tc>
        <w:tc>
          <w:tcPr>
            <w:tcW w:w="956" w:type="dxa"/>
            <w:tcBorders>
              <w:top w:val="single" w:sz="48" w:space="0" w:color="D3D3D3"/>
              <w:left w:val="single" w:sz="4" w:space="0" w:color="000000"/>
              <w:bottom w:val="single" w:sz="4" w:space="0" w:color="000000"/>
              <w:right w:val="single" w:sz="13" w:space="0" w:color="D3D3D3"/>
            </w:tcBorders>
          </w:tcPr>
          <w:p>
            <w:pPr>
              <w:pStyle w:val="TableParagraph"/>
              <w:spacing w:line="240" w:lineRule="auto" w:before="7"/>
              <w:ind w:right="8"/>
              <w:jc w:val="right"/>
              <w:rPr>
                <w:rFonts w:ascii="Times New Roman" w:hAnsi="Times New Roman" w:cs="Times New Roman" w:eastAsia="Times New Roman" w:hint="default"/>
                <w:sz w:val="18"/>
                <w:szCs w:val="18"/>
              </w:rPr>
            </w:pPr>
            <w:r>
              <w:rPr>
                <w:rFonts w:ascii="Times New Roman"/>
                <w:w w:val="100"/>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8" w:space="0" w:color="D3D3D3"/>
              <w:left w:val="single" w:sz="12" w:space="0" w:color="D3D3D3"/>
              <w:bottom w:val="single" w:sz="4" w:space="0" w:color="000000"/>
              <w:right w:val="single" w:sz="12" w:space="0" w:color="D3D3D3"/>
            </w:tcBorders>
          </w:tcPr>
          <w:p>
            <w:pPr>
              <w:pStyle w:val="TableParagraph"/>
              <w:spacing w:line="240" w:lineRule="auto" w:before="7"/>
              <w:ind w:right="12"/>
              <w:jc w:val="right"/>
              <w:rPr>
                <w:rFonts w:ascii="Times New Roman" w:hAnsi="Times New Roman" w:cs="Times New Roman" w:eastAsia="Times New Roman" w:hint="default"/>
                <w:sz w:val="18"/>
                <w:szCs w:val="18"/>
              </w:rPr>
            </w:pPr>
            <w:r>
              <w:rPr>
                <w:rFonts w:ascii="Times New Roman"/>
                <w:w w:val="100"/>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468" w:lineRule="auto" w:before="26"/>
        <w:ind w:right="6183"/>
        <w:jc w:val="left"/>
      </w:pPr>
      <w:r>
        <w:rPr/>
        <w:t>三、破产重整相关事项</w:t>
      </w:r>
      <w:r>
        <w:rPr>
          <w:spacing w:val="-115"/>
        </w:rPr>
        <w:t> </w:t>
      </w:r>
      <w:r>
        <w:rPr>
          <w:spacing w:val="-115"/>
        </w:rPr>
      </w:r>
      <w:r>
        <w:rPr>
          <w:spacing w:val="-1"/>
        </w:rPr>
        <w:t>报告期内，公司无破产重整事项。</w:t>
      </w:r>
      <w:r>
        <w:rPr>
          <w:spacing w:val="-110"/>
        </w:rPr>
        <w:t> </w:t>
      </w:r>
      <w:r>
        <w:rPr>
          <w:spacing w:val="-110"/>
        </w:rPr>
      </w:r>
      <w:r>
        <w:rPr/>
        <w:t>四、资产交易事项</w:t>
      </w:r>
    </w:p>
    <w:p>
      <w:pPr>
        <w:pStyle w:val="BodyText"/>
        <w:spacing w:line="240" w:lineRule="auto" w:before="95"/>
        <w:ind w:right="145"/>
        <w:jc w:val="left"/>
      </w:pPr>
      <w:r>
        <w:rPr>
          <w:rFonts w:ascii="Times New Roman" w:hAnsi="Times New Roman" w:cs="Times New Roman" w:eastAsia="Times New Roman" w:hint="default"/>
          <w:b/>
          <w:bCs/>
        </w:rPr>
        <w:t>1</w:t>
      </w:r>
      <w:r>
        <w:rPr/>
        <w:t>、收购资产情况</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749"/>
        <w:gridCol w:w="751"/>
        <w:gridCol w:w="749"/>
        <w:gridCol w:w="451"/>
        <w:gridCol w:w="1512"/>
        <w:gridCol w:w="1548"/>
        <w:gridCol w:w="900"/>
        <w:gridCol w:w="900"/>
        <w:gridCol w:w="900"/>
        <w:gridCol w:w="540"/>
        <w:gridCol w:w="569"/>
      </w:tblGrid>
      <w:tr>
        <w:trPr>
          <w:trHeight w:val="1961" w:hRule="exact"/>
        </w:trPr>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95"/>
              <w:jc w:val="center"/>
              <w:rPr>
                <w:rFonts w:ascii="宋体" w:hAnsi="宋体" w:cs="宋体" w:eastAsia="宋体" w:hint="default"/>
                <w:sz w:val="18"/>
                <w:szCs w:val="18"/>
              </w:rPr>
            </w:pPr>
            <w:r>
              <w:rPr>
                <w:rFonts w:ascii="宋体" w:hAnsi="宋体" w:cs="宋体" w:eastAsia="宋体" w:hint="default"/>
                <w:sz w:val="18"/>
                <w:szCs w:val="18"/>
              </w:rPr>
              <w:t>交易对</w:t>
            </w:r>
            <w:r>
              <w:rPr>
                <w:rFonts w:ascii="宋体" w:hAnsi="宋体" w:cs="宋体" w:eastAsia="宋体" w:hint="default"/>
                <w:w w:val="100"/>
                <w:sz w:val="18"/>
                <w:szCs w:val="18"/>
              </w:rPr>
              <w:t> </w:t>
            </w:r>
            <w:r>
              <w:rPr>
                <w:rFonts w:ascii="宋体" w:hAnsi="宋体" w:cs="宋体" w:eastAsia="宋体" w:hint="default"/>
                <w:sz w:val="18"/>
                <w:szCs w:val="18"/>
              </w:rPr>
              <w:t>方或最</w:t>
            </w:r>
            <w:r>
              <w:rPr>
                <w:rFonts w:ascii="宋体" w:hAnsi="宋体" w:cs="宋体" w:eastAsia="宋体" w:hint="default"/>
                <w:w w:val="100"/>
                <w:sz w:val="18"/>
                <w:szCs w:val="18"/>
              </w:rPr>
              <w:t> </w:t>
            </w:r>
            <w:r>
              <w:rPr>
                <w:rFonts w:ascii="宋体" w:hAnsi="宋体" w:cs="宋体" w:eastAsia="宋体" w:hint="default"/>
                <w:sz w:val="18"/>
                <w:szCs w:val="18"/>
              </w:rPr>
              <w:t>终控制</w:t>
            </w:r>
            <w:r>
              <w:rPr>
                <w:rFonts w:ascii="宋体" w:hAnsi="宋体" w:cs="宋体" w:eastAsia="宋体" w:hint="default"/>
                <w:w w:val="100"/>
                <w:sz w:val="18"/>
                <w:szCs w:val="18"/>
              </w:rPr>
              <w:t> </w:t>
            </w:r>
            <w:r>
              <w:rPr>
                <w:rFonts w:ascii="宋体" w:hAnsi="宋体" w:cs="宋体" w:eastAsia="宋体" w:hint="default"/>
                <w:sz w:val="18"/>
                <w:szCs w:val="18"/>
              </w:rPr>
              <w:t>方</w:t>
            </w: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被收购</w:t>
            </w:r>
            <w:r>
              <w:rPr>
                <w:rFonts w:ascii="宋体" w:hAnsi="宋体" w:cs="宋体" w:eastAsia="宋体" w:hint="default"/>
                <w:w w:val="100"/>
                <w:sz w:val="18"/>
                <w:szCs w:val="18"/>
              </w:rPr>
              <w:t> </w:t>
            </w:r>
            <w:r>
              <w:rPr>
                <w:rFonts w:ascii="宋体" w:hAnsi="宋体" w:cs="宋体" w:eastAsia="宋体" w:hint="default"/>
                <w:sz w:val="18"/>
                <w:szCs w:val="18"/>
              </w:rPr>
              <w:t>或置入</w:t>
            </w:r>
            <w:r>
              <w:rPr>
                <w:rFonts w:ascii="宋体" w:hAnsi="宋体" w:cs="宋体" w:eastAsia="宋体" w:hint="default"/>
                <w:w w:val="100"/>
                <w:sz w:val="18"/>
                <w:szCs w:val="18"/>
              </w:rPr>
              <w:t> </w:t>
            </w:r>
            <w:r>
              <w:rPr>
                <w:rFonts w:ascii="宋体" w:hAnsi="宋体" w:cs="宋体" w:eastAsia="宋体" w:hint="default"/>
                <w:sz w:val="18"/>
                <w:szCs w:val="18"/>
              </w:rPr>
              <w:t>资产</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0" w:right="95"/>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w w:val="100"/>
                <w:sz w:val="18"/>
                <w:szCs w:val="18"/>
              </w:rPr>
              <w:t> </w:t>
            </w:r>
            <w:r>
              <w:rPr>
                <w:rFonts w:ascii="宋体" w:hAnsi="宋体" w:cs="宋体" w:eastAsia="宋体" w:hint="default"/>
                <w:sz w:val="18"/>
                <w:szCs w:val="18"/>
              </w:rPr>
              <w:t>格（万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8" w:right="40"/>
              <w:jc w:val="left"/>
              <w:rPr>
                <w:rFonts w:ascii="宋体" w:hAnsi="宋体" w:cs="宋体" w:eastAsia="宋体" w:hint="default"/>
                <w:sz w:val="18"/>
                <w:szCs w:val="18"/>
              </w:rPr>
            </w:pPr>
            <w:r>
              <w:rPr>
                <w:rFonts w:ascii="宋体" w:hAnsi="宋体" w:cs="宋体" w:eastAsia="宋体" w:hint="default"/>
                <w:sz w:val="18"/>
                <w:szCs w:val="18"/>
              </w:rPr>
              <w:t>进展</w:t>
            </w:r>
            <w:r>
              <w:rPr>
                <w:rFonts w:ascii="宋体" w:hAnsi="宋体" w:cs="宋体" w:eastAsia="宋体" w:hint="default"/>
                <w:w w:val="100"/>
                <w:sz w:val="18"/>
                <w:szCs w:val="18"/>
              </w:rPr>
              <w:t> </w:t>
            </w:r>
            <w:r>
              <w:rPr>
                <w:rFonts w:ascii="宋体" w:hAnsi="宋体" w:cs="宋体" w:eastAsia="宋体" w:hint="default"/>
                <w:sz w:val="18"/>
                <w:szCs w:val="18"/>
              </w:rPr>
              <w:t>情况</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8" w:firstLine="7"/>
              <w:jc w:val="both"/>
              <w:rPr>
                <w:rFonts w:ascii="宋体" w:hAnsi="宋体" w:cs="宋体" w:eastAsia="宋体" w:hint="default"/>
                <w:sz w:val="18"/>
                <w:szCs w:val="18"/>
              </w:rPr>
            </w:pPr>
            <w:r>
              <w:rPr>
                <w:rFonts w:ascii="宋体" w:hAnsi="宋体" w:cs="宋体" w:eastAsia="宋体" w:hint="default"/>
                <w:sz w:val="18"/>
                <w:szCs w:val="18"/>
              </w:rPr>
              <w:t>自购买日起至报告</w:t>
            </w:r>
            <w:r>
              <w:rPr>
                <w:rFonts w:ascii="宋体" w:hAnsi="宋体" w:cs="宋体" w:eastAsia="宋体" w:hint="default"/>
                <w:w w:val="100"/>
                <w:sz w:val="18"/>
                <w:szCs w:val="18"/>
              </w:rPr>
              <w:t> </w:t>
            </w:r>
            <w:r>
              <w:rPr>
                <w:rFonts w:ascii="宋体" w:hAnsi="宋体" w:cs="宋体" w:eastAsia="宋体" w:hint="default"/>
                <w:sz w:val="18"/>
                <w:szCs w:val="18"/>
              </w:rPr>
              <w:t>期末为上市公司贡</w:t>
            </w:r>
            <w:r>
              <w:rPr>
                <w:rFonts w:ascii="宋体" w:hAnsi="宋体" w:cs="宋体" w:eastAsia="宋体" w:hint="default"/>
                <w:w w:val="100"/>
                <w:sz w:val="18"/>
                <w:szCs w:val="18"/>
              </w:rPr>
              <w:t> </w:t>
            </w:r>
            <w:r>
              <w:rPr>
                <w:rFonts w:ascii="宋体" w:hAnsi="宋体" w:cs="宋体" w:eastAsia="宋体" w:hint="default"/>
                <w:spacing w:val="-11"/>
                <w:w w:val="100"/>
                <w:sz w:val="18"/>
                <w:szCs w:val="18"/>
              </w:rPr>
              <w:t>献的净利润（万元</w:t>
            </w:r>
          </w:p>
          <w:p>
            <w:pPr>
              <w:pStyle w:val="TableParagraph"/>
              <w:spacing w:line="316" w:lineRule="auto" w:before="19"/>
              <w:ind w:left="31" w:right="28"/>
              <w:jc w:val="both"/>
              <w:rPr>
                <w:rFonts w:ascii="宋体" w:hAnsi="宋体" w:cs="宋体" w:eastAsia="宋体" w:hint="default"/>
                <w:sz w:val="18"/>
                <w:szCs w:val="18"/>
              </w:rPr>
            </w:pPr>
            <w:r>
              <w:rPr>
                <w:rFonts w:ascii="宋体" w:hAnsi="宋体" w:cs="宋体" w:eastAsia="宋体" w:hint="default"/>
                <w:sz w:val="18"/>
                <w:szCs w:val="18"/>
              </w:rPr>
              <w:t>（适用于非同一控</w:t>
            </w:r>
            <w:r>
              <w:rPr>
                <w:rFonts w:ascii="宋体" w:hAnsi="宋体" w:cs="宋体" w:eastAsia="宋体" w:hint="default"/>
                <w:w w:val="100"/>
                <w:sz w:val="18"/>
                <w:szCs w:val="18"/>
              </w:rPr>
              <w:t> </w:t>
            </w:r>
            <w:r>
              <w:rPr>
                <w:rFonts w:ascii="宋体" w:hAnsi="宋体" w:cs="宋体" w:eastAsia="宋体" w:hint="default"/>
                <w:sz w:val="18"/>
                <w:szCs w:val="18"/>
              </w:rPr>
              <w:t>制下的企业合并）</w:t>
            </w:r>
          </w:p>
        </w:tc>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8" w:right="47"/>
              <w:jc w:val="center"/>
              <w:rPr>
                <w:rFonts w:ascii="宋体" w:hAnsi="宋体" w:cs="宋体" w:eastAsia="宋体" w:hint="default"/>
                <w:sz w:val="18"/>
                <w:szCs w:val="18"/>
              </w:rPr>
            </w:pPr>
            <w:r>
              <w:rPr>
                <w:rFonts w:ascii="宋体" w:hAnsi="宋体" w:cs="宋体" w:eastAsia="宋体" w:hint="default"/>
                <w:spacing w:val="-1"/>
                <w:sz w:val="18"/>
                <w:szCs w:val="18"/>
              </w:rPr>
              <w:t>自本期初至报告期</w:t>
            </w:r>
            <w:r>
              <w:rPr>
                <w:rFonts w:ascii="宋体" w:hAnsi="宋体" w:cs="宋体" w:eastAsia="宋体" w:hint="default"/>
                <w:w w:val="100"/>
                <w:sz w:val="18"/>
                <w:szCs w:val="18"/>
              </w:rPr>
              <w:t> </w:t>
            </w:r>
            <w:r>
              <w:rPr>
                <w:rFonts w:ascii="宋体" w:hAnsi="宋体" w:cs="宋体" w:eastAsia="宋体" w:hint="default"/>
                <w:spacing w:val="-1"/>
                <w:sz w:val="18"/>
                <w:szCs w:val="18"/>
              </w:rPr>
              <w:t>末为上市公司贡献</w:t>
            </w:r>
          </w:p>
          <w:p>
            <w:pPr>
              <w:pStyle w:val="TableParagraph"/>
              <w:spacing w:line="240" w:lineRule="auto" w:before="20"/>
              <w:ind w:left="-123"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的净利润（万元）</w:t>
            </w:r>
          </w:p>
          <w:p>
            <w:pPr>
              <w:pStyle w:val="TableParagraph"/>
              <w:spacing w:line="316" w:lineRule="auto" w:before="76"/>
              <w:ind w:left="48" w:right="47"/>
              <w:jc w:val="center"/>
              <w:rPr>
                <w:rFonts w:ascii="宋体" w:hAnsi="宋体" w:cs="宋体" w:eastAsia="宋体" w:hint="default"/>
                <w:sz w:val="18"/>
                <w:szCs w:val="18"/>
              </w:rPr>
            </w:pPr>
            <w:r>
              <w:rPr>
                <w:rFonts w:ascii="宋体" w:hAnsi="宋体" w:cs="宋体" w:eastAsia="宋体" w:hint="default"/>
                <w:spacing w:val="-1"/>
                <w:sz w:val="18"/>
                <w:szCs w:val="18"/>
              </w:rPr>
              <w:t>（适用于同一控制</w:t>
            </w:r>
            <w:r>
              <w:rPr>
                <w:rFonts w:ascii="宋体" w:hAnsi="宋体" w:cs="宋体" w:eastAsia="宋体" w:hint="default"/>
                <w:w w:val="100"/>
                <w:sz w:val="18"/>
                <w:szCs w:val="18"/>
              </w:rPr>
              <w:t> </w:t>
            </w:r>
            <w:r>
              <w:rPr>
                <w:rFonts w:ascii="宋体" w:hAnsi="宋体" w:cs="宋体" w:eastAsia="宋体" w:hint="default"/>
                <w:sz w:val="18"/>
                <w:szCs w:val="18"/>
              </w:rPr>
              <w:t>下的企业合并）</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w:t>
            </w:r>
            <w:r>
              <w:rPr>
                <w:rFonts w:ascii="宋体" w:hAnsi="宋体" w:cs="宋体" w:eastAsia="宋体" w:hint="default"/>
                <w:w w:val="100"/>
                <w:sz w:val="18"/>
                <w:szCs w:val="18"/>
              </w:rPr>
              <w:t> </w:t>
            </w:r>
            <w:r>
              <w:rPr>
                <w:rFonts w:ascii="宋体" w:hAnsi="宋体" w:cs="宋体" w:eastAsia="宋体" w:hint="default"/>
                <w:sz w:val="18"/>
                <w:szCs w:val="18"/>
              </w:rPr>
              <w:t>上市公司</w:t>
            </w:r>
            <w:r>
              <w:rPr>
                <w:rFonts w:ascii="宋体" w:hAnsi="宋体" w:cs="宋体" w:eastAsia="宋体" w:hint="default"/>
                <w:w w:val="100"/>
                <w:sz w:val="18"/>
                <w:szCs w:val="18"/>
              </w:rPr>
              <w:t> </w:t>
            </w:r>
            <w:r>
              <w:rPr>
                <w:rFonts w:ascii="宋体" w:hAnsi="宋体" w:cs="宋体" w:eastAsia="宋体" w:hint="default"/>
                <w:sz w:val="18"/>
                <w:szCs w:val="18"/>
              </w:rPr>
              <w:t>贡献的净</w:t>
            </w:r>
            <w:r>
              <w:rPr>
                <w:rFonts w:ascii="宋体" w:hAnsi="宋体" w:cs="宋体" w:eastAsia="宋体" w:hint="default"/>
                <w:w w:val="100"/>
                <w:sz w:val="18"/>
                <w:szCs w:val="18"/>
              </w:rPr>
              <w:t> </w:t>
            </w:r>
            <w:r>
              <w:rPr>
                <w:rFonts w:ascii="宋体" w:hAnsi="宋体" w:cs="宋体" w:eastAsia="宋体" w:hint="default"/>
                <w:sz w:val="18"/>
                <w:szCs w:val="18"/>
              </w:rPr>
              <w:t>利润占利</w:t>
            </w:r>
            <w:r>
              <w:rPr>
                <w:rFonts w:ascii="宋体" w:hAnsi="宋体" w:cs="宋体" w:eastAsia="宋体" w:hint="default"/>
                <w:w w:val="100"/>
                <w:sz w:val="18"/>
                <w:szCs w:val="18"/>
              </w:rPr>
              <w:t> </w:t>
            </w:r>
            <w:r>
              <w:rPr>
                <w:rFonts w:ascii="宋体" w:hAnsi="宋体" w:cs="宋体" w:eastAsia="宋体" w:hint="default"/>
                <w:sz w:val="18"/>
                <w:szCs w:val="18"/>
              </w:rPr>
              <w:t>润总额的</w:t>
            </w:r>
            <w:r>
              <w:rPr>
                <w:rFonts w:ascii="宋体" w:hAnsi="宋体" w:cs="宋体" w:eastAsia="宋体" w:hint="default"/>
                <w:w w:val="100"/>
                <w:sz w:val="18"/>
                <w:szCs w:val="18"/>
              </w:rPr>
              <w:t> </w:t>
            </w:r>
            <w:r>
              <w:rPr>
                <w:rFonts w:ascii="宋体" w:hAnsi="宋体" w:cs="宋体" w:eastAsia="宋体" w:hint="default"/>
                <w:sz w:val="18"/>
                <w:szCs w:val="18"/>
              </w:rPr>
              <w:t>比率</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75" w:right="81" w:hanging="89"/>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w w:val="100"/>
                <w:sz w:val="18"/>
                <w:szCs w:val="18"/>
              </w:rPr>
              <w:t> </w:t>
            </w:r>
            <w:r>
              <w:rPr>
                <w:rFonts w:ascii="宋体" w:hAnsi="宋体" w:cs="宋体" w:eastAsia="宋体" w:hint="default"/>
                <w:sz w:val="18"/>
                <w:szCs w:val="18"/>
              </w:rPr>
              <w:t>联交易</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center"/>
              <w:rPr>
                <w:rFonts w:ascii="宋体" w:hAnsi="宋体" w:cs="宋体" w:eastAsia="宋体" w:hint="default"/>
                <w:sz w:val="18"/>
                <w:szCs w:val="18"/>
              </w:rPr>
            </w:pPr>
            <w:r>
              <w:rPr>
                <w:rFonts w:ascii="宋体" w:hAnsi="宋体" w:cs="宋体" w:eastAsia="宋体" w:hint="default"/>
                <w:sz w:val="18"/>
                <w:szCs w:val="18"/>
              </w:rPr>
              <w:t>与交易对</w:t>
            </w:r>
            <w:r>
              <w:rPr>
                <w:rFonts w:ascii="宋体" w:hAnsi="宋体" w:cs="宋体" w:eastAsia="宋体" w:hint="default"/>
                <w:w w:val="100"/>
                <w:sz w:val="18"/>
                <w:szCs w:val="18"/>
              </w:rPr>
              <w:t> </w:t>
            </w:r>
            <w:r>
              <w:rPr>
                <w:rFonts w:ascii="宋体" w:hAnsi="宋体" w:cs="宋体" w:eastAsia="宋体" w:hint="default"/>
                <w:sz w:val="18"/>
                <w:szCs w:val="18"/>
              </w:rPr>
              <w:t>方的关联</w:t>
            </w:r>
            <w:r>
              <w:rPr>
                <w:rFonts w:ascii="宋体" w:hAnsi="宋体" w:cs="宋体" w:eastAsia="宋体" w:hint="default"/>
                <w:w w:val="100"/>
                <w:sz w:val="18"/>
                <w:szCs w:val="18"/>
              </w:rPr>
              <w:t> </w:t>
            </w:r>
            <w:r>
              <w:rPr>
                <w:rFonts w:ascii="宋体" w:hAnsi="宋体" w:cs="宋体" w:eastAsia="宋体" w:hint="default"/>
                <w:spacing w:val="-12"/>
                <w:sz w:val="18"/>
                <w:szCs w:val="18"/>
              </w:rPr>
              <w:t>关系（适用</w:t>
            </w:r>
            <w:r>
              <w:rPr>
                <w:rFonts w:ascii="宋体" w:hAnsi="宋体" w:cs="宋体" w:eastAsia="宋体" w:hint="default"/>
                <w:w w:val="100"/>
                <w:sz w:val="18"/>
                <w:szCs w:val="18"/>
              </w:rPr>
              <w:t> </w:t>
            </w: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情形</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86" w:right="81"/>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w w:val="100"/>
                <w:sz w:val="18"/>
                <w:szCs w:val="18"/>
              </w:rPr>
              <w:t> </w:t>
            </w:r>
            <w:r>
              <w:rPr>
                <w:rFonts w:ascii="宋体" w:hAnsi="宋体" w:cs="宋体" w:eastAsia="宋体" w:hint="default"/>
                <w:sz w:val="18"/>
                <w:szCs w:val="18"/>
              </w:rPr>
              <w:t>日期</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00" w:right="95"/>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w w:val="100"/>
                <w:sz w:val="18"/>
                <w:szCs w:val="18"/>
              </w:rPr>
              <w:t> </w:t>
            </w:r>
            <w:r>
              <w:rPr>
                <w:rFonts w:ascii="宋体" w:hAnsi="宋体" w:cs="宋体" w:eastAsia="宋体" w:hint="default"/>
                <w:sz w:val="18"/>
                <w:szCs w:val="18"/>
              </w:rPr>
              <w:t>索引</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2</w:t>
      </w:r>
      <w:r>
        <w:rPr/>
        <w:t>、出售资产情况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540"/>
        <w:gridCol w:w="540"/>
        <w:gridCol w:w="540"/>
        <w:gridCol w:w="720"/>
        <w:gridCol w:w="1082"/>
        <w:gridCol w:w="538"/>
        <w:gridCol w:w="1080"/>
        <w:gridCol w:w="540"/>
        <w:gridCol w:w="576"/>
        <w:gridCol w:w="864"/>
        <w:gridCol w:w="720"/>
        <w:gridCol w:w="720"/>
        <w:gridCol w:w="540"/>
        <w:gridCol w:w="564"/>
      </w:tblGrid>
      <w:tr>
        <w:trPr>
          <w:trHeight w:val="1651" w:hRule="exact"/>
        </w:trPr>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w w:val="100"/>
                <w:sz w:val="18"/>
                <w:szCs w:val="18"/>
              </w:rPr>
              <w:t> </w:t>
            </w:r>
            <w:r>
              <w:rPr>
                <w:rFonts w:ascii="宋体" w:hAnsi="宋体" w:cs="宋体" w:eastAsia="宋体" w:hint="default"/>
                <w:sz w:val="18"/>
                <w:szCs w:val="18"/>
              </w:rPr>
              <w:t>对方</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1"/>
              <w:jc w:val="both"/>
              <w:rPr>
                <w:rFonts w:ascii="宋体" w:hAnsi="宋体" w:cs="宋体" w:eastAsia="宋体" w:hint="default"/>
                <w:sz w:val="18"/>
                <w:szCs w:val="18"/>
              </w:rPr>
            </w:pPr>
            <w:r>
              <w:rPr>
                <w:rFonts w:ascii="宋体" w:hAnsi="宋体" w:cs="宋体" w:eastAsia="宋体" w:hint="default"/>
                <w:sz w:val="18"/>
                <w:szCs w:val="18"/>
              </w:rPr>
              <w:t>被出</w:t>
            </w:r>
            <w:r>
              <w:rPr>
                <w:rFonts w:ascii="宋体" w:hAnsi="宋体" w:cs="宋体" w:eastAsia="宋体" w:hint="default"/>
                <w:w w:val="100"/>
                <w:sz w:val="18"/>
                <w:szCs w:val="18"/>
              </w:rPr>
              <w:t> </w:t>
            </w:r>
            <w:r>
              <w:rPr>
                <w:rFonts w:ascii="宋体" w:hAnsi="宋体" w:cs="宋体" w:eastAsia="宋体" w:hint="default"/>
                <w:sz w:val="18"/>
                <w:szCs w:val="18"/>
              </w:rPr>
              <w:t>售资</w:t>
            </w:r>
            <w:r>
              <w:rPr>
                <w:rFonts w:ascii="宋体" w:hAnsi="宋体" w:cs="宋体" w:eastAsia="宋体" w:hint="default"/>
                <w:w w:val="100"/>
                <w:sz w:val="18"/>
                <w:szCs w:val="18"/>
              </w:rPr>
              <w:t> </w:t>
            </w:r>
            <w:r>
              <w:rPr>
                <w:rFonts w:ascii="宋体" w:hAnsi="宋体" w:cs="宋体" w:eastAsia="宋体" w:hint="default"/>
                <w:sz w:val="18"/>
                <w:szCs w:val="18"/>
              </w:rPr>
              <w:t>产</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5" w:right="81" w:hanging="89"/>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w w:val="100"/>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1"/>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w w:val="100"/>
                <w:sz w:val="18"/>
                <w:szCs w:val="18"/>
              </w:rPr>
              <w:t> </w:t>
            </w:r>
            <w:r>
              <w:rPr>
                <w:rFonts w:ascii="宋体" w:hAnsi="宋体" w:cs="宋体" w:eastAsia="宋体" w:hint="default"/>
                <w:sz w:val="18"/>
                <w:szCs w:val="18"/>
              </w:rPr>
              <w:t>格（万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32" w:firstLine="62"/>
              <w:jc w:val="both"/>
              <w:rPr>
                <w:rFonts w:ascii="宋体" w:hAnsi="宋体" w:cs="宋体" w:eastAsia="宋体" w:hint="default"/>
                <w:sz w:val="18"/>
                <w:szCs w:val="18"/>
              </w:rPr>
            </w:pPr>
            <w:r>
              <w:rPr>
                <w:rFonts w:ascii="宋体" w:hAnsi="宋体" w:cs="宋体" w:eastAsia="宋体" w:hint="default"/>
                <w:sz w:val="18"/>
                <w:szCs w:val="18"/>
              </w:rPr>
              <w:t>本期初起至</w:t>
            </w:r>
            <w:r>
              <w:rPr>
                <w:rFonts w:ascii="宋体" w:hAnsi="宋体" w:cs="宋体" w:eastAsia="宋体" w:hint="default"/>
                <w:w w:val="100"/>
                <w:sz w:val="18"/>
                <w:szCs w:val="18"/>
              </w:rPr>
              <w:t> </w:t>
            </w:r>
            <w:r>
              <w:rPr>
                <w:rFonts w:ascii="宋体" w:hAnsi="宋体" w:cs="宋体" w:eastAsia="宋体" w:hint="default"/>
                <w:sz w:val="18"/>
                <w:szCs w:val="18"/>
              </w:rPr>
              <w:t>出售日该资</w:t>
            </w:r>
            <w:r>
              <w:rPr>
                <w:rFonts w:ascii="宋体" w:hAnsi="宋体" w:cs="宋体" w:eastAsia="宋体" w:hint="default"/>
                <w:w w:val="100"/>
                <w:sz w:val="18"/>
                <w:szCs w:val="18"/>
              </w:rPr>
              <w:t> </w:t>
            </w:r>
            <w:r>
              <w:rPr>
                <w:rFonts w:ascii="宋体" w:hAnsi="宋体" w:cs="宋体" w:eastAsia="宋体" w:hint="default"/>
                <w:sz w:val="18"/>
                <w:szCs w:val="18"/>
              </w:rPr>
              <w:t>产为上市公</w:t>
            </w:r>
            <w:r>
              <w:rPr>
                <w:rFonts w:ascii="宋体" w:hAnsi="宋体" w:cs="宋体" w:eastAsia="宋体" w:hint="default"/>
                <w:w w:val="100"/>
                <w:sz w:val="18"/>
                <w:szCs w:val="18"/>
              </w:rPr>
              <w:t> </w:t>
            </w:r>
            <w:r>
              <w:rPr>
                <w:rFonts w:ascii="宋体" w:hAnsi="宋体" w:cs="宋体" w:eastAsia="宋体" w:hint="default"/>
                <w:sz w:val="18"/>
                <w:szCs w:val="18"/>
              </w:rPr>
              <w:t>司贡献的净</w:t>
            </w:r>
            <w:r>
              <w:rPr>
                <w:rFonts w:ascii="宋体" w:hAnsi="宋体" w:cs="宋体" w:eastAsia="宋体" w:hint="default"/>
                <w:w w:val="100"/>
                <w:sz w:val="18"/>
                <w:szCs w:val="18"/>
              </w:rPr>
              <w:t> </w:t>
            </w:r>
            <w:r>
              <w:rPr>
                <w:rFonts w:ascii="宋体" w:hAnsi="宋体" w:cs="宋体" w:eastAsia="宋体" w:hint="default"/>
                <w:sz w:val="18"/>
                <w:szCs w:val="18"/>
              </w:rPr>
              <w:t>利润（万元）</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16" w:hanging="3"/>
              <w:jc w:val="center"/>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w w:val="100"/>
                <w:sz w:val="18"/>
                <w:szCs w:val="18"/>
              </w:rPr>
              <w:t> </w:t>
            </w:r>
            <w:r>
              <w:rPr>
                <w:rFonts w:ascii="宋体" w:hAnsi="宋体" w:cs="宋体" w:eastAsia="宋体" w:hint="default"/>
                <w:sz w:val="18"/>
                <w:szCs w:val="18"/>
              </w:rPr>
              <w:t>产生</w:t>
            </w:r>
            <w:r>
              <w:rPr>
                <w:rFonts w:ascii="宋体" w:hAnsi="宋体" w:cs="宋体" w:eastAsia="宋体" w:hint="default"/>
                <w:w w:val="100"/>
                <w:sz w:val="18"/>
                <w:szCs w:val="18"/>
              </w:rPr>
              <w:t> </w:t>
            </w:r>
            <w:r>
              <w:rPr>
                <w:rFonts w:ascii="宋体" w:hAnsi="宋体" w:cs="宋体" w:eastAsia="宋体" w:hint="default"/>
                <w:sz w:val="18"/>
                <w:szCs w:val="18"/>
              </w:rPr>
              <w:t>的损</w:t>
            </w:r>
            <w:r>
              <w:rPr>
                <w:rFonts w:ascii="宋体" w:hAnsi="宋体" w:cs="宋体" w:eastAsia="宋体" w:hint="default"/>
                <w:w w:val="100"/>
                <w:sz w:val="18"/>
                <w:szCs w:val="18"/>
              </w:rPr>
              <w:t> </w:t>
            </w:r>
            <w:r>
              <w:rPr>
                <w:rFonts w:ascii="宋体" w:hAnsi="宋体" w:cs="宋体" w:eastAsia="宋体" w:hint="default"/>
                <w:spacing w:val="-20"/>
                <w:sz w:val="18"/>
                <w:szCs w:val="18"/>
              </w:rPr>
              <w:t>益（万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资产出售为</w:t>
            </w:r>
            <w:r>
              <w:rPr>
                <w:rFonts w:ascii="宋体" w:hAnsi="宋体" w:cs="宋体" w:eastAsia="宋体" w:hint="default"/>
                <w:w w:val="100"/>
                <w:sz w:val="18"/>
                <w:szCs w:val="18"/>
              </w:rPr>
              <w:t> </w:t>
            </w:r>
            <w:r>
              <w:rPr>
                <w:rFonts w:ascii="宋体" w:hAnsi="宋体" w:cs="宋体" w:eastAsia="宋体" w:hint="default"/>
                <w:sz w:val="18"/>
                <w:szCs w:val="18"/>
              </w:rPr>
              <w:t>上市公司贡</w:t>
            </w:r>
            <w:r>
              <w:rPr>
                <w:rFonts w:ascii="宋体" w:hAnsi="宋体" w:cs="宋体" w:eastAsia="宋体" w:hint="default"/>
                <w:w w:val="100"/>
                <w:sz w:val="18"/>
                <w:szCs w:val="18"/>
              </w:rPr>
              <w:t> </w:t>
            </w:r>
            <w:r>
              <w:rPr>
                <w:rFonts w:ascii="宋体" w:hAnsi="宋体" w:cs="宋体" w:eastAsia="宋体" w:hint="default"/>
                <w:sz w:val="18"/>
                <w:szCs w:val="18"/>
              </w:rPr>
              <w:t>献的净利润</w:t>
            </w:r>
            <w:r>
              <w:rPr>
                <w:rFonts w:ascii="宋体" w:hAnsi="宋体" w:cs="宋体" w:eastAsia="宋体" w:hint="default"/>
                <w:w w:val="100"/>
                <w:sz w:val="18"/>
                <w:szCs w:val="18"/>
              </w:rPr>
              <w:t> </w:t>
            </w:r>
            <w:r>
              <w:rPr>
                <w:rFonts w:ascii="宋体" w:hAnsi="宋体" w:cs="宋体" w:eastAsia="宋体" w:hint="default"/>
                <w:sz w:val="18"/>
                <w:szCs w:val="18"/>
              </w:rPr>
              <w:t>占利润总额</w:t>
            </w:r>
            <w:r>
              <w:rPr>
                <w:rFonts w:ascii="宋体" w:hAnsi="宋体" w:cs="宋体" w:eastAsia="宋体" w:hint="default"/>
                <w:w w:val="100"/>
                <w:sz w:val="18"/>
                <w:szCs w:val="18"/>
              </w:rPr>
              <w:t> </w:t>
            </w: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w w:val="100"/>
                <w:sz w:val="18"/>
                <w:szCs w:val="18"/>
              </w:rPr>
              <w:t> </w:t>
            </w:r>
            <w:r>
              <w:rPr>
                <w:rFonts w:ascii="宋体" w:hAnsi="宋体" w:cs="宋体" w:eastAsia="宋体" w:hint="default"/>
                <w:sz w:val="18"/>
                <w:szCs w:val="18"/>
              </w:rPr>
              <w:t>出售</w:t>
            </w:r>
            <w:r>
              <w:rPr>
                <w:rFonts w:ascii="宋体" w:hAnsi="宋体" w:cs="宋体" w:eastAsia="宋体" w:hint="default"/>
                <w:w w:val="100"/>
                <w:sz w:val="18"/>
                <w:szCs w:val="18"/>
              </w:rPr>
              <w:t> </w:t>
            </w:r>
            <w:r>
              <w:rPr>
                <w:rFonts w:ascii="宋体" w:hAnsi="宋体" w:cs="宋体" w:eastAsia="宋体" w:hint="default"/>
                <w:sz w:val="18"/>
                <w:szCs w:val="18"/>
              </w:rPr>
              <w:t>定价</w:t>
            </w:r>
            <w:r>
              <w:rPr>
                <w:rFonts w:ascii="宋体" w:hAnsi="宋体" w:cs="宋体" w:eastAsia="宋体" w:hint="default"/>
                <w:w w:val="100"/>
                <w:sz w:val="18"/>
                <w:szCs w:val="18"/>
              </w:rPr>
              <w:t> </w:t>
            </w:r>
            <w:r>
              <w:rPr>
                <w:rFonts w:ascii="宋体" w:hAnsi="宋体" w:cs="宋体" w:eastAsia="宋体" w:hint="default"/>
                <w:sz w:val="18"/>
                <w:szCs w:val="18"/>
              </w:rPr>
              <w:t>原则</w:t>
            </w:r>
          </w:p>
        </w:tc>
        <w:tc>
          <w:tcPr>
            <w:tcW w:w="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0"/>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100"/>
                <w:sz w:val="18"/>
                <w:szCs w:val="18"/>
              </w:rPr>
              <w:t> </w:t>
            </w:r>
            <w:r>
              <w:rPr>
                <w:rFonts w:ascii="宋体" w:hAnsi="宋体" w:cs="宋体" w:eastAsia="宋体" w:hint="default"/>
                <w:sz w:val="18"/>
                <w:szCs w:val="18"/>
              </w:rPr>
              <w:t>为关</w:t>
            </w:r>
            <w:r>
              <w:rPr>
                <w:rFonts w:ascii="宋体" w:hAnsi="宋体" w:cs="宋体" w:eastAsia="宋体" w:hint="default"/>
                <w:w w:val="100"/>
                <w:sz w:val="18"/>
                <w:szCs w:val="18"/>
              </w:rPr>
              <w:t> </w:t>
            </w:r>
            <w:r>
              <w:rPr>
                <w:rFonts w:ascii="宋体" w:hAnsi="宋体" w:cs="宋体" w:eastAsia="宋体" w:hint="default"/>
                <w:sz w:val="18"/>
                <w:szCs w:val="18"/>
              </w:rPr>
              <w:t>联交</w:t>
            </w:r>
            <w:r>
              <w:rPr>
                <w:rFonts w:ascii="宋体" w:hAnsi="宋体" w:cs="宋体" w:eastAsia="宋体" w:hint="default"/>
                <w:w w:val="100"/>
                <w:sz w:val="18"/>
                <w:szCs w:val="18"/>
              </w:rPr>
              <w:t> </w:t>
            </w:r>
            <w:r>
              <w:rPr>
                <w:rFonts w:ascii="宋体" w:hAnsi="宋体" w:cs="宋体" w:eastAsia="宋体" w:hint="default"/>
                <w:sz w:val="18"/>
                <w:szCs w:val="18"/>
              </w:rPr>
              <w:t>易</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7" w:right="64"/>
              <w:jc w:val="both"/>
              <w:rPr>
                <w:rFonts w:ascii="宋体" w:hAnsi="宋体" w:cs="宋体" w:eastAsia="宋体" w:hint="default"/>
                <w:sz w:val="18"/>
                <w:szCs w:val="18"/>
              </w:rPr>
            </w:pPr>
            <w:r>
              <w:rPr>
                <w:rFonts w:ascii="宋体" w:hAnsi="宋体" w:cs="宋体" w:eastAsia="宋体" w:hint="default"/>
                <w:sz w:val="18"/>
                <w:szCs w:val="18"/>
              </w:rPr>
              <w:t>与交易对</w:t>
            </w:r>
            <w:r>
              <w:rPr>
                <w:rFonts w:ascii="宋体" w:hAnsi="宋体" w:cs="宋体" w:eastAsia="宋体" w:hint="default"/>
                <w:w w:val="100"/>
                <w:sz w:val="18"/>
                <w:szCs w:val="18"/>
              </w:rPr>
              <w:t> </w:t>
            </w:r>
            <w:r>
              <w:rPr>
                <w:rFonts w:ascii="宋体" w:hAnsi="宋体" w:cs="宋体" w:eastAsia="宋体" w:hint="default"/>
                <w:sz w:val="18"/>
                <w:szCs w:val="18"/>
              </w:rPr>
              <w:t>方的关联</w:t>
            </w:r>
            <w:r>
              <w:rPr>
                <w:rFonts w:ascii="宋体" w:hAnsi="宋体" w:cs="宋体" w:eastAsia="宋体" w:hint="default"/>
                <w:w w:val="100"/>
                <w:sz w:val="18"/>
                <w:szCs w:val="18"/>
              </w:rPr>
              <w:t> </w:t>
            </w:r>
            <w:r>
              <w:rPr>
                <w:rFonts w:ascii="宋体" w:hAnsi="宋体" w:cs="宋体" w:eastAsia="宋体" w:hint="default"/>
                <w:sz w:val="18"/>
                <w:szCs w:val="18"/>
              </w:rPr>
              <w:t>关系（适</w:t>
            </w:r>
            <w:r>
              <w:rPr>
                <w:rFonts w:ascii="宋体" w:hAnsi="宋体" w:cs="宋体" w:eastAsia="宋体" w:hint="default"/>
                <w:w w:val="100"/>
                <w:sz w:val="18"/>
                <w:szCs w:val="18"/>
              </w:rPr>
              <w:t> </w:t>
            </w:r>
            <w:r>
              <w:rPr>
                <w:rFonts w:ascii="宋体" w:hAnsi="宋体" w:cs="宋体" w:eastAsia="宋体" w:hint="default"/>
                <w:sz w:val="18"/>
                <w:szCs w:val="18"/>
              </w:rPr>
              <w:t>用关联交</w:t>
            </w:r>
            <w:r>
              <w:rPr>
                <w:rFonts w:ascii="宋体" w:hAnsi="宋体" w:cs="宋体" w:eastAsia="宋体" w:hint="default"/>
                <w:w w:val="100"/>
                <w:sz w:val="18"/>
                <w:szCs w:val="18"/>
              </w:rPr>
              <w:t> </w:t>
            </w:r>
            <w:r>
              <w:rPr>
                <w:rFonts w:ascii="宋体" w:hAnsi="宋体" w:cs="宋体" w:eastAsia="宋体" w:hint="default"/>
                <w:sz w:val="18"/>
                <w:szCs w:val="18"/>
              </w:rPr>
              <w:t>易情形）</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 w:right="81"/>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w w:val="100"/>
                <w:sz w:val="18"/>
                <w:szCs w:val="18"/>
              </w:rPr>
              <w:t> </w:t>
            </w:r>
            <w:r>
              <w:rPr>
                <w:rFonts w:ascii="宋体" w:hAnsi="宋体" w:cs="宋体" w:eastAsia="宋体" w:hint="default"/>
                <w:sz w:val="18"/>
                <w:szCs w:val="18"/>
              </w:rPr>
              <w:t>的资产</w:t>
            </w:r>
            <w:r>
              <w:rPr>
                <w:rFonts w:ascii="宋体" w:hAnsi="宋体" w:cs="宋体" w:eastAsia="宋体" w:hint="default"/>
                <w:w w:val="100"/>
                <w:sz w:val="18"/>
                <w:szCs w:val="18"/>
              </w:rPr>
              <w:t> </w:t>
            </w:r>
            <w:r>
              <w:rPr>
                <w:rFonts w:ascii="宋体" w:hAnsi="宋体" w:cs="宋体" w:eastAsia="宋体" w:hint="default"/>
                <w:sz w:val="18"/>
                <w:szCs w:val="18"/>
              </w:rPr>
              <w:t>产权是</w:t>
            </w:r>
            <w:r>
              <w:rPr>
                <w:rFonts w:ascii="宋体" w:hAnsi="宋体" w:cs="宋体" w:eastAsia="宋体" w:hint="default"/>
                <w:w w:val="100"/>
                <w:sz w:val="18"/>
                <w:szCs w:val="18"/>
              </w:rPr>
              <w:t> </w:t>
            </w:r>
            <w:r>
              <w:rPr>
                <w:rFonts w:ascii="宋体" w:hAnsi="宋体" w:cs="宋体" w:eastAsia="宋体" w:hint="default"/>
                <w:sz w:val="18"/>
                <w:szCs w:val="18"/>
              </w:rPr>
              <w:t>否已全</w:t>
            </w:r>
            <w:r>
              <w:rPr>
                <w:rFonts w:ascii="宋体" w:hAnsi="宋体" w:cs="宋体" w:eastAsia="宋体" w:hint="default"/>
                <w:w w:val="100"/>
                <w:sz w:val="18"/>
                <w:szCs w:val="18"/>
              </w:rPr>
              <w:t> </w:t>
            </w:r>
            <w:r>
              <w:rPr>
                <w:rFonts w:ascii="宋体" w:hAnsi="宋体" w:cs="宋体" w:eastAsia="宋体" w:hint="default"/>
                <w:sz w:val="18"/>
                <w:szCs w:val="18"/>
              </w:rPr>
              <w:t>部过户</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 w:right="81"/>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w w:val="100"/>
                <w:sz w:val="18"/>
                <w:szCs w:val="18"/>
              </w:rPr>
              <w:t> </w:t>
            </w:r>
            <w:r>
              <w:rPr>
                <w:rFonts w:ascii="宋体" w:hAnsi="宋体" w:cs="宋体" w:eastAsia="宋体" w:hint="default"/>
                <w:sz w:val="18"/>
                <w:szCs w:val="18"/>
              </w:rPr>
              <w:t>的债权</w:t>
            </w:r>
            <w:r>
              <w:rPr>
                <w:rFonts w:ascii="宋体" w:hAnsi="宋体" w:cs="宋体" w:eastAsia="宋体" w:hint="default"/>
                <w:w w:val="100"/>
                <w:sz w:val="18"/>
                <w:szCs w:val="18"/>
              </w:rPr>
              <w:t> </w:t>
            </w:r>
            <w:r>
              <w:rPr>
                <w:rFonts w:ascii="宋体" w:hAnsi="宋体" w:cs="宋体" w:eastAsia="宋体" w:hint="default"/>
                <w:sz w:val="18"/>
                <w:szCs w:val="18"/>
              </w:rPr>
              <w:t>债务是</w:t>
            </w:r>
            <w:r>
              <w:rPr>
                <w:rFonts w:ascii="宋体" w:hAnsi="宋体" w:cs="宋体" w:eastAsia="宋体" w:hint="default"/>
                <w:w w:val="100"/>
                <w:sz w:val="18"/>
                <w:szCs w:val="18"/>
              </w:rPr>
              <w:t> </w:t>
            </w:r>
            <w:r>
              <w:rPr>
                <w:rFonts w:ascii="宋体" w:hAnsi="宋体" w:cs="宋体" w:eastAsia="宋体" w:hint="default"/>
                <w:sz w:val="18"/>
                <w:szCs w:val="18"/>
              </w:rPr>
              <w:t>否已全</w:t>
            </w:r>
            <w:r>
              <w:rPr>
                <w:rFonts w:ascii="宋体" w:hAnsi="宋体" w:cs="宋体" w:eastAsia="宋体" w:hint="default"/>
                <w:w w:val="100"/>
                <w:sz w:val="18"/>
                <w:szCs w:val="18"/>
              </w:rPr>
              <w:t> </w:t>
            </w:r>
            <w:r>
              <w:rPr>
                <w:rFonts w:ascii="宋体" w:hAnsi="宋体" w:cs="宋体" w:eastAsia="宋体" w:hint="default"/>
                <w:sz w:val="18"/>
                <w:szCs w:val="18"/>
              </w:rPr>
              <w:t>部转移</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w w:val="100"/>
                <w:sz w:val="18"/>
                <w:szCs w:val="18"/>
              </w:rPr>
              <w:t> </w:t>
            </w:r>
            <w:r>
              <w:rPr>
                <w:rFonts w:ascii="宋体" w:hAnsi="宋体" w:cs="宋体" w:eastAsia="宋体" w:hint="default"/>
                <w:sz w:val="18"/>
                <w:szCs w:val="18"/>
              </w:rPr>
              <w:t>日期</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3"/>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w w:val="100"/>
                <w:sz w:val="18"/>
                <w:szCs w:val="18"/>
              </w:rPr>
              <w:t> </w:t>
            </w:r>
            <w:r>
              <w:rPr>
                <w:rFonts w:ascii="宋体" w:hAnsi="宋体" w:cs="宋体" w:eastAsia="宋体" w:hint="default"/>
                <w:sz w:val="18"/>
                <w:szCs w:val="18"/>
              </w:rPr>
              <w:t>索引</w:t>
            </w:r>
          </w:p>
        </w:tc>
      </w:tr>
    </w:tbl>
    <w:p>
      <w:pPr>
        <w:spacing w:after="0" w:line="316"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出售资产情况概述</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3</w:t>
      </w:r>
      <w:r>
        <w:rPr/>
        <w:t>、企业合并情况</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line="475" w:lineRule="auto" w:before="0"/>
        <w:ind w:left="152" w:right="5247" w:firstLine="0"/>
        <w:jc w:val="left"/>
        <w:rPr>
          <w:rFonts w:ascii="宋体" w:hAnsi="宋体" w:cs="宋体" w:eastAsia="宋体" w:hint="default"/>
          <w:sz w:val="21"/>
          <w:szCs w:val="21"/>
        </w:rPr>
      </w:pPr>
      <w:r>
        <w:rPr>
          <w:rFonts w:ascii="宋体" w:hAnsi="宋体" w:cs="宋体" w:eastAsia="宋体" w:hint="default"/>
          <w:sz w:val="24"/>
          <w:szCs w:val="24"/>
        </w:rPr>
        <w:t>五、公司股权激励的实施情况及其影响</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报告期内，公司无股权激励计划。</w:t>
      </w:r>
      <w:r>
        <w:rPr>
          <w:rFonts w:ascii="宋体" w:hAnsi="宋体" w:cs="宋体" w:eastAsia="宋体" w:hint="default"/>
          <w:w w:val="100"/>
          <w:sz w:val="24"/>
          <w:szCs w:val="24"/>
        </w:rPr>
        <w:t> </w:t>
      </w:r>
      <w:r>
        <w:rPr>
          <w:rFonts w:ascii="宋体" w:hAnsi="宋体" w:cs="宋体" w:eastAsia="宋体" w:hint="default"/>
          <w:sz w:val="24"/>
          <w:szCs w:val="24"/>
        </w:rPr>
        <w:t>六、重大关联交易</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sz w:val="21"/>
          <w:szCs w:val="21"/>
        </w:rPr>
        <w:t>、与日常经营相关的关联交易</w:t>
      </w:r>
    </w:p>
    <w:p>
      <w:pPr>
        <w:spacing w:line="240" w:lineRule="auto" w:before="1"/>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86"/>
        <w:gridCol w:w="811"/>
        <w:gridCol w:w="798"/>
        <w:gridCol w:w="797"/>
        <w:gridCol w:w="799"/>
        <w:gridCol w:w="799"/>
        <w:gridCol w:w="797"/>
        <w:gridCol w:w="798"/>
        <w:gridCol w:w="798"/>
        <w:gridCol w:w="797"/>
        <w:gridCol w:w="794"/>
        <w:gridCol w:w="786"/>
      </w:tblGrid>
      <w:tr>
        <w:trPr>
          <w:trHeight w:val="161" w:hRule="exact"/>
        </w:trPr>
        <w:tc>
          <w:tcPr>
            <w:tcW w:w="7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11"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金额（万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1"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w:t>
            </w:r>
            <w:r>
              <w:rPr>
                <w:rFonts w:ascii="宋体" w:hAnsi="宋体" w:cs="宋体" w:eastAsia="宋体" w:hint="default"/>
                <w:w w:val="100"/>
                <w:sz w:val="18"/>
                <w:szCs w:val="18"/>
              </w:rPr>
              <w:t> </w:t>
            </w:r>
            <w:r>
              <w:rPr>
                <w:rFonts w:ascii="宋体" w:hAnsi="宋体" w:cs="宋体" w:eastAsia="宋体" w:hint="default"/>
                <w:sz w:val="18"/>
                <w:szCs w:val="18"/>
              </w:rPr>
              <w:t>易金额的</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
        </w:tc>
        <w:tc>
          <w:tcPr>
            <w:tcW w:w="794" w:type="dxa"/>
            <w:vMerge w:val="restart"/>
            <w:tcBorders>
              <w:top w:val="single" w:sz="4" w:space="0" w:color="000000"/>
              <w:left w:val="single" w:sz="4" w:space="0" w:color="000000"/>
              <w:right w:val="single" w:sz="4" w:space="0" w:color="000000"/>
            </w:tcBorders>
            <w:shd w:val="clear" w:color="auto" w:fill="D3D3D3"/>
          </w:tcPr>
          <w:p>
            <w:pPr/>
          </w:p>
        </w:tc>
        <w:tc>
          <w:tcPr>
            <w:tcW w:w="786"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7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304" w:right="20" w:hanging="272"/>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方</w:t>
            </w:r>
          </w:p>
        </w:tc>
        <w:tc>
          <w:tcPr>
            <w:tcW w:w="811" w:type="dxa"/>
            <w:vMerge/>
            <w:tcBorders>
              <w:left w:val="single" w:sz="4" w:space="0" w:color="000000"/>
              <w:bottom w:val="nil" w:sz="6" w:space="0" w:color="auto"/>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12" w:right="33"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类型</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内容</w:t>
            </w: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33" w:right="3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定价原则</w:t>
            </w: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13" w:right="33"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价格</w:t>
            </w:r>
          </w:p>
        </w:tc>
        <w:tc>
          <w:tcPr>
            <w:tcW w:w="797"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32" w:right="3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结算方式</w:t>
            </w:r>
          </w:p>
        </w:tc>
        <w:tc>
          <w:tcPr>
            <w:tcW w:w="797"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bottom w:val="nil" w:sz="6" w:space="0" w:color="auto"/>
              <w:right w:val="single" w:sz="4" w:space="0" w:color="000000"/>
            </w:tcBorders>
            <w:shd w:val="clear" w:color="auto" w:fill="D3D3D3"/>
          </w:tcPr>
          <w:p>
            <w:pPr/>
          </w:p>
        </w:tc>
        <w:tc>
          <w:tcPr>
            <w:tcW w:w="786" w:type="dxa"/>
            <w:vMerge/>
            <w:tcBorders>
              <w:left w:val="single" w:sz="4" w:space="0" w:color="000000"/>
              <w:bottom w:val="nil" w:sz="6" w:space="0" w:color="auto"/>
              <w:right w:val="single" w:sz="4" w:space="0" w:color="000000"/>
            </w:tcBorders>
            <w:shd w:val="clear" w:color="auto" w:fill="D3D3D3"/>
          </w:tcPr>
          <w:p>
            <w:pPr/>
          </w:p>
        </w:tc>
      </w:tr>
      <w:tr>
        <w:trPr>
          <w:trHeight w:val="390" w:hRule="exact"/>
        </w:trPr>
        <w:tc>
          <w:tcPr>
            <w:tcW w:w="786" w:type="dxa"/>
            <w:vMerge/>
            <w:tcBorders>
              <w:left w:val="single" w:sz="4" w:space="0" w:color="000000"/>
              <w:right w:val="single" w:sz="4" w:space="0" w:color="000000"/>
            </w:tcBorders>
            <w:shd w:val="clear" w:color="auto" w:fill="D3D3D3"/>
          </w:tcPr>
          <w:p>
            <w:pPr/>
          </w:p>
        </w:tc>
        <w:tc>
          <w:tcPr>
            <w:tcW w:w="8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4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56" w:hRule="exact"/>
        </w:trPr>
        <w:tc>
          <w:tcPr>
            <w:tcW w:w="786" w:type="dxa"/>
            <w:vMerge/>
            <w:tcBorders>
              <w:left w:val="single" w:sz="4" w:space="0" w:color="000000"/>
              <w:bottom w:val="nil" w:sz="6" w:space="0" w:color="auto"/>
              <w:right w:val="single" w:sz="4" w:space="0" w:color="000000"/>
            </w:tcBorders>
            <w:shd w:val="clear" w:color="auto" w:fill="D3D3D3"/>
          </w:tcPr>
          <w:p>
            <w:pPr/>
          </w:p>
        </w:tc>
        <w:tc>
          <w:tcPr>
            <w:tcW w:w="811" w:type="dxa"/>
            <w:vMerge w:val="restart"/>
            <w:tcBorders>
              <w:top w:val="nil" w:sz="6" w:space="0" w:color="auto"/>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
        </w:tc>
        <w:tc>
          <w:tcPr>
            <w:tcW w:w="794" w:type="dxa"/>
            <w:vMerge w:val="restart"/>
            <w:tcBorders>
              <w:top w:val="nil" w:sz="6" w:space="0" w:color="auto"/>
              <w:left w:val="single" w:sz="4" w:space="0" w:color="000000"/>
              <w:right w:val="single" w:sz="4" w:space="0" w:color="000000"/>
            </w:tcBorders>
            <w:shd w:val="clear" w:color="auto" w:fill="D3D3D3"/>
          </w:tcPr>
          <w:p>
            <w:pPr/>
          </w:p>
        </w:tc>
        <w:tc>
          <w:tcPr>
            <w:tcW w:w="786" w:type="dxa"/>
            <w:vMerge w:val="restart"/>
            <w:tcBorders>
              <w:top w:val="nil" w:sz="6" w:space="0" w:color="auto"/>
              <w:left w:val="single" w:sz="4" w:space="0" w:color="000000"/>
              <w:right w:val="single" w:sz="4" w:space="0" w:color="000000"/>
            </w:tcBorders>
            <w:shd w:val="clear" w:color="auto" w:fill="D3D3D3"/>
          </w:tcPr>
          <w:p>
            <w:pPr/>
          </w:p>
        </w:tc>
      </w:tr>
      <w:tr>
        <w:trPr>
          <w:trHeight w:val="163" w:hRule="exact"/>
        </w:trPr>
        <w:tc>
          <w:tcPr>
            <w:tcW w:w="7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11"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8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319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100"/>
                <w:sz w:val="18"/>
              </w:rPr>
              <w:t>0</w:t>
            </w:r>
          </w:p>
        </w:tc>
        <w:tc>
          <w:tcPr>
            <w:tcW w:w="798" w:type="dxa"/>
            <w:tcBorders>
              <w:top w:val="single" w:sz="5" w:space="0" w:color="000000"/>
              <w:left w:val="single" w:sz="4" w:space="0" w:color="000000"/>
              <w:bottom w:val="single" w:sz="4" w:space="0" w:color="000000"/>
              <w:right w:val="single" w:sz="13" w:space="0" w:color="D3D3D3"/>
            </w:tcBorders>
          </w:tcPr>
          <w:p>
            <w:pPr>
              <w:pStyle w:val="TableParagraph"/>
              <w:spacing w:line="240" w:lineRule="auto" w:before="89"/>
              <w:ind w:right="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2</w:t>
      </w:r>
      <w:r>
        <w:rPr/>
        <w:t>、资产收购、出售发生的关联交易</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737"/>
        <w:gridCol w:w="744"/>
        <w:gridCol w:w="734"/>
        <w:gridCol w:w="744"/>
        <w:gridCol w:w="734"/>
        <w:gridCol w:w="732"/>
        <w:gridCol w:w="734"/>
        <w:gridCol w:w="737"/>
        <w:gridCol w:w="734"/>
        <w:gridCol w:w="734"/>
        <w:gridCol w:w="739"/>
        <w:gridCol w:w="732"/>
        <w:gridCol w:w="730"/>
      </w:tblGrid>
      <w:tr>
        <w:trPr>
          <w:trHeight w:val="1338"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5" w:right="95" w:hanging="180"/>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w w:val="100"/>
                <w:sz w:val="18"/>
                <w:szCs w:val="18"/>
              </w:rPr>
              <w:t> </w:t>
            </w:r>
            <w:r>
              <w:rPr>
                <w:rFonts w:ascii="宋体" w:hAnsi="宋体" w:cs="宋体" w:eastAsia="宋体" w:hint="default"/>
                <w:sz w:val="18"/>
                <w:szCs w:val="18"/>
              </w:rPr>
              <w:t>系</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8"/>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100"/>
                <w:sz w:val="18"/>
                <w:szCs w:val="18"/>
              </w:rPr>
              <w:t> </w:t>
            </w:r>
            <w:r>
              <w:rPr>
                <w:rFonts w:ascii="宋体" w:hAnsi="宋体" w:cs="宋体" w:eastAsia="宋体" w:hint="default"/>
                <w:sz w:val="18"/>
                <w:szCs w:val="18"/>
              </w:rPr>
              <w:t>易类型</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6" w:right="9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100"/>
                <w:sz w:val="18"/>
                <w:szCs w:val="18"/>
              </w:rPr>
              <w:t> </w:t>
            </w:r>
            <w:r>
              <w:rPr>
                <w:rFonts w:ascii="宋体" w:hAnsi="宋体" w:cs="宋体" w:eastAsia="宋体" w:hint="default"/>
                <w:sz w:val="18"/>
                <w:szCs w:val="18"/>
              </w:rPr>
              <w:t>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8"/>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100"/>
                <w:sz w:val="18"/>
                <w:szCs w:val="18"/>
              </w:rPr>
              <w:t> </w:t>
            </w:r>
            <w:r>
              <w:rPr>
                <w:rFonts w:ascii="宋体" w:hAnsi="宋体" w:cs="宋体" w:eastAsia="宋体" w:hint="default"/>
                <w:sz w:val="18"/>
                <w:szCs w:val="18"/>
              </w:rPr>
              <w:t>易定价</w:t>
            </w:r>
            <w:r>
              <w:rPr>
                <w:rFonts w:ascii="宋体" w:hAnsi="宋体" w:cs="宋体" w:eastAsia="宋体" w:hint="default"/>
                <w:w w:val="100"/>
                <w:sz w:val="18"/>
                <w:szCs w:val="18"/>
              </w:rPr>
              <w:t> </w:t>
            </w:r>
            <w:r>
              <w:rPr>
                <w:rFonts w:ascii="宋体" w:hAnsi="宋体" w:cs="宋体" w:eastAsia="宋体" w:hint="default"/>
                <w:sz w:val="18"/>
                <w:szCs w:val="18"/>
              </w:rPr>
              <w:t>原则</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86"/>
              <w:jc w:val="both"/>
              <w:rPr>
                <w:rFonts w:ascii="宋体" w:hAnsi="宋体" w:cs="宋体" w:eastAsia="宋体" w:hint="default"/>
                <w:sz w:val="18"/>
                <w:szCs w:val="18"/>
              </w:rPr>
            </w:pPr>
            <w:r>
              <w:rPr>
                <w:rFonts w:ascii="宋体" w:hAnsi="宋体" w:cs="宋体" w:eastAsia="宋体" w:hint="default"/>
                <w:sz w:val="18"/>
                <w:szCs w:val="18"/>
              </w:rPr>
              <w:t>转让资</w:t>
            </w:r>
            <w:r>
              <w:rPr>
                <w:rFonts w:ascii="宋体" w:hAnsi="宋体" w:cs="宋体" w:eastAsia="宋体" w:hint="default"/>
                <w:w w:val="100"/>
                <w:sz w:val="18"/>
                <w:szCs w:val="18"/>
              </w:rPr>
              <w:t> </w:t>
            </w:r>
            <w:r>
              <w:rPr>
                <w:rFonts w:ascii="宋体" w:hAnsi="宋体" w:cs="宋体" w:eastAsia="宋体" w:hint="default"/>
                <w:sz w:val="18"/>
                <w:szCs w:val="18"/>
              </w:rPr>
              <w:t>产的账</w:t>
            </w:r>
            <w:r>
              <w:rPr>
                <w:rFonts w:ascii="宋体" w:hAnsi="宋体" w:cs="宋体" w:eastAsia="宋体" w:hint="default"/>
                <w:w w:val="100"/>
                <w:sz w:val="18"/>
                <w:szCs w:val="18"/>
              </w:rPr>
              <w:t> </w:t>
            </w:r>
            <w:r>
              <w:rPr>
                <w:rFonts w:ascii="宋体" w:hAnsi="宋体" w:cs="宋体" w:eastAsia="宋体" w:hint="default"/>
                <w:sz w:val="18"/>
                <w:szCs w:val="18"/>
              </w:rPr>
              <w:t>面价值</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pacing w:val="-1"/>
                <w:w w:val="100"/>
                <w:sz w:val="18"/>
                <w:szCs w:val="18"/>
              </w:rPr>
              <w:t>（万元</w:t>
            </w:r>
            <w:r>
              <w:rPr>
                <w:rFonts w:ascii="宋体" w:hAnsi="宋体" w:cs="宋体" w:eastAsia="宋体" w:hint="default"/>
                <w:w w:val="100"/>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88"/>
              <w:jc w:val="both"/>
              <w:rPr>
                <w:rFonts w:ascii="宋体" w:hAnsi="宋体" w:cs="宋体" w:eastAsia="宋体" w:hint="default"/>
                <w:sz w:val="18"/>
                <w:szCs w:val="18"/>
              </w:rPr>
            </w:pPr>
            <w:r>
              <w:rPr>
                <w:rFonts w:ascii="宋体" w:hAnsi="宋体" w:cs="宋体" w:eastAsia="宋体" w:hint="default"/>
                <w:sz w:val="18"/>
                <w:szCs w:val="18"/>
              </w:rPr>
              <w:t>转让资</w:t>
            </w:r>
            <w:r>
              <w:rPr>
                <w:rFonts w:ascii="宋体" w:hAnsi="宋体" w:cs="宋体" w:eastAsia="宋体" w:hint="default"/>
                <w:w w:val="100"/>
                <w:sz w:val="18"/>
                <w:szCs w:val="18"/>
              </w:rPr>
              <w:t> </w:t>
            </w:r>
            <w:r>
              <w:rPr>
                <w:rFonts w:ascii="宋体" w:hAnsi="宋体" w:cs="宋体" w:eastAsia="宋体" w:hint="default"/>
                <w:sz w:val="18"/>
                <w:szCs w:val="18"/>
              </w:rPr>
              <w:t>产的评</w:t>
            </w:r>
            <w:r>
              <w:rPr>
                <w:rFonts w:ascii="宋体" w:hAnsi="宋体" w:cs="宋体" w:eastAsia="宋体" w:hint="default"/>
                <w:w w:val="100"/>
                <w:sz w:val="18"/>
                <w:szCs w:val="18"/>
              </w:rPr>
              <w:t> </w:t>
            </w:r>
            <w:r>
              <w:rPr>
                <w:rFonts w:ascii="宋体" w:hAnsi="宋体" w:cs="宋体" w:eastAsia="宋体" w:hint="default"/>
                <w:sz w:val="18"/>
                <w:szCs w:val="18"/>
              </w:rPr>
              <w:t>估价值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pacing w:val="-1"/>
                <w:w w:val="100"/>
                <w:sz w:val="18"/>
                <w:szCs w:val="18"/>
              </w:rPr>
              <w:t>（万元</w:t>
            </w:r>
            <w:r>
              <w:rPr>
                <w:rFonts w:ascii="宋体" w:hAnsi="宋体" w:cs="宋体" w:eastAsia="宋体" w:hint="default"/>
                <w:w w:val="100"/>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市场公</w:t>
            </w:r>
            <w:r>
              <w:rPr>
                <w:rFonts w:ascii="宋体" w:hAnsi="宋体" w:cs="宋体" w:eastAsia="宋体" w:hint="default"/>
                <w:w w:val="100"/>
                <w:sz w:val="18"/>
                <w:szCs w:val="18"/>
              </w:rPr>
              <w:t> </w:t>
            </w:r>
            <w:r>
              <w:rPr>
                <w:rFonts w:ascii="宋体" w:hAnsi="宋体" w:cs="宋体" w:eastAsia="宋体" w:hint="default"/>
                <w:sz w:val="18"/>
                <w:szCs w:val="18"/>
              </w:rPr>
              <w:t>允价值</w:t>
            </w:r>
          </w:p>
          <w:p>
            <w:pPr>
              <w:pStyle w:val="TableParagraph"/>
              <w:spacing w:line="240" w:lineRule="auto" w:before="19"/>
              <w:ind w:left="24" w:right="-18"/>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转让价</w:t>
            </w:r>
            <w:r>
              <w:rPr>
                <w:rFonts w:ascii="宋体" w:hAnsi="宋体" w:cs="宋体" w:eastAsia="宋体" w:hint="default"/>
                <w:w w:val="100"/>
                <w:sz w:val="18"/>
                <w:szCs w:val="18"/>
              </w:rPr>
              <w:t> </w:t>
            </w:r>
            <w:r>
              <w:rPr>
                <w:rFonts w:ascii="宋体" w:hAnsi="宋体" w:cs="宋体" w:eastAsia="宋体" w:hint="default"/>
                <w:sz w:val="18"/>
                <w:szCs w:val="18"/>
              </w:rPr>
              <w:t>格（万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8"/>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100"/>
                <w:sz w:val="18"/>
                <w:szCs w:val="18"/>
              </w:rPr>
              <w:t> </w:t>
            </w:r>
            <w:r>
              <w:rPr>
                <w:rFonts w:ascii="宋体" w:hAnsi="宋体" w:cs="宋体" w:eastAsia="宋体" w:hint="default"/>
                <w:sz w:val="18"/>
                <w:szCs w:val="18"/>
              </w:rPr>
              <w:t>易结算</w:t>
            </w:r>
            <w:r>
              <w:rPr>
                <w:rFonts w:ascii="宋体" w:hAnsi="宋体" w:cs="宋体" w:eastAsia="宋体" w:hint="default"/>
                <w:w w:val="100"/>
                <w:sz w:val="18"/>
                <w:szCs w:val="18"/>
              </w:rPr>
              <w:t> </w:t>
            </w:r>
            <w:r>
              <w:rPr>
                <w:rFonts w:ascii="宋体" w:hAnsi="宋体" w:cs="宋体" w:eastAsia="宋体" w:hint="default"/>
                <w:sz w:val="18"/>
                <w:szCs w:val="18"/>
              </w:rPr>
              <w:t>方式</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6" w:right="91"/>
              <w:jc w:val="both"/>
              <w:rPr>
                <w:rFonts w:ascii="宋体" w:hAnsi="宋体" w:cs="宋体" w:eastAsia="宋体" w:hint="default"/>
                <w:sz w:val="18"/>
                <w:szCs w:val="18"/>
              </w:rPr>
            </w:pPr>
            <w:r>
              <w:rPr>
                <w:rFonts w:ascii="宋体" w:hAnsi="宋体" w:cs="宋体" w:eastAsia="宋体" w:hint="default"/>
                <w:sz w:val="18"/>
                <w:szCs w:val="18"/>
              </w:rPr>
              <w:t>转让资</w:t>
            </w:r>
            <w:r>
              <w:rPr>
                <w:rFonts w:ascii="宋体" w:hAnsi="宋体" w:cs="宋体" w:eastAsia="宋体" w:hint="default"/>
                <w:w w:val="100"/>
                <w:sz w:val="18"/>
                <w:szCs w:val="18"/>
              </w:rPr>
              <w:t> </w:t>
            </w:r>
            <w:r>
              <w:rPr>
                <w:rFonts w:ascii="宋体" w:hAnsi="宋体" w:cs="宋体" w:eastAsia="宋体" w:hint="default"/>
                <w:sz w:val="18"/>
                <w:szCs w:val="18"/>
              </w:rPr>
              <w:t>产获得</w:t>
            </w:r>
            <w:r>
              <w:rPr>
                <w:rFonts w:ascii="宋体" w:hAnsi="宋体" w:cs="宋体" w:eastAsia="宋体" w:hint="default"/>
                <w:w w:val="100"/>
                <w:sz w:val="18"/>
                <w:szCs w:val="18"/>
              </w:rPr>
              <w:t> </w:t>
            </w:r>
            <w:r>
              <w:rPr>
                <w:rFonts w:ascii="宋体" w:hAnsi="宋体" w:cs="宋体" w:eastAsia="宋体" w:hint="default"/>
                <w:sz w:val="18"/>
                <w:szCs w:val="18"/>
              </w:rPr>
              <w:t>的收益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pacing w:val="-1"/>
                <w:w w:val="100"/>
                <w:sz w:val="18"/>
                <w:szCs w:val="18"/>
              </w:rPr>
              <w:t>（万元</w:t>
            </w:r>
            <w:r>
              <w:rPr>
                <w:rFonts w:ascii="宋体" w:hAnsi="宋体" w:cs="宋体" w:eastAsia="宋体" w:hint="default"/>
                <w:w w:val="100"/>
                <w:sz w:val="18"/>
                <w:szCs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8" w:hanging="180"/>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w w:val="100"/>
                <w:sz w:val="18"/>
                <w:szCs w:val="18"/>
              </w:rPr>
              <w:t> </w:t>
            </w:r>
            <w:r>
              <w:rPr>
                <w:rFonts w:ascii="宋体" w:hAnsi="宋体" w:cs="宋体" w:eastAsia="宋体" w:hint="default"/>
                <w:sz w:val="18"/>
                <w:szCs w:val="18"/>
              </w:rPr>
              <w:t>期</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8" w:right="88" w:hanging="180"/>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w w:val="100"/>
                <w:sz w:val="18"/>
                <w:szCs w:val="18"/>
              </w:rPr>
              <w:t> </w:t>
            </w:r>
            <w:r>
              <w:rPr>
                <w:rFonts w:ascii="宋体" w:hAnsi="宋体" w:cs="宋体" w:eastAsia="宋体" w:hint="default"/>
                <w:sz w:val="18"/>
                <w:szCs w:val="18"/>
              </w:rPr>
              <w:t>引</w:t>
            </w:r>
          </w:p>
        </w:tc>
      </w:tr>
    </w:tbl>
    <w:p>
      <w:pPr>
        <w:spacing w:line="240" w:lineRule="auto" w:before="4"/>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3</w:t>
      </w:r>
      <w:r>
        <w:rPr/>
        <w:t>、共同对外投资的重大关联交易</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063"/>
        <w:gridCol w:w="1063"/>
        <w:gridCol w:w="1066"/>
        <w:gridCol w:w="1066"/>
        <w:gridCol w:w="1066"/>
        <w:gridCol w:w="1063"/>
        <w:gridCol w:w="1063"/>
        <w:gridCol w:w="1063"/>
        <w:gridCol w:w="1056"/>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6" w:hanging="180"/>
              <w:jc w:val="left"/>
              <w:rPr>
                <w:rFonts w:ascii="宋体" w:hAnsi="宋体" w:cs="宋体" w:eastAsia="宋体" w:hint="default"/>
                <w:sz w:val="18"/>
                <w:szCs w:val="18"/>
              </w:rPr>
            </w:pPr>
            <w:r>
              <w:rPr>
                <w:rFonts w:ascii="宋体" w:hAnsi="宋体" w:cs="宋体" w:eastAsia="宋体" w:hint="default"/>
                <w:sz w:val="18"/>
                <w:szCs w:val="18"/>
              </w:rPr>
              <w:t>共同投资定</w:t>
            </w:r>
            <w:r>
              <w:rPr>
                <w:rFonts w:ascii="宋体" w:hAnsi="宋体" w:cs="宋体" w:eastAsia="宋体" w:hint="default"/>
                <w:w w:val="100"/>
                <w:sz w:val="18"/>
                <w:szCs w:val="18"/>
              </w:rPr>
              <w:t> </w:t>
            </w:r>
            <w:r>
              <w:rPr>
                <w:rFonts w:ascii="宋体" w:hAnsi="宋体" w:cs="宋体" w:eastAsia="宋体" w:hint="default"/>
                <w:sz w:val="18"/>
                <w:szCs w:val="18"/>
              </w:rPr>
              <w:t>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6" w:hanging="180"/>
              <w:jc w:val="left"/>
              <w:rPr>
                <w:rFonts w:ascii="宋体" w:hAnsi="宋体" w:cs="宋体" w:eastAsia="宋体" w:hint="default"/>
                <w:sz w:val="18"/>
                <w:szCs w:val="18"/>
              </w:rPr>
            </w:pPr>
            <w:r>
              <w:rPr>
                <w:rFonts w:ascii="宋体" w:hAnsi="宋体" w:cs="宋体" w:eastAsia="宋体" w:hint="default"/>
                <w:sz w:val="18"/>
                <w:szCs w:val="18"/>
              </w:rPr>
              <w:t>被投资企业</w:t>
            </w:r>
            <w:r>
              <w:rPr>
                <w:rFonts w:ascii="宋体" w:hAnsi="宋体" w:cs="宋体" w:eastAsia="宋体" w:hint="default"/>
                <w:w w:val="100"/>
                <w:sz w:val="18"/>
                <w:szCs w:val="18"/>
              </w:rPr>
              <w:t> </w:t>
            </w:r>
            <w:r>
              <w:rPr>
                <w:rFonts w:ascii="宋体" w:hAnsi="宋体" w:cs="宋体" w:eastAsia="宋体" w:hint="default"/>
                <w:sz w:val="18"/>
                <w:szCs w:val="18"/>
              </w:rPr>
              <w:t>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6"/>
              <w:jc w:val="left"/>
              <w:rPr>
                <w:rFonts w:ascii="宋体" w:hAnsi="宋体" w:cs="宋体" w:eastAsia="宋体" w:hint="default"/>
                <w:sz w:val="18"/>
                <w:szCs w:val="18"/>
              </w:rPr>
            </w:pPr>
            <w:r>
              <w:rPr>
                <w:rFonts w:ascii="宋体" w:hAnsi="宋体" w:cs="宋体" w:eastAsia="宋体" w:hint="default"/>
                <w:sz w:val="18"/>
                <w:szCs w:val="18"/>
              </w:rPr>
              <w:t>被投资企业</w:t>
            </w:r>
            <w:r>
              <w:rPr>
                <w:rFonts w:ascii="宋体" w:hAnsi="宋体" w:cs="宋体" w:eastAsia="宋体" w:hint="default"/>
                <w:w w:val="100"/>
                <w:sz w:val="18"/>
                <w:szCs w:val="18"/>
              </w:rPr>
              <w:t> </w:t>
            </w:r>
            <w:r>
              <w:rPr>
                <w:rFonts w:ascii="宋体" w:hAnsi="宋体" w:cs="宋体" w:eastAsia="宋体" w:hint="default"/>
                <w:sz w:val="18"/>
                <w:szCs w:val="18"/>
              </w:rPr>
              <w:t>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1"/>
              <w:jc w:val="left"/>
              <w:rPr>
                <w:rFonts w:ascii="宋体" w:hAnsi="宋体" w:cs="宋体" w:eastAsia="宋体" w:hint="default"/>
                <w:sz w:val="18"/>
                <w:szCs w:val="18"/>
              </w:rPr>
            </w:pPr>
            <w:r>
              <w:rPr>
                <w:rFonts w:ascii="宋体" w:hAnsi="宋体" w:cs="宋体" w:eastAsia="宋体" w:hint="default"/>
                <w:sz w:val="18"/>
                <w:szCs w:val="18"/>
              </w:rPr>
              <w:t>被投资企业</w:t>
            </w:r>
            <w:r>
              <w:rPr>
                <w:rFonts w:ascii="宋体" w:hAnsi="宋体" w:cs="宋体" w:eastAsia="宋体" w:hint="default"/>
                <w:w w:val="100"/>
                <w:sz w:val="18"/>
                <w:szCs w:val="18"/>
              </w:rPr>
              <w:t> </w:t>
            </w:r>
            <w:r>
              <w:rPr>
                <w:rFonts w:ascii="宋体" w:hAnsi="宋体" w:cs="宋体" w:eastAsia="宋体" w:hint="default"/>
                <w:sz w:val="18"/>
                <w:szCs w:val="18"/>
              </w:rPr>
              <w:t>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hanging="3"/>
              <w:jc w:val="center"/>
              <w:rPr>
                <w:rFonts w:ascii="宋体" w:hAnsi="宋体" w:cs="宋体" w:eastAsia="宋体" w:hint="default"/>
                <w:sz w:val="18"/>
                <w:szCs w:val="18"/>
              </w:rPr>
            </w:pPr>
            <w:r>
              <w:rPr>
                <w:rFonts w:ascii="宋体" w:hAnsi="宋体" w:cs="宋体" w:eastAsia="宋体" w:hint="default"/>
                <w:sz w:val="18"/>
                <w:szCs w:val="18"/>
              </w:rPr>
              <w:t>被投资企业</w:t>
            </w:r>
            <w:r>
              <w:rPr>
                <w:rFonts w:ascii="宋体" w:hAnsi="宋体" w:cs="宋体" w:eastAsia="宋体" w:hint="default"/>
                <w:w w:val="100"/>
                <w:sz w:val="18"/>
                <w:szCs w:val="18"/>
              </w:rPr>
              <w:t> </w:t>
            </w:r>
            <w:r>
              <w:rPr>
                <w:rFonts w:ascii="宋体" w:hAnsi="宋体" w:cs="宋体" w:eastAsia="宋体" w:hint="default"/>
                <w:spacing w:val="-13"/>
                <w:w w:val="100"/>
                <w:sz w:val="18"/>
                <w:szCs w:val="18"/>
              </w:rPr>
              <w:t>的总资产（万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hanging="3"/>
              <w:jc w:val="center"/>
              <w:rPr>
                <w:rFonts w:ascii="宋体" w:hAnsi="宋体" w:cs="宋体" w:eastAsia="宋体" w:hint="default"/>
                <w:sz w:val="18"/>
                <w:szCs w:val="18"/>
              </w:rPr>
            </w:pPr>
            <w:r>
              <w:rPr>
                <w:rFonts w:ascii="宋体" w:hAnsi="宋体" w:cs="宋体" w:eastAsia="宋体" w:hint="default"/>
                <w:sz w:val="18"/>
                <w:szCs w:val="18"/>
              </w:rPr>
              <w:t>被投资企业</w:t>
            </w:r>
            <w:r>
              <w:rPr>
                <w:rFonts w:ascii="宋体" w:hAnsi="宋体" w:cs="宋体" w:eastAsia="宋体" w:hint="default"/>
                <w:w w:val="100"/>
                <w:sz w:val="18"/>
                <w:szCs w:val="18"/>
              </w:rPr>
              <w:t> </w:t>
            </w:r>
            <w:r>
              <w:rPr>
                <w:rFonts w:ascii="宋体" w:hAnsi="宋体" w:cs="宋体" w:eastAsia="宋体" w:hint="default"/>
                <w:spacing w:val="-13"/>
                <w:w w:val="100"/>
                <w:sz w:val="18"/>
                <w:szCs w:val="18"/>
              </w:rPr>
              <w:t>的净资产（万</w:t>
            </w:r>
            <w:r>
              <w:rPr>
                <w:rFonts w:ascii="宋体" w:hAnsi="宋体" w:cs="宋体" w:eastAsia="宋体" w:hint="default"/>
                <w:w w:val="100"/>
                <w:sz w:val="18"/>
                <w:szCs w:val="18"/>
              </w:rPr>
              <w:t> </w:t>
            </w:r>
            <w:r>
              <w:rPr>
                <w:rFonts w:ascii="宋体" w:hAnsi="宋体" w:cs="宋体" w:eastAsia="宋体" w:hint="default"/>
                <w:sz w:val="18"/>
                <w:szCs w:val="18"/>
              </w:rPr>
              <w:t>元）</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16"/>
              <w:jc w:val="center"/>
              <w:rPr>
                <w:rFonts w:ascii="宋体" w:hAnsi="宋体" w:cs="宋体" w:eastAsia="宋体" w:hint="default"/>
                <w:sz w:val="18"/>
                <w:szCs w:val="18"/>
              </w:rPr>
            </w:pPr>
            <w:r>
              <w:rPr>
                <w:rFonts w:ascii="宋体" w:hAnsi="宋体" w:cs="宋体" w:eastAsia="宋体" w:hint="default"/>
                <w:sz w:val="18"/>
                <w:szCs w:val="18"/>
              </w:rPr>
              <w:t>被投资企业</w:t>
            </w:r>
            <w:r>
              <w:rPr>
                <w:rFonts w:ascii="宋体" w:hAnsi="宋体" w:cs="宋体" w:eastAsia="宋体" w:hint="default"/>
                <w:w w:val="100"/>
                <w:sz w:val="18"/>
                <w:szCs w:val="18"/>
              </w:rPr>
              <w:t> </w:t>
            </w:r>
            <w:r>
              <w:rPr>
                <w:rFonts w:ascii="宋体" w:hAnsi="宋体" w:cs="宋体" w:eastAsia="宋体" w:hint="default"/>
                <w:spacing w:val="-14"/>
                <w:w w:val="100"/>
                <w:sz w:val="18"/>
                <w:szCs w:val="18"/>
              </w:rPr>
              <w:t>的净利润（万</w:t>
            </w:r>
            <w:r>
              <w:rPr>
                <w:rFonts w:ascii="宋体" w:hAnsi="宋体" w:cs="宋体" w:eastAsia="宋体" w:hint="default"/>
                <w:w w:val="100"/>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4</w:t>
      </w:r>
      <w:r>
        <w:rPr/>
        <w:t>、关联债权债务往来</w:t>
      </w:r>
    </w:p>
    <w:p>
      <w:pPr>
        <w:spacing w:line="240" w:lineRule="auto" w:before="2"/>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14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35"/>
        <w:gridCol w:w="1118"/>
        <w:gridCol w:w="1118"/>
        <w:gridCol w:w="1121"/>
        <w:gridCol w:w="1118"/>
        <w:gridCol w:w="1118"/>
        <w:gridCol w:w="1118"/>
        <w:gridCol w:w="1121"/>
      </w:tblGrid>
      <w:tr>
        <w:trPr>
          <w:trHeight w:val="1025"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68" w:right="98" w:hanging="360"/>
              <w:jc w:val="left"/>
              <w:rPr>
                <w:rFonts w:ascii="宋体" w:hAnsi="宋体" w:cs="宋体" w:eastAsia="宋体" w:hint="default"/>
                <w:sz w:val="18"/>
                <w:szCs w:val="18"/>
              </w:rPr>
            </w:pPr>
            <w:r>
              <w:rPr>
                <w:rFonts w:ascii="宋体" w:hAnsi="宋体" w:cs="宋体" w:eastAsia="宋体" w:hint="default"/>
                <w:sz w:val="18"/>
                <w:szCs w:val="18"/>
              </w:rPr>
              <w:t>债权债务类</w:t>
            </w:r>
            <w:r>
              <w:rPr>
                <w:rFonts w:ascii="宋体" w:hAnsi="宋体" w:cs="宋体" w:eastAsia="宋体" w:hint="default"/>
                <w:w w:val="100"/>
                <w:sz w:val="18"/>
                <w:szCs w:val="18"/>
              </w:rPr>
              <w:t> </w:t>
            </w:r>
            <w:r>
              <w:rPr>
                <w:rFonts w:ascii="宋体" w:hAnsi="宋体" w:cs="宋体" w:eastAsia="宋体" w:hint="default"/>
                <w:sz w:val="18"/>
                <w:szCs w:val="18"/>
              </w:rPr>
              <w:t>型</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3" w:right="103"/>
              <w:jc w:val="center"/>
              <w:rPr>
                <w:rFonts w:ascii="宋体" w:hAnsi="宋体" w:cs="宋体" w:eastAsia="宋体" w:hint="default"/>
                <w:sz w:val="18"/>
                <w:szCs w:val="18"/>
              </w:rPr>
            </w:pPr>
            <w:r>
              <w:rPr>
                <w:rFonts w:ascii="宋体" w:hAnsi="宋体" w:cs="宋体" w:eastAsia="宋体" w:hint="default"/>
                <w:sz w:val="18"/>
                <w:szCs w:val="18"/>
              </w:rPr>
              <w:t>是否存在非</w:t>
            </w:r>
            <w:r>
              <w:rPr>
                <w:rFonts w:ascii="宋体" w:hAnsi="宋体" w:cs="宋体" w:eastAsia="宋体" w:hint="default"/>
                <w:w w:val="100"/>
                <w:sz w:val="18"/>
                <w:szCs w:val="18"/>
              </w:rPr>
              <w:t> </w:t>
            </w:r>
            <w:r>
              <w:rPr>
                <w:rFonts w:ascii="宋体" w:hAnsi="宋体" w:cs="宋体" w:eastAsia="宋体" w:hint="default"/>
                <w:sz w:val="18"/>
                <w:szCs w:val="18"/>
              </w:rPr>
              <w:t>经营性资金</w:t>
            </w:r>
            <w:r>
              <w:rPr>
                <w:rFonts w:ascii="宋体" w:hAnsi="宋体" w:cs="宋体" w:eastAsia="宋体" w:hint="default"/>
                <w:w w:val="100"/>
                <w:sz w:val="18"/>
                <w:szCs w:val="18"/>
              </w:rPr>
              <w:t> </w:t>
            </w:r>
            <w:r>
              <w:rPr>
                <w:rFonts w:ascii="宋体" w:hAnsi="宋体" w:cs="宋体" w:eastAsia="宋体" w:hint="default"/>
                <w:sz w:val="18"/>
                <w:szCs w:val="18"/>
              </w:rPr>
              <w:t>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4" w:right="19" w:hanging="351"/>
              <w:jc w:val="left"/>
              <w:rPr>
                <w:rFonts w:ascii="宋体" w:hAnsi="宋体" w:cs="宋体" w:eastAsia="宋体" w:hint="default"/>
                <w:sz w:val="18"/>
                <w:szCs w:val="18"/>
              </w:rPr>
            </w:pPr>
            <w:r>
              <w:rPr>
                <w:rFonts w:ascii="宋体" w:hAnsi="宋体" w:cs="宋体" w:eastAsia="宋体" w:hint="default"/>
                <w:spacing w:val="-4"/>
                <w:sz w:val="18"/>
                <w:szCs w:val="18"/>
              </w:rPr>
              <w:t>期初余额（万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6" w:right="19" w:hanging="351"/>
              <w:jc w:val="left"/>
              <w:rPr>
                <w:rFonts w:ascii="宋体" w:hAnsi="宋体" w:cs="宋体" w:eastAsia="宋体" w:hint="default"/>
                <w:sz w:val="18"/>
                <w:szCs w:val="18"/>
              </w:rPr>
            </w:pPr>
            <w:r>
              <w:rPr>
                <w:rFonts w:ascii="宋体" w:hAnsi="宋体" w:cs="宋体" w:eastAsia="宋体" w:hint="default"/>
                <w:spacing w:val="-4"/>
                <w:sz w:val="18"/>
                <w:szCs w:val="18"/>
              </w:rPr>
              <w:t>期末余额（万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5</w:t>
      </w:r>
      <w:r>
        <w:rPr/>
        <w:t>、其他重大关联交易</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446"/>
        <w:gridCol w:w="2650"/>
        <w:gridCol w:w="3461"/>
      </w:tblGrid>
      <w:tr>
        <w:trPr>
          <w:trHeight w:val="401" w:hRule="exact"/>
        </w:trPr>
        <w:tc>
          <w:tcPr>
            <w:tcW w:w="3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七、重大合同及其履行情况</w:t>
      </w:r>
    </w:p>
    <w:p>
      <w:pPr>
        <w:spacing w:line="240" w:lineRule="auto" w:before="12"/>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、托管、承包、租赁事项情况</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）托管情况</w:t>
      </w:r>
    </w:p>
    <w:p>
      <w:pPr>
        <w:spacing w:line="240" w:lineRule="auto" w:before="4"/>
        <w:rPr>
          <w:rFonts w:ascii="宋体" w:hAnsi="宋体" w:cs="宋体" w:eastAsia="宋体" w:hint="default"/>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pacing w:val="-1"/>
          <w:sz w:val="18"/>
          <w:szCs w:val="18"/>
        </w:rPr>
        <w:t>托管情况说明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不适用</w:t>
      </w:r>
    </w:p>
    <w:p>
      <w:pPr>
        <w:spacing w:before="27"/>
        <w:ind w:left="152" w:right="14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2</w:t>
      </w:r>
      <w:r>
        <w:rPr/>
        <w:t>）承包情况</w:t>
      </w:r>
    </w:p>
    <w:p>
      <w:pPr>
        <w:spacing w:line="240" w:lineRule="auto" w:before="2"/>
        <w:rPr>
          <w:rFonts w:ascii="宋体" w:hAnsi="宋体" w:cs="宋体" w:eastAsia="宋体" w:hint="default"/>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pacing w:val="-1"/>
          <w:sz w:val="18"/>
          <w:szCs w:val="18"/>
        </w:rPr>
        <w:t>承包情况说明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不适用</w:t>
      </w:r>
    </w:p>
    <w:p>
      <w:pPr>
        <w:spacing w:before="27"/>
        <w:ind w:left="152" w:right="14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BodyText"/>
        <w:spacing w:line="240" w:lineRule="auto"/>
        <w:ind w:right="145"/>
        <w:jc w:val="left"/>
      </w:pPr>
      <w:r>
        <w:rPr/>
        <w:t>（</w:t>
      </w:r>
      <w:r>
        <w:rPr>
          <w:rFonts w:ascii="Times New Roman" w:hAnsi="Times New Roman" w:cs="Times New Roman" w:eastAsia="Times New Roman" w:hint="default"/>
          <w:b/>
          <w:bCs/>
        </w:rPr>
        <w:t>3</w:t>
      </w:r>
      <w:r>
        <w:rPr/>
        <w:t>）租赁情况</w:t>
      </w:r>
    </w:p>
    <w:p>
      <w:pPr>
        <w:spacing w:line="240" w:lineRule="auto" w:before="4"/>
        <w:rPr>
          <w:rFonts w:ascii="宋体" w:hAnsi="宋体" w:cs="宋体" w:eastAsia="宋体" w:hint="default"/>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pacing w:val="-1"/>
          <w:sz w:val="18"/>
          <w:szCs w:val="18"/>
        </w:rPr>
        <w:t>租赁情况说明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不适用</w:t>
      </w:r>
    </w:p>
    <w:p>
      <w:pPr>
        <w:spacing w:before="27"/>
        <w:ind w:left="152" w:right="14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2</w:t>
      </w:r>
      <w:r>
        <w:rPr/>
        <w:t>、担保情况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06"/>
        <w:gridCol w:w="940"/>
        <w:gridCol w:w="935"/>
        <w:gridCol w:w="1560"/>
        <w:gridCol w:w="830"/>
        <w:gridCol w:w="1097"/>
        <w:gridCol w:w="1014"/>
        <w:gridCol w:w="659"/>
        <w:gridCol w:w="931"/>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5"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8" w:right="99"/>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w w:val="100"/>
                <w:sz w:val="18"/>
                <w:szCs w:val="18"/>
              </w:rPr>
              <w:t> </w:t>
            </w:r>
            <w:r>
              <w:rPr>
                <w:rFonts w:ascii="宋体" w:hAnsi="宋体" w:cs="宋体" w:eastAsia="宋体" w:hint="default"/>
                <w:sz w:val="18"/>
                <w:szCs w:val="18"/>
              </w:rPr>
              <w:t>相关公告</w:t>
            </w:r>
            <w:r>
              <w:rPr>
                <w:rFonts w:ascii="宋体" w:hAnsi="宋体" w:cs="宋体" w:eastAsia="宋体" w:hint="default"/>
                <w:w w:val="100"/>
                <w:sz w:val="18"/>
                <w:szCs w:val="18"/>
              </w:rPr>
              <w:t> </w:t>
            </w:r>
            <w:r>
              <w:rPr>
                <w:rFonts w:ascii="宋体" w:hAnsi="宋体" w:cs="宋体" w:eastAsia="宋体" w:hint="default"/>
                <w:sz w:val="18"/>
                <w:szCs w:val="18"/>
              </w:rPr>
              <w:t>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24" w:right="52" w:hanging="269"/>
              <w:jc w:val="left"/>
              <w:rPr>
                <w:rFonts w:ascii="宋体" w:hAnsi="宋体" w:cs="宋体" w:eastAsia="宋体" w:hint="default"/>
                <w:sz w:val="18"/>
                <w:szCs w:val="18"/>
              </w:rPr>
            </w:pPr>
            <w:r>
              <w:rPr>
                <w:rFonts w:ascii="宋体" w:hAnsi="宋体" w:cs="宋体" w:eastAsia="宋体" w:hint="default"/>
                <w:sz w:val="18"/>
                <w:szCs w:val="18"/>
              </w:rPr>
              <w:t>实际发生日期（协</w:t>
            </w:r>
            <w:r>
              <w:rPr>
                <w:rFonts w:ascii="宋体" w:hAnsi="宋体" w:cs="宋体" w:eastAsia="宋体" w:hint="default"/>
                <w:w w:val="100"/>
                <w:sz w:val="18"/>
                <w:szCs w:val="18"/>
              </w:rPr>
              <w:t> </w:t>
            </w:r>
            <w:r>
              <w:rPr>
                <w:rFonts w:ascii="宋体" w:hAnsi="宋体" w:cs="宋体" w:eastAsia="宋体" w:hint="default"/>
                <w:sz w:val="18"/>
                <w:szCs w:val="18"/>
              </w:rPr>
              <w:t>议签署日）</w:t>
            </w:r>
          </w:p>
        </w:tc>
        <w:tc>
          <w:tcPr>
            <w:tcW w:w="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6" w:right="50"/>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w w:val="100"/>
                <w:sz w:val="18"/>
                <w:szCs w:val="18"/>
              </w:rPr>
              <w:t> </w:t>
            </w:r>
            <w:r>
              <w:rPr>
                <w:rFonts w:ascii="宋体" w:hAnsi="宋体" w:cs="宋体" w:eastAsia="宋体" w:hint="default"/>
                <w:sz w:val="18"/>
                <w:szCs w:val="18"/>
              </w:rPr>
              <w:t>行完毕</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00" w:right="98"/>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w w:val="100"/>
                <w:sz w:val="18"/>
                <w:szCs w:val="18"/>
              </w:rPr>
              <w:t> </w:t>
            </w:r>
            <w:r>
              <w:rPr>
                <w:rFonts w:ascii="宋体" w:hAnsi="宋体" w:cs="宋体" w:eastAsia="宋体" w:hint="default"/>
                <w:sz w:val="18"/>
                <w:szCs w:val="18"/>
              </w:rPr>
              <w:t>联方担保</w:t>
            </w:r>
          </w:p>
          <w:p>
            <w:pPr>
              <w:pStyle w:val="TableParagraph"/>
              <w:spacing w:line="240" w:lineRule="auto" w:before="20"/>
              <w:ind w:left="24" w:right="-3"/>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3" w:right="10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w w:val="100"/>
                <w:sz w:val="18"/>
                <w:szCs w:val="18"/>
              </w:rPr>
              <w:t> </w:t>
            </w:r>
            <w:r>
              <w:rPr>
                <w:rFonts w:ascii="宋体" w:hAnsi="宋体" w:cs="宋体" w:eastAsia="宋体" w:hint="default"/>
                <w:sz w:val="18"/>
                <w:szCs w:val="18"/>
              </w:rPr>
              <w:t>相关公告</w:t>
            </w:r>
            <w:r>
              <w:rPr>
                <w:rFonts w:ascii="宋体" w:hAnsi="宋体" w:cs="宋体" w:eastAsia="宋体" w:hint="default"/>
                <w:w w:val="100"/>
                <w:sz w:val="18"/>
                <w:szCs w:val="18"/>
              </w:rPr>
              <w:t> </w:t>
            </w:r>
            <w:r>
              <w:rPr>
                <w:rFonts w:ascii="宋体" w:hAnsi="宋体" w:cs="宋体" w:eastAsia="宋体" w:hint="default"/>
                <w:sz w:val="18"/>
                <w:szCs w:val="18"/>
              </w:rPr>
              <w:t>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24" w:right="52" w:hanging="269"/>
              <w:jc w:val="left"/>
              <w:rPr>
                <w:rFonts w:ascii="宋体" w:hAnsi="宋体" w:cs="宋体" w:eastAsia="宋体" w:hint="default"/>
                <w:sz w:val="18"/>
                <w:szCs w:val="18"/>
              </w:rPr>
            </w:pPr>
            <w:r>
              <w:rPr>
                <w:rFonts w:ascii="宋体" w:hAnsi="宋体" w:cs="宋体" w:eastAsia="宋体" w:hint="default"/>
                <w:sz w:val="18"/>
                <w:szCs w:val="18"/>
              </w:rPr>
              <w:t>实际发生日期（协</w:t>
            </w:r>
            <w:r>
              <w:rPr>
                <w:rFonts w:ascii="宋体" w:hAnsi="宋体" w:cs="宋体" w:eastAsia="宋体" w:hint="default"/>
                <w:w w:val="100"/>
                <w:sz w:val="18"/>
                <w:szCs w:val="18"/>
              </w:rPr>
              <w:t> </w:t>
            </w:r>
            <w:r>
              <w:rPr>
                <w:rFonts w:ascii="宋体" w:hAnsi="宋体" w:cs="宋体" w:eastAsia="宋体" w:hint="default"/>
                <w:sz w:val="18"/>
                <w:szCs w:val="18"/>
              </w:rPr>
              <w:t>议签署日）</w:t>
            </w:r>
          </w:p>
        </w:tc>
        <w:tc>
          <w:tcPr>
            <w:tcW w:w="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担保期</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1" w:right="55"/>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w w:val="100"/>
                <w:sz w:val="18"/>
                <w:szCs w:val="18"/>
              </w:rPr>
              <w:t> </w:t>
            </w:r>
            <w:r>
              <w:rPr>
                <w:rFonts w:ascii="宋体" w:hAnsi="宋体" w:cs="宋体" w:eastAsia="宋体" w:hint="default"/>
                <w:sz w:val="18"/>
                <w:szCs w:val="18"/>
              </w:rPr>
              <w:t>行完毕</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00" w:right="98"/>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w w:val="100"/>
                <w:sz w:val="18"/>
                <w:szCs w:val="18"/>
              </w:rPr>
              <w:t> </w:t>
            </w:r>
            <w:r>
              <w:rPr>
                <w:rFonts w:ascii="宋体" w:hAnsi="宋体" w:cs="宋体" w:eastAsia="宋体" w:hint="default"/>
                <w:sz w:val="18"/>
                <w:szCs w:val="18"/>
              </w:rPr>
              <w:t>联方担保</w:t>
            </w:r>
          </w:p>
          <w:p>
            <w:pPr>
              <w:pStyle w:val="TableParagraph"/>
              <w:spacing w:line="240" w:lineRule="auto" w:before="20"/>
              <w:ind w:left="24" w:right="-3"/>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footerReference w:type="default" r:id="rId15"/>
          <w:pgSz w:w="11900" w:h="16840"/>
          <w:pgMar w:footer="982" w:header="746" w:top="1060" w:bottom="1180" w:left="980" w:right="980"/>
          <w:pgNumType w:start="3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1</w:t>
      </w:r>
      <w:r>
        <w:rPr/>
        <w:t>）违规对外担保情况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57"/>
        <w:gridCol w:w="1652"/>
        <w:gridCol w:w="1982"/>
        <w:gridCol w:w="1980"/>
        <w:gridCol w:w="1982"/>
      </w:tblGrid>
      <w:tr>
        <w:trPr>
          <w:trHeight w:val="331"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100"/>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100"/>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100"/>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571"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0"/>
              <w:ind w:left="12" w:right="133"/>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w:t>
            </w:r>
            <w:r>
              <w:rPr>
                <w:rFonts w:ascii="宋体" w:hAnsi="宋体" w:cs="宋体" w:eastAsia="宋体" w:hint="default"/>
                <w:w w:val="100"/>
                <w:sz w:val="18"/>
                <w:szCs w:val="18"/>
              </w:rPr>
              <w:t> </w:t>
            </w:r>
            <w:r>
              <w:rPr>
                <w:rFonts w:ascii="宋体" w:hAnsi="宋体" w:cs="宋体" w:eastAsia="宋体" w:hint="default"/>
                <w:sz w:val="18"/>
                <w:szCs w:val="18"/>
              </w:rPr>
              <w:t>产的比例</w:t>
            </w:r>
            <w:r>
              <w:rPr>
                <w:rFonts w:ascii="Times New Roman" w:hAnsi="Times New Roman" w:cs="Times New Roman" w:eastAsia="Times New Roman" w:hint="default"/>
                <w:sz w:val="18"/>
                <w:szCs w:val="18"/>
              </w:rPr>
              <w:t>(%)</w:t>
            </w:r>
          </w:p>
        </w:tc>
        <w:tc>
          <w:tcPr>
            <w:tcW w:w="7597" w:type="dxa"/>
            <w:gridSpan w:val="4"/>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56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auto" w:before="20"/>
              <w:ind w:left="12" w:right="133"/>
              <w:jc w:val="left"/>
              <w:rPr>
                <w:rFonts w:ascii="宋体" w:hAnsi="宋体" w:cs="宋体" w:eastAsia="宋体" w:hint="default"/>
                <w:sz w:val="18"/>
                <w:szCs w:val="18"/>
              </w:rPr>
            </w:pPr>
            <w:r>
              <w:rPr>
                <w:rFonts w:ascii="宋体" w:hAnsi="宋体" w:cs="宋体" w:eastAsia="宋体" w:hint="default"/>
                <w:sz w:val="18"/>
                <w:szCs w:val="18"/>
              </w:rPr>
              <w:t>违规对外担保情况及解</w:t>
            </w:r>
            <w:r>
              <w:rPr>
                <w:rFonts w:ascii="宋体" w:hAnsi="宋体" w:cs="宋体" w:eastAsia="宋体" w:hint="default"/>
                <w:w w:val="100"/>
                <w:sz w:val="18"/>
                <w:szCs w:val="18"/>
              </w:rPr>
              <w:t> </w:t>
            </w:r>
            <w:r>
              <w:rPr>
                <w:rFonts w:ascii="宋体" w:hAnsi="宋体" w:cs="宋体" w:eastAsia="宋体" w:hint="default"/>
                <w:sz w:val="18"/>
                <w:szCs w:val="18"/>
              </w:rPr>
              <w:t>决措施情况说明</w:t>
            </w:r>
          </w:p>
        </w:tc>
        <w:tc>
          <w:tcPr>
            <w:tcW w:w="7597" w:type="dxa"/>
            <w:gridSpan w:val="4"/>
            <w:tcBorders>
              <w:top w:val="single" w:sz="4" w:space="0" w:color="000000"/>
              <w:left w:val="single" w:sz="12" w:space="0" w:color="D3D3D3"/>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3</w:t>
      </w:r>
      <w:r>
        <w:rPr/>
        <w:t>、其他重大合同</w:t>
      </w:r>
    </w:p>
    <w:p>
      <w:pPr>
        <w:spacing w:line="240" w:lineRule="auto" w:before="4"/>
        <w:rPr>
          <w:rFonts w:ascii="宋体" w:hAnsi="宋体" w:cs="宋体" w:eastAsia="宋体" w:hint="default"/>
          <w:sz w:val="25"/>
          <w:szCs w:val="25"/>
        </w:rPr>
      </w:pPr>
    </w:p>
    <w:p>
      <w:pPr>
        <w:spacing w:line="1358" w:lineRule="exact"/>
        <w:ind w:left="148"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8.7pt;height:67.95pt;mso-position-horizontal-relative:char;mso-position-vertical-relative:line" coordorigin="0,0" coordsize="9574,1359">
            <v:group style="position:absolute;left:10;top:1185;width:862;height:156" coordorigin="10,1185" coordsize="862,156">
              <v:shape style="position:absolute;left:10;top:1185;width:862;height:156" coordorigin="10,1185" coordsize="862,156" path="m10,1341l871,1341,871,1185,10,1185,10,1341xe" filled="true" fillcolor="#d3d3d3" stroked="false">
                <v:path arrowok="t"/>
                <v:fill type="solid"/>
              </v:shape>
            </v:group>
            <v:group style="position:absolute;left:22;top:171;width:2;height:1014" coordorigin="22,171" coordsize="2,1014">
              <v:shape style="position:absolute;left:22;top:171;width:2;height:1014" coordorigin="22,171" coordsize="0,1014" path="m22,171l22,1185e" filled="false" stroked="true" strokeweight="1.199996pt" strokecolor="#d3d3d3">
                <v:path arrowok="t"/>
              </v:shape>
            </v:group>
            <v:group style="position:absolute;left:10;top:15;width:862;height:156" coordorigin="10,15" coordsize="862,156">
              <v:shape style="position:absolute;left:10;top:15;width:862;height:156" coordorigin="10,15" coordsize="862,156" path="m10,171l871,171,871,15,10,15,10,171xe" filled="true" fillcolor="#d3d3d3" stroked="false">
                <v:path arrowok="t"/>
                <v:fill type="solid"/>
              </v:shape>
            </v:group>
            <v:group style="position:absolute;left:860;top:170;width:2;height:1016" coordorigin="860,170" coordsize="2,1016">
              <v:shape style="position:absolute;left:860;top:170;width:2;height:1016" coordorigin="860,170" coordsize="0,1016" path="m860,170l860,1186e" filled="false" stroked="true" strokeweight="1.08pt" strokecolor="#d3d3d3">
                <v:path arrowok="t"/>
              </v:shape>
            </v:group>
            <v:group style="position:absolute;left:34;top:170;width:816;height:353" coordorigin="34,170" coordsize="816,353">
              <v:shape style="position:absolute;left:34;top:170;width:816;height:353" coordorigin="34,170" coordsize="816,353" path="m34,523l850,523,850,170,34,170,34,523xe" filled="true" fillcolor="#d3d3d3" stroked="false">
                <v:path arrowok="t"/>
                <v:fill type="solid"/>
              </v:shape>
            </v:group>
            <v:group style="position:absolute;left:34;top:523;width:816;height:312" coordorigin="34,523" coordsize="816,312">
              <v:shape style="position:absolute;left:34;top:523;width:816;height:312" coordorigin="34,523" coordsize="816,312" path="m34,835l850,835,850,523,34,523,34,835xe" filled="true" fillcolor="#d3d3d3" stroked="false">
                <v:path arrowok="t"/>
                <v:fill type="solid"/>
              </v:shape>
            </v:group>
            <v:group style="position:absolute;left:34;top:835;width:816;height:351" coordorigin="34,835" coordsize="816,351">
              <v:shape style="position:absolute;left:34;top:835;width:816;height:351" coordorigin="34,835" coordsize="816,351" path="m34,1186l850,1186,850,835,34,835,34,1186xe" filled="true" fillcolor="#d3d3d3" stroked="false">
                <v:path arrowok="t"/>
                <v:fill type="solid"/>
              </v:shape>
            </v:group>
            <v:group style="position:absolute;left:881;top:1029;width:860;height:312" coordorigin="881,1029" coordsize="860,312">
              <v:shape style="position:absolute;left:881;top:1029;width:860;height:312" coordorigin="881,1029" coordsize="860,312" path="m881,1341l1740,1341,1740,1029,881,1029,881,1341xe" filled="true" fillcolor="#d3d3d3" stroked="false">
                <v:path arrowok="t"/>
                <v:fill type="solid"/>
              </v:shape>
            </v:group>
            <v:group style="position:absolute;left:892;top:327;width:2;height:702" coordorigin="892,327" coordsize="2,702">
              <v:shape style="position:absolute;left:892;top:327;width:2;height:702" coordorigin="892,327" coordsize="0,702" path="m892,327l892,1029e" filled="false" stroked="true" strokeweight="1.079994pt" strokecolor="#d3d3d3">
                <v:path arrowok="t"/>
              </v:shape>
            </v:group>
            <v:group style="position:absolute;left:881;top:15;width:860;height:312" coordorigin="881,15" coordsize="860,312">
              <v:shape style="position:absolute;left:881;top:15;width:860;height:312" coordorigin="881,15" coordsize="860,312" path="m881,327l1740,327,1740,15,881,15,881,327xe" filled="true" fillcolor="#d3d3d3" stroked="false">
                <v:path arrowok="t"/>
                <v:fill type="solid"/>
              </v:shape>
            </v:group>
            <v:group style="position:absolute;left:1729;top:326;width:2;height:704" coordorigin="1729,326" coordsize="2,704">
              <v:shape style="position:absolute;left:1729;top:326;width:2;height:704" coordorigin="1729,326" coordsize="0,704" path="m1729,326l1729,1030e" filled="false" stroked="true" strokeweight="1.08pt" strokecolor="#d3d3d3">
                <v:path arrowok="t"/>
              </v:shape>
            </v:group>
            <v:group style="position:absolute;left:902;top:326;width:816;height:353" coordorigin="902,326" coordsize="816,353">
              <v:shape style="position:absolute;left:902;top:326;width:816;height:353" coordorigin="902,326" coordsize="816,353" path="m902,679l1718,679,1718,326,902,326,902,679xe" filled="true" fillcolor="#d3d3d3" stroked="false">
                <v:path arrowok="t"/>
                <v:fill type="solid"/>
              </v:shape>
            </v:group>
            <v:group style="position:absolute;left:902;top:679;width:816;height:351" coordorigin="902,679" coordsize="816,351">
              <v:shape style="position:absolute;left:902;top:679;width:816;height:351" coordorigin="902,679" coordsize="816,351" path="m902,1030l1718,1030,1718,679,902,679,902,1030xe" filled="true" fillcolor="#d3d3d3" stroked="false">
                <v:path arrowok="t"/>
                <v:fill type="solid"/>
              </v:shape>
            </v:group>
            <v:group style="position:absolute;left:1762;top:14;width:2;height:1328" coordorigin="1762,14" coordsize="2,1328">
              <v:shape style="position:absolute;left:1762;top:14;width:2;height:1328" coordorigin="1762,14" coordsize="0,1328" path="m1762,14l1762,1342e" filled="false" stroked="true" strokeweight="1.199991pt" strokecolor="#d3d3d3">
                <v:path arrowok="t"/>
              </v:shape>
            </v:group>
            <v:group style="position:absolute;left:2600;top:14;width:2;height:1328" coordorigin="2600,14" coordsize="2,1328">
              <v:shape style="position:absolute;left:2600;top:14;width:2;height:1328" coordorigin="2600,14" coordsize="0,1328" path="m2600,14l2600,1342e" filled="false" stroked="true" strokeweight="1.08pt" strokecolor="#d3d3d3">
                <v:path arrowok="t"/>
              </v:shape>
            </v:group>
            <v:group style="position:absolute;left:1774;top:14;width:816;height:353" coordorigin="1774,14" coordsize="816,353">
              <v:shape style="position:absolute;left:1774;top:14;width:816;height:353" coordorigin="1774,14" coordsize="816,353" path="m1774,367l2590,367,2590,14,1774,14,1774,367xe" filled="true" fillcolor="#d3d3d3" stroked="false">
                <v:path arrowok="t"/>
                <v:fill type="solid"/>
              </v:shape>
            </v:group>
            <v:group style="position:absolute;left:1774;top:367;width:816;height:312" coordorigin="1774,367" coordsize="816,312">
              <v:shape style="position:absolute;left:1774;top:367;width:816;height:312" coordorigin="1774,367" coordsize="816,312" path="m1774,679l2590,679,2590,367,1774,367,1774,679xe" filled="true" fillcolor="#d3d3d3" stroked="false">
                <v:path arrowok="t"/>
                <v:fill type="solid"/>
              </v:shape>
            </v:group>
            <v:group style="position:absolute;left:1774;top:679;width:816;height:312" coordorigin="1774,679" coordsize="816,312">
              <v:shape style="position:absolute;left:1774;top:679;width:816;height:312" coordorigin="1774,679" coordsize="816,312" path="m1774,991l2590,991,2590,679,1774,679,1774,991xe" filled="true" fillcolor="#d3d3d3" stroked="false">
                <v:path arrowok="t"/>
                <v:fill type="solid"/>
              </v:shape>
            </v:group>
            <v:group style="position:absolute;left:1774;top:991;width:816;height:351" coordorigin="1774,991" coordsize="816,351">
              <v:shape style="position:absolute;left:1774;top:991;width:816;height:351" coordorigin="1774,991" coordsize="816,351" path="m1774,1342l2590,1342,2590,991,1774,991,1774,1342xe" filled="true" fillcolor="#d3d3d3" stroked="false">
                <v:path arrowok="t"/>
                <v:fill type="solid"/>
              </v:shape>
            </v:group>
            <v:group style="position:absolute;left:2632;top:14;width:2;height:1328" coordorigin="2632,14" coordsize="2,1328">
              <v:shape style="position:absolute;left:2632;top:14;width:2;height:1328" coordorigin="2632,14" coordsize="0,1328" path="m2632,14l2632,1342e" filled="false" stroked="true" strokeweight="1.079989pt" strokecolor="#d3d3d3">
                <v:path arrowok="t"/>
              </v:shape>
            </v:group>
            <v:group style="position:absolute;left:3469;top:14;width:2;height:1328" coordorigin="3469,14" coordsize="2,1328">
              <v:shape style="position:absolute;left:3469;top:14;width:2;height:1328" coordorigin="3469,14" coordsize="0,1328" path="m3469,14l3469,1342e" filled="false" stroked="true" strokeweight="1.08pt" strokecolor="#d3d3d3">
                <v:path arrowok="t"/>
              </v:shape>
            </v:group>
            <v:group style="position:absolute;left:2642;top:14;width:816;height:353" coordorigin="2642,14" coordsize="816,353">
              <v:shape style="position:absolute;left:2642;top:14;width:816;height:353" coordorigin="2642,14" coordsize="816,353" path="m2642,367l3458,367,3458,14,2642,14,2642,367xe" filled="true" fillcolor="#d3d3d3" stroked="false">
                <v:path arrowok="t"/>
                <v:fill type="solid"/>
              </v:shape>
            </v:group>
            <v:group style="position:absolute;left:2642;top:367;width:816;height:312" coordorigin="2642,367" coordsize="816,312">
              <v:shape style="position:absolute;left:2642;top:367;width:816;height:312" coordorigin="2642,367" coordsize="816,312" path="m2642,679l3458,679,3458,367,2642,367,2642,679xe" filled="true" fillcolor="#d3d3d3" stroked="false">
                <v:path arrowok="t"/>
                <v:fill type="solid"/>
              </v:shape>
            </v:group>
            <v:group style="position:absolute;left:2642;top:679;width:816;height:312" coordorigin="2642,679" coordsize="816,312">
              <v:shape style="position:absolute;left:2642;top:679;width:816;height:312" coordorigin="2642,679" coordsize="816,312" path="m2642,991l3458,991,3458,679,2642,679,2642,991xe" filled="true" fillcolor="#d3d3d3" stroked="false">
                <v:path arrowok="t"/>
                <v:fill type="solid"/>
              </v:shape>
            </v:group>
            <v:group style="position:absolute;left:2642;top:991;width:816;height:351" coordorigin="2642,991" coordsize="816,351">
              <v:shape style="position:absolute;left:2642;top:991;width:816;height:351" coordorigin="2642,991" coordsize="816,351" path="m2642,1342l3458,1342,3458,991,2642,991,2642,1342xe" filled="true" fillcolor="#d3d3d3" stroked="false">
                <v:path arrowok="t"/>
                <v:fill type="solid"/>
              </v:shape>
            </v:group>
            <v:group style="position:absolute;left:3490;top:1185;width:862;height:156" coordorigin="3490,1185" coordsize="862,156">
              <v:shape style="position:absolute;left:3490;top:1185;width:862;height:156" coordorigin="3490,1185" coordsize="862,156" path="m3490,1341l4351,1341,4351,1185,3490,1185,3490,1341xe" filled="true" fillcolor="#d3d3d3" stroked="false">
                <v:path arrowok="t"/>
                <v:fill type="solid"/>
              </v:shape>
            </v:group>
            <v:group style="position:absolute;left:3502;top:171;width:2;height:1014" coordorigin="3502,171" coordsize="2,1014">
              <v:shape style="position:absolute;left:3502;top:171;width:2;height:1014" coordorigin="3502,171" coordsize="0,1014" path="m3502,171l3502,1185e" filled="false" stroked="true" strokeweight="1.199986pt" strokecolor="#d3d3d3">
                <v:path arrowok="t"/>
              </v:shape>
            </v:group>
            <v:group style="position:absolute;left:3490;top:15;width:862;height:156" coordorigin="3490,15" coordsize="862,156">
              <v:shape style="position:absolute;left:3490;top:15;width:862;height:156" coordorigin="3490,15" coordsize="862,156" path="m3490,171l4351,171,4351,15,3490,15,3490,171xe" filled="true" fillcolor="#d3d3d3" stroked="false">
                <v:path arrowok="t"/>
                <v:fill type="solid"/>
              </v:shape>
            </v:group>
            <v:group style="position:absolute;left:4340;top:170;width:2;height:1016" coordorigin="4340,170" coordsize="2,1016">
              <v:shape style="position:absolute;left:4340;top:170;width:2;height:1016" coordorigin="4340,170" coordsize="0,1016" path="m4340,170l4340,1186e" filled="false" stroked="true" strokeweight="1.08pt" strokecolor="#d3d3d3">
                <v:path arrowok="t"/>
              </v:shape>
            </v:group>
            <v:group style="position:absolute;left:3514;top:170;width:816;height:353" coordorigin="3514,170" coordsize="816,353">
              <v:shape style="position:absolute;left:3514;top:170;width:816;height:353" coordorigin="3514,170" coordsize="816,353" path="m3514,523l4330,523,4330,170,3514,170,3514,523xe" filled="true" fillcolor="#d3d3d3" stroked="false">
                <v:path arrowok="t"/>
                <v:fill type="solid"/>
              </v:shape>
            </v:group>
            <v:group style="position:absolute;left:3514;top:523;width:816;height:312" coordorigin="3514,523" coordsize="816,312">
              <v:shape style="position:absolute;left:3514;top:523;width:816;height:312" coordorigin="3514,523" coordsize="816,312" path="m3514,835l4330,835,4330,523,3514,523,3514,835xe" filled="true" fillcolor="#d3d3d3" stroked="false">
                <v:path arrowok="t"/>
                <v:fill type="solid"/>
              </v:shape>
            </v:group>
            <v:group style="position:absolute;left:3514;top:835;width:816;height:351" coordorigin="3514,835" coordsize="816,351">
              <v:shape style="position:absolute;left:3514;top:835;width:816;height:351" coordorigin="3514,835" coordsize="816,351" path="m3514,1186l4330,1186,4330,835,3514,835,3514,1186xe" filled="true" fillcolor="#d3d3d3" stroked="false">
                <v:path arrowok="t"/>
                <v:fill type="solid"/>
              </v:shape>
            </v:group>
            <v:group style="position:absolute;left:4361;top:1029;width:857;height:312" coordorigin="4361,1029" coordsize="857,312">
              <v:shape style="position:absolute;left:4361;top:1029;width:857;height:312" coordorigin="4361,1029" coordsize="857,312" path="m4361,1341l5218,1341,5218,1029,4361,1029,4361,1341xe" filled="true" fillcolor="#d3d3d3" stroked="false">
                <v:path arrowok="t"/>
                <v:fill type="solid"/>
              </v:shape>
            </v:group>
            <v:group style="position:absolute;left:4372;top:327;width:2;height:702" coordorigin="4372,327" coordsize="2,702">
              <v:shape style="position:absolute;left:4372;top:327;width:2;height:702" coordorigin="4372,327" coordsize="0,702" path="m4372,327l4372,1029e" filled="false" stroked="true" strokeweight="1.079983pt" strokecolor="#d3d3d3">
                <v:path arrowok="t"/>
              </v:shape>
            </v:group>
            <v:group style="position:absolute;left:4361;top:15;width:857;height:312" coordorigin="4361,15" coordsize="857,312">
              <v:shape style="position:absolute;left:4361;top:15;width:857;height:312" coordorigin="4361,15" coordsize="857,312" path="m4361,327l5218,327,5218,15,4361,15,4361,327xe" filled="true" fillcolor="#d3d3d3" stroked="false">
                <v:path arrowok="t"/>
                <v:fill type="solid"/>
              </v:shape>
            </v:group>
            <v:group style="position:absolute;left:5207;top:326;width:2;height:704" coordorigin="5207,326" coordsize="2,704">
              <v:shape style="position:absolute;left:5207;top:326;width:2;height:704" coordorigin="5207,326" coordsize="0,704" path="m5207,326l5207,1030e" filled="false" stroked="true" strokeweight="1.08pt" strokecolor="#d3d3d3">
                <v:path arrowok="t"/>
              </v:shape>
            </v:group>
            <v:group style="position:absolute;left:4382;top:326;width:814;height:353" coordorigin="4382,326" coordsize="814,353">
              <v:shape style="position:absolute;left:4382;top:326;width:814;height:353" coordorigin="4382,326" coordsize="814,353" path="m4382,679l5196,679,5196,326,4382,326,4382,679xe" filled="true" fillcolor="#d3d3d3" stroked="false">
                <v:path arrowok="t"/>
                <v:fill type="solid"/>
              </v:shape>
            </v:group>
            <v:group style="position:absolute;left:4382;top:679;width:814;height:351" coordorigin="4382,679" coordsize="814,351">
              <v:shape style="position:absolute;left:4382;top:679;width:814;height:351" coordorigin="4382,679" coordsize="814,351" path="m4382,1030l5196,1030,5196,679,4382,679,4382,1030xe" filled="true" fillcolor="#d3d3d3" stroked="false">
                <v:path arrowok="t"/>
                <v:fill type="solid"/>
              </v:shape>
            </v:group>
            <v:group style="position:absolute;left:5227;top:873;width:860;height:468" coordorigin="5227,873" coordsize="860,468">
              <v:shape style="position:absolute;left:5227;top:873;width:860;height:468" coordorigin="5227,873" coordsize="860,468" path="m5227,1341l6086,1341,6086,873,5227,873,5227,1341xe" filled="true" fillcolor="#d3d3d3" stroked="false">
                <v:path arrowok="t"/>
                <v:fill type="solid"/>
              </v:shape>
            </v:group>
            <v:group style="position:absolute;left:5240;top:483;width:2;height:390" coordorigin="5240,483" coordsize="2,390">
              <v:shape style="position:absolute;left:5240;top:483;width:2;height:390" coordorigin="5240,483" coordsize="0,390" path="m5240,483l5240,873e" filled="false" stroked="true" strokeweight="1.319981pt" strokecolor="#d3d3d3">
                <v:path arrowok="t"/>
              </v:shape>
            </v:group>
            <v:group style="position:absolute;left:5227;top:15;width:860;height:468" coordorigin="5227,15" coordsize="860,468">
              <v:shape style="position:absolute;left:5227;top:15;width:860;height:468" coordorigin="5227,15" coordsize="860,468" path="m5227,483l6086,483,6086,15,5227,15,5227,483xe" filled="true" fillcolor="#d3d3d3" stroked="false">
                <v:path arrowok="t"/>
                <v:fill type="solid"/>
              </v:shape>
            </v:group>
            <v:group style="position:absolute;left:6076;top:482;width:2;height:392" coordorigin="6076,482" coordsize="2,392">
              <v:shape style="position:absolute;left:6076;top:482;width:2;height:392" coordorigin="6076,482" coordsize="0,392" path="m6076,482l6076,874e" filled="false" stroked="true" strokeweight="1.08pt" strokecolor="#d3d3d3">
                <v:path arrowok="t"/>
              </v:shape>
            </v:group>
            <v:group style="position:absolute;left:5254;top:482;width:812;height:392" coordorigin="5254,482" coordsize="812,392">
              <v:shape style="position:absolute;left:5254;top:482;width:812;height:392" coordorigin="5254,482" coordsize="812,392" path="m5254,874l6065,874,6065,482,5254,482,5254,874xe" filled="true" fillcolor="#d3d3d3" stroked="false">
                <v:path arrowok="t"/>
                <v:fill type="solid"/>
              </v:shape>
            </v:group>
            <v:group style="position:absolute;left:6096;top:1029;width:860;height:312" coordorigin="6096,1029" coordsize="860,312">
              <v:shape style="position:absolute;left:6096;top:1029;width:860;height:312" coordorigin="6096,1029" coordsize="860,312" path="m6096,1341l6955,1341,6955,1029,6096,1029,6096,1341xe" filled="true" fillcolor="#d3d3d3" stroked="false">
                <v:path arrowok="t"/>
                <v:fill type="solid"/>
              </v:shape>
            </v:group>
            <v:group style="position:absolute;left:6108;top:327;width:2;height:702" coordorigin="6108,327" coordsize="2,702">
              <v:shape style="position:absolute;left:6108;top:327;width:2;height:702" coordorigin="6108,327" coordsize="0,702" path="m6108,327l6108,1029e" filled="false" stroked="true" strokeweight="1.199978pt" strokecolor="#d3d3d3">
                <v:path arrowok="t"/>
              </v:shape>
            </v:group>
            <v:group style="position:absolute;left:6096;top:15;width:860;height:312" coordorigin="6096,15" coordsize="860,312">
              <v:shape style="position:absolute;left:6096;top:15;width:860;height:312" coordorigin="6096,15" coordsize="860,312" path="m6096,327l6955,327,6955,15,6096,15,6096,327xe" filled="true" fillcolor="#d3d3d3" stroked="false">
                <v:path arrowok="t"/>
                <v:fill type="solid"/>
              </v:shape>
            </v:group>
            <v:group style="position:absolute;left:6944;top:326;width:2;height:704" coordorigin="6944,326" coordsize="2,704">
              <v:shape style="position:absolute;left:6944;top:326;width:2;height:704" coordorigin="6944,326" coordsize="0,704" path="m6944,326l6944,1030e" filled="false" stroked="true" strokeweight="1.08pt" strokecolor="#d3d3d3">
                <v:path arrowok="t"/>
              </v:shape>
            </v:group>
            <v:group style="position:absolute;left:6120;top:326;width:814;height:353" coordorigin="6120,326" coordsize="814,353">
              <v:shape style="position:absolute;left:6120;top:326;width:814;height:353" coordorigin="6120,326" coordsize="814,353" path="m6120,679l6934,679,6934,326,6120,326,6120,679xe" filled="true" fillcolor="#d3d3d3" stroked="false">
                <v:path arrowok="t"/>
                <v:fill type="solid"/>
              </v:shape>
            </v:group>
            <v:group style="position:absolute;left:6120;top:679;width:814;height:351" coordorigin="6120,679" coordsize="814,351">
              <v:shape style="position:absolute;left:6120;top:679;width:814;height:351" coordorigin="6120,679" coordsize="814,351" path="m6120,1030l6934,1030,6934,679,6120,679,6120,1030xe" filled="true" fillcolor="#d3d3d3" stroked="false">
                <v:path arrowok="t"/>
                <v:fill type="solid"/>
              </v:shape>
            </v:group>
            <v:group style="position:absolute;left:6965;top:1029;width:860;height:312" coordorigin="6965,1029" coordsize="860,312">
              <v:shape style="position:absolute;left:6965;top:1029;width:860;height:312" coordorigin="6965,1029" coordsize="860,312" path="m6965,1341l7824,1341,7824,1029,6965,1029,6965,1341xe" filled="true" fillcolor="#d3d3d3" stroked="false">
                <v:path arrowok="t"/>
                <v:fill type="solid"/>
              </v:shape>
            </v:group>
            <v:group style="position:absolute;left:6977;top:327;width:2;height:702" coordorigin="6977,327" coordsize="2,702">
              <v:shape style="position:absolute;left:6977;top:327;width:2;height:702" coordorigin="6977,327" coordsize="0,702" path="m6977,327l6977,1029e" filled="false" stroked="true" strokeweight="1.199975pt" strokecolor="#d3d3d3">
                <v:path arrowok="t"/>
              </v:shape>
            </v:group>
            <v:group style="position:absolute;left:6965;top:15;width:860;height:312" coordorigin="6965,15" coordsize="860,312">
              <v:shape style="position:absolute;left:6965;top:15;width:860;height:312" coordorigin="6965,15" coordsize="860,312" path="m6965,327l7824,327,7824,15,6965,15,6965,327xe" filled="true" fillcolor="#d3d3d3" stroked="false">
                <v:path arrowok="t"/>
                <v:fill type="solid"/>
              </v:shape>
            </v:group>
            <v:group style="position:absolute;left:7813;top:326;width:2;height:704" coordorigin="7813,326" coordsize="2,704">
              <v:shape style="position:absolute;left:7813;top:326;width:2;height:704" coordorigin="7813,326" coordsize="0,704" path="m7813,326l7813,1030e" filled="false" stroked="true" strokeweight="1.08pt" strokecolor="#d3d3d3">
                <v:path arrowok="t"/>
              </v:shape>
            </v:group>
            <v:group style="position:absolute;left:6989;top:326;width:814;height:353" coordorigin="6989,326" coordsize="814,353">
              <v:shape style="position:absolute;left:6989;top:326;width:814;height:353" coordorigin="6989,326" coordsize="814,353" path="m6989,679l7802,679,7802,326,6989,326,6989,679xe" filled="true" fillcolor="#d3d3d3" stroked="false">
                <v:path arrowok="t"/>
                <v:fill type="solid"/>
              </v:shape>
            </v:group>
            <v:group style="position:absolute;left:6989;top:679;width:814;height:351" coordorigin="6989,679" coordsize="814,351">
              <v:shape style="position:absolute;left:6989;top:679;width:814;height:351" coordorigin="6989,679" coordsize="814,351" path="m6989,1030l7802,1030,7802,679,6989,679,6989,1030xe" filled="true" fillcolor="#d3d3d3" stroked="false">
                <v:path arrowok="t"/>
                <v:fill type="solid"/>
              </v:shape>
            </v:group>
            <v:group style="position:absolute;left:7834;top:873;width:862;height:468" coordorigin="7834,873" coordsize="862,468">
              <v:shape style="position:absolute;left:7834;top:873;width:862;height:468" coordorigin="7834,873" coordsize="862,468" path="m7834,1341l8695,1341,8695,873,7834,873,7834,1341xe" filled="true" fillcolor="#d3d3d3" stroked="false">
                <v:path arrowok="t"/>
                <v:fill type="solid"/>
              </v:shape>
            </v:group>
            <v:group style="position:absolute;left:7846;top:483;width:2;height:390" coordorigin="7846,483" coordsize="2,390">
              <v:shape style="position:absolute;left:7846;top:483;width:2;height:390" coordorigin="7846,483" coordsize="0,390" path="m7846,483l7846,873e" filled="false" stroked="true" strokeweight="1.199973pt" strokecolor="#d3d3d3">
                <v:path arrowok="t"/>
              </v:shape>
            </v:group>
            <v:group style="position:absolute;left:7834;top:15;width:862;height:468" coordorigin="7834,15" coordsize="862,468">
              <v:shape style="position:absolute;left:7834;top:15;width:862;height:468" coordorigin="7834,15" coordsize="862,468" path="m7834,483l8695,483,8695,15,7834,15,7834,483xe" filled="true" fillcolor="#d3d3d3" stroked="false">
                <v:path arrowok="t"/>
                <v:fill type="solid"/>
              </v:shape>
            </v:group>
            <v:group style="position:absolute;left:8683;top:482;width:2;height:392" coordorigin="8683,482" coordsize="2,392">
              <v:shape style="position:absolute;left:8683;top:482;width:2;height:392" coordorigin="8683,482" coordsize="0,392" path="m8683,482l8683,874e" filled="false" stroked="true" strokeweight="1.2pt" strokecolor="#d3d3d3">
                <v:path arrowok="t"/>
              </v:shape>
            </v:group>
            <v:group style="position:absolute;left:7858;top:482;width:814;height:392" coordorigin="7858,482" coordsize="814,392">
              <v:shape style="position:absolute;left:7858;top:482;width:814;height:392" coordorigin="7858,482" coordsize="814,392" path="m7858,874l8671,874,8671,482,7858,482,7858,874xe" filled="true" fillcolor="#d3d3d3" stroked="false">
                <v:path arrowok="t"/>
                <v:fill type="solid"/>
              </v:shape>
            </v:group>
            <v:group style="position:absolute;left:8705;top:1185;width:860;height:156" coordorigin="8705,1185" coordsize="860,156">
              <v:shape style="position:absolute;left:8705;top:1185;width:860;height:156" coordorigin="8705,1185" coordsize="860,156" path="m8705,1341l9564,1341,9564,1185,8705,1185,8705,1341xe" filled="true" fillcolor="#d3d3d3" stroked="false">
                <v:path arrowok="t"/>
                <v:fill type="solid"/>
              </v:shape>
            </v:group>
            <v:group style="position:absolute;left:8717;top:171;width:2;height:1014" coordorigin="8717,171" coordsize="2,1014">
              <v:shape style="position:absolute;left:8717;top:171;width:2;height:1014" coordorigin="8717,171" coordsize="0,1014" path="m8717,171l8717,1185e" filled="false" stroked="true" strokeweight="1.19997pt" strokecolor="#d3d3d3">
                <v:path arrowok="t"/>
              </v:shape>
            </v:group>
            <v:group style="position:absolute;left:8705;top:15;width:860;height:156" coordorigin="8705,15" coordsize="860,156">
              <v:shape style="position:absolute;left:8705;top:15;width:860;height:156" coordorigin="8705,15" coordsize="860,156" path="m8705,171l9564,171,9564,15,8705,15,8705,171xe" filled="true" fillcolor="#d3d3d3" stroked="false">
                <v:path arrowok="t"/>
                <v:fill type="solid"/>
              </v:shape>
            </v:group>
            <v:group style="position:absolute;left:9552;top:170;width:2;height:1016" coordorigin="9552,170" coordsize="2,1016">
              <v:shape style="position:absolute;left:9552;top:170;width:2;height:1016" coordorigin="9552,170" coordsize="0,1016" path="m9552,170l9552,1186e" filled="false" stroked="true" strokeweight="1.2pt" strokecolor="#d3d3d3">
                <v:path arrowok="t"/>
              </v:shape>
            </v:group>
            <v:group style="position:absolute;left:8729;top:170;width:812;height:353" coordorigin="8729,170" coordsize="812,353">
              <v:shape style="position:absolute;left:8729;top:170;width:812;height:353" coordorigin="8729,170" coordsize="812,353" path="m8729,523l9540,523,9540,170,8729,170,8729,523xe" filled="true" fillcolor="#d3d3d3" stroked="false">
                <v:path arrowok="t"/>
                <v:fill type="solid"/>
              </v:shape>
            </v:group>
            <v:group style="position:absolute;left:8729;top:523;width:812;height:312" coordorigin="8729,523" coordsize="812,312">
              <v:shape style="position:absolute;left:8729;top:523;width:812;height:312" coordorigin="8729,523" coordsize="812,312" path="m8729,835l9540,835,9540,523,8729,523,8729,835xe" filled="true" fillcolor="#d3d3d3" stroked="false">
                <v:path arrowok="t"/>
                <v:fill type="solid"/>
              </v:shape>
            </v:group>
            <v:group style="position:absolute;left:8729;top:835;width:812;height:351" coordorigin="8729,835" coordsize="812,351">
              <v:shape style="position:absolute;left:8729;top:835;width:812;height:351" coordorigin="8729,835" coordsize="812,351" path="m8729,1186l9540,1186,9540,835,8729,835,8729,1186xe" filled="true" fillcolor="#d3d3d3" stroked="false">
                <v:path arrowok="t"/>
                <v:fill type="solid"/>
              </v:shape>
            </v:group>
            <v:group style="position:absolute;left:10;top:10;width:862;height:2" coordorigin="10,10" coordsize="862,2">
              <v:shape style="position:absolute;left:10;top:10;width:862;height:2" coordorigin="10,10" coordsize="862,0" path="m10,10l871,10e" filled="false" stroked="true" strokeweight=".48pt" strokecolor="#000000">
                <v:path arrowok="t"/>
              </v:shape>
            </v:group>
            <v:group style="position:absolute;left:881;top:10;width:860;height:2" coordorigin="881,10" coordsize="860,2">
              <v:shape style="position:absolute;left:881;top:10;width:860;height:2" coordorigin="881,10" coordsize="860,0" path="m881,10l1740,10e" filled="false" stroked="true" strokeweight=".48pt" strokecolor="#000000">
                <v:path arrowok="t"/>
              </v:shape>
            </v:group>
            <v:group style="position:absolute;left:1750;top:10;width:862;height:2" coordorigin="1750,10" coordsize="862,2">
              <v:shape style="position:absolute;left:1750;top:10;width:862;height:2" coordorigin="1750,10" coordsize="862,0" path="m1750,10l2611,10e" filled="false" stroked="true" strokeweight=".48pt" strokecolor="#000000">
                <v:path arrowok="t"/>
              </v:shape>
            </v:group>
            <v:group style="position:absolute;left:2621;top:10;width:860;height:2" coordorigin="2621,10" coordsize="860,2">
              <v:shape style="position:absolute;left:2621;top:10;width:860;height:2" coordorigin="2621,10" coordsize="860,0" path="m2621,10l3480,10e" filled="false" stroked="true" strokeweight=".48pt" strokecolor="#000000">
                <v:path arrowok="t"/>
              </v:shape>
            </v:group>
            <v:group style="position:absolute;left:3490;top:10;width:862;height:2" coordorigin="3490,10" coordsize="862,2">
              <v:shape style="position:absolute;left:3490;top:10;width:862;height:2" coordorigin="3490,10" coordsize="862,0" path="m3490,10l4351,10e" filled="false" stroked="true" strokeweight=".48pt" strokecolor="#000000">
                <v:path arrowok="t"/>
              </v:shape>
            </v:group>
            <v:group style="position:absolute;left:4361;top:10;width:857;height:2" coordorigin="4361,10" coordsize="857,2">
              <v:shape style="position:absolute;left:4361;top:10;width:857;height:2" coordorigin="4361,10" coordsize="857,0" path="m4361,10l5218,10e" filled="false" stroked="true" strokeweight=".48pt" strokecolor="#000000">
                <v:path arrowok="t"/>
              </v:shape>
            </v:group>
            <v:group style="position:absolute;left:5227;top:10;width:860;height:2" coordorigin="5227,10" coordsize="860,2">
              <v:shape style="position:absolute;left:5227;top:10;width:860;height:2" coordorigin="5227,10" coordsize="860,0" path="m5227,10l6086,10e" filled="false" stroked="true" strokeweight=".48pt" strokecolor="#000000">
                <v:path arrowok="t"/>
              </v:shape>
            </v:group>
            <v:group style="position:absolute;left:6096;top:10;width:860;height:2" coordorigin="6096,10" coordsize="860,2">
              <v:shape style="position:absolute;left:6096;top:10;width:860;height:2" coordorigin="6096,10" coordsize="860,0" path="m6096,10l6955,10e" filled="false" stroked="true" strokeweight=".48pt" strokecolor="#000000">
                <v:path arrowok="t"/>
              </v:shape>
            </v:group>
            <v:group style="position:absolute;left:6965;top:10;width:860;height:2" coordorigin="6965,10" coordsize="860,2">
              <v:shape style="position:absolute;left:6965;top:10;width:860;height:2" coordorigin="6965,10" coordsize="860,0" path="m6965,10l7824,10e" filled="false" stroked="true" strokeweight=".48pt" strokecolor="#000000">
                <v:path arrowok="t"/>
              </v:shape>
            </v:group>
            <v:group style="position:absolute;left:7834;top:10;width:862;height:2" coordorigin="7834,10" coordsize="862,2">
              <v:shape style="position:absolute;left:7834;top:10;width:862;height:2" coordorigin="7834,10" coordsize="862,0" path="m7834,10l8695,10e" filled="false" stroked="true" strokeweight=".48pt" strokecolor="#000000">
                <v:path arrowok="t"/>
              </v:shape>
            </v:group>
            <v:group style="position:absolute;left:8705;top:10;width:860;height:2" coordorigin="8705,10" coordsize="860,2">
              <v:shape style="position:absolute;left:8705;top:10;width:860;height:2" coordorigin="8705,10" coordsize="860,0" path="m8705,10l9564,10e" filled="false" stroked="true" strokeweight=".48pt" strokecolor="#000000">
                <v:path arrowok="t"/>
              </v:shape>
            </v:group>
            <v:group style="position:absolute;left:5;top:5;width:2;height:1349" coordorigin="5,5" coordsize="2,1349">
              <v:shape style="position:absolute;left:5;top:5;width:2;height:1349" coordorigin="5,5" coordsize="0,1349" path="m5,5l5,1354e" filled="false" stroked="true" strokeweight=".48pt" strokecolor="#000000">
                <v:path arrowok="t"/>
              </v:shape>
            </v:group>
            <v:group style="position:absolute;left:10;top:1349;width:862;height:2" coordorigin="10,1349" coordsize="862,2">
              <v:shape style="position:absolute;left:10;top:1349;width:862;height:2" coordorigin="10,1349" coordsize="862,0" path="m10,1349l871,1349e" filled="false" stroked="true" strokeweight=".48pt" strokecolor="#000000">
                <v:path arrowok="t"/>
              </v:shape>
            </v:group>
            <v:group style="position:absolute;left:876;top:5;width:2;height:1349" coordorigin="876,5" coordsize="2,1349">
              <v:shape style="position:absolute;left:876;top:5;width:2;height:1349" coordorigin="876,5" coordsize="0,1349" path="m876,5l876,1354e" filled="false" stroked="true" strokeweight=".48pt" strokecolor="#000000">
                <v:path arrowok="t"/>
              </v:shape>
            </v:group>
            <v:group style="position:absolute;left:881;top:1349;width:860;height:2" coordorigin="881,1349" coordsize="860,2">
              <v:shape style="position:absolute;left:881;top:1349;width:860;height:2" coordorigin="881,1349" coordsize="860,0" path="m881,1349l1740,1349e" filled="false" stroked="true" strokeweight=".48pt" strokecolor="#000000">
                <v:path arrowok="t"/>
              </v:shape>
            </v:group>
            <v:group style="position:absolute;left:1745;top:5;width:2;height:1349" coordorigin="1745,5" coordsize="2,1349">
              <v:shape style="position:absolute;left:1745;top:5;width:2;height:1349" coordorigin="1745,5" coordsize="0,1349" path="m1745,5l1745,1354e" filled="false" stroked="true" strokeweight=".48pt" strokecolor="#000000">
                <v:path arrowok="t"/>
              </v:shape>
            </v:group>
            <v:group style="position:absolute;left:1750;top:1349;width:862;height:2" coordorigin="1750,1349" coordsize="862,2">
              <v:shape style="position:absolute;left:1750;top:1349;width:862;height:2" coordorigin="1750,1349" coordsize="862,0" path="m1750,1349l2611,1349e" filled="false" stroked="true" strokeweight=".48pt" strokecolor="#000000">
                <v:path arrowok="t"/>
              </v:shape>
            </v:group>
            <v:group style="position:absolute;left:2616;top:5;width:2;height:1349" coordorigin="2616,5" coordsize="2,1349">
              <v:shape style="position:absolute;left:2616;top:5;width:2;height:1349" coordorigin="2616,5" coordsize="0,1349" path="m2616,5l2616,1354e" filled="false" stroked="true" strokeweight=".48pt" strokecolor="#000000">
                <v:path arrowok="t"/>
              </v:shape>
            </v:group>
            <v:group style="position:absolute;left:2621;top:1349;width:860;height:2" coordorigin="2621,1349" coordsize="860,2">
              <v:shape style="position:absolute;left:2621;top:1349;width:860;height:2" coordorigin="2621,1349" coordsize="860,0" path="m2621,1349l3480,1349e" filled="false" stroked="true" strokeweight=".48pt" strokecolor="#000000">
                <v:path arrowok="t"/>
              </v:shape>
            </v:group>
            <v:group style="position:absolute;left:3485;top:5;width:2;height:1349" coordorigin="3485,5" coordsize="2,1349">
              <v:shape style="position:absolute;left:3485;top:5;width:2;height:1349" coordorigin="3485,5" coordsize="0,1349" path="m3485,5l3485,1354e" filled="false" stroked="true" strokeweight=".48pt" strokecolor="#000000">
                <v:path arrowok="t"/>
              </v:shape>
            </v:group>
            <v:group style="position:absolute;left:3490;top:1349;width:862;height:2" coordorigin="3490,1349" coordsize="862,2">
              <v:shape style="position:absolute;left:3490;top:1349;width:862;height:2" coordorigin="3490,1349" coordsize="862,0" path="m3490,1349l4351,1349e" filled="false" stroked="true" strokeweight=".48pt" strokecolor="#000000">
                <v:path arrowok="t"/>
              </v:shape>
            </v:group>
            <v:group style="position:absolute;left:4356;top:5;width:2;height:1349" coordorigin="4356,5" coordsize="2,1349">
              <v:shape style="position:absolute;left:4356;top:5;width:2;height:1349" coordorigin="4356,5" coordsize="0,1349" path="m4356,5l4356,1354e" filled="false" stroked="true" strokeweight=".48pt" strokecolor="#000000">
                <v:path arrowok="t"/>
              </v:shape>
            </v:group>
            <v:group style="position:absolute;left:4361;top:1349;width:857;height:2" coordorigin="4361,1349" coordsize="857,2">
              <v:shape style="position:absolute;left:4361;top:1349;width:857;height:2" coordorigin="4361,1349" coordsize="857,0" path="m4361,1349l5218,1349e" filled="false" stroked="true" strokeweight=".48pt" strokecolor="#000000">
                <v:path arrowok="t"/>
              </v:shape>
            </v:group>
            <v:group style="position:absolute;left:5222;top:5;width:2;height:1349" coordorigin="5222,5" coordsize="2,1349">
              <v:shape style="position:absolute;left:5222;top:5;width:2;height:1349" coordorigin="5222,5" coordsize="0,1349" path="m5222,5l5222,1354e" filled="false" stroked="true" strokeweight=".48pt" strokecolor="#000000">
                <v:path arrowok="t"/>
              </v:shape>
            </v:group>
            <v:group style="position:absolute;left:5227;top:1349;width:860;height:2" coordorigin="5227,1349" coordsize="860,2">
              <v:shape style="position:absolute;left:5227;top:1349;width:860;height:2" coordorigin="5227,1349" coordsize="860,0" path="m5227,1349l6086,1349e" filled="false" stroked="true" strokeweight=".48pt" strokecolor="#000000">
                <v:path arrowok="t"/>
              </v:shape>
            </v:group>
            <v:group style="position:absolute;left:6091;top:5;width:2;height:1349" coordorigin="6091,5" coordsize="2,1349">
              <v:shape style="position:absolute;left:6091;top:5;width:2;height:1349" coordorigin="6091,5" coordsize="0,1349" path="m6091,5l6091,1354e" filled="false" stroked="true" strokeweight=".48pt" strokecolor="#000000">
                <v:path arrowok="t"/>
              </v:shape>
            </v:group>
            <v:group style="position:absolute;left:6096;top:1349;width:860;height:2" coordorigin="6096,1349" coordsize="860,2">
              <v:shape style="position:absolute;left:6096;top:1349;width:860;height:2" coordorigin="6096,1349" coordsize="860,0" path="m6096,1349l6955,1349e" filled="false" stroked="true" strokeweight=".48pt" strokecolor="#000000">
                <v:path arrowok="t"/>
              </v:shape>
            </v:group>
            <v:group style="position:absolute;left:6960;top:5;width:2;height:1349" coordorigin="6960,5" coordsize="2,1349">
              <v:shape style="position:absolute;left:6960;top:5;width:2;height:1349" coordorigin="6960,5" coordsize="0,1349" path="m6960,5l6960,1354e" filled="false" stroked="true" strokeweight=".48pt" strokecolor="#000000">
                <v:path arrowok="t"/>
              </v:shape>
            </v:group>
            <v:group style="position:absolute;left:6965;top:1349;width:860;height:2" coordorigin="6965,1349" coordsize="860,2">
              <v:shape style="position:absolute;left:6965;top:1349;width:860;height:2" coordorigin="6965,1349" coordsize="860,0" path="m6965,1349l7824,1349e" filled="false" stroked="true" strokeweight=".48pt" strokecolor="#000000">
                <v:path arrowok="t"/>
              </v:shape>
            </v:group>
            <v:group style="position:absolute;left:7829;top:5;width:2;height:1349" coordorigin="7829,5" coordsize="2,1349">
              <v:shape style="position:absolute;left:7829;top:5;width:2;height:1349" coordorigin="7829,5" coordsize="0,1349" path="m7829,5l7829,1354e" filled="false" stroked="true" strokeweight=".48pt" strokecolor="#000000">
                <v:path arrowok="t"/>
              </v:shape>
            </v:group>
            <v:group style="position:absolute;left:7834;top:1349;width:862;height:2" coordorigin="7834,1349" coordsize="862,2">
              <v:shape style="position:absolute;left:7834;top:1349;width:862;height:2" coordorigin="7834,1349" coordsize="862,0" path="m7834,1349l8695,1349e" filled="false" stroked="true" strokeweight=".48pt" strokecolor="#000000">
                <v:path arrowok="t"/>
              </v:shape>
            </v:group>
            <v:group style="position:absolute;left:8700;top:5;width:2;height:1349" coordorigin="8700,5" coordsize="2,1349">
              <v:shape style="position:absolute;left:8700;top:5;width:2;height:1349" coordorigin="8700,5" coordsize="0,1349" path="m8700,5l8700,1354e" filled="false" stroked="true" strokeweight=".48pt" strokecolor="#000000">
                <v:path arrowok="t"/>
              </v:shape>
            </v:group>
            <v:group style="position:absolute;left:8705;top:1349;width:860;height:2" coordorigin="8705,1349" coordsize="860,2">
              <v:shape style="position:absolute;left:8705;top:1349;width:860;height:2" coordorigin="8705,1349" coordsize="860,0" path="m8705,1349l9564,1349e" filled="false" stroked="true" strokeweight=".48pt" strokecolor="#000000">
                <v:path arrowok="t"/>
              </v:shape>
            </v:group>
            <v:group style="position:absolute;left:9569;top:5;width:2;height:1349" coordorigin="9569,5" coordsize="2,1349">
              <v:shape style="position:absolute;left:9569;top:5;width:2;height:1349" coordorigin="9569,5" coordsize="0,1349" path="m9569,5l9569,1354e" filled="false" stroked="true" strokeweight=".48pt" strokecolor="#000000">
                <v:path arrowok="t"/>
              </v:shape>
              <v:shape style="position:absolute;left:5;top:10;width:872;height:1338" type="#_x0000_t202" filled="false" stroked="false">
                <v:textbox inset="0,0,0,0">
                  <w:txbxContent>
                    <w:p>
                      <w:pPr>
                        <w:spacing w:line="240" w:lineRule="auto" w:before="0"/>
                        <w:rPr>
                          <w:rFonts w:ascii="宋体" w:hAnsi="宋体" w:cs="宋体" w:eastAsia="宋体" w:hint="default"/>
                          <w:sz w:val="16"/>
                          <w:szCs w:val="16"/>
                        </w:rPr>
                      </w:pPr>
                    </w:p>
                    <w:p>
                      <w:pPr>
                        <w:spacing w:line="316" w:lineRule="auto" w:before="0"/>
                        <w:ind w:left="74" w:right="74" w:firstLine="0"/>
                        <w:jc w:val="center"/>
                        <w:rPr>
                          <w:rFonts w:ascii="宋体" w:hAnsi="宋体" w:cs="宋体" w:eastAsia="宋体" w:hint="default"/>
                          <w:sz w:val="18"/>
                          <w:szCs w:val="18"/>
                        </w:rPr>
                      </w:pPr>
                      <w:r>
                        <w:rPr>
                          <w:rFonts w:ascii="宋体" w:hAnsi="宋体" w:cs="宋体" w:eastAsia="宋体" w:hint="default"/>
                          <w:spacing w:val="-1"/>
                          <w:sz w:val="18"/>
                          <w:szCs w:val="18"/>
                        </w:rPr>
                        <w:t>合同订立</w:t>
                      </w:r>
                      <w:r>
                        <w:rPr>
                          <w:rFonts w:ascii="宋体" w:hAnsi="宋体" w:cs="宋体" w:eastAsia="宋体" w:hint="default"/>
                          <w:w w:val="100"/>
                          <w:sz w:val="18"/>
                          <w:szCs w:val="18"/>
                        </w:rPr>
                        <w:t> </w:t>
                      </w:r>
                      <w:r>
                        <w:rPr>
                          <w:rFonts w:ascii="宋体" w:hAnsi="宋体" w:cs="宋体" w:eastAsia="宋体" w:hint="default"/>
                          <w:spacing w:val="-1"/>
                          <w:sz w:val="18"/>
                          <w:szCs w:val="18"/>
                        </w:rPr>
                        <w:t>公司方名</w:t>
                      </w:r>
                      <w:r>
                        <w:rPr>
                          <w:rFonts w:ascii="宋体" w:hAnsi="宋体" w:cs="宋体" w:eastAsia="宋体" w:hint="default"/>
                          <w:w w:val="100"/>
                          <w:sz w:val="18"/>
                          <w:szCs w:val="18"/>
                        </w:rPr>
                        <w:t> </w:t>
                      </w:r>
                      <w:r>
                        <w:rPr>
                          <w:rFonts w:ascii="宋体" w:hAnsi="宋体" w:cs="宋体" w:eastAsia="宋体" w:hint="default"/>
                          <w:sz w:val="18"/>
                          <w:szCs w:val="18"/>
                        </w:rPr>
                        <w:t>称</w:t>
                      </w:r>
                    </w:p>
                  </w:txbxContent>
                </v:textbox>
                <w10:wrap type="none"/>
              </v:shape>
              <v:shape style="position:absolute;left:876;top:10;width:869;height:1338"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71" w:right="74" w:firstLine="0"/>
                        <w:jc w:val="left"/>
                        <w:rPr>
                          <w:rFonts w:ascii="宋体" w:hAnsi="宋体" w:cs="宋体" w:eastAsia="宋体" w:hint="default"/>
                          <w:sz w:val="18"/>
                          <w:szCs w:val="18"/>
                        </w:rPr>
                      </w:pPr>
                      <w:r>
                        <w:rPr>
                          <w:rFonts w:ascii="宋体" w:hAnsi="宋体" w:cs="宋体" w:eastAsia="宋体" w:hint="default"/>
                          <w:sz w:val="18"/>
                          <w:szCs w:val="18"/>
                        </w:rPr>
                        <w:t>合同订立</w:t>
                      </w:r>
                      <w:r>
                        <w:rPr>
                          <w:rFonts w:ascii="宋体" w:hAnsi="宋体" w:cs="宋体" w:eastAsia="宋体" w:hint="default"/>
                          <w:w w:val="100"/>
                          <w:sz w:val="18"/>
                          <w:szCs w:val="18"/>
                        </w:rPr>
                        <w:t> </w:t>
                      </w:r>
                      <w:r>
                        <w:rPr>
                          <w:rFonts w:ascii="宋体" w:hAnsi="宋体" w:cs="宋体" w:eastAsia="宋体" w:hint="default"/>
                          <w:sz w:val="18"/>
                          <w:szCs w:val="18"/>
                        </w:rPr>
                        <w:t>对方名称</w:t>
                      </w:r>
                    </w:p>
                  </w:txbxContent>
                </v:textbox>
                <w10:wrap type="none"/>
              </v:shape>
              <v:shape style="position:absolute;left:1745;top:10;width:872;height:1338" type="#_x0000_t202" filled="false" stroked="false">
                <v:textbox inset="0,0,0,0">
                  <w:txbxContent>
                    <w:p>
                      <w:pPr>
                        <w:spacing w:line="316" w:lineRule="auto" w:before="53"/>
                        <w:ind w:left="28" w:right="-27" w:firstLine="45"/>
                        <w:jc w:val="both"/>
                        <w:rPr>
                          <w:rFonts w:ascii="宋体" w:hAnsi="宋体" w:cs="宋体" w:eastAsia="宋体" w:hint="default"/>
                          <w:sz w:val="18"/>
                          <w:szCs w:val="18"/>
                        </w:rPr>
                      </w:pPr>
                      <w:r>
                        <w:rPr>
                          <w:rFonts w:ascii="宋体" w:hAnsi="宋体" w:cs="宋体" w:eastAsia="宋体" w:hint="default"/>
                          <w:sz w:val="18"/>
                          <w:szCs w:val="18"/>
                        </w:rPr>
                        <w:t>合同涉及</w:t>
                      </w:r>
                      <w:r>
                        <w:rPr>
                          <w:rFonts w:ascii="宋体" w:hAnsi="宋体" w:cs="宋体" w:eastAsia="宋体" w:hint="default"/>
                          <w:w w:val="100"/>
                          <w:sz w:val="18"/>
                          <w:szCs w:val="18"/>
                        </w:rPr>
                        <w:t> </w:t>
                      </w:r>
                      <w:r>
                        <w:rPr>
                          <w:rFonts w:ascii="宋体" w:hAnsi="宋体" w:cs="宋体" w:eastAsia="宋体" w:hint="default"/>
                          <w:sz w:val="18"/>
                          <w:szCs w:val="18"/>
                        </w:rPr>
                        <w:t>资产的账</w:t>
                      </w:r>
                      <w:r>
                        <w:rPr>
                          <w:rFonts w:ascii="宋体" w:hAnsi="宋体" w:cs="宋体" w:eastAsia="宋体" w:hint="default"/>
                          <w:w w:val="100"/>
                          <w:sz w:val="18"/>
                          <w:szCs w:val="18"/>
                        </w:rPr>
                        <w:t> </w:t>
                      </w:r>
                      <w:r>
                        <w:rPr>
                          <w:rFonts w:ascii="宋体" w:hAnsi="宋体" w:cs="宋体" w:eastAsia="宋体" w:hint="default"/>
                          <w:spacing w:val="-18"/>
                          <w:sz w:val="18"/>
                          <w:szCs w:val="18"/>
                        </w:rPr>
                        <w:t>面价值（万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元）（如有）</w:t>
                      </w:r>
                      <w:r>
                        <w:rPr>
                          <w:rFonts w:ascii="宋体" w:hAnsi="宋体" w:cs="宋体" w:eastAsia="宋体" w:hint="default"/>
                          <w:sz w:val="18"/>
                          <w:szCs w:val="18"/>
                        </w:rPr>
                      </w:r>
                    </w:p>
                  </w:txbxContent>
                </v:textbox>
                <w10:wrap type="none"/>
              </v:shape>
              <v:shape style="position:absolute;left:2616;top:10;width:869;height:1338" type="#_x0000_t202" filled="false" stroked="false">
                <v:textbox inset="0,0,0,0">
                  <w:txbxContent>
                    <w:p>
                      <w:pPr>
                        <w:spacing w:line="316" w:lineRule="auto" w:before="53"/>
                        <w:ind w:left="26" w:right="26" w:firstLine="45"/>
                        <w:jc w:val="both"/>
                        <w:rPr>
                          <w:rFonts w:ascii="宋体" w:hAnsi="宋体" w:cs="宋体" w:eastAsia="宋体" w:hint="default"/>
                          <w:sz w:val="18"/>
                          <w:szCs w:val="18"/>
                        </w:rPr>
                      </w:pPr>
                      <w:r>
                        <w:rPr>
                          <w:rFonts w:ascii="宋体" w:hAnsi="宋体" w:cs="宋体" w:eastAsia="宋体" w:hint="default"/>
                          <w:sz w:val="18"/>
                          <w:szCs w:val="18"/>
                        </w:rPr>
                        <w:t>合同涉及</w:t>
                      </w:r>
                      <w:r>
                        <w:rPr>
                          <w:rFonts w:ascii="宋体" w:hAnsi="宋体" w:cs="宋体" w:eastAsia="宋体" w:hint="default"/>
                          <w:w w:val="100"/>
                          <w:sz w:val="18"/>
                          <w:szCs w:val="18"/>
                        </w:rPr>
                        <w:t> </w:t>
                      </w:r>
                      <w:r>
                        <w:rPr>
                          <w:rFonts w:ascii="宋体" w:hAnsi="宋体" w:cs="宋体" w:eastAsia="宋体" w:hint="default"/>
                          <w:sz w:val="18"/>
                          <w:szCs w:val="18"/>
                        </w:rPr>
                        <w:t>资产的评</w:t>
                      </w:r>
                      <w:r>
                        <w:rPr>
                          <w:rFonts w:ascii="宋体" w:hAnsi="宋体" w:cs="宋体" w:eastAsia="宋体" w:hint="default"/>
                          <w:w w:val="100"/>
                          <w:sz w:val="18"/>
                          <w:szCs w:val="18"/>
                        </w:rPr>
                        <w:t> </w:t>
                      </w:r>
                      <w:r>
                        <w:rPr>
                          <w:rFonts w:ascii="宋体" w:hAnsi="宋体" w:cs="宋体" w:eastAsia="宋体" w:hint="default"/>
                          <w:spacing w:val="-18"/>
                          <w:sz w:val="18"/>
                          <w:szCs w:val="18"/>
                        </w:rPr>
                        <w:t>估价值（万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元）（如有</w:t>
                      </w:r>
                    </w:p>
                  </w:txbxContent>
                </v:textbox>
                <w10:wrap type="none"/>
              </v:shape>
              <v:shape style="position:absolute;left:3559;top:275;width:721;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评估机构</w:t>
                      </w:r>
                    </w:p>
                    <w:p>
                      <w:pPr>
                        <w:spacing w:line="310" w:lineRule="atLeast" w:before="2"/>
                        <w:ind w:left="179" w:right="0" w:hanging="180"/>
                        <w:jc w:val="left"/>
                        <w:rPr>
                          <w:rFonts w:ascii="宋体" w:hAnsi="宋体" w:cs="宋体" w:eastAsia="宋体" w:hint="default"/>
                          <w:sz w:val="18"/>
                          <w:szCs w:val="18"/>
                        </w:rPr>
                      </w:pPr>
                      <w:r>
                        <w:rPr>
                          <w:rFonts w:ascii="宋体" w:hAnsi="宋体" w:cs="宋体" w:eastAsia="宋体" w:hint="default"/>
                          <w:sz w:val="18"/>
                          <w:szCs w:val="18"/>
                        </w:rPr>
                        <w:t>名称（如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xbxContent>
                </v:textbox>
                <w10:wrap type="none"/>
              </v:shape>
              <v:shape style="position:absolute;left:3365;top:1055;width:1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100"/>
                          <w:sz w:val="18"/>
                          <w:szCs w:val="18"/>
                        </w:rPr>
                        <w:t>）</w:t>
                      </w:r>
                    </w:p>
                  </w:txbxContent>
                </v:textbox>
                <w10:wrap type="none"/>
              </v:shape>
              <v:shape style="position:absolute;left:4356;top:10;width:867;height:1338"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6" w:right="71" w:firstLine="45"/>
                        <w:jc w:val="left"/>
                        <w:rPr>
                          <w:rFonts w:ascii="宋体" w:hAnsi="宋体" w:cs="宋体" w:eastAsia="宋体" w:hint="default"/>
                          <w:sz w:val="18"/>
                          <w:szCs w:val="18"/>
                        </w:rPr>
                      </w:pPr>
                      <w:r>
                        <w:rPr>
                          <w:rFonts w:ascii="宋体" w:hAnsi="宋体" w:cs="宋体" w:eastAsia="宋体" w:hint="default"/>
                          <w:sz w:val="18"/>
                          <w:szCs w:val="18"/>
                        </w:rPr>
                        <w:t>评估基准</w:t>
                      </w:r>
                      <w:r>
                        <w:rPr>
                          <w:rFonts w:ascii="宋体" w:hAnsi="宋体" w:cs="宋体" w:eastAsia="宋体" w:hint="default"/>
                          <w:w w:val="100"/>
                          <w:sz w:val="18"/>
                          <w:szCs w:val="18"/>
                        </w:rPr>
                        <w:t> </w:t>
                      </w:r>
                      <w:r>
                        <w:rPr>
                          <w:rFonts w:ascii="宋体" w:hAnsi="宋体" w:cs="宋体" w:eastAsia="宋体" w:hint="default"/>
                          <w:sz w:val="18"/>
                          <w:szCs w:val="18"/>
                        </w:rPr>
                        <w:t>日（如有</w:t>
                      </w:r>
                    </w:p>
                  </w:txbxContent>
                </v:textbox>
                <w10:wrap type="none"/>
              </v:shape>
              <v:shape style="position:absolute;left:5299;top:587;width:72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定价原则</w:t>
                      </w:r>
                    </w:p>
                  </w:txbxContent>
                </v:textbox>
                <w10:wrap type="none"/>
              </v:shape>
              <v:shape style="position:absolute;left:5102;top:743;width:1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100"/>
                          <w:sz w:val="18"/>
                          <w:szCs w:val="18"/>
                        </w:rPr>
                        <w:t>）</w:t>
                      </w:r>
                    </w:p>
                  </w:txbxContent>
                </v:textbox>
                <w10:wrap type="none"/>
              </v:shape>
              <v:shape style="position:absolute;left:6091;top:10;width:869;height:1338" type="#_x0000_t202" filled="false" stroked="false">
                <v:textbox inset="0,0,0,0">
                  <w:txbxContent>
                    <w:p>
                      <w:pPr>
                        <w:spacing w:line="240" w:lineRule="auto" w:before="0"/>
                        <w:rPr>
                          <w:rFonts w:ascii="宋体" w:hAnsi="宋体" w:cs="宋体" w:eastAsia="宋体" w:hint="default"/>
                          <w:sz w:val="18"/>
                          <w:szCs w:val="18"/>
                        </w:rPr>
                      </w:pPr>
                    </w:p>
                    <w:p>
                      <w:pPr>
                        <w:spacing w:before="130"/>
                        <w:ind w:left="74" w:right="0" w:firstLine="0"/>
                        <w:jc w:val="left"/>
                        <w:rPr>
                          <w:rFonts w:ascii="宋体" w:hAnsi="宋体" w:cs="宋体" w:eastAsia="宋体" w:hint="default"/>
                          <w:sz w:val="18"/>
                          <w:szCs w:val="18"/>
                        </w:rPr>
                      </w:pPr>
                      <w:r>
                        <w:rPr>
                          <w:rFonts w:ascii="宋体" w:hAnsi="宋体" w:cs="宋体" w:eastAsia="宋体" w:hint="default"/>
                          <w:sz w:val="18"/>
                          <w:szCs w:val="18"/>
                        </w:rPr>
                        <w:t>交易价格</w:t>
                      </w:r>
                    </w:p>
                    <w:p>
                      <w:pPr>
                        <w:spacing w:before="76"/>
                        <w:ind w:left="74"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v:shape style="position:absolute;left:6960;top:10;width:869;height:1338"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54" w:right="71" w:hanging="180"/>
                        <w:jc w:val="left"/>
                        <w:rPr>
                          <w:rFonts w:ascii="宋体" w:hAnsi="宋体" w:cs="宋体" w:eastAsia="宋体" w:hint="default"/>
                          <w:sz w:val="18"/>
                          <w:szCs w:val="18"/>
                        </w:rPr>
                      </w:pPr>
                      <w:r>
                        <w:rPr>
                          <w:rFonts w:ascii="宋体" w:hAnsi="宋体" w:cs="宋体" w:eastAsia="宋体" w:hint="default"/>
                          <w:sz w:val="18"/>
                          <w:szCs w:val="18"/>
                        </w:rPr>
                        <w:t>是否关联</w:t>
                      </w:r>
                      <w:r>
                        <w:rPr>
                          <w:rFonts w:ascii="宋体" w:hAnsi="宋体" w:cs="宋体" w:eastAsia="宋体" w:hint="default"/>
                          <w:w w:val="100"/>
                          <w:sz w:val="18"/>
                          <w:szCs w:val="18"/>
                        </w:rPr>
                        <w:t> </w:t>
                      </w:r>
                      <w:r>
                        <w:rPr>
                          <w:rFonts w:ascii="宋体" w:hAnsi="宋体" w:cs="宋体" w:eastAsia="宋体" w:hint="default"/>
                          <w:sz w:val="18"/>
                          <w:szCs w:val="18"/>
                        </w:rPr>
                        <w:t>交易</w:t>
                      </w:r>
                    </w:p>
                  </w:txbxContent>
                </v:textbox>
                <w10:wrap type="none"/>
              </v:shape>
              <v:shape style="position:absolute;left:7829;top:10;width:872;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74"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8700;top:10;width:869;height:1338" type="#_x0000_t202" filled="false" stroked="false">
                <v:textbox inset="0,0,0,0">
                  <w:txbxContent>
                    <w:p>
                      <w:pPr>
                        <w:spacing w:line="240" w:lineRule="auto" w:before="0"/>
                        <w:rPr>
                          <w:rFonts w:ascii="宋体" w:hAnsi="宋体" w:cs="宋体" w:eastAsia="宋体" w:hint="default"/>
                          <w:sz w:val="16"/>
                          <w:szCs w:val="16"/>
                        </w:rPr>
                      </w:pPr>
                    </w:p>
                    <w:p>
                      <w:pPr>
                        <w:spacing w:line="316" w:lineRule="auto" w:before="0"/>
                        <w:ind w:left="74" w:right="71" w:firstLine="0"/>
                        <w:jc w:val="both"/>
                        <w:rPr>
                          <w:rFonts w:ascii="宋体" w:hAnsi="宋体" w:cs="宋体" w:eastAsia="宋体" w:hint="default"/>
                          <w:sz w:val="18"/>
                          <w:szCs w:val="18"/>
                        </w:rPr>
                      </w:pPr>
                      <w:r>
                        <w:rPr>
                          <w:rFonts w:ascii="宋体" w:hAnsi="宋体" w:cs="宋体" w:eastAsia="宋体" w:hint="default"/>
                          <w:sz w:val="18"/>
                          <w:szCs w:val="18"/>
                        </w:rPr>
                        <w:t>截至报告</w:t>
                      </w:r>
                      <w:r>
                        <w:rPr>
                          <w:rFonts w:ascii="宋体" w:hAnsi="宋体" w:cs="宋体" w:eastAsia="宋体" w:hint="default"/>
                          <w:w w:val="100"/>
                          <w:sz w:val="18"/>
                          <w:szCs w:val="18"/>
                        </w:rPr>
                        <w:t> </w:t>
                      </w:r>
                      <w:r>
                        <w:rPr>
                          <w:rFonts w:ascii="宋体" w:hAnsi="宋体" w:cs="宋体" w:eastAsia="宋体" w:hint="default"/>
                          <w:sz w:val="18"/>
                          <w:szCs w:val="18"/>
                        </w:rPr>
                        <w:t>期末的执</w:t>
                      </w:r>
                      <w:r>
                        <w:rPr>
                          <w:rFonts w:ascii="宋体" w:hAnsi="宋体" w:cs="宋体" w:eastAsia="宋体" w:hint="default"/>
                          <w:w w:val="100"/>
                          <w:sz w:val="18"/>
                          <w:szCs w:val="18"/>
                        </w:rPr>
                        <w:t> </w:t>
                      </w:r>
                      <w:r>
                        <w:rPr>
                          <w:rFonts w:ascii="宋体" w:hAnsi="宋体" w:cs="宋体" w:eastAsia="宋体" w:hint="default"/>
                          <w:sz w:val="18"/>
                          <w:szCs w:val="18"/>
                        </w:rPr>
                        <w:t>行情况</w:t>
                      </w:r>
                    </w:p>
                  </w:txbxContent>
                </v:textbox>
                <w10:wrap type="none"/>
              </v:shape>
            </v:group>
          </v:group>
        </w:pict>
      </w:r>
      <w:r>
        <w:rPr>
          <w:rFonts w:ascii="宋体" w:hAnsi="宋体" w:cs="宋体" w:eastAsia="宋体" w:hint="default"/>
          <w:position w:val="-26"/>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145"/>
        <w:jc w:val="left"/>
      </w:pPr>
      <w:r>
        <w:rPr/>
        <w:t>八、承诺事项履行情况</w:t>
      </w:r>
    </w:p>
    <w:p>
      <w:pPr>
        <w:spacing w:line="240" w:lineRule="auto" w:before="9"/>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spacing w:val="-1"/>
        </w:rPr>
        <w:t>1</w:t>
      </w:r>
      <w:r>
        <w:rPr>
          <w:spacing w:val="-1"/>
        </w:rPr>
        <w:t>、公司或持股</w:t>
      </w:r>
      <w:r>
        <w:rPr>
          <w:spacing w:val="17"/>
        </w:rPr>
        <w:t> </w:t>
      </w:r>
      <w:r>
        <w:rPr>
          <w:rFonts w:ascii="Times New Roman" w:hAnsi="Times New Roman" w:cs="Times New Roman" w:eastAsia="Times New Roman" w:hint="default"/>
          <w:b/>
          <w:bCs/>
          <w:spacing w:val="-2"/>
        </w:rPr>
        <w:t>5%</w:t>
      </w:r>
      <w:r>
        <w:rPr>
          <w:spacing w:val="-2"/>
        </w:rPr>
        <w:t>以上股东在报告期内或持续到报告期内的承诺事项</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420"/>
        <w:gridCol w:w="1049"/>
        <w:gridCol w:w="3091"/>
        <w:gridCol w:w="900"/>
        <w:gridCol w:w="540"/>
        <w:gridCol w:w="569"/>
      </w:tblGrid>
      <w:tr>
        <w:trPr>
          <w:trHeight w:val="713"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86" w:right="81"/>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100"/>
                <w:sz w:val="18"/>
                <w:szCs w:val="18"/>
              </w:rPr>
              <w:t> </w:t>
            </w:r>
            <w:r>
              <w:rPr>
                <w:rFonts w:ascii="宋体" w:hAnsi="宋体" w:cs="宋体" w:eastAsia="宋体" w:hint="default"/>
                <w:sz w:val="18"/>
                <w:szCs w:val="18"/>
              </w:rPr>
              <w:t>期限</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w w:val="100"/>
                <w:sz w:val="18"/>
                <w:szCs w:val="18"/>
              </w:rPr>
              <w:t> </w:t>
            </w:r>
            <w:r>
              <w:rPr>
                <w:rFonts w:ascii="宋体" w:hAnsi="宋体" w:cs="宋体" w:eastAsia="宋体" w:hint="default"/>
                <w:sz w:val="18"/>
                <w:szCs w:val="18"/>
              </w:rPr>
              <w:t>情况</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49" w:type="dxa"/>
            <w:tcBorders>
              <w:top w:val="single" w:sz="4" w:space="0" w:color="000000"/>
              <w:left w:val="single" w:sz="4" w:space="0" w:color="000000"/>
              <w:bottom w:val="single" w:sz="4" w:space="0" w:color="000000"/>
              <w:right w:val="single" w:sz="4" w:space="0" w:color="000000"/>
            </w:tcBorders>
          </w:tcPr>
          <w:p>
            <w:pPr/>
          </w:p>
        </w:tc>
        <w:tc>
          <w:tcPr>
            <w:tcW w:w="30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049" w:type="dxa"/>
            <w:tcBorders>
              <w:top w:val="single" w:sz="4" w:space="0" w:color="000000"/>
              <w:left w:val="single" w:sz="4" w:space="0" w:color="000000"/>
              <w:bottom w:val="single" w:sz="4" w:space="0" w:color="000000"/>
              <w:right w:val="single" w:sz="4" w:space="0" w:color="000000"/>
            </w:tcBorders>
          </w:tcPr>
          <w:p>
            <w:pPr/>
          </w:p>
        </w:tc>
        <w:tc>
          <w:tcPr>
            <w:tcW w:w="30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049" w:type="dxa"/>
            <w:tcBorders>
              <w:top w:val="single" w:sz="4" w:space="0" w:color="000000"/>
              <w:left w:val="single" w:sz="4" w:space="0" w:color="000000"/>
              <w:bottom w:val="single" w:sz="4" w:space="0" w:color="000000"/>
              <w:right w:val="single" w:sz="4" w:space="0" w:color="000000"/>
            </w:tcBorders>
          </w:tcPr>
          <w:p>
            <w:pPr/>
          </w:p>
        </w:tc>
        <w:tc>
          <w:tcPr>
            <w:tcW w:w="30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pacing w:val="-16"/>
                <w:w w:val="100"/>
                <w:sz w:val="18"/>
                <w:szCs w:val="18"/>
              </w:rPr>
              <w:t>吴培服、迪智</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pacing w:val="-16"/>
                <w:w w:val="100"/>
                <w:sz w:val="18"/>
                <w:szCs w:val="18"/>
              </w:rPr>
              <w:t>成投资、启恒</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pacing w:val="-16"/>
                <w:w w:val="100"/>
                <w:sz w:val="18"/>
                <w:szCs w:val="18"/>
              </w:rPr>
              <w:t>投资、雷石投</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资</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
              <w:jc w:val="left"/>
              <w:rPr>
                <w:rFonts w:ascii="宋体" w:hAnsi="宋体" w:cs="宋体" w:eastAsia="宋体" w:hint="default"/>
                <w:sz w:val="18"/>
                <w:szCs w:val="18"/>
              </w:rPr>
            </w:pPr>
            <w:r>
              <w:rPr>
                <w:rFonts w:ascii="宋体" w:hAnsi="宋体" w:cs="宋体" w:eastAsia="宋体" w:hint="default"/>
                <w:spacing w:val="-1"/>
                <w:sz w:val="18"/>
                <w:szCs w:val="18"/>
              </w:rPr>
              <w:t>自公司股票上市之日起三十六个月内，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不转让或者委托他人管理其本次发行</w:t>
            </w:r>
            <w:r>
              <w:rPr>
                <w:rFonts w:ascii="宋体" w:hAnsi="宋体" w:cs="宋体" w:eastAsia="宋体" w:hint="default"/>
                <w:w w:val="100"/>
                <w:sz w:val="18"/>
                <w:szCs w:val="18"/>
              </w:rPr>
              <w:t> </w:t>
            </w:r>
            <w:r>
              <w:rPr>
                <w:rFonts w:ascii="宋体" w:hAnsi="宋体" w:cs="宋体" w:eastAsia="宋体" w:hint="default"/>
                <w:spacing w:val="-3"/>
                <w:sz w:val="18"/>
                <w:szCs w:val="18"/>
              </w:rPr>
              <w:t>前已持有的公司股份，也不由公司收购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该部分股份（包括由该部分股份派生的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w w:val="100"/>
                <w:sz w:val="18"/>
                <w:szCs w:val="18"/>
              </w:rPr>
              <w:t>股份如送红股、资本公积金转增等）。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97" w:lineRule="auto"/>
              <w:ind w:left="24"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0"/>
                <w:sz w:val="18"/>
                <w:szCs w:val="18"/>
              </w:rPr>
              <w:t> </w:t>
            </w:r>
            <w:r>
              <w:rPr>
                <w:rFonts w:ascii="宋体" w:hAnsi="宋体" w:cs="宋体" w:eastAsia="宋体" w:hint="default"/>
                <w:sz w:val="18"/>
                <w:szCs w:val="18"/>
              </w:rPr>
              <w:t>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72"/>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w w:val="100"/>
                <w:sz w:val="18"/>
                <w:szCs w:val="18"/>
              </w:rPr>
              <w:t> </w:t>
            </w:r>
            <w:r>
              <w:rPr>
                <w:rFonts w:ascii="宋体" w:hAnsi="宋体" w:cs="宋体" w:eastAsia="宋体" w:hint="default"/>
                <w:sz w:val="18"/>
                <w:szCs w:val="18"/>
              </w:rPr>
              <w:t>承诺</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049" w:type="dxa"/>
            <w:tcBorders>
              <w:top w:val="single" w:sz="4" w:space="0" w:color="000000"/>
              <w:left w:val="single" w:sz="4" w:space="0" w:color="000000"/>
              <w:bottom w:val="single" w:sz="4" w:space="0" w:color="000000"/>
              <w:right w:val="single" w:sz="4" w:space="0" w:color="000000"/>
            </w:tcBorders>
          </w:tcPr>
          <w:p>
            <w:pPr/>
          </w:p>
        </w:tc>
        <w:tc>
          <w:tcPr>
            <w:tcW w:w="30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43"/>
              <w:jc w:val="left"/>
              <w:rPr>
                <w:rFonts w:ascii="宋体" w:hAnsi="宋体" w:cs="宋体" w:eastAsia="宋体" w:hint="default"/>
                <w:sz w:val="18"/>
                <w:szCs w:val="18"/>
              </w:rPr>
            </w:pPr>
            <w:r>
              <w:rPr>
                <w:rFonts w:ascii="宋体" w:hAnsi="宋体" w:cs="宋体" w:eastAsia="宋体" w:hint="default"/>
                <w:spacing w:val="-1"/>
                <w:sz w:val="18"/>
                <w:szCs w:val="18"/>
              </w:rPr>
              <w:t>是否就导致的同业竞争和关联交易问题作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出承诺</w:t>
            </w:r>
          </w:p>
        </w:tc>
        <w:tc>
          <w:tcPr>
            <w:tcW w:w="6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59" w:lineRule="auto" w:before="36"/>
        <w:ind w:right="145"/>
        <w:jc w:val="left"/>
      </w:pPr>
      <w:r>
        <w:rPr>
          <w:rFonts w:ascii="Times New Roman" w:hAnsi="Times New Roman" w:cs="Times New Roman" w:eastAsia="Times New Roman" w:hint="default"/>
          <w:b/>
          <w:bCs/>
          <w:spacing w:val="-1"/>
        </w:rPr>
        <w:t>2</w:t>
      </w:r>
      <w:r>
        <w:rPr>
          <w:spacing w:val="-1"/>
        </w:rPr>
        <w:t>、公司资产或项目存在盈利预测，且报告期仍处在盈利预测期间，公司就资产或项目达到原盈利预测及</w:t>
      </w:r>
      <w:r>
        <w:rPr>
          <w:spacing w:val="-2"/>
        </w:rPr>
        <w:t> </w:t>
      </w:r>
      <w:r>
        <w:rPr>
          <w:spacing w:val="-2"/>
        </w:rPr>
      </w:r>
      <w:r>
        <w:rPr/>
        <w:t>其原因做出说明</w:t>
      </w:r>
    </w:p>
    <w:p>
      <w:pPr>
        <w:spacing w:line="240" w:lineRule="auto" w:before="6"/>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1183"/>
        <w:gridCol w:w="1195"/>
        <w:gridCol w:w="1195"/>
        <w:gridCol w:w="1198"/>
        <w:gridCol w:w="1195"/>
        <w:gridCol w:w="1195"/>
        <w:gridCol w:w="1198"/>
        <w:gridCol w:w="1198"/>
      </w:tblGrid>
      <w:tr>
        <w:trPr>
          <w:trHeight w:val="566" w:hRule="exact"/>
        </w:trPr>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0"/>
              <w:ind w:left="129" w:right="50" w:hanging="89"/>
              <w:jc w:val="left"/>
              <w:rPr>
                <w:rFonts w:ascii="宋体" w:hAnsi="宋体" w:cs="宋体" w:eastAsia="宋体" w:hint="default"/>
                <w:sz w:val="18"/>
                <w:szCs w:val="18"/>
              </w:rPr>
            </w:pPr>
            <w:r>
              <w:rPr>
                <w:rFonts w:ascii="宋体" w:hAnsi="宋体" w:cs="宋体" w:eastAsia="宋体" w:hint="default"/>
                <w:sz w:val="18"/>
                <w:szCs w:val="18"/>
              </w:rPr>
              <w:t>盈利预测资产</w:t>
            </w:r>
            <w:r>
              <w:rPr>
                <w:rFonts w:ascii="宋体" w:hAnsi="宋体" w:cs="宋体" w:eastAsia="宋体" w:hint="default"/>
                <w:w w:val="100"/>
                <w:sz w:val="18"/>
                <w:szCs w:val="18"/>
              </w:rPr>
              <w:t> </w:t>
            </w:r>
            <w:r>
              <w:rPr>
                <w:rFonts w:ascii="宋体" w:hAnsi="宋体" w:cs="宋体" w:eastAsia="宋体" w:hint="default"/>
                <w:sz w:val="18"/>
                <w:szCs w:val="18"/>
              </w:rPr>
              <w:t>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0"/>
              <w:ind w:left="55" w:right="47"/>
              <w:jc w:val="left"/>
              <w:rPr>
                <w:rFonts w:ascii="宋体" w:hAnsi="宋体" w:cs="宋体" w:eastAsia="宋体" w:hint="default"/>
                <w:sz w:val="18"/>
                <w:szCs w:val="18"/>
              </w:rPr>
            </w:pPr>
            <w:r>
              <w:rPr>
                <w:rFonts w:ascii="宋体" w:hAnsi="宋体" w:cs="宋体" w:eastAsia="宋体" w:hint="default"/>
                <w:sz w:val="18"/>
                <w:szCs w:val="18"/>
              </w:rPr>
              <w:t>未达预测的原</w:t>
            </w:r>
            <w:r>
              <w:rPr>
                <w:rFonts w:ascii="宋体" w:hAnsi="宋体" w:cs="宋体" w:eastAsia="宋体" w:hint="default"/>
                <w:w w:val="100"/>
                <w:sz w:val="18"/>
                <w:szCs w:val="18"/>
              </w:rPr>
              <w:t> </w:t>
            </w:r>
            <w:r>
              <w:rPr>
                <w:rFonts w:ascii="宋体" w:hAnsi="宋体" w:cs="宋体" w:eastAsia="宋体" w:hint="default"/>
                <w:sz w:val="18"/>
                <w:szCs w:val="18"/>
              </w:rPr>
              <w:t>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0"/>
              <w:ind w:left="506" w:right="47" w:hanging="449"/>
              <w:jc w:val="left"/>
              <w:rPr>
                <w:rFonts w:ascii="宋体" w:hAnsi="宋体" w:cs="宋体" w:eastAsia="宋体" w:hint="default"/>
                <w:sz w:val="18"/>
                <w:szCs w:val="18"/>
              </w:rPr>
            </w:pPr>
            <w:r>
              <w:rPr>
                <w:rFonts w:ascii="宋体" w:hAnsi="宋体" w:cs="宋体" w:eastAsia="宋体" w:hint="default"/>
                <w:sz w:val="18"/>
                <w:szCs w:val="18"/>
              </w:rPr>
              <w:t>原预测披露日</w:t>
            </w:r>
            <w:r>
              <w:rPr>
                <w:rFonts w:ascii="宋体" w:hAnsi="宋体" w:cs="宋体" w:eastAsia="宋体" w:hint="default"/>
                <w:w w:val="100"/>
                <w:sz w:val="18"/>
                <w:szCs w:val="18"/>
              </w:rPr>
              <w:t> </w:t>
            </w:r>
            <w:r>
              <w:rPr>
                <w:rFonts w:ascii="宋体" w:hAnsi="宋体" w:cs="宋体" w:eastAsia="宋体" w:hint="default"/>
                <w:sz w:val="18"/>
                <w:szCs w:val="18"/>
              </w:rPr>
              <w:t>期</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0"/>
              <w:ind w:left="504" w:right="52" w:hanging="452"/>
              <w:jc w:val="left"/>
              <w:rPr>
                <w:rFonts w:ascii="宋体" w:hAnsi="宋体" w:cs="宋体" w:eastAsia="宋体" w:hint="default"/>
                <w:sz w:val="18"/>
                <w:szCs w:val="18"/>
              </w:rPr>
            </w:pPr>
            <w:r>
              <w:rPr>
                <w:rFonts w:ascii="宋体" w:hAnsi="宋体" w:cs="宋体" w:eastAsia="宋体" w:hint="default"/>
                <w:sz w:val="18"/>
                <w:szCs w:val="18"/>
              </w:rPr>
              <w:t>原预测披露索</w:t>
            </w:r>
            <w:r>
              <w:rPr>
                <w:rFonts w:ascii="宋体" w:hAnsi="宋体" w:cs="宋体" w:eastAsia="宋体" w:hint="default"/>
                <w:w w:val="100"/>
                <w:sz w:val="18"/>
                <w:szCs w:val="18"/>
              </w:rPr>
              <w:t> </w:t>
            </w:r>
            <w:r>
              <w:rPr>
                <w:rFonts w:ascii="宋体" w:hAnsi="宋体" w:cs="宋体" w:eastAsia="宋体" w:hint="default"/>
                <w:sz w:val="18"/>
                <w:szCs w:val="18"/>
              </w:rPr>
              <w:t>引</w:t>
            </w:r>
          </w:p>
        </w:tc>
      </w:tr>
    </w:tbl>
    <w:p>
      <w:pPr>
        <w:spacing w:line="240" w:lineRule="auto" w:before="6"/>
        <w:rPr>
          <w:rFonts w:ascii="宋体" w:hAnsi="宋体" w:cs="宋体" w:eastAsia="宋体" w:hint="default"/>
          <w:sz w:val="18"/>
          <w:szCs w:val="18"/>
        </w:rPr>
      </w:pPr>
    </w:p>
    <w:p>
      <w:pPr>
        <w:pStyle w:val="Heading2"/>
        <w:spacing w:line="240" w:lineRule="auto" w:before="26"/>
        <w:ind w:right="145"/>
        <w:jc w:val="left"/>
      </w:pPr>
      <w:r>
        <w:rPr/>
        <w:t>九、聘任、解聘会计师事务所情况</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874"/>
        <w:gridCol w:w="5683"/>
      </w:tblGrid>
      <w:tr>
        <w:trPr>
          <w:trHeight w:val="329"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331"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sz w:val="18"/>
              </w:rPr>
              <w:t>71</w:t>
            </w:r>
          </w:p>
        </w:tc>
      </w:tr>
      <w:tr>
        <w:trPr>
          <w:trHeight w:val="329"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w w:val="100"/>
                <w:sz w:val="18"/>
              </w:rPr>
              <w:t>3</w:t>
            </w:r>
          </w:p>
        </w:tc>
      </w:tr>
      <w:tr>
        <w:trPr>
          <w:trHeight w:val="331"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傅林生、蒯薏苡</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5"/>
        <w:ind w:left="152" w:right="5247"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w w:val="100"/>
          <w:sz w:val="18"/>
          <w:szCs w:val="18"/>
        </w:rPr>
        <w:t> </w:t>
      </w:r>
      <w:r>
        <w:rPr>
          <w:rFonts w:ascii="宋体" w:hAnsi="宋体" w:cs="宋体" w:eastAsia="宋体" w:hint="default"/>
          <w:spacing w:val="-1"/>
          <w:sz w:val="18"/>
          <w:szCs w:val="18"/>
        </w:rPr>
        <w:t>聘请内部控制审计会计师事务所、财务顾问或保荐人情况</w:t>
      </w:r>
    </w:p>
    <w:p>
      <w:pPr>
        <w:spacing w:before="27"/>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45"/>
        <w:jc w:val="left"/>
      </w:pPr>
      <w:r>
        <w:rPr/>
        <w:t>十、监事会、独立董事（如适用）对会计师事务所本报告期“非标准审计报告”的说明</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45"/>
        <w:jc w:val="left"/>
      </w:pPr>
      <w:r>
        <w:rPr/>
        <w:t>十一、处罚及整改情况</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before="115"/>
        <w:ind w:left="152" w:right="145" w:firstLine="0"/>
        <w:jc w:val="left"/>
        <w:rPr>
          <w:rFonts w:ascii="宋体" w:hAnsi="宋体" w:cs="宋体" w:eastAsia="宋体" w:hint="default"/>
          <w:sz w:val="18"/>
          <w:szCs w:val="18"/>
        </w:rPr>
      </w:pPr>
      <w:r>
        <w:rPr>
          <w:rFonts w:ascii="宋体" w:hAnsi="宋体" w:cs="宋体" w:eastAsia="宋体" w:hint="default"/>
          <w:spacing w:val="-1"/>
          <w:sz w:val="18"/>
          <w:szCs w:val="18"/>
        </w:rPr>
        <w:t>董事、监事、高级管理人员、持股</w:t>
      </w:r>
      <w:r>
        <w:rPr>
          <w:rFonts w:ascii="宋体" w:hAnsi="宋体" w:cs="宋体" w:eastAsia="宋体" w:hint="default"/>
          <w:spacing w:val="-20"/>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以上的股东涉嫌违规买卖公司股票且公司已披露将收回涉嫌违规所得收益的情况</w:t>
      </w:r>
    </w:p>
    <w:p>
      <w:pPr>
        <w:spacing w:before="10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5"/>
        <w:jc w:val="left"/>
      </w:pPr>
      <w:r>
        <w:rPr/>
        <w:t>十二、年度报告披露后面临暂停上市和终止上市情况</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45"/>
        <w:jc w:val="left"/>
      </w:pPr>
      <w:r>
        <w:rPr/>
        <w:t>十三、其他重大事项的说明</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45"/>
        <w:jc w:val="left"/>
      </w:pPr>
      <w:r>
        <w:rPr/>
        <w:t>十四、公司子公司重要事项</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5"/>
        <w:jc w:val="left"/>
      </w:pPr>
      <w:r>
        <w:rPr/>
        <w:t>十五、公司发行公司债券的情况</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145"/>
        <w:jc w:val="left"/>
      </w:pPr>
      <w:bookmarkStart w:name="_TOC_250005" w:id="6"/>
      <w:r>
        <w:rPr/>
        <w:t>第六节</w:t>
      </w:r>
      <w:r>
        <w:rPr>
          <w:spacing w:val="10"/>
        </w:rPr>
        <w:t> </w:t>
      </w:r>
      <w:bookmarkEnd w:id="6"/>
      <w:r>
        <w:rPr/>
        <w:t>股份变动及股东情况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before="26"/>
        <w:ind w:right="145"/>
        <w:jc w:val="left"/>
      </w:pPr>
      <w:r>
        <w:rPr/>
        <w:t>一、股份变动情况</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2010"/>
        <w:gridCol w:w="1038"/>
        <w:gridCol w:w="720"/>
        <w:gridCol w:w="785"/>
        <w:gridCol w:w="655"/>
        <w:gridCol w:w="977"/>
        <w:gridCol w:w="595"/>
        <w:gridCol w:w="1075"/>
        <w:gridCol w:w="1111"/>
        <w:gridCol w:w="689"/>
      </w:tblGrid>
      <w:tr>
        <w:trPr>
          <w:trHeight w:val="201" w:hRule="exact"/>
        </w:trPr>
        <w:tc>
          <w:tcPr>
            <w:tcW w:w="20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8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9" w:hRule="exact"/>
        </w:trPr>
        <w:tc>
          <w:tcPr>
            <w:tcW w:w="2010" w:type="dxa"/>
            <w:vMerge w:val="restart"/>
            <w:tcBorders>
              <w:top w:val="nil" w:sz="6" w:space="0" w:color="auto"/>
              <w:left w:val="single" w:sz="4" w:space="0" w:color="000000"/>
              <w:right w:val="single" w:sz="4" w:space="0" w:color="000000"/>
            </w:tcBorders>
            <w:shd w:val="clear" w:color="auto" w:fill="D3D3D3"/>
          </w:tcPr>
          <w:p>
            <w:pPr/>
          </w:p>
        </w:tc>
        <w:tc>
          <w:tcPr>
            <w:tcW w:w="1758" w:type="dxa"/>
            <w:gridSpan w:val="2"/>
            <w:vMerge/>
            <w:tcBorders>
              <w:left w:val="single" w:sz="4" w:space="0" w:color="000000"/>
              <w:bottom w:val="single" w:sz="4" w:space="0" w:color="000000"/>
              <w:right w:val="single" w:sz="4" w:space="0" w:color="000000"/>
            </w:tcBorders>
            <w:shd w:val="clear" w:color="auto" w:fill="D3D3D3"/>
          </w:tcPr>
          <w:p>
            <w:pPr/>
          </w:p>
        </w:tc>
        <w:tc>
          <w:tcPr>
            <w:tcW w:w="4087" w:type="dxa"/>
            <w:gridSpan w:val="5"/>
            <w:vMerge/>
            <w:tcBorders>
              <w:left w:val="single" w:sz="4" w:space="0" w:color="000000"/>
              <w:bottom w:val="single" w:sz="4" w:space="0" w:color="000000"/>
              <w:right w:val="single" w:sz="4" w:space="0" w:color="000000"/>
            </w:tcBorders>
            <w:shd w:val="clear" w:color="auto" w:fill="D3D3D3"/>
          </w:tcPr>
          <w:p>
            <w:pPr/>
          </w:p>
        </w:tc>
        <w:tc>
          <w:tcPr>
            <w:tcW w:w="1800" w:type="dxa"/>
            <w:gridSpan w:val="2"/>
            <w:vMerge/>
            <w:tcBorders>
              <w:left w:val="single" w:sz="4" w:space="0" w:color="000000"/>
              <w:bottom w:val="single" w:sz="4" w:space="0" w:color="000000"/>
              <w:right w:val="single" w:sz="4" w:space="0" w:color="000000"/>
            </w:tcBorders>
            <w:shd w:val="clear" w:color="auto" w:fill="D3D3D3"/>
          </w:tcPr>
          <w:p>
            <w:pPr/>
          </w:p>
        </w:tc>
      </w:tr>
      <w:tr>
        <w:trPr>
          <w:trHeight w:val="192" w:hRule="exact"/>
        </w:trPr>
        <w:tc>
          <w:tcPr>
            <w:tcW w:w="2010" w:type="dxa"/>
            <w:vMerge/>
            <w:tcBorders>
              <w:left w:val="single" w:sz="4" w:space="0" w:color="000000"/>
              <w:bottom w:val="nil" w:sz="6" w:space="0" w:color="auto"/>
              <w:right w:val="single" w:sz="4" w:space="0" w:color="000000"/>
            </w:tcBorders>
            <w:shd w:val="clear" w:color="auto" w:fill="D3D3D3"/>
          </w:tcPr>
          <w:p>
            <w:pPr/>
          </w:p>
        </w:tc>
        <w:tc>
          <w:tcPr>
            <w:tcW w:w="10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3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11" w:hRule="exact"/>
        </w:trPr>
        <w:tc>
          <w:tcPr>
            <w:tcW w:w="20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8"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785" w:type="dxa"/>
            <w:vMerge/>
            <w:tcBorders>
              <w:left w:val="single" w:sz="4" w:space="0" w:color="000000"/>
              <w:bottom w:val="single" w:sz="4" w:space="0" w:color="000000"/>
              <w:right w:val="single" w:sz="4" w:space="0" w:color="000000"/>
            </w:tcBorders>
            <w:shd w:val="clear" w:color="auto" w:fill="D3D3D3"/>
          </w:tcPr>
          <w:p>
            <w:pPr/>
          </w:p>
        </w:tc>
        <w:tc>
          <w:tcPr>
            <w:tcW w:w="655" w:type="dxa"/>
            <w:vMerge/>
            <w:tcBorders>
              <w:left w:val="single" w:sz="4" w:space="0" w:color="000000"/>
              <w:bottom w:val="single" w:sz="4" w:space="0" w:color="000000"/>
              <w:right w:val="single" w:sz="4" w:space="0" w:color="000000"/>
            </w:tcBorders>
            <w:shd w:val="clear" w:color="auto" w:fill="D3D3D3"/>
          </w:tcPr>
          <w:p>
            <w:pPr/>
          </w:p>
        </w:tc>
        <w:tc>
          <w:tcPr>
            <w:tcW w:w="977" w:type="dxa"/>
            <w:vMerge/>
            <w:tcBorders>
              <w:left w:val="single" w:sz="4" w:space="0" w:color="000000"/>
              <w:bottom w:val="single" w:sz="4" w:space="0" w:color="000000"/>
              <w:right w:val="single" w:sz="4" w:space="0" w:color="000000"/>
            </w:tcBorders>
            <w:shd w:val="clear" w:color="auto" w:fill="D3D3D3"/>
          </w:tcPr>
          <w:p>
            <w:pPr/>
          </w:p>
        </w:tc>
        <w:tc>
          <w:tcPr>
            <w:tcW w:w="595" w:type="dxa"/>
            <w:vMerge/>
            <w:tcBorders>
              <w:left w:val="single" w:sz="4" w:space="0" w:color="000000"/>
              <w:bottom w:val="single" w:sz="4" w:space="0" w:color="000000"/>
              <w:right w:val="single" w:sz="4" w:space="0" w:color="000000"/>
            </w:tcBorders>
            <w:shd w:val="clear" w:color="auto" w:fill="D3D3D3"/>
          </w:tcPr>
          <w:p>
            <w:pPr/>
          </w:p>
        </w:tc>
        <w:tc>
          <w:tcPr>
            <w:tcW w:w="1075" w:type="dxa"/>
            <w:vMerge/>
            <w:tcBorders>
              <w:left w:val="single" w:sz="4" w:space="0" w:color="000000"/>
              <w:bottom w:val="single" w:sz="4" w:space="0" w:color="000000"/>
              <w:right w:val="single" w:sz="4" w:space="0" w:color="000000"/>
            </w:tcBorders>
            <w:shd w:val="clear" w:color="auto" w:fill="D3D3D3"/>
          </w:tcPr>
          <w:p>
            <w:pPr/>
          </w:p>
        </w:tc>
        <w:tc>
          <w:tcPr>
            <w:tcW w:w="1111" w:type="dxa"/>
            <w:vMerge/>
            <w:tcBorders>
              <w:left w:val="single" w:sz="4" w:space="0" w:color="000000"/>
              <w:bottom w:val="single" w:sz="4" w:space="0" w:color="000000"/>
              <w:right w:val="single" w:sz="4" w:space="0" w:color="000000"/>
            </w:tcBorders>
            <w:shd w:val="clear" w:color="auto" w:fill="D3D3D3"/>
          </w:tcPr>
          <w:p>
            <w:pPr/>
          </w:p>
        </w:tc>
        <w:tc>
          <w:tcPr>
            <w:tcW w:w="68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w:t>
            </w:r>
          </w:p>
        </w:tc>
        <w:tc>
          <w:tcPr>
            <w:tcW w:w="78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156,000,000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w:t>
            </w:r>
          </w:p>
        </w:tc>
        <w:tc>
          <w:tcPr>
            <w:tcW w:w="78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156,000,000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31.73%</w:t>
            </w:r>
          </w:p>
        </w:tc>
        <w:tc>
          <w:tcPr>
            <w:tcW w:w="78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66,000,000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31.73%</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43.27%</w:t>
            </w:r>
          </w:p>
        </w:tc>
        <w:tc>
          <w:tcPr>
            <w:tcW w:w="78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90,000,000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43.27%</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78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52,000,000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78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52,000,000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78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208,000,000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8"/>
          <w:szCs w:val="8"/>
        </w:rPr>
      </w:pPr>
    </w:p>
    <w:p>
      <w:pPr>
        <w:pStyle w:val="BodyText"/>
        <w:spacing w:line="240" w:lineRule="auto" w:before="36"/>
        <w:ind w:right="145"/>
        <w:jc w:val="left"/>
      </w:pPr>
      <w:r>
        <w:rPr/>
        <w:t>股份变动的原因</w:t>
      </w:r>
    </w:p>
    <w:p>
      <w:pPr>
        <w:spacing w:line="240" w:lineRule="auto" w:before="10"/>
        <w:rPr>
          <w:rFonts w:ascii="宋体" w:hAnsi="宋体" w:cs="宋体" w:eastAsia="宋体" w:hint="default"/>
          <w:sz w:val="14"/>
          <w:szCs w:val="14"/>
        </w:rPr>
      </w:pPr>
    </w:p>
    <w:p>
      <w:pPr>
        <w:pStyle w:val="BodyText"/>
        <w:spacing w:line="256" w:lineRule="auto"/>
        <w:ind w:right="143"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年度利润分配及资本公积金转增股本的预</w:t>
      </w:r>
      <w:r>
        <w:rPr>
          <w:w w:val="100"/>
        </w:rPr>
        <w:t> </w:t>
      </w:r>
      <w:r>
        <w:rPr>
          <w:spacing w:val="-3"/>
        </w:rPr>
        <w:t>案》，以</w:t>
      </w:r>
      <w:r>
        <w:rPr>
          <w:rFonts w:ascii="Times New Roman" w:hAnsi="Times New Roman" w:cs="Times New Roman" w:eastAsia="Times New Roman" w:hint="default"/>
          <w:spacing w:val="-3"/>
        </w:rPr>
        <w:t>2011</w:t>
      </w:r>
      <w:r>
        <w:rPr>
          <w:spacing w:val="-3"/>
        </w:rPr>
        <w:t>年末总股本</w:t>
      </w:r>
      <w:r>
        <w:rPr>
          <w:rFonts w:ascii="Times New Roman" w:hAnsi="Times New Roman" w:cs="Times New Roman" w:eastAsia="Times New Roman" w:hint="default"/>
          <w:spacing w:val="-3"/>
        </w:rPr>
        <w:t>208,000,000</w:t>
      </w:r>
      <w:r>
        <w:rPr>
          <w:spacing w:val="-3"/>
        </w:rPr>
        <w:t>股为基数，向在股权登记日登记在册的全体股东，按每</w:t>
      </w:r>
      <w:r>
        <w:rPr>
          <w:rFonts w:ascii="Times New Roman" w:hAnsi="Times New Roman" w:cs="Times New Roman" w:eastAsia="Times New Roman" w:hint="default"/>
          <w:spacing w:val="-3"/>
        </w:rPr>
        <w:t>10</w:t>
      </w:r>
      <w:r>
        <w:rPr>
          <w:spacing w:val="-3"/>
        </w:rPr>
        <w:t>股派发现金</w:t>
      </w:r>
      <w:r>
        <w:rPr>
          <w:spacing w:val="20"/>
        </w:rPr>
        <w:t> </w:t>
      </w:r>
      <w:r>
        <w:rPr>
          <w:spacing w:val="20"/>
        </w:rPr>
      </w:r>
      <w:r>
        <w:rPr>
          <w:spacing w:val="-4"/>
        </w:rPr>
        <w:t>股利</w:t>
      </w:r>
      <w:r>
        <w:rPr>
          <w:rFonts w:ascii="Times New Roman" w:hAnsi="Times New Roman" w:cs="Times New Roman" w:eastAsia="Times New Roman" w:hint="default"/>
          <w:spacing w:val="-4"/>
        </w:rPr>
        <w:t>10.00</w:t>
      </w:r>
      <w:r>
        <w:rPr>
          <w:spacing w:val="-4"/>
        </w:rPr>
        <w:t>元（含税），派发现金股利共计</w:t>
      </w:r>
      <w:r>
        <w:rPr>
          <w:rFonts w:ascii="Times New Roman" w:hAnsi="Times New Roman" w:cs="Times New Roman" w:eastAsia="Times New Roman" w:hint="default"/>
          <w:spacing w:val="-4"/>
        </w:rPr>
        <w:t>208,000,000</w:t>
      </w:r>
      <w:r>
        <w:rPr>
          <w:spacing w:val="-4"/>
        </w:rPr>
        <w:t>元，剩余未分配利润结转下一年度；公司以</w:t>
      </w:r>
      <w:r>
        <w:rPr>
          <w:rFonts w:ascii="Times New Roman" w:hAnsi="Times New Roman" w:cs="Times New Roman" w:eastAsia="Times New Roman" w:hint="default"/>
          <w:spacing w:val="-4"/>
        </w:rPr>
        <w:t>2011</w:t>
      </w:r>
      <w:r>
        <w:rPr>
          <w:spacing w:val="-4"/>
        </w:rPr>
        <w:t>年末</w:t>
      </w:r>
      <w:r>
        <w:rPr>
          <w:spacing w:val="27"/>
        </w:rPr>
        <w:t> </w:t>
      </w:r>
      <w:r>
        <w:rPr>
          <w:spacing w:val="27"/>
        </w:rPr>
      </w:r>
      <w:r>
        <w:rPr/>
        <w:t>总股本</w:t>
      </w:r>
      <w:r>
        <w:rPr>
          <w:rFonts w:ascii="Times New Roman" w:hAnsi="Times New Roman" w:cs="Times New Roman" w:eastAsia="Times New Roman" w:hint="default"/>
        </w:rPr>
        <w:t>208,000,000</w:t>
      </w:r>
      <w:r>
        <w:rPr/>
        <w:t>股为基数，向在股权登记日登记在册的全体股东以资本公积每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股，转增后</w:t>
      </w:r>
      <w:r>
        <w:rPr>
          <w:spacing w:val="-56"/>
        </w:rPr>
        <w:t> </w:t>
      </w:r>
      <w:r>
        <w:rPr>
          <w:spacing w:val="-56"/>
        </w:rPr>
      </w:r>
      <w:r>
        <w:rPr/>
        <w:t>总股本为</w:t>
      </w:r>
      <w:r>
        <w:rPr>
          <w:rFonts w:ascii="Times New Roman" w:hAnsi="Times New Roman" w:cs="Times New Roman" w:eastAsia="Times New Roman" w:hint="default"/>
        </w:rPr>
        <w:t>416,000,000</w:t>
      </w:r>
      <w:r>
        <w:rPr/>
        <w:t>股。</w:t>
      </w:r>
    </w:p>
    <w:p>
      <w:pPr>
        <w:pStyle w:val="BodyText"/>
        <w:spacing w:line="240" w:lineRule="auto" w:before="161"/>
        <w:ind w:right="145"/>
        <w:jc w:val="left"/>
      </w:pPr>
      <w:r>
        <w:rPr/>
        <w:t>股份变动的批准情况</w:t>
      </w:r>
    </w:p>
    <w:p>
      <w:pPr>
        <w:pStyle w:val="BodyText"/>
        <w:spacing w:line="290" w:lineRule="auto" w:before="78"/>
        <w:ind w:right="779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适用</w:t>
      </w:r>
      <w:r>
        <w:rPr>
          <w:spacing w:val="-3"/>
        </w:rPr>
        <w:t>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r>
        <w:rPr>
          <w:spacing w:val="-103"/>
        </w:rPr>
        <w:t> </w:t>
      </w:r>
      <w:r>
        <w:rPr>
          <w:spacing w:val="-103"/>
        </w:rPr>
      </w:r>
      <w:r>
        <w:rPr>
          <w:spacing w:val="-2"/>
        </w:rPr>
        <w:t>股份变动的过户情况</w:t>
      </w:r>
    </w:p>
    <w:p>
      <w:pPr>
        <w:pStyle w:val="BodyText"/>
        <w:spacing w:line="273" w:lineRule="auto" w:before="31"/>
        <w:ind w:right="145"/>
        <w:jc w:val="left"/>
      </w:pPr>
      <w:r>
        <w:rPr>
          <w:spacing w:val="-3"/>
        </w:rPr>
        <w:t>股份变动对最近一年和最近一期基本每股收益和稀释每股收益、归属于公司普通股股东的每股净资产等财</w:t>
      </w:r>
      <w:r>
        <w:rPr>
          <w:spacing w:val="4"/>
        </w:rPr>
        <w:t> </w:t>
      </w:r>
      <w:r>
        <w:rPr>
          <w:spacing w:val="4"/>
        </w:rPr>
      </w:r>
      <w:r>
        <w:rPr/>
        <w:t>务指标的影响</w:t>
      </w:r>
    </w:p>
    <w:p>
      <w:pPr>
        <w:pStyle w:val="BodyText"/>
        <w:spacing w:line="240" w:lineRule="auto" w:before="48"/>
        <w:ind w:right="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56" w:lineRule="auto" w:before="179"/>
        <w:ind w:right="143" w:firstLine="420"/>
        <w:jc w:val="both"/>
      </w:pPr>
      <w:r>
        <w:rPr>
          <w:spacing w:val="-3"/>
        </w:rPr>
        <w:t>报告期内，公司总股本由</w:t>
      </w:r>
      <w:r>
        <w:rPr>
          <w:rFonts w:ascii="Times New Roman" w:hAnsi="Times New Roman" w:cs="Times New Roman" w:eastAsia="Times New Roman" w:hint="default"/>
          <w:spacing w:val="-3"/>
        </w:rPr>
        <w:t>208,000,000</w:t>
      </w:r>
      <w:r>
        <w:rPr>
          <w:spacing w:val="-3"/>
        </w:rPr>
        <w:t>股增加至</w:t>
      </w:r>
      <w:r>
        <w:rPr>
          <w:rFonts w:ascii="Times New Roman" w:hAnsi="Times New Roman" w:cs="Times New Roman" w:eastAsia="Times New Roman" w:hint="default"/>
          <w:spacing w:val="-3"/>
        </w:rPr>
        <w:t>416,000,000</w:t>
      </w:r>
      <w:r>
        <w:rPr>
          <w:spacing w:val="-3"/>
        </w:rPr>
        <w:t>股。股份变动对公司最近一年和最近一期基</w:t>
      </w:r>
      <w:r>
        <w:rPr>
          <w:w w:val="100"/>
        </w:rPr>
        <w:t> </w:t>
      </w:r>
      <w:r>
        <w:rPr/>
        <w:t>本每股收益和稀释每股收益、归属于公司普通股股东的每股净资产等财务指标的影响如下：</w:t>
      </w:r>
    </w:p>
    <w:p>
      <w:pPr>
        <w:spacing w:line="240" w:lineRule="auto" w:before="8"/>
        <w:rPr>
          <w:rFonts w:ascii="宋体" w:hAnsi="宋体" w:cs="宋体" w:eastAsia="宋体" w:hint="default"/>
          <w:sz w:val="14"/>
          <w:szCs w:val="14"/>
        </w:rPr>
      </w:pPr>
    </w:p>
    <w:tbl>
      <w:tblPr>
        <w:tblW w:w="0" w:type="auto"/>
        <w:jc w:val="left"/>
        <w:tblInd w:w="707" w:type="dxa"/>
        <w:tblLayout w:type="fixed"/>
        <w:tblCellMar>
          <w:top w:w="0" w:type="dxa"/>
          <w:left w:w="0" w:type="dxa"/>
          <w:bottom w:w="0" w:type="dxa"/>
          <w:right w:w="0" w:type="dxa"/>
        </w:tblCellMar>
        <w:tblLook w:val="01E0"/>
      </w:tblPr>
      <w:tblGrid>
        <w:gridCol w:w="2820"/>
        <w:gridCol w:w="2846"/>
        <w:gridCol w:w="2854"/>
      </w:tblGrid>
      <w:tr>
        <w:trPr>
          <w:trHeight w:val="40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财务指标名称</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按新股本计算（元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按原股本计算（元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0.29</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0.57</w:t>
            </w:r>
          </w:p>
        </w:tc>
      </w:tr>
      <w:tr>
        <w:trPr>
          <w:trHeight w:val="40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0.29</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0.57</w:t>
            </w:r>
          </w:p>
        </w:tc>
      </w:tr>
      <w:tr>
        <w:trPr>
          <w:trHeight w:val="40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20"/>
                <w:szCs w:val="20"/>
              </w:rPr>
            </w:pPr>
            <w:r>
              <w:rPr>
                <w:rFonts w:ascii="宋体" w:hAnsi="宋体" w:cs="宋体" w:eastAsia="宋体" w:hint="default"/>
                <w:sz w:val="20"/>
                <w:szCs w:val="20"/>
              </w:rPr>
              <w:t>加权平均每股净资产</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17.61</w:t>
            </w:r>
          </w:p>
        </w:tc>
      </w:tr>
    </w:tbl>
    <w:p>
      <w:pPr>
        <w:spacing w:after="0" w:line="240" w:lineRule="auto"/>
        <w:jc w:val="center"/>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pPr>
      <w:r>
        <w:rPr/>
        <w:t>二、证券发行与上市情况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b/>
          <w:bCs/>
        </w:rPr>
        <w:t>1</w:t>
      </w:r>
      <w:r>
        <w:rPr/>
        <w:t>、报告期末近三年历次证券发行情况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368"/>
        <w:gridCol w:w="1536"/>
        <w:gridCol w:w="1368"/>
        <w:gridCol w:w="1308"/>
        <w:gridCol w:w="1502"/>
        <w:gridCol w:w="1368"/>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0" w:right="45" w:hanging="360"/>
              <w:jc w:val="left"/>
              <w:rPr>
                <w:rFonts w:ascii="宋体" w:hAnsi="宋体" w:cs="宋体" w:eastAsia="宋体" w:hint="default"/>
                <w:sz w:val="18"/>
                <w:szCs w:val="18"/>
              </w:rPr>
            </w:pPr>
            <w:r>
              <w:rPr>
                <w:rFonts w:ascii="宋体" w:hAnsi="宋体" w:cs="宋体" w:eastAsia="宋体" w:hint="default"/>
                <w:sz w:val="18"/>
                <w:szCs w:val="18"/>
              </w:rPr>
              <w:t>股票及其衍生证</w:t>
            </w:r>
            <w:r>
              <w:rPr>
                <w:rFonts w:ascii="宋体" w:hAnsi="宋体" w:cs="宋体" w:eastAsia="宋体" w:hint="default"/>
                <w:w w:val="100"/>
                <w:sz w:val="18"/>
                <w:szCs w:val="18"/>
              </w:rPr>
              <w:t> </w:t>
            </w:r>
            <w:r>
              <w:rPr>
                <w:rFonts w:ascii="宋体" w:hAnsi="宋体" w:cs="宋体" w:eastAsia="宋体" w:hint="default"/>
                <w:sz w:val="18"/>
                <w:szCs w:val="18"/>
              </w:rPr>
              <w:t>券名称</w:t>
            </w:r>
          </w:p>
        </w:tc>
        <w:tc>
          <w:tcPr>
            <w:tcW w:w="1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99" w:right="47" w:hanging="452"/>
              <w:jc w:val="left"/>
              <w:rPr>
                <w:rFonts w:ascii="宋体" w:hAnsi="宋体" w:cs="宋体" w:eastAsia="宋体" w:hint="default"/>
                <w:sz w:val="18"/>
                <w:szCs w:val="18"/>
              </w:rPr>
            </w:pPr>
            <w:r>
              <w:rPr>
                <w:rFonts w:ascii="宋体" w:hAnsi="宋体" w:cs="宋体" w:eastAsia="宋体" w:hint="default"/>
                <w:sz w:val="18"/>
                <w:szCs w:val="18"/>
              </w:rPr>
              <w:t>发行价格（或利</w:t>
            </w:r>
            <w:r>
              <w:rPr>
                <w:rFonts w:ascii="宋体" w:hAnsi="宋体" w:cs="宋体" w:eastAsia="宋体" w:hint="default"/>
                <w:w w:val="100"/>
                <w:sz w:val="18"/>
                <w:szCs w:val="18"/>
              </w:rPr>
              <w:t> </w:t>
            </w:r>
            <w:r>
              <w:rPr>
                <w:rFonts w:ascii="宋体" w:hAnsi="宋体" w:cs="宋体" w:eastAsia="宋体" w:hint="default"/>
                <w:sz w:val="18"/>
                <w:szCs w:val="18"/>
              </w:rPr>
              <w:t>率）</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0" w:right="45" w:hanging="540"/>
              <w:jc w:val="left"/>
              <w:rPr>
                <w:rFonts w:ascii="宋体" w:hAnsi="宋体" w:cs="宋体" w:eastAsia="宋体" w:hint="default"/>
                <w:sz w:val="18"/>
                <w:szCs w:val="18"/>
              </w:rPr>
            </w:pPr>
            <w:r>
              <w:rPr>
                <w:rFonts w:ascii="宋体" w:hAnsi="宋体" w:cs="宋体" w:eastAsia="宋体" w:hint="default"/>
                <w:sz w:val="18"/>
                <w:szCs w:val="18"/>
              </w:rPr>
              <w:t>获准上市交易数</w:t>
            </w:r>
            <w:r>
              <w:rPr>
                <w:rFonts w:ascii="宋体" w:hAnsi="宋体" w:cs="宋体" w:eastAsia="宋体" w:hint="default"/>
                <w:w w:val="100"/>
                <w:sz w:val="18"/>
                <w:szCs w:val="18"/>
              </w:rPr>
              <w:t> </w:t>
            </w:r>
            <w:r>
              <w:rPr>
                <w:rFonts w:ascii="宋体" w:hAnsi="宋体" w:cs="宋体" w:eastAsia="宋体" w:hint="default"/>
                <w:sz w:val="18"/>
                <w:szCs w:val="18"/>
              </w:rPr>
              <w:t>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52,000,000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52,000,000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29"/>
        <w:ind w:right="0"/>
        <w:jc w:val="left"/>
      </w:pPr>
      <w:r>
        <w:rPr/>
        <w:t>前三年历次证券发行情况的说明</w:t>
      </w:r>
    </w:p>
    <w:p>
      <w:pPr>
        <w:spacing w:line="240" w:lineRule="auto" w:before="10"/>
        <w:rPr>
          <w:rFonts w:ascii="宋体" w:hAnsi="宋体" w:cs="宋体" w:eastAsia="宋体" w:hint="default"/>
          <w:sz w:val="14"/>
          <w:szCs w:val="14"/>
        </w:rPr>
      </w:pPr>
    </w:p>
    <w:p>
      <w:pPr>
        <w:pStyle w:val="BodyText"/>
        <w:spacing w:line="256" w:lineRule="auto"/>
        <w:ind w:right="301" w:firstLine="420"/>
        <w:jc w:val="both"/>
      </w:pPr>
      <w:r>
        <w:rPr>
          <w:spacing w:val="-4"/>
        </w:rPr>
        <w:t>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[2011]713</w:t>
      </w:r>
      <w:r>
        <w:rPr>
          <w:spacing w:val="-4"/>
        </w:rPr>
        <w:t>号</w:t>
      </w:r>
      <w:r>
        <w:rPr>
          <w:rFonts w:ascii="Times New Roman" w:hAnsi="Times New Roman" w:cs="Times New Roman" w:eastAsia="Times New Roman" w:hint="default"/>
          <w:spacing w:val="-4"/>
        </w:rPr>
        <w:t>”</w:t>
      </w:r>
      <w:r>
        <w:rPr>
          <w:spacing w:val="-4"/>
        </w:rPr>
        <w:t>文核准，公司公开发行</w:t>
      </w:r>
      <w:r>
        <w:rPr>
          <w:rFonts w:ascii="Times New Roman" w:hAnsi="Times New Roman" w:cs="Times New Roman" w:eastAsia="Times New Roman" w:hint="default"/>
          <w:spacing w:val="-4"/>
        </w:rPr>
        <w:t>5,200</w:t>
      </w:r>
      <w:r>
        <w:rPr>
          <w:spacing w:val="-4"/>
        </w:rPr>
        <w:t>万股人民币普通股，每</w:t>
      </w:r>
      <w:r>
        <w:rPr>
          <w:w w:val="100"/>
        </w:rPr>
        <w:t> </w:t>
      </w:r>
      <w:r>
        <w:rPr>
          <w:spacing w:val="-4"/>
        </w:rPr>
        <w:t>股发行价格</w:t>
      </w:r>
      <w:r>
        <w:rPr>
          <w:rFonts w:ascii="Times New Roman" w:hAnsi="Times New Roman" w:cs="Times New Roman" w:eastAsia="Times New Roman" w:hint="default"/>
          <w:spacing w:val="-4"/>
        </w:rPr>
        <w:t>55.00</w:t>
      </w:r>
      <w:r>
        <w:rPr>
          <w:spacing w:val="-4"/>
        </w:rPr>
        <w:t>元，采用网下向询价对象询价配售和网上向社会公众投资者定价发行相结合的方式，经深</w:t>
      </w:r>
      <w:r>
        <w:rPr>
          <w:spacing w:val="5"/>
        </w:rPr>
        <w:t> </w:t>
      </w:r>
      <w:r>
        <w:rPr>
          <w:spacing w:val="5"/>
        </w:rPr>
      </w:r>
      <w:r>
        <w:rPr>
          <w:spacing w:val="-1"/>
        </w:rPr>
        <w:t>圳证券交易所深证上</w:t>
      </w:r>
      <w:r>
        <w:rPr>
          <w:rFonts w:ascii="Times New Roman" w:hAnsi="Times New Roman" w:cs="Times New Roman" w:eastAsia="Times New Roman" w:hint="default"/>
          <w:spacing w:val="-1"/>
        </w:rPr>
        <w:t>[2011]166</w:t>
      </w:r>
      <w:r>
        <w:rPr>
          <w:spacing w:val="-1"/>
        </w:rPr>
        <w:t>号文批准，公司发行的人民币普通股股票在深圳交易所上市，股票简称</w:t>
      </w:r>
      <w:r>
        <w:rPr>
          <w:rFonts w:ascii="Times New Roman" w:hAnsi="Times New Roman" w:cs="Times New Roman" w:eastAsia="Times New Roman" w:hint="default"/>
          <w:spacing w:val="-1"/>
        </w:rPr>
        <w:t>“</w:t>
      </w:r>
      <w:r>
        <w:rPr>
          <w:spacing w:val="-1"/>
        </w:rPr>
        <w:t>双</w:t>
      </w:r>
      <w:r>
        <w:rPr>
          <w:spacing w:val="-17"/>
        </w:rPr>
        <w:t> </w:t>
      </w:r>
      <w:r>
        <w:rPr/>
        <w:t>星新材</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“002585”</w:t>
      </w:r>
      <w:r>
        <w:rPr/>
        <w:t>。新股上市后公司股本情况变动如下：</w:t>
      </w:r>
    </w:p>
    <w:p>
      <w:pPr>
        <w:pStyle w:val="BodyText"/>
        <w:spacing w:line="240" w:lineRule="auto" w:before="161"/>
        <w:ind w:left="0" w:right="1998"/>
        <w:jc w:val="right"/>
      </w:pPr>
      <w:r>
        <w:rPr>
          <w:spacing w:val="-2"/>
        </w:rPr>
        <w:t>单位：万股</w:t>
      </w:r>
    </w:p>
    <w:p>
      <w:pPr>
        <w:spacing w:line="240" w:lineRule="auto" w:before="10"/>
        <w:rPr>
          <w:rFonts w:ascii="宋体" w:hAnsi="宋体" w:cs="宋体" w:eastAsia="宋体" w:hint="default"/>
          <w:sz w:val="3"/>
          <w:szCs w:val="3"/>
        </w:rPr>
      </w:pPr>
    </w:p>
    <w:tbl>
      <w:tblPr>
        <w:tblW w:w="0" w:type="auto"/>
        <w:jc w:val="left"/>
        <w:tblInd w:w="1004" w:type="dxa"/>
        <w:tblLayout w:type="fixed"/>
        <w:tblCellMar>
          <w:top w:w="0" w:type="dxa"/>
          <w:left w:w="0" w:type="dxa"/>
          <w:bottom w:w="0" w:type="dxa"/>
          <w:right w:w="0" w:type="dxa"/>
        </w:tblCellMar>
        <w:tblLook w:val="01E0"/>
      </w:tblPr>
      <w:tblGrid>
        <w:gridCol w:w="2640"/>
        <w:gridCol w:w="2640"/>
        <w:gridCol w:w="2638"/>
      </w:tblGrid>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占总股本比例</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吴培服</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9,000.00</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43.27%</w:t>
            </w:r>
          </w:p>
        </w:tc>
      </w:tr>
      <w:tr>
        <w:trPr>
          <w:trHeight w:val="65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 w:right="93"/>
              <w:jc w:val="left"/>
              <w:rPr>
                <w:rFonts w:ascii="宋体" w:hAnsi="宋体" w:cs="宋体" w:eastAsia="宋体" w:hint="default"/>
                <w:sz w:val="21"/>
                <w:szCs w:val="21"/>
              </w:rPr>
            </w:pPr>
            <w:r>
              <w:rPr>
                <w:rFonts w:ascii="宋体" w:hAnsi="宋体" w:cs="宋体" w:eastAsia="宋体" w:hint="default"/>
                <w:spacing w:val="-2"/>
                <w:sz w:val="21"/>
                <w:szCs w:val="21"/>
              </w:rPr>
              <w:t>宿迁市迪智成投资咨询有限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3,000.00</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14.42%</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宿迁市启恒投资有限公司</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3,000.00</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14.42%</w:t>
            </w:r>
          </w:p>
        </w:tc>
      </w:tr>
      <w:tr>
        <w:trPr>
          <w:trHeight w:val="65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天津雷石天一股权投资企业</w:t>
            </w:r>
          </w:p>
          <w:p>
            <w:pPr>
              <w:pStyle w:val="TableParagraph"/>
              <w:spacing w:line="240" w:lineRule="auto" w:before="37"/>
              <w:ind w:left="7"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600.00</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2.88%</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社会公众股</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5,200.00</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25.00%</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20,800.00</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b/>
          <w:bCs/>
        </w:rPr>
        <w:t>2</w:t>
      </w:r>
      <w:r>
        <w:rPr/>
        <w:t>、公司股份总数及股东结构的变动、公司资产和负债结构的变动情况说明</w:t>
      </w:r>
    </w:p>
    <w:p>
      <w:pPr>
        <w:spacing w:line="240" w:lineRule="auto" w:before="7"/>
        <w:rPr>
          <w:rFonts w:ascii="宋体" w:hAnsi="宋体" w:cs="宋体" w:eastAsia="宋体" w:hint="default"/>
          <w:sz w:val="24"/>
          <w:szCs w:val="24"/>
        </w:rPr>
      </w:pPr>
    </w:p>
    <w:p>
      <w:pPr>
        <w:pStyle w:val="BodyText"/>
        <w:spacing w:line="256" w:lineRule="auto"/>
        <w:ind w:right="303"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年度利润分配及资本公积金转增股本的预</w:t>
      </w:r>
      <w:r>
        <w:rPr>
          <w:w w:val="100"/>
        </w:rPr>
        <w:t> </w:t>
      </w:r>
      <w:r>
        <w:rPr>
          <w:spacing w:val="-3"/>
        </w:rPr>
        <w:t>案》，以</w:t>
      </w:r>
      <w:r>
        <w:rPr>
          <w:rFonts w:ascii="Times New Roman" w:hAnsi="Times New Roman" w:cs="Times New Roman" w:eastAsia="Times New Roman" w:hint="default"/>
          <w:spacing w:val="-3"/>
        </w:rPr>
        <w:t>2011</w:t>
      </w:r>
      <w:r>
        <w:rPr>
          <w:spacing w:val="-3"/>
        </w:rPr>
        <w:t>年末总股本</w:t>
      </w:r>
      <w:r>
        <w:rPr>
          <w:rFonts w:ascii="Times New Roman" w:hAnsi="Times New Roman" w:cs="Times New Roman" w:eastAsia="Times New Roman" w:hint="default"/>
          <w:spacing w:val="-3"/>
        </w:rPr>
        <w:t>208,000,000</w:t>
      </w:r>
      <w:r>
        <w:rPr>
          <w:spacing w:val="-3"/>
        </w:rPr>
        <w:t>股为基数，向在股权登记日登记在册的全体股东，按每</w:t>
      </w:r>
      <w:r>
        <w:rPr>
          <w:rFonts w:ascii="Times New Roman" w:hAnsi="Times New Roman" w:cs="Times New Roman" w:eastAsia="Times New Roman" w:hint="default"/>
          <w:spacing w:val="-3"/>
        </w:rPr>
        <w:t>10</w:t>
      </w:r>
      <w:r>
        <w:rPr>
          <w:spacing w:val="-3"/>
        </w:rPr>
        <w:t>股派发现金</w:t>
      </w:r>
      <w:r>
        <w:rPr>
          <w:spacing w:val="20"/>
        </w:rPr>
        <w:t> </w:t>
      </w:r>
      <w:r>
        <w:rPr>
          <w:spacing w:val="20"/>
        </w:rPr>
      </w:r>
      <w:r>
        <w:rPr>
          <w:spacing w:val="-4"/>
        </w:rPr>
        <w:t>股利</w:t>
      </w:r>
      <w:r>
        <w:rPr>
          <w:rFonts w:ascii="Times New Roman" w:hAnsi="Times New Roman" w:cs="Times New Roman" w:eastAsia="Times New Roman" w:hint="default"/>
          <w:spacing w:val="-4"/>
        </w:rPr>
        <w:t>10.00</w:t>
      </w:r>
      <w:r>
        <w:rPr>
          <w:spacing w:val="-4"/>
        </w:rPr>
        <w:t>元（含税），派发现金股利共计</w:t>
      </w:r>
      <w:r>
        <w:rPr>
          <w:rFonts w:ascii="Times New Roman" w:hAnsi="Times New Roman" w:cs="Times New Roman" w:eastAsia="Times New Roman" w:hint="default"/>
          <w:spacing w:val="-4"/>
        </w:rPr>
        <w:t>208,000,000</w:t>
      </w:r>
      <w:r>
        <w:rPr>
          <w:spacing w:val="-4"/>
        </w:rPr>
        <w:t>元，剩余未分配利润结转下一年度；公司以</w:t>
      </w:r>
      <w:r>
        <w:rPr>
          <w:rFonts w:ascii="Times New Roman" w:hAnsi="Times New Roman" w:cs="Times New Roman" w:eastAsia="Times New Roman" w:hint="default"/>
          <w:spacing w:val="-4"/>
        </w:rPr>
        <w:t>2011</w:t>
      </w:r>
      <w:r>
        <w:rPr>
          <w:spacing w:val="-4"/>
        </w:rPr>
        <w:t>年末</w:t>
      </w:r>
      <w:r>
        <w:rPr>
          <w:spacing w:val="27"/>
        </w:rPr>
        <w:t> </w:t>
      </w:r>
      <w:r>
        <w:rPr>
          <w:spacing w:val="27"/>
        </w:rPr>
      </w:r>
      <w:r>
        <w:rPr/>
        <w:t>总股本</w:t>
      </w:r>
      <w:r>
        <w:rPr>
          <w:rFonts w:ascii="Times New Roman" w:hAnsi="Times New Roman" w:cs="Times New Roman" w:eastAsia="Times New Roman" w:hint="default"/>
        </w:rPr>
        <w:t>208,000,000</w:t>
      </w:r>
      <w:r>
        <w:rPr/>
        <w:t>股为基数，向在股权登记日登记在册的全体股东以资本公积每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股，转增后</w:t>
      </w:r>
      <w:r>
        <w:rPr>
          <w:spacing w:val="-56"/>
        </w:rPr>
        <w:t> </w:t>
      </w:r>
      <w:r>
        <w:rPr>
          <w:spacing w:val="-56"/>
        </w:rPr>
      </w:r>
      <w:r>
        <w:rPr/>
        <w:t>总股本为</w:t>
      </w:r>
      <w:r>
        <w:rPr>
          <w:rFonts w:ascii="Times New Roman" w:hAnsi="Times New Roman" w:cs="Times New Roman" w:eastAsia="Times New Roman" w:hint="default"/>
        </w:rPr>
        <w:t>416,000,000</w:t>
      </w:r>
      <w:r>
        <w:rPr/>
        <w:t>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日公司完成了上述权益分派。</w:t>
      </w:r>
    </w:p>
    <w:p>
      <w:pPr>
        <w:spacing w:line="240" w:lineRule="auto" w:before="4"/>
        <w:rPr>
          <w:rFonts w:ascii="宋体" w:hAnsi="宋体" w:cs="宋体" w:eastAsia="宋体" w:hint="default"/>
          <w:sz w:val="23"/>
          <w:szCs w:val="23"/>
        </w:rPr>
      </w:pPr>
    </w:p>
    <w:p>
      <w:pPr>
        <w:pStyle w:val="BodyText"/>
        <w:spacing w:line="240" w:lineRule="auto"/>
        <w:ind w:right="0"/>
        <w:jc w:val="left"/>
      </w:pPr>
      <w:r>
        <w:rPr>
          <w:rFonts w:ascii="Times New Roman" w:hAnsi="Times New Roman" w:cs="Times New Roman" w:eastAsia="Times New Roman" w:hint="default"/>
          <w:b/>
          <w:bCs/>
        </w:rPr>
        <w:t>3</w:t>
      </w:r>
      <w:r>
        <w:rPr/>
        <w:t>、现存的内部职工股情况</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2518"/>
        <w:gridCol w:w="3847"/>
        <w:gridCol w:w="3192"/>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8"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8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pPr>
      <w:r>
        <w:rPr/>
        <w:t>三、股东和实际控制人情况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b/>
          <w:bCs/>
        </w:rPr>
        <w:t>1</w:t>
      </w:r>
      <w:r>
        <w:rPr/>
        <w:t>、公司股东数量及持股情况</w:t>
      </w:r>
    </w:p>
    <w:p>
      <w:pPr>
        <w:spacing w:line="240" w:lineRule="auto" w:before="10"/>
        <w:rPr>
          <w:rFonts w:ascii="宋体" w:hAnsi="宋体" w:cs="宋体" w:eastAsia="宋体" w:hint="default"/>
          <w:sz w:val="22"/>
          <w:szCs w:val="22"/>
        </w:rPr>
      </w:pPr>
    </w:p>
    <w:p>
      <w:pPr>
        <w:spacing w:before="44"/>
        <w:ind w:left="0" w:right="226" w:firstLine="0"/>
        <w:jc w:val="right"/>
        <w:rPr>
          <w:rFonts w:ascii="宋体" w:hAnsi="宋体" w:cs="宋体" w:eastAsia="宋体" w:hint="default"/>
          <w:sz w:val="18"/>
          <w:szCs w:val="18"/>
        </w:rPr>
      </w:pPr>
      <w:r>
        <w:rPr>
          <w:rFonts w:ascii="宋体" w:hAnsi="宋体" w:cs="宋体" w:eastAsia="宋体" w:hint="default"/>
          <w:spacing w:val="-1"/>
          <w:sz w:val="18"/>
          <w:szCs w:val="18"/>
        </w:rPr>
        <w:t>单位：股</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40"/>
        <w:gridCol w:w="1278"/>
        <w:gridCol w:w="162"/>
        <w:gridCol w:w="1222"/>
        <w:gridCol w:w="1015"/>
        <w:gridCol w:w="1003"/>
        <w:gridCol w:w="977"/>
        <w:gridCol w:w="818"/>
        <w:gridCol w:w="448"/>
        <w:gridCol w:w="632"/>
        <w:gridCol w:w="746"/>
      </w:tblGrid>
      <w:tr>
        <w:trPr>
          <w:trHeight w:val="406" w:hRule="exact"/>
        </w:trPr>
        <w:tc>
          <w:tcPr>
            <w:tcW w:w="27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4" w:type="dxa"/>
            <w:gridSpan w:val="2"/>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left="837" w:right="0"/>
              <w:jc w:val="left"/>
              <w:rPr>
                <w:rFonts w:ascii="Times New Roman" w:hAnsi="Times New Roman" w:cs="Times New Roman" w:eastAsia="Times New Roman" w:hint="default"/>
                <w:sz w:val="18"/>
                <w:szCs w:val="18"/>
              </w:rPr>
            </w:pPr>
            <w:r>
              <w:rPr>
                <w:rFonts w:ascii="Times New Roman"/>
                <w:sz w:val="18"/>
              </w:rPr>
              <w:t>16,780</w:t>
            </w:r>
          </w:p>
        </w:tc>
        <w:tc>
          <w:tcPr>
            <w:tcW w:w="426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个交易日末股东总数</w:t>
            </w:r>
          </w:p>
        </w:tc>
        <w:tc>
          <w:tcPr>
            <w:tcW w:w="1379"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17,401</w:t>
            </w:r>
          </w:p>
        </w:tc>
      </w:tr>
      <w:tr>
        <w:trPr>
          <w:trHeight w:val="394" w:hRule="exact"/>
        </w:trPr>
        <w:tc>
          <w:tcPr>
            <w:tcW w:w="97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0" w:hRule="exact"/>
        </w:trPr>
        <w:tc>
          <w:tcPr>
            <w:tcW w:w="1440" w:type="dxa"/>
            <w:vMerge w:val="restart"/>
            <w:tcBorders>
              <w:top w:val="single" w:sz="4" w:space="0" w:color="000000"/>
              <w:left w:val="single" w:sz="4" w:space="0" w:color="000000"/>
              <w:right w:val="single" w:sz="4" w:space="0" w:color="000000"/>
            </w:tcBorders>
            <w:shd w:val="clear" w:color="auto" w:fill="D3D3D3"/>
          </w:tcPr>
          <w:p>
            <w:pPr/>
          </w:p>
        </w:tc>
        <w:tc>
          <w:tcPr>
            <w:tcW w:w="1440" w:type="dxa"/>
            <w:gridSpan w:val="2"/>
            <w:vMerge w:val="restart"/>
            <w:tcBorders>
              <w:top w:val="single" w:sz="4" w:space="0" w:color="000000"/>
              <w:left w:val="single" w:sz="4" w:space="0" w:color="000000"/>
              <w:right w:val="single" w:sz="4" w:space="0" w:color="000000"/>
            </w:tcBorders>
            <w:shd w:val="clear" w:color="auto" w:fill="D3D3D3"/>
          </w:tcPr>
          <w:p>
            <w:pPr/>
          </w:p>
        </w:tc>
        <w:tc>
          <w:tcPr>
            <w:tcW w:w="1222" w:type="dxa"/>
            <w:vMerge w:val="restart"/>
            <w:tcBorders>
              <w:top w:val="single" w:sz="4" w:space="0" w:color="000000"/>
              <w:left w:val="single" w:sz="4" w:space="0" w:color="000000"/>
              <w:right w:val="single" w:sz="4" w:space="0" w:color="000000"/>
            </w:tcBorders>
            <w:shd w:val="clear" w:color="auto" w:fill="D3D3D3"/>
          </w:tcPr>
          <w:p>
            <w:pPr/>
          </w:p>
        </w:tc>
        <w:tc>
          <w:tcPr>
            <w:tcW w:w="10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3" w:type="dxa"/>
            <w:tcBorders>
              <w:top w:val="single" w:sz="4" w:space="0" w:color="000000"/>
              <w:left w:val="single" w:sz="4" w:space="0" w:color="000000"/>
              <w:bottom w:val="nil" w:sz="6" w:space="0" w:color="auto"/>
              <w:right w:val="single" w:sz="4" w:space="0" w:color="000000"/>
            </w:tcBorders>
            <w:shd w:val="clear" w:color="auto" w:fill="D3D3D3"/>
          </w:tcPr>
          <w:p>
            <w:pPr/>
          </w:p>
        </w:tc>
        <w:tc>
          <w:tcPr>
            <w:tcW w:w="9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33" w:right="31"/>
              <w:jc w:val="center"/>
              <w:rPr>
                <w:rFonts w:ascii="宋体" w:hAnsi="宋体" w:cs="宋体" w:eastAsia="宋体" w:hint="default"/>
                <w:sz w:val="18"/>
                <w:szCs w:val="18"/>
              </w:rPr>
            </w:pPr>
            <w:r>
              <w:rPr>
                <w:rFonts w:ascii="宋体" w:hAnsi="宋体" w:cs="宋体" w:eastAsia="宋体" w:hint="default"/>
                <w:sz w:val="18"/>
                <w:szCs w:val="18"/>
              </w:rPr>
              <w:t>持有有限售</w:t>
            </w:r>
            <w:r>
              <w:rPr>
                <w:rFonts w:ascii="宋体" w:hAnsi="宋体" w:cs="宋体" w:eastAsia="宋体" w:hint="default"/>
                <w:w w:val="100"/>
                <w:sz w:val="18"/>
                <w:szCs w:val="18"/>
              </w:rPr>
              <w:t> </w:t>
            </w:r>
            <w:r>
              <w:rPr>
                <w:rFonts w:ascii="宋体" w:hAnsi="宋体" w:cs="宋体" w:eastAsia="宋体" w:hint="default"/>
                <w:sz w:val="18"/>
                <w:szCs w:val="18"/>
              </w:rPr>
              <w:t>条件的股份</w:t>
            </w:r>
            <w:r>
              <w:rPr>
                <w:rFonts w:ascii="宋体" w:hAnsi="宋体" w:cs="宋体" w:eastAsia="宋体" w:hint="default"/>
                <w:w w:val="100"/>
                <w:sz w:val="18"/>
                <w:szCs w:val="18"/>
              </w:rPr>
              <w:t> </w:t>
            </w:r>
            <w:r>
              <w:rPr>
                <w:rFonts w:ascii="宋体" w:hAnsi="宋体" w:cs="宋体" w:eastAsia="宋体" w:hint="default"/>
                <w:sz w:val="18"/>
                <w:szCs w:val="18"/>
              </w:rPr>
              <w:t>数量</w:t>
            </w:r>
          </w:p>
        </w:tc>
        <w:tc>
          <w:tcPr>
            <w:tcW w:w="81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43" w:right="43"/>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w w:val="100"/>
                <w:sz w:val="18"/>
                <w:szCs w:val="18"/>
              </w:rPr>
              <w:t> </w:t>
            </w:r>
            <w:r>
              <w:rPr>
                <w:rFonts w:ascii="宋体" w:hAnsi="宋体" w:cs="宋体" w:eastAsia="宋体" w:hint="default"/>
                <w:sz w:val="18"/>
                <w:szCs w:val="18"/>
              </w:rPr>
              <w:t>售条件的</w:t>
            </w:r>
            <w:r>
              <w:rPr>
                <w:rFonts w:ascii="宋体" w:hAnsi="宋体" w:cs="宋体" w:eastAsia="宋体" w:hint="default"/>
                <w:w w:val="100"/>
                <w:sz w:val="18"/>
                <w:szCs w:val="18"/>
              </w:rPr>
              <w:t> </w:t>
            </w:r>
            <w:r>
              <w:rPr>
                <w:rFonts w:ascii="宋体" w:hAnsi="宋体" w:cs="宋体" w:eastAsia="宋体" w:hint="default"/>
                <w:sz w:val="18"/>
                <w:szCs w:val="18"/>
              </w:rPr>
              <w:t>股份数量</w:t>
            </w:r>
          </w:p>
        </w:tc>
        <w:tc>
          <w:tcPr>
            <w:tcW w:w="182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40" w:type="dxa"/>
            <w:vMerge/>
            <w:tcBorders>
              <w:left w:val="single" w:sz="4" w:space="0" w:color="000000"/>
              <w:bottom w:val="nil" w:sz="6" w:space="0" w:color="auto"/>
              <w:right w:val="single" w:sz="4" w:space="0" w:color="000000"/>
            </w:tcBorders>
            <w:shd w:val="clear" w:color="auto" w:fill="D3D3D3"/>
          </w:tcPr>
          <w:p>
            <w:pPr/>
          </w:p>
        </w:tc>
        <w:tc>
          <w:tcPr>
            <w:tcW w:w="1440" w:type="dxa"/>
            <w:gridSpan w:val="2"/>
            <w:vMerge/>
            <w:tcBorders>
              <w:left w:val="single" w:sz="4" w:space="0" w:color="000000"/>
              <w:bottom w:val="nil" w:sz="6" w:space="0" w:color="auto"/>
              <w:right w:val="single" w:sz="4" w:space="0" w:color="000000"/>
            </w:tcBorders>
            <w:shd w:val="clear" w:color="auto" w:fill="D3D3D3"/>
          </w:tcPr>
          <w:p>
            <w:pPr/>
          </w:p>
        </w:tc>
        <w:tc>
          <w:tcPr>
            <w:tcW w:w="1222" w:type="dxa"/>
            <w:vMerge/>
            <w:tcBorders>
              <w:left w:val="single" w:sz="4" w:space="0" w:color="000000"/>
              <w:bottom w:val="nil" w:sz="6" w:space="0" w:color="auto"/>
              <w:right w:val="single" w:sz="4" w:space="0" w:color="000000"/>
            </w:tcBorders>
            <w:shd w:val="clear" w:color="auto" w:fill="D3D3D3"/>
          </w:tcPr>
          <w:p>
            <w:pPr/>
          </w:p>
        </w:tc>
        <w:tc>
          <w:tcPr>
            <w:tcW w:w="1015"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49"/>
              <w:ind w:right="7"/>
              <w:jc w:val="center"/>
              <w:rPr>
                <w:rFonts w:ascii="宋体" w:hAnsi="宋体" w:cs="宋体" w:eastAsia="宋体" w:hint="default"/>
                <w:sz w:val="18"/>
                <w:szCs w:val="18"/>
              </w:rPr>
            </w:pPr>
            <w:r>
              <w:rPr>
                <w:rFonts w:ascii="宋体" w:hAnsi="宋体" w:cs="宋体" w:eastAsia="宋体" w:hint="default"/>
                <w:sz w:val="18"/>
                <w:szCs w:val="18"/>
              </w:rPr>
              <w:t>报告期末持</w:t>
            </w:r>
          </w:p>
          <w:p>
            <w:pPr>
              <w:pStyle w:val="TableParagraph"/>
              <w:spacing w:line="155" w:lineRule="exact"/>
              <w:ind w:left="-150" w:right="0"/>
              <w:jc w:val="left"/>
              <w:rPr>
                <w:rFonts w:ascii="宋体" w:hAnsi="宋体" w:cs="宋体" w:eastAsia="宋体" w:hint="default"/>
                <w:sz w:val="18"/>
                <w:szCs w:val="18"/>
              </w:rPr>
            </w:pPr>
            <w:r>
              <w:rPr>
                <w:rFonts w:ascii="宋体" w:hAnsi="宋体" w:cs="宋体" w:eastAsia="宋体" w:hint="default"/>
                <w:w w:val="100"/>
                <w:sz w:val="18"/>
                <w:szCs w:val="18"/>
              </w:rPr>
              <w:t>）</w:t>
            </w:r>
          </w:p>
          <w:p>
            <w:pPr>
              <w:pStyle w:val="TableParagraph"/>
              <w:spacing w:line="195" w:lineRule="exact"/>
              <w:ind w:right="7"/>
              <w:jc w:val="center"/>
              <w:rPr>
                <w:rFonts w:ascii="宋体" w:hAnsi="宋体" w:cs="宋体" w:eastAsia="宋体" w:hint="default"/>
                <w:sz w:val="18"/>
                <w:szCs w:val="18"/>
              </w:rPr>
            </w:pPr>
            <w:r>
              <w:rPr>
                <w:rFonts w:ascii="宋体" w:hAnsi="宋体" w:cs="宋体" w:eastAsia="宋体" w:hint="default"/>
                <w:sz w:val="18"/>
                <w:szCs w:val="18"/>
              </w:rPr>
              <w:t>股数量</w:t>
            </w:r>
          </w:p>
        </w:tc>
        <w:tc>
          <w:tcPr>
            <w:tcW w:w="1003"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9"/>
              <w:ind w:left="45" w:right="45"/>
              <w:jc w:val="left"/>
              <w:rPr>
                <w:rFonts w:ascii="宋体" w:hAnsi="宋体" w:cs="宋体" w:eastAsia="宋体" w:hint="default"/>
                <w:sz w:val="18"/>
                <w:szCs w:val="18"/>
              </w:rPr>
            </w:pPr>
            <w:r>
              <w:rPr>
                <w:rFonts w:ascii="宋体" w:hAnsi="宋体" w:cs="宋体" w:eastAsia="宋体" w:hint="default"/>
                <w:sz w:val="18"/>
                <w:szCs w:val="18"/>
              </w:rPr>
              <w:t>报告期内增</w:t>
            </w:r>
            <w:r>
              <w:rPr>
                <w:rFonts w:ascii="宋体" w:hAnsi="宋体" w:cs="宋体" w:eastAsia="宋体" w:hint="default"/>
                <w:w w:val="100"/>
                <w:sz w:val="18"/>
                <w:szCs w:val="18"/>
              </w:rPr>
              <w:t> </w:t>
            </w:r>
            <w:r>
              <w:rPr>
                <w:rFonts w:ascii="宋体" w:hAnsi="宋体" w:cs="宋体" w:eastAsia="宋体" w:hint="default"/>
                <w:sz w:val="18"/>
                <w:szCs w:val="18"/>
              </w:rPr>
              <w:t>减变动情况</w:t>
            </w:r>
          </w:p>
        </w:tc>
        <w:tc>
          <w:tcPr>
            <w:tcW w:w="977" w:type="dxa"/>
            <w:vMerge/>
            <w:tcBorders>
              <w:left w:val="single" w:sz="4" w:space="0" w:color="000000"/>
              <w:right w:val="single" w:sz="4" w:space="0" w:color="000000"/>
            </w:tcBorders>
            <w:shd w:val="clear" w:color="auto" w:fill="D3D3D3"/>
          </w:tcPr>
          <w:p>
            <w:pPr/>
          </w:p>
        </w:tc>
        <w:tc>
          <w:tcPr>
            <w:tcW w:w="818" w:type="dxa"/>
            <w:vMerge/>
            <w:tcBorders>
              <w:left w:val="single" w:sz="4" w:space="0" w:color="000000"/>
              <w:right w:val="single" w:sz="4" w:space="0" w:color="000000"/>
            </w:tcBorders>
            <w:shd w:val="clear" w:color="auto" w:fill="D3D3D3"/>
          </w:tcPr>
          <w:p>
            <w:pPr/>
          </w:p>
        </w:tc>
        <w:tc>
          <w:tcPr>
            <w:tcW w:w="1826" w:type="dxa"/>
            <w:gridSpan w:val="3"/>
            <w:vMerge/>
            <w:tcBorders>
              <w:left w:val="single" w:sz="4" w:space="0" w:color="000000"/>
              <w:right w:val="single" w:sz="4" w:space="0" w:color="000000"/>
            </w:tcBorders>
            <w:shd w:val="clear" w:color="auto" w:fill="D3D3D3"/>
          </w:tcPr>
          <w:p>
            <w:pPr/>
          </w:p>
        </w:tc>
      </w:tr>
      <w:tr>
        <w:trPr>
          <w:trHeight w:val="144" w:hRule="exact"/>
        </w:trPr>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15" w:type="dxa"/>
            <w:vMerge/>
            <w:tcBorders>
              <w:left w:val="single" w:sz="4" w:space="0" w:color="000000"/>
              <w:right w:val="single" w:sz="4" w:space="0" w:color="000000"/>
            </w:tcBorders>
            <w:shd w:val="clear" w:color="auto" w:fill="D3D3D3"/>
          </w:tcPr>
          <w:p>
            <w:pPr/>
          </w:p>
        </w:tc>
        <w:tc>
          <w:tcPr>
            <w:tcW w:w="1003" w:type="dxa"/>
            <w:vMerge/>
            <w:tcBorders>
              <w:left w:val="single" w:sz="4" w:space="0" w:color="000000"/>
              <w:right w:val="single" w:sz="4" w:space="0" w:color="000000"/>
            </w:tcBorders>
            <w:shd w:val="clear" w:color="auto" w:fill="D3D3D3"/>
          </w:tcPr>
          <w:p>
            <w:pPr/>
          </w:p>
        </w:tc>
        <w:tc>
          <w:tcPr>
            <w:tcW w:w="977" w:type="dxa"/>
            <w:vMerge/>
            <w:tcBorders>
              <w:left w:val="single" w:sz="4" w:space="0" w:color="000000"/>
              <w:right w:val="single" w:sz="4" w:space="0" w:color="000000"/>
            </w:tcBorders>
            <w:shd w:val="clear" w:color="auto" w:fill="D3D3D3"/>
          </w:tcPr>
          <w:p>
            <w:pPr/>
          </w:p>
        </w:tc>
        <w:tc>
          <w:tcPr>
            <w:tcW w:w="818" w:type="dxa"/>
            <w:vMerge/>
            <w:tcBorders>
              <w:left w:val="single" w:sz="4" w:space="0" w:color="000000"/>
              <w:right w:val="single" w:sz="4" w:space="0" w:color="000000"/>
            </w:tcBorders>
            <w:shd w:val="clear" w:color="auto" w:fill="D3D3D3"/>
          </w:tcPr>
          <w:p>
            <w:pPr/>
          </w:p>
        </w:tc>
        <w:tc>
          <w:tcPr>
            <w:tcW w:w="1826" w:type="dxa"/>
            <w:gridSpan w:val="3"/>
            <w:vMerge/>
            <w:tcBorders>
              <w:left w:val="single" w:sz="4" w:space="0" w:color="000000"/>
              <w:bottom w:val="single" w:sz="4" w:space="0" w:color="000000"/>
              <w:right w:val="single" w:sz="4" w:space="0" w:color="000000"/>
            </w:tcBorders>
            <w:shd w:val="clear" w:color="auto" w:fill="D3D3D3"/>
          </w:tcPr>
          <w:p>
            <w:pPr/>
          </w:p>
        </w:tc>
      </w:tr>
      <w:tr>
        <w:trPr>
          <w:trHeight w:val="248" w:hRule="exact"/>
        </w:trPr>
        <w:tc>
          <w:tcPr>
            <w:tcW w:w="1440" w:type="dxa"/>
            <w:vMerge/>
            <w:tcBorders>
              <w:left w:val="single" w:sz="4" w:space="0" w:color="000000"/>
              <w:bottom w:val="nil" w:sz="6" w:space="0" w:color="auto"/>
              <w:right w:val="single" w:sz="4" w:space="0" w:color="000000"/>
            </w:tcBorders>
            <w:shd w:val="clear" w:color="auto" w:fill="D3D3D3"/>
          </w:tcPr>
          <w:p>
            <w:pPr/>
          </w:p>
        </w:tc>
        <w:tc>
          <w:tcPr>
            <w:tcW w:w="1440" w:type="dxa"/>
            <w:gridSpan w:val="2"/>
            <w:vMerge/>
            <w:tcBorders>
              <w:left w:val="single" w:sz="4" w:space="0" w:color="000000"/>
              <w:bottom w:val="nil" w:sz="6" w:space="0" w:color="auto"/>
              <w:right w:val="single" w:sz="4" w:space="0" w:color="000000"/>
            </w:tcBorders>
            <w:shd w:val="clear" w:color="auto" w:fill="D3D3D3"/>
          </w:tcPr>
          <w:p>
            <w:pPr/>
          </w:p>
        </w:tc>
        <w:tc>
          <w:tcPr>
            <w:tcW w:w="1222" w:type="dxa"/>
            <w:vMerge/>
            <w:tcBorders>
              <w:left w:val="single" w:sz="4" w:space="0" w:color="000000"/>
              <w:bottom w:val="nil" w:sz="6" w:space="0" w:color="auto"/>
              <w:right w:val="single" w:sz="4" w:space="0" w:color="000000"/>
            </w:tcBorders>
            <w:shd w:val="clear" w:color="auto" w:fill="D3D3D3"/>
          </w:tcPr>
          <w:p>
            <w:pPr/>
          </w:p>
        </w:tc>
        <w:tc>
          <w:tcPr>
            <w:tcW w:w="1015" w:type="dxa"/>
            <w:vMerge/>
            <w:tcBorders>
              <w:left w:val="single" w:sz="4" w:space="0" w:color="000000"/>
              <w:right w:val="single" w:sz="4" w:space="0" w:color="000000"/>
            </w:tcBorders>
            <w:shd w:val="clear" w:color="auto" w:fill="D3D3D3"/>
          </w:tcPr>
          <w:p>
            <w:pPr/>
          </w:p>
        </w:tc>
        <w:tc>
          <w:tcPr>
            <w:tcW w:w="1003" w:type="dxa"/>
            <w:vMerge/>
            <w:tcBorders>
              <w:left w:val="single" w:sz="4" w:space="0" w:color="000000"/>
              <w:right w:val="single" w:sz="4" w:space="0" w:color="000000"/>
            </w:tcBorders>
            <w:shd w:val="clear" w:color="auto" w:fill="D3D3D3"/>
          </w:tcPr>
          <w:p>
            <w:pPr/>
          </w:p>
        </w:tc>
        <w:tc>
          <w:tcPr>
            <w:tcW w:w="977" w:type="dxa"/>
            <w:vMerge/>
            <w:tcBorders>
              <w:left w:val="single" w:sz="4" w:space="0" w:color="000000"/>
              <w:right w:val="single" w:sz="4" w:space="0" w:color="000000"/>
            </w:tcBorders>
            <w:shd w:val="clear" w:color="auto" w:fill="D3D3D3"/>
          </w:tcPr>
          <w:p>
            <w:pPr/>
          </w:p>
        </w:tc>
        <w:tc>
          <w:tcPr>
            <w:tcW w:w="818" w:type="dxa"/>
            <w:vMerge/>
            <w:tcBorders>
              <w:left w:val="single" w:sz="4" w:space="0" w:color="000000"/>
              <w:right w:val="single" w:sz="4" w:space="0" w:color="000000"/>
            </w:tcBorders>
            <w:shd w:val="clear" w:color="auto" w:fill="D3D3D3"/>
          </w:tcPr>
          <w:p>
            <w:pPr/>
          </w:p>
        </w:tc>
        <w:tc>
          <w:tcPr>
            <w:tcW w:w="10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4"/>
              <w:ind w:left="17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4"/>
              <w:ind w:left="18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40" w:type="dxa"/>
            <w:vMerge w:val="restart"/>
            <w:tcBorders>
              <w:top w:val="nil" w:sz="6" w:space="0" w:color="auto"/>
              <w:left w:val="single" w:sz="4" w:space="0" w:color="000000"/>
              <w:right w:val="single" w:sz="4" w:space="0" w:color="000000"/>
            </w:tcBorders>
            <w:shd w:val="clear" w:color="auto" w:fill="D3D3D3"/>
          </w:tcPr>
          <w:p>
            <w:pPr/>
          </w:p>
        </w:tc>
        <w:tc>
          <w:tcPr>
            <w:tcW w:w="1440" w:type="dxa"/>
            <w:gridSpan w:val="2"/>
            <w:vMerge w:val="restart"/>
            <w:tcBorders>
              <w:top w:val="nil" w:sz="6" w:space="0" w:color="auto"/>
              <w:left w:val="single" w:sz="4" w:space="0" w:color="000000"/>
              <w:right w:val="single" w:sz="4" w:space="0" w:color="000000"/>
            </w:tcBorders>
            <w:shd w:val="clear" w:color="auto" w:fill="D3D3D3"/>
          </w:tcPr>
          <w:p>
            <w:pPr/>
          </w:p>
        </w:tc>
        <w:tc>
          <w:tcPr>
            <w:tcW w:w="1222" w:type="dxa"/>
            <w:vMerge w:val="restart"/>
            <w:tcBorders>
              <w:top w:val="nil" w:sz="6" w:space="0" w:color="auto"/>
              <w:left w:val="single" w:sz="4" w:space="0" w:color="000000"/>
              <w:right w:val="single" w:sz="4" w:space="0" w:color="000000"/>
            </w:tcBorders>
            <w:shd w:val="clear" w:color="auto" w:fill="D3D3D3"/>
          </w:tcPr>
          <w:p>
            <w:pPr/>
          </w:p>
        </w:tc>
        <w:tc>
          <w:tcPr>
            <w:tcW w:w="1015" w:type="dxa"/>
            <w:vMerge/>
            <w:tcBorders>
              <w:left w:val="single" w:sz="4" w:space="0" w:color="000000"/>
              <w:bottom w:val="nil" w:sz="6" w:space="0" w:color="auto"/>
              <w:right w:val="single" w:sz="4" w:space="0" w:color="000000"/>
            </w:tcBorders>
            <w:shd w:val="clear" w:color="auto" w:fill="D3D3D3"/>
          </w:tcPr>
          <w:p>
            <w:pPr/>
          </w:p>
        </w:tc>
        <w:tc>
          <w:tcPr>
            <w:tcW w:w="1003" w:type="dxa"/>
            <w:vMerge/>
            <w:tcBorders>
              <w:left w:val="single" w:sz="4" w:space="0" w:color="000000"/>
              <w:bottom w:val="nil" w:sz="6" w:space="0" w:color="auto"/>
              <w:right w:val="single" w:sz="4" w:space="0" w:color="000000"/>
            </w:tcBorders>
            <w:shd w:val="clear" w:color="auto" w:fill="D3D3D3"/>
          </w:tcPr>
          <w:p>
            <w:pPr/>
          </w:p>
        </w:tc>
        <w:tc>
          <w:tcPr>
            <w:tcW w:w="977" w:type="dxa"/>
            <w:vMerge/>
            <w:tcBorders>
              <w:left w:val="single" w:sz="4" w:space="0" w:color="000000"/>
              <w:right w:val="single" w:sz="4" w:space="0" w:color="000000"/>
            </w:tcBorders>
            <w:shd w:val="clear" w:color="auto" w:fill="D3D3D3"/>
          </w:tcPr>
          <w:p>
            <w:pPr/>
          </w:p>
        </w:tc>
        <w:tc>
          <w:tcPr>
            <w:tcW w:w="818"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746" w:type="dxa"/>
            <w:vMerge/>
            <w:tcBorders>
              <w:left w:val="single" w:sz="4" w:space="0" w:color="000000"/>
              <w:right w:val="single" w:sz="4" w:space="0" w:color="000000"/>
            </w:tcBorders>
            <w:shd w:val="clear" w:color="auto" w:fill="D3D3D3"/>
          </w:tcPr>
          <w:p>
            <w:pPr/>
          </w:p>
        </w:tc>
      </w:tr>
      <w:tr>
        <w:trPr>
          <w:trHeight w:val="166"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1440" w:type="dxa"/>
            <w:gridSpan w:val="2"/>
            <w:vMerge/>
            <w:tcBorders>
              <w:left w:val="single" w:sz="4" w:space="0" w:color="000000"/>
              <w:bottom w:val="single" w:sz="4" w:space="0" w:color="000000"/>
              <w:right w:val="single" w:sz="4" w:space="0" w:color="000000"/>
            </w:tcBorders>
            <w:shd w:val="clear" w:color="auto" w:fill="D3D3D3"/>
          </w:tcPr>
          <w:p>
            <w:pPr/>
          </w:p>
        </w:tc>
        <w:tc>
          <w:tcPr>
            <w:tcW w:w="1222" w:type="dxa"/>
            <w:vMerge/>
            <w:tcBorders>
              <w:left w:val="single" w:sz="4" w:space="0" w:color="000000"/>
              <w:bottom w:val="single" w:sz="4" w:space="0" w:color="000000"/>
              <w:right w:val="single" w:sz="4" w:space="0" w:color="000000"/>
            </w:tcBorders>
            <w:shd w:val="clear" w:color="auto" w:fill="D3D3D3"/>
          </w:tcPr>
          <w:p>
            <w:pPr/>
          </w:p>
        </w:tc>
        <w:tc>
          <w:tcPr>
            <w:tcW w:w="10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3" w:type="dxa"/>
            <w:tcBorders>
              <w:top w:val="nil" w:sz="6" w:space="0" w:color="auto"/>
              <w:left w:val="single" w:sz="4" w:space="0" w:color="000000"/>
              <w:bottom w:val="single" w:sz="4" w:space="0" w:color="000000"/>
              <w:right w:val="single" w:sz="4" w:space="0" w:color="000000"/>
            </w:tcBorders>
            <w:shd w:val="clear" w:color="auto" w:fill="D3D3D3"/>
          </w:tcPr>
          <w:p>
            <w:pPr/>
          </w:p>
        </w:tc>
        <w:tc>
          <w:tcPr>
            <w:tcW w:w="977" w:type="dxa"/>
            <w:vMerge/>
            <w:tcBorders>
              <w:left w:val="single" w:sz="4" w:space="0" w:color="000000"/>
              <w:bottom w:val="single" w:sz="4" w:space="0" w:color="000000"/>
              <w:right w:val="single" w:sz="4" w:space="0" w:color="000000"/>
            </w:tcBorders>
            <w:shd w:val="clear" w:color="auto" w:fill="D3D3D3"/>
          </w:tcPr>
          <w:p>
            <w:pPr/>
          </w:p>
        </w:tc>
        <w:tc>
          <w:tcPr>
            <w:tcW w:w="818" w:type="dxa"/>
            <w:vMerge/>
            <w:tcBorders>
              <w:left w:val="single" w:sz="4" w:space="0" w:color="000000"/>
              <w:bottom w:val="single" w:sz="4" w:space="0" w:color="000000"/>
              <w:right w:val="single" w:sz="4" w:space="0" w:color="000000"/>
            </w:tcBorders>
            <w:shd w:val="clear" w:color="auto" w:fill="D3D3D3"/>
          </w:tcPr>
          <w:p>
            <w:pPr/>
          </w:p>
        </w:tc>
        <w:tc>
          <w:tcPr>
            <w:tcW w:w="1080" w:type="dxa"/>
            <w:gridSpan w:val="2"/>
            <w:vMerge/>
            <w:tcBorders>
              <w:left w:val="single" w:sz="4" w:space="0" w:color="000000"/>
              <w:bottom w:val="single" w:sz="4" w:space="0" w:color="000000"/>
              <w:right w:val="single" w:sz="4" w:space="0" w:color="000000"/>
            </w:tcBorders>
            <w:shd w:val="clear" w:color="auto" w:fill="D3D3D3"/>
          </w:tcPr>
          <w:p>
            <w:pPr/>
          </w:p>
        </w:tc>
        <w:tc>
          <w:tcPr>
            <w:tcW w:w="74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43.27%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90,000,000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8" w:space="0" w:color="D3D3D3"/>
              <w:left w:val="single" w:sz="4" w:space="0" w:color="000000"/>
              <w:bottom w:val="single" w:sz="4" w:space="0" w:color="000000"/>
              <w:right w:val="single" w:sz="4" w:space="0" w:color="000000"/>
            </w:tcBorders>
          </w:tcPr>
          <w:p>
            <w:pPr/>
          </w:p>
        </w:tc>
        <w:tc>
          <w:tcPr>
            <w:tcW w:w="746" w:type="dxa"/>
            <w:tcBorders>
              <w:top w:val="single" w:sz="48" w:space="0" w:color="D3D3D3"/>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宿迁市迪智成投</w:t>
            </w:r>
            <w:r>
              <w:rPr>
                <w:rFonts w:ascii="宋体" w:hAnsi="宋体" w:cs="宋体" w:eastAsia="宋体" w:hint="default"/>
                <w:w w:val="100"/>
                <w:sz w:val="18"/>
                <w:szCs w:val="18"/>
              </w:rPr>
              <w:t> </w:t>
            </w:r>
            <w:r>
              <w:rPr>
                <w:rFonts w:ascii="宋体" w:hAnsi="宋体" w:cs="宋体" w:eastAsia="宋体" w:hint="default"/>
                <w:sz w:val="18"/>
                <w:szCs w:val="18"/>
              </w:rPr>
              <w:t>资咨询有限公司</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14.42%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宿迁市启恒投资</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14.42%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天津雷石天一股</w:t>
            </w:r>
            <w:r>
              <w:rPr>
                <w:rFonts w:ascii="宋体" w:hAnsi="宋体" w:cs="宋体" w:eastAsia="宋体" w:hint="default"/>
                <w:w w:val="100"/>
                <w:sz w:val="18"/>
                <w:szCs w:val="18"/>
              </w:rPr>
              <w:t> </w:t>
            </w:r>
            <w:r>
              <w:rPr>
                <w:rFonts w:ascii="宋体" w:hAnsi="宋体" w:cs="宋体" w:eastAsia="宋体" w:hint="default"/>
                <w:spacing w:val="-8"/>
                <w:sz w:val="18"/>
                <w:szCs w:val="18"/>
              </w:rPr>
              <w:t>权投资企业（有限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新华人寿保险股</w:t>
            </w:r>
            <w:r>
              <w:rPr>
                <w:rFonts w:ascii="宋体" w:hAnsi="宋体" w:cs="宋体" w:eastAsia="宋体" w:hint="default"/>
                <w:w w:val="100"/>
                <w:sz w:val="18"/>
                <w:szCs w:val="18"/>
              </w:rPr>
              <w:t> </w:t>
            </w:r>
            <w:r>
              <w:rPr>
                <w:rFonts w:ascii="宋体" w:hAnsi="宋体" w:cs="宋体" w:eastAsia="宋体" w:hint="default"/>
                <w:sz w:val="18"/>
                <w:szCs w:val="18"/>
              </w:rPr>
              <w:t>份有限公司－万</w:t>
            </w:r>
            <w:r>
              <w:rPr>
                <w:rFonts w:ascii="宋体" w:hAnsi="宋体" w:cs="宋体" w:eastAsia="宋体" w:hint="default"/>
                <w:w w:val="100"/>
                <w:sz w:val="18"/>
                <w:szCs w:val="18"/>
              </w:rPr>
              <w:t> </w:t>
            </w:r>
            <w:r>
              <w:rPr>
                <w:rFonts w:ascii="宋体" w:hAnsi="宋体" w:cs="宋体" w:eastAsia="宋体" w:hint="default"/>
                <w:sz w:val="18"/>
                <w:szCs w:val="18"/>
              </w:rPr>
              <w:t>能－得意理财</w:t>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-018L-WN001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深</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4,187,579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1,487,579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4,187,579</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新华人寿保险股</w:t>
            </w:r>
            <w:r>
              <w:rPr>
                <w:rFonts w:ascii="宋体" w:hAnsi="宋体" w:cs="宋体" w:eastAsia="宋体" w:hint="default"/>
                <w:w w:val="100"/>
                <w:sz w:val="18"/>
                <w:szCs w:val="18"/>
              </w:rPr>
              <w:t> </w:t>
            </w:r>
            <w:r>
              <w:rPr>
                <w:rFonts w:ascii="宋体" w:hAnsi="宋体" w:cs="宋体" w:eastAsia="宋体" w:hint="default"/>
                <w:sz w:val="18"/>
                <w:szCs w:val="18"/>
              </w:rPr>
              <w:t>份有限公司－传</w:t>
            </w:r>
            <w:r>
              <w:rPr>
                <w:rFonts w:ascii="宋体" w:hAnsi="宋体" w:cs="宋体" w:eastAsia="宋体" w:hint="default"/>
                <w:w w:val="100"/>
                <w:sz w:val="18"/>
                <w:szCs w:val="18"/>
              </w:rPr>
              <w:t> </w:t>
            </w:r>
            <w:r>
              <w:rPr>
                <w:rFonts w:ascii="宋体" w:hAnsi="宋体" w:cs="宋体" w:eastAsia="宋体" w:hint="default"/>
                <w:sz w:val="18"/>
                <w:szCs w:val="18"/>
              </w:rPr>
              <w:t>统－普通保险产</w:t>
            </w:r>
            <w:r>
              <w:rPr>
                <w:rFonts w:ascii="宋体" w:hAnsi="宋体" w:cs="宋体" w:eastAsia="宋体" w:hint="default"/>
                <w:w w:val="100"/>
                <w:sz w:val="18"/>
                <w:szCs w:val="18"/>
              </w:rPr>
              <w:t> </w:t>
            </w:r>
            <w:r>
              <w:rPr>
                <w:rFonts w:ascii="宋体" w:hAnsi="宋体" w:cs="宋体" w:eastAsia="宋体" w:hint="default"/>
                <w:sz w:val="18"/>
                <w:szCs w:val="18"/>
              </w:rPr>
              <w:t>品</w:t>
            </w:r>
            <w:r>
              <w:rPr>
                <w:rFonts w:ascii="Times New Roman" w:hAnsi="Times New Roman" w:cs="Times New Roman" w:eastAsia="Times New Roman" w:hint="default"/>
                <w:sz w:val="18"/>
                <w:szCs w:val="18"/>
              </w:rPr>
              <w:t>-018L-CT001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深</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0.87%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3,624,437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1,524,437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3,624,437</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代玲</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0.19%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808,718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404,359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808,718</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卓良泠</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0.15%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641,425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641,425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641,425</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新华人寿保险股</w:t>
            </w:r>
            <w:r>
              <w:rPr>
                <w:rFonts w:ascii="宋体" w:hAnsi="宋体" w:cs="宋体" w:eastAsia="宋体" w:hint="default"/>
                <w:w w:val="100"/>
                <w:sz w:val="18"/>
                <w:szCs w:val="18"/>
              </w:rPr>
              <w:t> </w:t>
            </w:r>
            <w:r>
              <w:rPr>
                <w:rFonts w:ascii="宋体" w:hAnsi="宋体" w:cs="宋体" w:eastAsia="宋体" w:hint="default"/>
                <w:sz w:val="18"/>
                <w:szCs w:val="18"/>
              </w:rPr>
              <w:t>份有限公司－分</w:t>
            </w:r>
            <w:r>
              <w:rPr>
                <w:rFonts w:ascii="宋体" w:hAnsi="宋体" w:cs="宋体" w:eastAsia="宋体" w:hint="default"/>
                <w:w w:val="100"/>
                <w:sz w:val="18"/>
                <w:szCs w:val="18"/>
              </w:rPr>
              <w:t> </w:t>
            </w:r>
            <w:r>
              <w:rPr>
                <w:rFonts w:ascii="宋体" w:hAnsi="宋体" w:cs="宋体" w:eastAsia="宋体" w:hint="default"/>
                <w:sz w:val="18"/>
                <w:szCs w:val="18"/>
              </w:rPr>
              <w:t>红－团体分红</w:t>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深</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0.14%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570,199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-2,129,801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570,199</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新华人寿保险股</w:t>
            </w:r>
            <w:r>
              <w:rPr>
                <w:rFonts w:ascii="宋体" w:hAnsi="宋体" w:cs="宋体" w:eastAsia="宋体" w:hint="default"/>
                <w:w w:val="100"/>
                <w:sz w:val="18"/>
                <w:szCs w:val="18"/>
              </w:rPr>
              <w:t> </w:t>
            </w:r>
            <w:r>
              <w:rPr>
                <w:rFonts w:ascii="宋体" w:hAnsi="宋体" w:cs="宋体" w:eastAsia="宋体" w:hint="default"/>
                <w:sz w:val="18"/>
                <w:szCs w:val="18"/>
              </w:rPr>
              <w:t>份有限公司－分</w:t>
            </w:r>
            <w:r>
              <w:rPr>
                <w:rFonts w:ascii="宋体" w:hAnsi="宋体" w:cs="宋体" w:eastAsia="宋体" w:hint="default"/>
                <w:w w:val="100"/>
                <w:sz w:val="18"/>
                <w:szCs w:val="18"/>
              </w:rPr>
              <w:t> </w:t>
            </w:r>
            <w:r>
              <w:rPr>
                <w:rFonts w:ascii="宋体" w:hAnsi="宋体" w:cs="宋体" w:eastAsia="宋体" w:hint="default"/>
                <w:sz w:val="18"/>
                <w:szCs w:val="18"/>
              </w:rPr>
              <w:t>红－个人分红</w:t>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深</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0.13%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559,528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-1,840,472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559,528</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pacing w:val="-1"/>
                <w:sz w:val="18"/>
                <w:szCs w:val="18"/>
              </w:rPr>
              <w:t>战略投资者或一般法人因配售新股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成为前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名股东的情况（如有）</w:t>
            </w:r>
          </w:p>
        </w:tc>
        <w:tc>
          <w:tcPr>
            <w:tcW w:w="68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43"/>
              <w:jc w:val="left"/>
              <w:rPr>
                <w:rFonts w:ascii="宋体" w:hAnsi="宋体" w:cs="宋体" w:eastAsia="宋体" w:hint="default"/>
                <w:sz w:val="18"/>
                <w:szCs w:val="18"/>
              </w:rPr>
            </w:pPr>
            <w:r>
              <w:rPr>
                <w:rFonts w:ascii="宋体" w:hAnsi="宋体" w:cs="宋体" w:eastAsia="宋体" w:hint="default"/>
                <w:spacing w:val="-1"/>
                <w:sz w:val="18"/>
                <w:szCs w:val="18"/>
              </w:rPr>
              <w:t>上述股东关联关系或一致行动的说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明</w:t>
            </w:r>
          </w:p>
        </w:tc>
        <w:tc>
          <w:tcPr>
            <w:tcW w:w="68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吴培服为宿迁市迪智成投资咨询有限公司和宿迁市启恒投资有限公司控股股东。</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729"/>
        <w:gridCol w:w="4178"/>
        <w:gridCol w:w="1466"/>
        <w:gridCol w:w="1368"/>
      </w:tblGrid>
      <w:tr>
        <w:trPr>
          <w:trHeight w:val="402" w:hRule="exact"/>
        </w:trPr>
        <w:tc>
          <w:tcPr>
            <w:tcW w:w="974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名无限售条件股东持股情况</w:t>
            </w:r>
          </w:p>
        </w:tc>
      </w:tr>
      <w:tr>
        <w:trPr>
          <w:trHeight w:val="349" w:hRule="exact"/>
        </w:trPr>
        <w:tc>
          <w:tcPr>
            <w:tcW w:w="27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50" w:hRule="exact"/>
        </w:trPr>
        <w:tc>
          <w:tcPr>
            <w:tcW w:w="2729" w:type="dxa"/>
            <w:vMerge/>
            <w:tcBorders>
              <w:left w:val="single" w:sz="4" w:space="0" w:color="000000"/>
              <w:bottom w:val="single" w:sz="4" w:space="0" w:color="000000"/>
              <w:right w:val="single" w:sz="4" w:space="0" w:color="000000"/>
            </w:tcBorders>
            <w:shd w:val="clear" w:color="auto" w:fill="D3D3D3"/>
          </w:tcPr>
          <w:p>
            <w:pPr/>
          </w:p>
        </w:tc>
        <w:tc>
          <w:tcPr>
            <w:tcW w:w="4178" w:type="dxa"/>
            <w:vMerge/>
            <w:tcBorders>
              <w:left w:val="single" w:sz="4" w:space="0" w:color="000000"/>
              <w:bottom w:val="single" w:sz="4" w:space="0" w:color="000000"/>
              <w:right w:val="single" w:sz="4" w:space="0" w:color="000000"/>
            </w:tcBorders>
            <w:shd w:val="clear" w:color="auto" w:fill="D3D3D3"/>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right="362"/>
              <w:jc w:val="right"/>
              <w:rPr>
                <w:rFonts w:ascii="宋体" w:hAnsi="宋体" w:cs="宋体" w:eastAsia="宋体" w:hint="default"/>
                <w:sz w:val="18"/>
                <w:szCs w:val="18"/>
              </w:rPr>
            </w:pPr>
            <w:r>
              <w:rPr>
                <w:rFonts w:ascii="宋体" w:hAnsi="宋体" w:cs="宋体" w:eastAsia="宋体" w:hint="default"/>
                <w:spacing w:val="-1"/>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1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4" w:right="172"/>
              <w:jc w:val="left"/>
              <w:rPr>
                <w:rFonts w:ascii="宋体" w:hAnsi="宋体" w:cs="宋体" w:eastAsia="宋体" w:hint="default"/>
                <w:sz w:val="18"/>
                <w:szCs w:val="18"/>
              </w:rPr>
            </w:pPr>
            <w:r>
              <w:rPr>
                <w:rFonts w:ascii="宋体" w:hAnsi="宋体" w:cs="宋体" w:eastAsia="宋体" w:hint="default"/>
                <w:spacing w:val="-1"/>
                <w:sz w:val="18"/>
                <w:szCs w:val="18"/>
              </w:rPr>
              <w:t>新华人寿保险股份有限公司－万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能－得意理财</w:t>
            </w:r>
            <w:r>
              <w:rPr>
                <w:rFonts w:ascii="Times New Roman" w:hAnsi="Times New Roman" w:cs="Times New Roman" w:eastAsia="Times New Roman" w:hint="default"/>
                <w:sz w:val="18"/>
                <w:szCs w:val="18"/>
              </w:rPr>
              <w:t>-018L-WN001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深</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4,187,579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4,187,579</w:t>
            </w:r>
          </w:p>
        </w:tc>
      </w:tr>
      <w:tr>
        <w:trPr>
          <w:trHeight w:val="61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4" w:right="26"/>
              <w:jc w:val="left"/>
              <w:rPr>
                <w:rFonts w:ascii="宋体" w:hAnsi="宋体" w:cs="宋体" w:eastAsia="宋体" w:hint="default"/>
                <w:sz w:val="18"/>
                <w:szCs w:val="18"/>
              </w:rPr>
            </w:pPr>
            <w:r>
              <w:rPr>
                <w:rFonts w:ascii="宋体" w:hAnsi="宋体" w:cs="宋体" w:eastAsia="宋体" w:hint="default"/>
                <w:sz w:val="18"/>
                <w:szCs w:val="18"/>
              </w:rPr>
              <w:t>新华人寿保险股份有限公司－传</w:t>
            </w:r>
            <w:r>
              <w:rPr>
                <w:rFonts w:ascii="宋体" w:hAnsi="宋体" w:cs="宋体" w:eastAsia="宋体" w:hint="default"/>
                <w:w w:val="100"/>
                <w:sz w:val="18"/>
                <w:szCs w:val="18"/>
              </w:rPr>
              <w:t> </w:t>
            </w:r>
            <w:r>
              <w:rPr>
                <w:rFonts w:ascii="宋体" w:hAnsi="宋体" w:cs="宋体" w:eastAsia="宋体" w:hint="default"/>
                <w:sz w:val="18"/>
                <w:szCs w:val="18"/>
              </w:rPr>
              <w:t>统－普通保险产品</w:t>
            </w:r>
            <w:r>
              <w:rPr>
                <w:rFonts w:ascii="Times New Roman" w:hAnsi="Times New Roman" w:cs="Times New Roman" w:eastAsia="Times New Roman" w:hint="default"/>
                <w:sz w:val="18"/>
                <w:szCs w:val="18"/>
              </w:rPr>
              <w:t>-018L-CT001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深</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3,624,437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3,624,437</w:t>
            </w:r>
          </w:p>
        </w:tc>
      </w:tr>
      <w:tr>
        <w:trPr>
          <w:trHeight w:val="35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代玲</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808,718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808,718</w:t>
            </w:r>
          </w:p>
        </w:tc>
      </w:tr>
      <w:tr>
        <w:trPr>
          <w:trHeight w:val="35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卓良泠</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641,425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641,425</w:t>
            </w:r>
          </w:p>
        </w:tc>
      </w:tr>
      <w:tr>
        <w:trPr>
          <w:trHeight w:val="61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4" w:right="172"/>
              <w:jc w:val="left"/>
              <w:rPr>
                <w:rFonts w:ascii="宋体" w:hAnsi="宋体" w:cs="宋体" w:eastAsia="宋体" w:hint="default"/>
                <w:sz w:val="18"/>
                <w:szCs w:val="18"/>
              </w:rPr>
            </w:pPr>
            <w:r>
              <w:rPr>
                <w:rFonts w:ascii="宋体" w:hAnsi="宋体" w:cs="宋体" w:eastAsia="宋体" w:hint="default"/>
                <w:spacing w:val="-1"/>
                <w:sz w:val="18"/>
                <w:szCs w:val="18"/>
              </w:rPr>
              <w:t>新华人寿保险股份有限公司－分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红－团体分红</w:t>
            </w: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深</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570,199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570,199</w:t>
            </w:r>
          </w:p>
        </w:tc>
      </w:tr>
      <w:tr>
        <w:trPr>
          <w:trHeight w:val="61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4" w:right="172"/>
              <w:jc w:val="left"/>
              <w:rPr>
                <w:rFonts w:ascii="宋体" w:hAnsi="宋体" w:cs="宋体" w:eastAsia="宋体" w:hint="default"/>
                <w:sz w:val="18"/>
                <w:szCs w:val="18"/>
              </w:rPr>
            </w:pPr>
            <w:r>
              <w:rPr>
                <w:rFonts w:ascii="宋体" w:hAnsi="宋体" w:cs="宋体" w:eastAsia="宋体" w:hint="default"/>
                <w:spacing w:val="-1"/>
                <w:sz w:val="18"/>
                <w:szCs w:val="18"/>
              </w:rPr>
              <w:t>新华人寿保险股份有限公司－分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红－个人分红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深</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559,528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559,528</w:t>
            </w:r>
          </w:p>
        </w:tc>
      </w:tr>
      <w:tr>
        <w:trPr>
          <w:trHeight w:val="61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39"/>
              <w:ind w:left="24" w:right="21"/>
              <w:jc w:val="left"/>
              <w:rPr>
                <w:rFonts w:ascii="宋体" w:hAnsi="宋体" w:cs="宋体" w:eastAsia="宋体" w:hint="default"/>
                <w:sz w:val="18"/>
                <w:szCs w:val="18"/>
              </w:rPr>
            </w:pPr>
            <w:r>
              <w:rPr>
                <w:rFonts w:ascii="宋体" w:hAnsi="宋体" w:cs="宋体" w:eastAsia="宋体" w:hint="default"/>
                <w:sz w:val="18"/>
                <w:szCs w:val="18"/>
              </w:rPr>
              <w:t>中国建设银行－信诚中证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指数</w:t>
            </w:r>
            <w:r>
              <w:rPr>
                <w:rFonts w:ascii="宋体" w:hAnsi="宋体" w:cs="宋体" w:eastAsia="宋体" w:hint="default"/>
                <w:w w:val="100"/>
                <w:sz w:val="18"/>
                <w:szCs w:val="18"/>
              </w:rPr>
              <w:t> </w:t>
            </w:r>
            <w:r>
              <w:rPr>
                <w:rFonts w:ascii="宋体" w:hAnsi="宋体" w:cs="宋体" w:eastAsia="宋体" w:hint="default"/>
                <w:sz w:val="18"/>
                <w:szCs w:val="18"/>
              </w:rPr>
              <w:t>分级证券投资基金</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544,786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544,786</w:t>
            </w:r>
          </w:p>
        </w:tc>
      </w:tr>
      <w:tr>
        <w:trPr>
          <w:trHeight w:val="348"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詹端</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513,088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513,088</w:t>
            </w:r>
          </w:p>
        </w:tc>
      </w:tr>
      <w:tr>
        <w:trPr>
          <w:trHeight w:val="61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39"/>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中国农业银行－南方中证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指数</w:t>
            </w:r>
            <w:r>
              <w:rPr>
                <w:rFonts w:ascii="宋体" w:hAnsi="宋体" w:cs="宋体" w:eastAsia="宋体" w:hint="default"/>
                <w:w w:val="100"/>
                <w:sz w:val="18"/>
                <w:szCs w:val="18"/>
              </w:rPr>
              <w:t> </w:t>
            </w:r>
            <w:r>
              <w:rPr>
                <w:rFonts w:ascii="宋体" w:hAnsi="宋体" w:cs="宋体" w:eastAsia="宋体" w:hint="default"/>
                <w:sz w:val="18"/>
                <w:szCs w:val="18"/>
              </w:rPr>
              <w:t>证券投资基金</w:t>
            </w:r>
            <w:r>
              <w:rPr>
                <w:rFonts w:ascii="Times New Roman" w:hAnsi="Times New Roman" w:cs="Times New Roman" w:eastAsia="Times New Roman" w:hint="default"/>
                <w:sz w:val="18"/>
                <w:szCs w:val="18"/>
              </w:rPr>
              <w:t>(LOF)</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398,388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398,388</w:t>
            </w:r>
          </w:p>
        </w:tc>
      </w:tr>
      <w:tr>
        <w:trPr>
          <w:trHeight w:val="348"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刘秋良</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336,230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47"/>
              <w:jc w:val="right"/>
              <w:rPr>
                <w:rFonts w:ascii="宋体" w:hAnsi="宋体" w:cs="宋体" w:eastAsia="宋体" w:hint="default"/>
                <w:sz w:val="18"/>
                <w:szCs w:val="18"/>
              </w:rPr>
            </w:pPr>
            <w:r>
              <w:rPr>
                <w:rFonts w:ascii="宋体" w:hAnsi="宋体" w:cs="宋体" w:eastAsia="宋体" w:hint="default"/>
                <w:spacing w:val="-1"/>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336,230</w:t>
            </w:r>
          </w:p>
        </w:tc>
      </w:tr>
      <w:tr>
        <w:trPr>
          <w:trHeight w:val="1339"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w:t>
            </w:r>
          </w:p>
          <w:p>
            <w:pPr>
              <w:pStyle w:val="TableParagraph"/>
              <w:spacing w:line="300" w:lineRule="auto" w:before="63"/>
              <w:ind w:left="24"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名股东之间关联关系或一致</w:t>
            </w:r>
            <w:r>
              <w:rPr>
                <w:rFonts w:ascii="宋体" w:hAnsi="宋体" w:cs="宋体" w:eastAsia="宋体" w:hint="default"/>
                <w:w w:val="100"/>
                <w:sz w:val="18"/>
                <w:szCs w:val="18"/>
              </w:rPr>
              <w:t> </w:t>
            </w:r>
            <w:r>
              <w:rPr>
                <w:rFonts w:ascii="宋体" w:hAnsi="宋体" w:cs="宋体" w:eastAsia="宋体" w:hint="default"/>
                <w:sz w:val="18"/>
                <w:szCs w:val="18"/>
              </w:rPr>
              <w:t>行动的说明</w:t>
            </w:r>
          </w:p>
        </w:tc>
        <w:tc>
          <w:tcPr>
            <w:tcW w:w="70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z w:val="18"/>
                <w:szCs w:val="18"/>
              </w:rPr>
              <w:t>本公司控股股东及实际控制人吴培服系迪智成投资和启恒投资的控股股东，除以上情况</w:t>
            </w:r>
            <w:r>
              <w:rPr>
                <w:rFonts w:ascii="宋体" w:hAnsi="宋体" w:cs="宋体" w:eastAsia="宋体" w:hint="default"/>
                <w:w w:val="100"/>
                <w:sz w:val="18"/>
                <w:szCs w:val="18"/>
              </w:rPr>
              <w:t> </w:t>
            </w:r>
            <w:r>
              <w:rPr>
                <w:rFonts w:ascii="宋体" w:hAnsi="宋体" w:cs="宋体" w:eastAsia="宋体" w:hint="default"/>
                <w:spacing w:val="-3"/>
                <w:sz w:val="18"/>
                <w:szCs w:val="18"/>
              </w:rPr>
              <w:t>外，公司未知其他前十名股东是否存在关联关系，也未知是否属于一致行动人。前十名无</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限售条件股东之间，公司未知是否存在关联关系，也未知是否属于一致行动人。</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b/>
          <w:bCs/>
        </w:rPr>
        <w:t>2</w:t>
      </w:r>
      <w:r>
        <w:rPr/>
        <w:t>、公司控股股东情况</w:t>
      </w:r>
    </w:p>
    <w:p>
      <w:pPr>
        <w:spacing w:line="240" w:lineRule="auto" w:before="4"/>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36"/>
        <w:gridCol w:w="2057"/>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rFonts w:ascii="Times New Roman" w:hAnsi="Times New Roman" w:cs="Times New Roman" w:eastAsia="Times New Roman" w:hint="default"/>
          <w:b/>
          <w:bCs/>
        </w:rPr>
        <w:t>3</w:t>
      </w:r>
      <w:r>
        <w:rPr/>
        <w:t>、公司实际控制人情况</w:t>
      </w:r>
    </w:p>
    <w:p>
      <w:pPr>
        <w:spacing w:line="240" w:lineRule="auto" w:before="4"/>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00" w:h="16840"/>
          <w:pgMar w:header="746" w:footer="982" w:top="1060" w:bottom="1180" w:left="980" w:right="90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4995" w:lineRule="exact"/>
        <w:ind w:left="2293"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3400342" cy="31718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3400342" cy="3171825"/>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7"/>
        <w:rPr>
          <w:rFonts w:ascii="宋体" w:hAnsi="宋体" w:cs="宋体" w:eastAsia="宋体" w:hint="default"/>
          <w:sz w:val="23"/>
          <w:szCs w:val="23"/>
        </w:rPr>
      </w:pPr>
    </w:p>
    <w:p>
      <w:pPr>
        <w:pStyle w:val="BodyText"/>
        <w:spacing w:line="240" w:lineRule="auto" w:before="36"/>
        <w:ind w:right="0"/>
        <w:jc w:val="left"/>
      </w:pPr>
      <w:r>
        <w:rPr/>
        <w:t>实际控制人通过信托或其他资产管理方式控制公司</w:t>
      </w:r>
    </w:p>
    <w:p>
      <w:pPr>
        <w:spacing w:line="240" w:lineRule="auto" w:before="6"/>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sz w:val="21"/>
          <w:szCs w:val="21"/>
        </w:rPr>
        <w:t>、其他持股在</w:t>
      </w:r>
      <w:r>
        <w:rPr>
          <w:rFonts w:ascii="宋体" w:hAnsi="宋体" w:cs="宋体" w:eastAsia="宋体" w:hint="default"/>
          <w:spacing w:val="-46"/>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sz w:val="21"/>
          <w:szCs w:val="21"/>
        </w:rPr>
        <w:t>以上的法人股东</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315"/>
        <w:gridCol w:w="1476"/>
        <w:gridCol w:w="1546"/>
        <w:gridCol w:w="1603"/>
        <w:gridCol w:w="1620"/>
        <w:gridCol w:w="2182"/>
      </w:tblGrid>
      <w:tr>
        <w:trPr>
          <w:trHeight w:val="713" w:hRule="exact"/>
        </w:trPr>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463" w:right="76"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w:t>
            </w:r>
            <w:r>
              <w:rPr>
                <w:rFonts w:ascii="宋体" w:hAnsi="宋体" w:cs="宋体" w:eastAsia="宋体" w:hint="default"/>
                <w:w w:val="100"/>
                <w:sz w:val="18"/>
                <w:szCs w:val="18"/>
              </w:rPr>
              <w:t> </w:t>
            </w:r>
            <w:r>
              <w:rPr>
                <w:rFonts w:ascii="宋体" w:hAnsi="宋体" w:cs="宋体" w:eastAsia="宋体" w:hint="default"/>
                <w:sz w:val="18"/>
                <w:szCs w:val="18"/>
              </w:rPr>
              <w:t>负责人</w:t>
            </w:r>
          </w:p>
        </w:tc>
        <w:tc>
          <w:tcPr>
            <w:tcW w:w="1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3"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55378076-4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企业投资咨询、营销策划</w:t>
            </w:r>
          </w:p>
        </w:tc>
      </w:tr>
      <w:tr>
        <w:trPr>
          <w:trHeight w:val="401"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55378075-6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企业投资咨询、营销策划</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pPr>
      <w:r>
        <w:rPr/>
        <w:t>四、公司股东及其一致行动人在报告期提出或实施股份增持计划的情况</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359"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计划增持股份数</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计划增持股份比</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实际增持股份数</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实际增持股份比</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股份增持计划初</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r>
        <w:trPr>
          <w:trHeight w:val="354"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right="9"/>
              <w:jc w:val="center"/>
              <w:rPr>
                <w:rFonts w:ascii="宋体" w:hAnsi="宋体" w:cs="宋体" w:eastAsia="宋体" w:hint="default"/>
                <w:sz w:val="18"/>
                <w:szCs w:val="18"/>
              </w:rPr>
            </w:pPr>
            <w:r>
              <w:rPr>
                <w:rFonts w:ascii="宋体" w:hAnsi="宋体" w:cs="宋体" w:eastAsia="宋体" w:hint="default"/>
                <w:sz w:val="18"/>
                <w:szCs w:val="18"/>
              </w:rPr>
              <w:t>动人姓名</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w w:val="100"/>
                <w:sz w:val="18"/>
                <w:szCs w:val="18"/>
              </w:rPr>
              <w:t>量</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w w:val="100"/>
                <w:sz w:val="18"/>
                <w:szCs w:val="18"/>
              </w:rPr>
              <w:t>例</w:t>
            </w: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w w:val="100"/>
                <w:sz w:val="18"/>
                <w:szCs w:val="18"/>
              </w:rPr>
              <w:t>量</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w w:val="100"/>
                <w:sz w:val="18"/>
                <w:szCs w:val="18"/>
              </w:rPr>
              <w:t>例</w:t>
            </w: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次披露日期</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50"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after="0"/>
        <w:jc w:val="left"/>
        <w:rPr>
          <w:rFonts w:ascii="宋体" w:hAnsi="宋体" w:cs="宋体" w:eastAsia="宋体" w:hint="default"/>
          <w:sz w:val="18"/>
          <w:szCs w:val="18"/>
        </w:rPr>
        <w:sectPr>
          <w:pgSz w:w="11900" w:h="16840"/>
          <w:pgMar w:header="746"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6" w:right="0"/>
        <w:jc w:val="left"/>
      </w:pPr>
      <w:bookmarkStart w:name="_TOC_250004" w:id="7"/>
      <w:r>
        <w:rPr/>
        <w:t>第七节</w:t>
      </w:r>
      <w:r>
        <w:rPr>
          <w:spacing w:val="16"/>
        </w:rPr>
        <w:t> </w:t>
      </w:r>
      <w:bookmarkEnd w:id="7"/>
      <w:r>
        <w:rPr/>
        <w:t>董事、监事、高级管理人员和员工情况</w:t>
      </w:r>
    </w:p>
    <w:p>
      <w:pPr>
        <w:spacing w:line="240" w:lineRule="auto" w:before="2"/>
        <w:rPr>
          <w:rFonts w:ascii="宋体" w:hAnsi="宋体" w:cs="宋体" w:eastAsia="宋体" w:hint="default"/>
          <w:sz w:val="39"/>
          <w:szCs w:val="39"/>
        </w:rPr>
      </w:pPr>
    </w:p>
    <w:p>
      <w:pPr>
        <w:pStyle w:val="Heading2"/>
        <w:spacing w:line="240" w:lineRule="auto"/>
        <w:ind w:right="0"/>
        <w:jc w:val="left"/>
      </w:pPr>
      <w:r>
        <w:rPr/>
        <w:t>一、董事、监事和高级管理人员持股变动</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720"/>
        <w:gridCol w:w="900"/>
        <w:gridCol w:w="540"/>
        <w:gridCol w:w="595"/>
        <w:gridCol w:w="540"/>
        <w:gridCol w:w="1514"/>
        <w:gridCol w:w="1534"/>
        <w:gridCol w:w="869"/>
        <w:gridCol w:w="943"/>
        <w:gridCol w:w="845"/>
        <w:gridCol w:w="970"/>
      </w:tblGrid>
      <w:tr>
        <w:trPr>
          <w:trHeight w:val="1027"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w w:val="100"/>
                <w:sz w:val="18"/>
                <w:szCs w:val="18"/>
              </w:rPr>
              <w:t> </w:t>
            </w:r>
            <w:r>
              <w:rPr>
                <w:rFonts w:ascii="宋体" w:hAnsi="宋体" w:cs="宋体" w:eastAsia="宋体" w:hint="default"/>
                <w:sz w:val="18"/>
                <w:szCs w:val="18"/>
              </w:rPr>
              <w:t>状态</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9"/>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w w:val="100"/>
                <w:sz w:val="18"/>
                <w:szCs w:val="18"/>
              </w:rPr>
              <w:t> </w:t>
            </w:r>
            <w:r>
              <w:rPr>
                <w:rFonts w:ascii="宋体" w:hAnsi="宋体" w:cs="宋体" w:eastAsia="宋体" w:hint="default"/>
                <w:sz w:val="18"/>
                <w:szCs w:val="18"/>
              </w:rPr>
              <w:t>数（股）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5" w:right="105"/>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w w:val="100"/>
                <w:sz w:val="18"/>
                <w:szCs w:val="18"/>
              </w:rPr>
              <w:t> </w:t>
            </w:r>
            <w:r>
              <w:rPr>
                <w:rFonts w:ascii="宋体" w:hAnsi="宋体" w:cs="宋体" w:eastAsia="宋体" w:hint="default"/>
                <w:sz w:val="18"/>
                <w:szCs w:val="18"/>
              </w:rPr>
              <w:t>股份数量</w:t>
            </w:r>
          </w:p>
          <w:p>
            <w:pPr>
              <w:pStyle w:val="TableParagraph"/>
              <w:spacing w:line="240" w:lineRule="auto" w:before="19"/>
              <w:ind w:left="19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w w:val="100"/>
                <w:sz w:val="18"/>
                <w:szCs w:val="18"/>
              </w:rPr>
              <w:t> </w:t>
            </w:r>
            <w:r>
              <w:rPr>
                <w:rFonts w:ascii="宋体" w:hAnsi="宋体" w:cs="宋体" w:eastAsia="宋体" w:hint="default"/>
                <w:sz w:val="18"/>
                <w:szCs w:val="18"/>
              </w:rPr>
              <w:t>股份数量</w:t>
            </w:r>
          </w:p>
          <w:p>
            <w:pPr>
              <w:pStyle w:val="TableParagraph"/>
              <w:spacing w:line="240" w:lineRule="auto" w:before="19"/>
              <w:ind w:left="14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2"/>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94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845" w:type="dxa"/>
            <w:tcBorders>
              <w:top w:val="single" w:sz="5"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102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2"/>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会秘书、副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102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经理、财务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71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金叶</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w w:val="100"/>
                <w:sz w:val="18"/>
                <w:szCs w:val="18"/>
              </w:rPr>
              <w:t> </w:t>
            </w:r>
            <w:r>
              <w:rPr>
                <w:rFonts w:ascii="宋体" w:hAnsi="宋体" w:cs="宋体" w:eastAsia="宋体" w:hint="default"/>
                <w:sz w:val="18"/>
                <w:szCs w:val="18"/>
              </w:rPr>
              <w:t>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郑卫</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潘建忠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杨淑侠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陆敬潮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1"/>
              <w:jc w:val="right"/>
              <w:rPr>
                <w:rFonts w:ascii="Times New Roman" w:hAnsi="Times New Roman" w:cs="Times New Roman" w:eastAsia="Times New Roman" w:hint="default"/>
                <w:sz w:val="18"/>
                <w:szCs w:val="18"/>
              </w:rPr>
            </w:pPr>
            <w:r>
              <w:rPr>
                <w:rFonts w:ascii="Times New Roman"/>
                <w:spacing w:val="-1"/>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pPr>
      <w:r>
        <w:rPr/>
        <w:t>二、任职情况</w:t>
      </w:r>
    </w:p>
    <w:p>
      <w:pPr>
        <w:spacing w:line="240" w:lineRule="auto" w:before="6"/>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年的主要工作经历</w:t>
      </w:r>
    </w:p>
    <w:p>
      <w:pPr>
        <w:spacing w:line="240" w:lineRule="auto" w:before="2"/>
        <w:rPr>
          <w:rFonts w:ascii="宋体" w:hAnsi="宋体" w:cs="宋体" w:eastAsia="宋体" w:hint="default"/>
          <w:sz w:val="15"/>
          <w:szCs w:val="15"/>
        </w:rPr>
      </w:pPr>
    </w:p>
    <w:p>
      <w:pPr>
        <w:pStyle w:val="BodyText"/>
        <w:spacing w:line="240" w:lineRule="auto"/>
        <w:ind w:left="572" w:right="0"/>
        <w:jc w:val="left"/>
      </w:pPr>
      <w:r>
        <w:rPr>
          <w:rFonts w:ascii="Times New Roman" w:hAnsi="Times New Roman" w:cs="Times New Roman" w:eastAsia="Times New Roman" w:hint="default"/>
        </w:rPr>
        <w:t>1</w:t>
      </w:r>
      <w:r>
        <w:rPr/>
        <w:t>、董事</w:t>
      </w:r>
    </w:p>
    <w:p>
      <w:pPr>
        <w:pStyle w:val="BodyText"/>
        <w:spacing w:line="240" w:lineRule="auto" w:before="177"/>
        <w:ind w:left="572" w:right="0"/>
        <w:jc w:val="left"/>
      </w:pPr>
      <w:r>
        <w:rPr/>
        <w:t>（</w:t>
      </w:r>
      <w:r>
        <w:rPr>
          <w:rFonts w:ascii="Times New Roman" w:hAnsi="Times New Roman" w:cs="Times New Roman" w:eastAsia="Times New Roman" w:hint="default"/>
        </w:rPr>
        <w:t>1</w:t>
      </w:r>
      <w:r>
        <w:rPr/>
        <w:t>）吴培服：请参见</w:t>
      </w:r>
      <w:r>
        <w:rPr>
          <w:rFonts w:ascii="Times New Roman" w:hAnsi="Times New Roman" w:cs="Times New Roman" w:eastAsia="Times New Roman" w:hint="default"/>
        </w:rPr>
        <w:t>“</w:t>
      </w:r>
      <w:r>
        <w:rPr/>
        <w:t>第三节第三（二）控股股东和实际控制人情况</w:t>
      </w:r>
      <w:r>
        <w:rPr>
          <w:rFonts w:ascii="Times New Roman" w:hAnsi="Times New Roman" w:cs="Times New Roman" w:eastAsia="Times New Roman" w:hint="default"/>
        </w:rPr>
        <w:t>”</w:t>
      </w:r>
      <w:r>
        <w:rPr/>
        <w:t>。</w:t>
      </w:r>
    </w:p>
    <w:p>
      <w:pPr>
        <w:spacing w:after="0" w:line="240" w:lineRule="auto"/>
        <w:jc w:val="left"/>
        <w:sectPr>
          <w:pgSz w:w="11900" w:h="16840"/>
          <w:pgMar w:header="746" w:footer="982" w:top="1060" w:bottom="1180" w:left="980" w:right="680"/>
        </w:sectPr>
      </w:pPr>
    </w:p>
    <w:p>
      <w:pPr>
        <w:spacing w:line="240" w:lineRule="auto" w:before="10"/>
        <w:rPr>
          <w:rFonts w:ascii="宋体" w:hAnsi="宋体" w:cs="宋体" w:eastAsia="宋体" w:hint="default"/>
          <w:sz w:val="24"/>
          <w:szCs w:val="24"/>
        </w:rPr>
      </w:pPr>
    </w:p>
    <w:p>
      <w:pPr>
        <w:pStyle w:val="BodyText"/>
        <w:spacing w:line="256" w:lineRule="auto" w:before="36"/>
        <w:ind w:right="0" w:firstLine="420"/>
        <w:jc w:val="left"/>
      </w:pPr>
      <w:r>
        <w:rPr>
          <w:spacing w:val="-3"/>
        </w:rPr>
        <w:t>（</w:t>
      </w:r>
      <w:r>
        <w:rPr>
          <w:rFonts w:ascii="Times New Roman" w:hAnsi="Times New Roman" w:cs="Times New Roman" w:eastAsia="Times New Roman" w:hint="default"/>
          <w:spacing w:val="-3"/>
        </w:rPr>
        <w:t>2</w:t>
      </w:r>
      <w:r>
        <w:rPr>
          <w:spacing w:val="-3"/>
        </w:rPr>
        <w:t>）吴迪：男，</w:t>
      </w:r>
      <w:r>
        <w:rPr>
          <w:rFonts w:ascii="Times New Roman" w:hAnsi="Times New Roman" w:cs="Times New Roman" w:eastAsia="Times New Roman" w:hint="default"/>
          <w:spacing w:val="-3"/>
        </w:rPr>
        <w:t>1982</w:t>
      </w:r>
      <w:r>
        <w:rPr>
          <w:spacing w:val="-3"/>
        </w:rPr>
        <w:t>年</w:t>
      </w:r>
      <w:r>
        <w:rPr>
          <w:rFonts w:ascii="Times New Roman" w:hAnsi="Times New Roman" w:cs="Times New Roman" w:eastAsia="Times New Roman" w:hint="default"/>
          <w:spacing w:val="-3"/>
        </w:rPr>
        <w:t>9</w:t>
      </w:r>
      <w:r>
        <w:rPr>
          <w:spacing w:val="-3"/>
        </w:rPr>
        <w:t>月出生，中国籍，无永久境外居留权，本科学历。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月担</w:t>
      </w:r>
      <w:r>
        <w:rPr>
          <w:w w:val="100"/>
        </w:rPr>
        <w:t> </w:t>
      </w:r>
      <w:r>
        <w:rPr/>
        <w:t>任宿迁市彩塑包装有限公司副总经理。现任本公司董事、董事会秘书、副总经理。</w:t>
      </w:r>
    </w:p>
    <w:p>
      <w:pPr>
        <w:pStyle w:val="BodyText"/>
        <w:spacing w:line="256" w:lineRule="auto" w:before="178"/>
        <w:ind w:right="0" w:firstLine="420"/>
        <w:jc w:val="left"/>
      </w:pPr>
      <w:r>
        <w:rPr>
          <w:spacing w:val="-3"/>
        </w:rPr>
        <w:t>（</w:t>
      </w:r>
      <w:r>
        <w:rPr>
          <w:rFonts w:ascii="Times New Roman" w:hAnsi="Times New Roman" w:cs="Times New Roman" w:eastAsia="Times New Roman" w:hint="default"/>
          <w:spacing w:val="-3"/>
        </w:rPr>
        <w:t>3</w:t>
      </w:r>
      <w:r>
        <w:rPr>
          <w:spacing w:val="-3"/>
        </w:rPr>
        <w:t>）曹薇：女，</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3</w:t>
      </w:r>
      <w:r>
        <w:rPr>
          <w:spacing w:val="-3"/>
        </w:rPr>
        <w:t>月出生，中国籍，无永久境外居留权，大专学历。历任宿迁市彩塑包装有限</w:t>
      </w:r>
      <w:r>
        <w:rPr>
          <w:w w:val="100"/>
        </w:rPr>
        <w:t> </w:t>
      </w:r>
      <w:r>
        <w:rPr/>
        <w:t>公司监事，现任本公司董事。</w:t>
      </w:r>
    </w:p>
    <w:p>
      <w:pPr>
        <w:pStyle w:val="BodyText"/>
        <w:spacing w:line="256" w:lineRule="auto" w:before="178"/>
        <w:ind w:right="0" w:firstLine="420"/>
        <w:jc w:val="left"/>
      </w:pPr>
      <w:r>
        <w:rPr>
          <w:spacing w:val="-3"/>
        </w:rPr>
        <w:t>（</w:t>
      </w:r>
      <w:r>
        <w:rPr>
          <w:rFonts w:ascii="Times New Roman" w:hAnsi="Times New Roman" w:cs="Times New Roman" w:eastAsia="Times New Roman" w:hint="default"/>
          <w:spacing w:val="-3"/>
        </w:rPr>
        <w:t>4</w:t>
      </w:r>
      <w:r>
        <w:rPr>
          <w:spacing w:val="-3"/>
        </w:rPr>
        <w:t>）周海燕：女，</w:t>
      </w:r>
      <w:r>
        <w:rPr>
          <w:rFonts w:ascii="Times New Roman" w:hAnsi="Times New Roman" w:cs="Times New Roman" w:eastAsia="Times New Roman" w:hint="default"/>
          <w:spacing w:val="-3"/>
        </w:rPr>
        <w:t>1975</w:t>
      </w:r>
      <w:r>
        <w:rPr>
          <w:spacing w:val="-3"/>
        </w:rPr>
        <w:t>年</w:t>
      </w:r>
      <w:r>
        <w:rPr>
          <w:rFonts w:ascii="Times New Roman" w:hAnsi="Times New Roman" w:cs="Times New Roman" w:eastAsia="Times New Roman" w:hint="default"/>
          <w:spacing w:val="-3"/>
        </w:rPr>
        <w:t>1</w:t>
      </w:r>
      <w:r>
        <w:rPr>
          <w:spacing w:val="-3"/>
        </w:rPr>
        <w:t>月出生，中国籍，专科学历。历任宿迁市彩塑包装有限公司副总经理、财</w:t>
      </w:r>
      <w:r>
        <w:rPr>
          <w:w w:val="100"/>
        </w:rPr>
        <w:t> </w:t>
      </w:r>
      <w:r>
        <w:rPr/>
        <w:t>务经理。现任本公司董事、副总经理、财务总监。</w:t>
      </w:r>
    </w:p>
    <w:p>
      <w:pPr>
        <w:pStyle w:val="BodyText"/>
        <w:spacing w:line="261" w:lineRule="auto" w:before="178"/>
        <w:ind w:right="223" w:firstLine="420"/>
        <w:jc w:val="both"/>
      </w:pPr>
      <w:r>
        <w:rPr/>
        <w:t>（</w:t>
      </w:r>
      <w:r>
        <w:rPr>
          <w:rFonts w:ascii="Times New Roman" w:hAnsi="Times New Roman" w:cs="Times New Roman" w:eastAsia="Times New Roman" w:hint="default"/>
        </w:rPr>
        <w:t>5</w:t>
      </w:r>
      <w:r>
        <w:rPr/>
        <w:t>）廖家河：男，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月出生，中国籍，无永久境外居留权，本科学历。历任北京有机化工厂</w:t>
      </w:r>
      <w:r>
        <w:rPr>
          <w:w w:val="100"/>
        </w:rPr>
        <w:t> </w:t>
      </w:r>
      <w:r>
        <w:rPr>
          <w:spacing w:val="-3"/>
        </w:rPr>
        <w:t>职工、中天信会计师事务所部门经理、北京天华会计事务所经理、北京东湖会计师事务所合伙人，现任立</w:t>
      </w:r>
      <w:r>
        <w:rPr/>
        <w:t> </w:t>
      </w:r>
      <w:r>
        <w:rPr/>
      </w:r>
      <w:r>
        <w:rPr>
          <w:spacing w:val="-3"/>
        </w:rPr>
        <w:t>信会计师事务所合伙人。</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10</w:t>
      </w:r>
      <w:r>
        <w:rPr>
          <w:spacing w:val="-3"/>
        </w:rPr>
        <w:t>月至今担任河南中原内配股份有限公司独立董事、南京光一科技股份有</w:t>
      </w:r>
      <w:r>
        <w:rPr>
          <w:spacing w:val="8"/>
        </w:rPr>
        <w:t> </w:t>
      </w:r>
      <w:r>
        <w:rPr>
          <w:spacing w:val="8"/>
        </w:rPr>
      </w:r>
      <w:r>
        <w:rPr>
          <w:spacing w:val="-3"/>
        </w:rPr>
        <w:t>限公司独立董事，</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11</w:t>
      </w:r>
      <w:r>
        <w:rPr>
          <w:spacing w:val="-3"/>
        </w:rPr>
        <w:t>月至今担任北京中关村科技发展股份有限公司独立董事，</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月至今担任</w:t>
      </w:r>
      <w:r>
        <w:rPr>
          <w:spacing w:val="14"/>
        </w:rPr>
        <w:t> </w:t>
      </w:r>
      <w:r>
        <w:rPr>
          <w:spacing w:val="14"/>
        </w:rPr>
      </w:r>
      <w:r>
        <w:rPr/>
        <w:t>江苏佳宇资源利用股份有限公司独立董事。现任本公司独立董事。</w:t>
      </w:r>
    </w:p>
    <w:p>
      <w:pPr>
        <w:pStyle w:val="BodyText"/>
        <w:spacing w:line="264" w:lineRule="auto" w:before="174"/>
        <w:ind w:right="118" w:firstLine="420"/>
        <w:jc w:val="both"/>
      </w:pPr>
      <w:r>
        <w:rPr/>
        <w:t>（</w:t>
      </w:r>
      <w:r>
        <w:rPr>
          <w:rFonts w:ascii="Times New Roman" w:hAnsi="Times New Roman" w:cs="Times New Roman" w:eastAsia="Times New Roman" w:hint="default"/>
        </w:rPr>
        <w:t>6</w:t>
      </w:r>
      <w:r>
        <w:rPr/>
        <w:t>）陈强：男，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月出生，中国籍，无永久境外居留权，本科学历。历任南京大学高分子材</w:t>
      </w:r>
      <w:r>
        <w:rPr>
          <w:w w:val="100"/>
        </w:rPr>
        <w:t> </w:t>
      </w:r>
      <w:r>
        <w:rPr>
          <w:spacing w:val="-2"/>
        </w:rPr>
        <w:t>料研究中心助工、工程师、主任助理，南京大学表面和界面化学工程技术研究中心研发部副主任、主任，</w:t>
      </w:r>
      <w:r>
        <w:rPr>
          <w:spacing w:val="-20"/>
        </w:rPr>
        <w:t> </w:t>
      </w:r>
      <w:r>
        <w:rPr>
          <w:spacing w:val="-20"/>
        </w:rPr>
      </w:r>
      <w:r>
        <w:rPr>
          <w:spacing w:val="-6"/>
          <w:w w:val="100"/>
        </w:rPr>
        <w:t>南京大学化学化工学院办公室主任。</w:t>
      </w:r>
      <w:r>
        <w:rPr>
          <w:rFonts w:ascii="Times New Roman" w:hAnsi="Times New Roman" w:cs="Times New Roman" w:eastAsia="Times New Roman" w:hint="default"/>
          <w:spacing w:val="-6"/>
          <w:w w:val="100"/>
        </w:rPr>
        <w:t>2010</w:t>
      </w:r>
      <w:r>
        <w:rPr>
          <w:spacing w:val="-6"/>
          <w:w w:val="100"/>
        </w:rPr>
        <w:t>年</w:t>
      </w:r>
      <w:r>
        <w:rPr>
          <w:rFonts w:ascii="Times New Roman" w:hAnsi="Times New Roman" w:cs="Times New Roman" w:eastAsia="Times New Roman" w:hint="default"/>
          <w:spacing w:val="-6"/>
          <w:w w:val="100"/>
        </w:rPr>
        <w:t>1</w:t>
      </w:r>
      <w:r>
        <w:rPr>
          <w:spacing w:val="-6"/>
          <w:w w:val="100"/>
        </w:rPr>
        <w:t>月获得</w:t>
      </w:r>
      <w:r>
        <w:rPr>
          <w:rFonts w:ascii="Times New Roman" w:hAnsi="Times New Roman" w:cs="Times New Roman" w:eastAsia="Times New Roman" w:hint="default"/>
          <w:spacing w:val="-6"/>
          <w:w w:val="100"/>
        </w:rPr>
        <w:t>“</w:t>
      </w:r>
      <w:r>
        <w:rPr>
          <w:spacing w:val="-6"/>
          <w:w w:val="100"/>
        </w:rPr>
        <w:t>江苏省十大青年科技之星</w:t>
      </w:r>
      <w:r>
        <w:rPr>
          <w:rFonts w:ascii="Times New Roman" w:hAnsi="Times New Roman" w:cs="Times New Roman" w:eastAsia="Times New Roman" w:hint="default"/>
          <w:spacing w:val="-6"/>
          <w:w w:val="100"/>
        </w:rPr>
        <w:t>”</w:t>
      </w:r>
      <w:r>
        <w:rPr>
          <w:spacing w:val="-6"/>
          <w:w w:val="100"/>
        </w:rPr>
        <w:t>称号。现任本公司独立董事。</w:t>
      </w:r>
    </w:p>
    <w:p>
      <w:pPr>
        <w:pStyle w:val="BodyText"/>
        <w:spacing w:line="256" w:lineRule="auto" w:before="154"/>
        <w:ind w:right="0" w:firstLine="420"/>
        <w:jc w:val="left"/>
      </w:pPr>
      <w:r>
        <w:rPr>
          <w:spacing w:val="-5"/>
        </w:rPr>
        <w:t>（</w:t>
      </w:r>
      <w:r>
        <w:rPr>
          <w:rFonts w:ascii="Times New Roman" w:hAnsi="Times New Roman" w:cs="Times New Roman" w:eastAsia="Times New Roman" w:hint="default"/>
          <w:spacing w:val="-5"/>
        </w:rPr>
        <w:t>7</w:t>
      </w:r>
      <w:r>
        <w:rPr>
          <w:spacing w:val="-5"/>
        </w:rPr>
        <w:t>）吕忆农：男，</w:t>
      </w:r>
      <w:r>
        <w:rPr>
          <w:rFonts w:ascii="Times New Roman" w:hAnsi="Times New Roman" w:cs="Times New Roman" w:eastAsia="Times New Roman" w:hint="default"/>
          <w:spacing w:val="-5"/>
        </w:rPr>
        <w:t>1962</w:t>
      </w:r>
      <w:r>
        <w:rPr>
          <w:spacing w:val="-5"/>
        </w:rPr>
        <w:t>年</w:t>
      </w:r>
      <w:r>
        <w:rPr>
          <w:rFonts w:ascii="Times New Roman" w:hAnsi="Times New Roman" w:cs="Times New Roman" w:eastAsia="Times New Roman" w:hint="default"/>
          <w:spacing w:val="-5"/>
        </w:rPr>
        <w:t>7</w:t>
      </w:r>
      <w:r>
        <w:rPr>
          <w:spacing w:val="-5"/>
        </w:rPr>
        <w:t>月出生，中国籍，无永久境外居留权，研究生学历。毕业于南京化工学院，</w:t>
      </w:r>
      <w:r>
        <w:rPr>
          <w:w w:val="100"/>
        </w:rPr>
        <w:t> </w:t>
      </w:r>
      <w:r>
        <w:rPr>
          <w:spacing w:val="-2"/>
        </w:rPr>
        <w:t>历任南京化工学院助教、讲师、副教授，现任南京工业大学教授。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月至今担任四川金顶（集团）</w:t>
      </w:r>
      <w:r>
        <w:rPr>
          <w:spacing w:val="-17"/>
        </w:rPr>
        <w:t> </w:t>
      </w:r>
      <w:r>
        <w:rPr>
          <w:spacing w:val="-17"/>
        </w:rPr>
      </w:r>
      <w:r>
        <w:rPr/>
        <w:t>股份有限公司独立董事。现任本公司独立董事。</w:t>
      </w:r>
    </w:p>
    <w:p>
      <w:pPr>
        <w:pStyle w:val="BodyText"/>
        <w:spacing w:line="240" w:lineRule="auto" w:before="178"/>
        <w:ind w:left="572" w:right="0"/>
        <w:jc w:val="left"/>
      </w:pPr>
      <w:r>
        <w:rPr>
          <w:rFonts w:ascii="Times New Roman" w:hAnsi="Times New Roman" w:cs="Times New Roman" w:eastAsia="Times New Roman" w:hint="default"/>
        </w:rPr>
        <w:t>2</w:t>
      </w:r>
      <w:r>
        <w:rPr/>
        <w:t>、监事</w:t>
      </w:r>
    </w:p>
    <w:p>
      <w:pPr>
        <w:pStyle w:val="BodyText"/>
        <w:spacing w:line="256" w:lineRule="auto" w:before="177"/>
        <w:ind w:right="0" w:firstLine="420"/>
        <w:jc w:val="left"/>
      </w:pPr>
      <w:r>
        <w:rPr>
          <w:spacing w:val="-3"/>
        </w:rPr>
        <w:t>（</w:t>
      </w:r>
      <w:r>
        <w:rPr>
          <w:rFonts w:ascii="Times New Roman" w:hAnsi="Times New Roman" w:cs="Times New Roman" w:eastAsia="Times New Roman" w:hint="default"/>
          <w:spacing w:val="-3"/>
        </w:rPr>
        <w:t>1</w:t>
      </w:r>
      <w:r>
        <w:rPr>
          <w:spacing w:val="-3"/>
        </w:rPr>
        <w:t>）金叶：女，</w:t>
      </w:r>
      <w:r>
        <w:rPr>
          <w:rFonts w:ascii="Times New Roman" w:hAnsi="Times New Roman" w:cs="Times New Roman" w:eastAsia="Times New Roman" w:hint="default"/>
          <w:spacing w:val="-3"/>
        </w:rPr>
        <w:t>1987</w:t>
      </w:r>
      <w:r>
        <w:rPr>
          <w:spacing w:val="-3"/>
        </w:rPr>
        <w:t>年</w:t>
      </w:r>
      <w:r>
        <w:rPr>
          <w:rFonts w:ascii="Times New Roman" w:hAnsi="Times New Roman" w:cs="Times New Roman" w:eastAsia="Times New Roman" w:hint="default"/>
          <w:spacing w:val="-3"/>
        </w:rPr>
        <w:t>1</w:t>
      </w:r>
      <w:r>
        <w:rPr>
          <w:spacing w:val="-3"/>
        </w:rPr>
        <w:t>月出生，中国籍，无永久境外居留权，本科学历。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月为</w:t>
      </w:r>
      <w:r>
        <w:rPr>
          <w:w w:val="100"/>
        </w:rPr>
        <w:t> </w:t>
      </w:r>
      <w:r>
        <w:rPr/>
        <w:t>宿迁市彩塑包装有限公司员工。现任本公司监事会主席。</w:t>
      </w:r>
    </w:p>
    <w:p>
      <w:pPr>
        <w:pStyle w:val="BodyText"/>
        <w:spacing w:line="256" w:lineRule="auto" w:before="178"/>
        <w:ind w:right="0" w:firstLine="420"/>
        <w:jc w:val="left"/>
      </w:pPr>
      <w:r>
        <w:rPr>
          <w:spacing w:val="-3"/>
        </w:rPr>
        <w:t>（</w:t>
      </w:r>
      <w:r>
        <w:rPr>
          <w:rFonts w:ascii="Times New Roman" w:hAnsi="Times New Roman" w:cs="Times New Roman" w:eastAsia="Times New Roman" w:hint="default"/>
          <w:spacing w:val="-3"/>
        </w:rPr>
        <w:t>2</w:t>
      </w:r>
      <w:r>
        <w:rPr>
          <w:spacing w:val="-3"/>
        </w:rPr>
        <w:t>）李平：女，</w:t>
      </w:r>
      <w:r>
        <w:rPr>
          <w:rFonts w:ascii="Times New Roman" w:hAnsi="Times New Roman" w:cs="Times New Roman" w:eastAsia="Times New Roman" w:hint="default"/>
          <w:spacing w:val="-3"/>
        </w:rPr>
        <w:t>1983</w:t>
      </w:r>
      <w:r>
        <w:rPr>
          <w:spacing w:val="-3"/>
        </w:rPr>
        <w:t>年</w:t>
      </w:r>
      <w:r>
        <w:rPr>
          <w:rFonts w:ascii="Times New Roman" w:hAnsi="Times New Roman" w:cs="Times New Roman" w:eastAsia="Times New Roman" w:hint="default"/>
          <w:spacing w:val="-3"/>
        </w:rPr>
        <w:t>6</w:t>
      </w:r>
      <w:r>
        <w:rPr>
          <w:spacing w:val="-3"/>
        </w:rPr>
        <w:t>月出生，中国籍，无永久境外居留权，专科学历。</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月担</w:t>
      </w:r>
      <w:r>
        <w:rPr>
          <w:w w:val="100"/>
        </w:rPr>
        <w:t> </w:t>
      </w:r>
      <w:r>
        <w:rPr/>
        <w:t>任宿迁市彩塑包装有限公司人力资源部部长。现任本公司监事。</w:t>
      </w:r>
    </w:p>
    <w:p>
      <w:pPr>
        <w:pStyle w:val="BodyText"/>
        <w:spacing w:line="256" w:lineRule="auto" w:before="178"/>
        <w:ind w:right="0" w:firstLine="420"/>
        <w:jc w:val="left"/>
      </w:pPr>
      <w:r>
        <w:rPr/>
        <w:t>（</w:t>
      </w:r>
      <w:r>
        <w:rPr>
          <w:rFonts w:ascii="Times New Roman" w:hAnsi="Times New Roman" w:cs="Times New Roman" w:eastAsia="Times New Roman" w:hint="default"/>
        </w:rPr>
        <w:t>3</w:t>
      </w:r>
      <w:r>
        <w:rPr/>
        <w:t>）郑卫：男，</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月出生，中国籍，无永久境外居留权，本科学历。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w w:val="100"/>
        </w:rPr>
        <w:t> </w:t>
      </w:r>
      <w:r>
        <w:rPr/>
        <w:t>为宿迁市彩塑包装有限公司员工。现任本公司监事。</w:t>
      </w:r>
    </w:p>
    <w:p>
      <w:pPr>
        <w:pStyle w:val="BodyText"/>
        <w:spacing w:line="240" w:lineRule="auto" w:before="178"/>
        <w:ind w:left="572" w:right="0"/>
        <w:jc w:val="left"/>
      </w:pPr>
      <w:r>
        <w:rPr>
          <w:rFonts w:ascii="Times New Roman" w:hAnsi="Times New Roman" w:cs="Times New Roman" w:eastAsia="Times New Roman" w:hint="default"/>
        </w:rPr>
        <w:t>3</w:t>
      </w:r>
      <w:r>
        <w:rPr/>
        <w:t>、高级管理人员</w:t>
      </w:r>
    </w:p>
    <w:p>
      <w:pPr>
        <w:pStyle w:val="BodyText"/>
        <w:spacing w:line="240" w:lineRule="auto" w:before="177"/>
        <w:ind w:left="572" w:right="0"/>
        <w:jc w:val="left"/>
      </w:pPr>
      <w:r>
        <w:rPr/>
        <w:t>（</w:t>
      </w:r>
      <w:r>
        <w:rPr>
          <w:rFonts w:ascii="Times New Roman" w:hAnsi="Times New Roman" w:cs="Times New Roman" w:eastAsia="Times New Roman" w:hint="default"/>
        </w:rPr>
        <w:t>1</w:t>
      </w:r>
      <w:r>
        <w:rPr/>
        <w:t>）吴培服：请参见</w:t>
      </w:r>
      <w:r>
        <w:rPr>
          <w:rFonts w:ascii="Times New Roman" w:hAnsi="Times New Roman" w:cs="Times New Roman" w:eastAsia="Times New Roman" w:hint="default"/>
        </w:rPr>
        <w:t>“</w:t>
      </w:r>
      <w:r>
        <w:rPr/>
        <w:t>第三节第三（二）控股股东和实际控制人情况</w:t>
      </w:r>
      <w:r>
        <w:rPr>
          <w:rFonts w:ascii="Times New Roman" w:hAnsi="Times New Roman" w:cs="Times New Roman" w:eastAsia="Times New Roman" w:hint="default"/>
        </w:rPr>
        <w:t>”</w:t>
      </w:r>
      <w:r>
        <w:rPr/>
        <w:t>。</w:t>
      </w:r>
    </w:p>
    <w:p>
      <w:pPr>
        <w:pStyle w:val="BodyText"/>
        <w:spacing w:line="240" w:lineRule="auto" w:before="177"/>
        <w:ind w:left="572" w:right="0"/>
        <w:jc w:val="left"/>
      </w:pPr>
      <w:r>
        <w:rPr/>
        <w:t>（</w:t>
      </w:r>
      <w:r>
        <w:rPr>
          <w:rFonts w:ascii="Times New Roman" w:hAnsi="Times New Roman" w:cs="Times New Roman" w:eastAsia="Times New Roman" w:hint="default"/>
        </w:rPr>
        <w:t>2</w:t>
      </w:r>
      <w:r>
        <w:rPr/>
        <w:t>）吴迪：</w:t>
      </w:r>
      <w:r>
        <w:rPr>
          <w:rFonts w:ascii="Times New Roman" w:hAnsi="Times New Roman" w:cs="Times New Roman" w:eastAsia="Times New Roman" w:hint="default"/>
        </w:rPr>
        <w:t>“</w:t>
      </w:r>
      <w:r>
        <w:rPr/>
        <w:t>第四节第一（二）现任董事、监事、高级管理人员最近</w:t>
      </w:r>
      <w:r>
        <w:rPr>
          <w:rFonts w:ascii="Times New Roman" w:hAnsi="Times New Roman" w:cs="Times New Roman" w:eastAsia="Times New Roman" w:hint="default"/>
        </w:rPr>
        <w:t>5</w:t>
      </w:r>
      <w:r>
        <w:rPr/>
        <w:t>年的主要工作经历</w:t>
      </w:r>
      <w:r>
        <w:rPr>
          <w:rFonts w:ascii="Times New Roman" w:hAnsi="Times New Roman" w:cs="Times New Roman" w:eastAsia="Times New Roman" w:hint="default"/>
        </w:rPr>
        <w:t>”</w:t>
      </w:r>
      <w:r>
        <w:rPr/>
        <w:t>。</w:t>
      </w:r>
    </w:p>
    <w:p>
      <w:pPr>
        <w:pStyle w:val="BodyText"/>
        <w:spacing w:line="240" w:lineRule="auto" w:before="177"/>
        <w:ind w:left="572" w:right="0"/>
        <w:jc w:val="left"/>
      </w:pPr>
      <w:r>
        <w:rPr/>
        <w:t>（</w:t>
      </w:r>
      <w:r>
        <w:rPr>
          <w:rFonts w:ascii="Times New Roman" w:hAnsi="Times New Roman" w:cs="Times New Roman" w:eastAsia="Times New Roman" w:hint="default"/>
        </w:rPr>
        <w:t>3</w:t>
      </w:r>
      <w:r>
        <w:rPr/>
        <w:t>）周海燕：</w:t>
      </w:r>
      <w:r>
        <w:rPr>
          <w:rFonts w:ascii="Times New Roman" w:hAnsi="Times New Roman" w:cs="Times New Roman" w:eastAsia="Times New Roman" w:hint="default"/>
        </w:rPr>
        <w:t>“</w:t>
      </w:r>
      <w:r>
        <w:rPr/>
        <w:t>第四节第一（二）现任董事、监事、高级管理人员最近</w:t>
      </w:r>
      <w:r>
        <w:rPr>
          <w:rFonts w:ascii="Times New Roman" w:hAnsi="Times New Roman" w:cs="Times New Roman" w:eastAsia="Times New Roman" w:hint="default"/>
        </w:rPr>
        <w:t>5</w:t>
      </w:r>
      <w:r>
        <w:rPr/>
        <w:t>年的主要工作经历</w:t>
      </w:r>
      <w:r>
        <w:rPr>
          <w:rFonts w:ascii="Times New Roman" w:hAnsi="Times New Roman" w:cs="Times New Roman" w:eastAsia="Times New Roman" w:hint="default"/>
        </w:rPr>
        <w:t>”</w:t>
      </w:r>
      <w:r>
        <w:rPr/>
        <w:t>。</w:t>
      </w:r>
    </w:p>
    <w:p>
      <w:pPr>
        <w:pStyle w:val="BodyText"/>
        <w:spacing w:line="256" w:lineRule="auto" w:before="177"/>
        <w:ind w:right="0" w:firstLine="420"/>
        <w:jc w:val="left"/>
      </w:pPr>
      <w:r>
        <w:rPr>
          <w:spacing w:val="-3"/>
        </w:rPr>
        <w:t>（</w:t>
      </w:r>
      <w:r>
        <w:rPr>
          <w:rFonts w:ascii="Times New Roman" w:hAnsi="Times New Roman" w:cs="Times New Roman" w:eastAsia="Times New Roman" w:hint="default"/>
          <w:spacing w:val="-3"/>
        </w:rPr>
        <w:t>4</w:t>
      </w:r>
      <w:r>
        <w:rPr>
          <w:spacing w:val="-3"/>
        </w:rPr>
        <w:t>）潘建忠：男，</w:t>
      </w:r>
      <w:r>
        <w:rPr>
          <w:rFonts w:ascii="Times New Roman" w:hAnsi="Times New Roman" w:cs="Times New Roman" w:eastAsia="Times New Roman" w:hint="default"/>
          <w:spacing w:val="-3"/>
        </w:rPr>
        <w:t>1972</w:t>
      </w:r>
      <w:r>
        <w:rPr>
          <w:spacing w:val="-3"/>
        </w:rPr>
        <w:t>年</w:t>
      </w:r>
      <w:r>
        <w:rPr>
          <w:rFonts w:ascii="Times New Roman" w:hAnsi="Times New Roman" w:cs="Times New Roman" w:eastAsia="Times New Roman" w:hint="default"/>
          <w:spacing w:val="-3"/>
        </w:rPr>
        <w:t>11</w:t>
      </w:r>
      <w:r>
        <w:rPr>
          <w:spacing w:val="-3"/>
        </w:rPr>
        <w:t>月出生，中国籍，本科学历。历任宁波包装材料有限公司技术部副经理、</w:t>
      </w:r>
      <w:r>
        <w:rPr>
          <w:w w:val="100"/>
        </w:rPr>
        <w:t> </w:t>
      </w:r>
      <w:r>
        <w:rPr/>
        <w:t>江苏琼花集团副总经理、宿迁市彩塑包装有限公司副总经理。现任本公司副总经理。</w:t>
      </w:r>
    </w:p>
    <w:p>
      <w:pPr>
        <w:pStyle w:val="BodyText"/>
        <w:spacing w:line="256" w:lineRule="auto" w:before="178"/>
        <w:ind w:right="0" w:firstLine="420"/>
        <w:jc w:val="left"/>
      </w:pPr>
      <w:r>
        <w:rPr>
          <w:spacing w:val="-3"/>
        </w:rPr>
        <w:t>（</w:t>
      </w:r>
      <w:r>
        <w:rPr>
          <w:rFonts w:ascii="Times New Roman" w:hAnsi="Times New Roman" w:cs="Times New Roman" w:eastAsia="Times New Roman" w:hint="default"/>
          <w:spacing w:val="-3"/>
        </w:rPr>
        <w:t>5</w:t>
      </w:r>
      <w:r>
        <w:rPr>
          <w:spacing w:val="-3"/>
        </w:rPr>
        <w:t>）邹兆云：男，</w:t>
      </w:r>
      <w:r>
        <w:rPr>
          <w:rFonts w:ascii="Times New Roman" w:hAnsi="Times New Roman" w:cs="Times New Roman" w:eastAsia="Times New Roman" w:hint="default"/>
          <w:spacing w:val="-3"/>
        </w:rPr>
        <w:t>1966</w:t>
      </w:r>
      <w:r>
        <w:rPr>
          <w:spacing w:val="-3"/>
        </w:rPr>
        <w:t>年</w:t>
      </w:r>
      <w:r>
        <w:rPr>
          <w:rFonts w:ascii="Times New Roman" w:hAnsi="Times New Roman" w:cs="Times New Roman" w:eastAsia="Times New Roman" w:hint="default"/>
          <w:spacing w:val="-3"/>
        </w:rPr>
        <w:t>4</w:t>
      </w:r>
      <w:r>
        <w:rPr>
          <w:spacing w:val="-3"/>
        </w:rPr>
        <w:t>月出生，中国籍，高中学历。历任宿迁市卫生局员工、宿迁市彩塑包装有</w:t>
      </w:r>
      <w:r>
        <w:rPr>
          <w:w w:val="100"/>
        </w:rPr>
        <w:t> </w:t>
      </w:r>
      <w:r>
        <w:rPr/>
        <w:t>限公司副总经理、营销部主管。现任本公司副总经理。</w:t>
      </w:r>
    </w:p>
    <w:p>
      <w:pPr>
        <w:pStyle w:val="BodyText"/>
        <w:spacing w:line="256" w:lineRule="auto" w:before="178"/>
        <w:ind w:right="0" w:firstLine="420"/>
        <w:jc w:val="left"/>
      </w:pPr>
      <w:r>
        <w:rPr>
          <w:spacing w:val="-3"/>
        </w:rPr>
        <w:t>（</w:t>
      </w:r>
      <w:r>
        <w:rPr>
          <w:rFonts w:ascii="Times New Roman" w:hAnsi="Times New Roman" w:cs="Times New Roman" w:eastAsia="Times New Roman" w:hint="default"/>
          <w:spacing w:val="-3"/>
        </w:rPr>
        <w:t>6</w:t>
      </w:r>
      <w:r>
        <w:rPr>
          <w:spacing w:val="-3"/>
        </w:rPr>
        <w:t>）杨淑侠：女，</w:t>
      </w:r>
      <w:r>
        <w:rPr>
          <w:rFonts w:ascii="Times New Roman" w:hAnsi="Times New Roman" w:cs="Times New Roman" w:eastAsia="Times New Roman" w:hint="default"/>
          <w:spacing w:val="-3"/>
        </w:rPr>
        <w:t>1966</w:t>
      </w:r>
      <w:r>
        <w:rPr>
          <w:spacing w:val="-3"/>
        </w:rPr>
        <w:t>年</w:t>
      </w:r>
      <w:r>
        <w:rPr>
          <w:rFonts w:ascii="Times New Roman" w:hAnsi="Times New Roman" w:cs="Times New Roman" w:eastAsia="Times New Roman" w:hint="default"/>
          <w:spacing w:val="-3"/>
        </w:rPr>
        <w:t>1</w:t>
      </w:r>
      <w:r>
        <w:rPr>
          <w:spacing w:val="-3"/>
        </w:rPr>
        <w:t>月出生，中国籍，高中学历。历任宿迁市彩塑包装有限公司副总经理。现</w:t>
      </w:r>
      <w:r>
        <w:rPr>
          <w:w w:val="100"/>
        </w:rPr>
        <w:t> </w:t>
      </w:r>
      <w:r>
        <w:rPr/>
        <w:t>任本公司副总经理。</w:t>
      </w:r>
    </w:p>
    <w:p>
      <w:pPr>
        <w:pStyle w:val="BodyText"/>
        <w:spacing w:line="256" w:lineRule="auto" w:before="178"/>
        <w:ind w:right="0" w:firstLine="420"/>
        <w:jc w:val="left"/>
      </w:pPr>
      <w:r>
        <w:rPr/>
        <w:t>（</w:t>
      </w:r>
      <w:r>
        <w:rPr>
          <w:rFonts w:ascii="Times New Roman" w:hAnsi="Times New Roman" w:cs="Times New Roman" w:eastAsia="Times New Roman" w:hint="default"/>
        </w:rPr>
        <w:t>7</w:t>
      </w:r>
      <w:r>
        <w:rPr/>
        <w:t>）葛林：男，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月出生，中国籍，专科学历。历任宿迁市制鞋总厂车间主任、宿迁市彩塑</w:t>
      </w:r>
      <w:r>
        <w:rPr>
          <w:w w:val="100"/>
        </w:rPr>
        <w:t> </w:t>
      </w:r>
      <w:r>
        <w:rPr/>
        <w:t>包装有限公司副总经理。现任本公司副总经理。</w:t>
      </w:r>
    </w:p>
    <w:p>
      <w:pPr>
        <w:spacing w:after="0" w:line="256" w:lineRule="auto"/>
        <w:jc w:val="left"/>
        <w:sectPr>
          <w:footerReference w:type="default" r:id="rId17"/>
          <w:pgSz w:w="11900" w:h="16840"/>
          <w:pgMar w:footer="982" w:header="746" w:top="1060" w:bottom="1180" w:left="980" w:right="900"/>
          <w:pgNumType w:start="40"/>
        </w:sectPr>
      </w:pPr>
    </w:p>
    <w:p>
      <w:pPr>
        <w:spacing w:line="240" w:lineRule="auto" w:before="10"/>
        <w:rPr>
          <w:rFonts w:ascii="宋体" w:hAnsi="宋体" w:cs="宋体" w:eastAsia="宋体" w:hint="default"/>
          <w:sz w:val="24"/>
          <w:szCs w:val="24"/>
        </w:rPr>
      </w:pPr>
    </w:p>
    <w:p>
      <w:pPr>
        <w:pStyle w:val="BodyText"/>
        <w:spacing w:line="256" w:lineRule="auto" w:before="36"/>
        <w:ind w:right="145" w:firstLine="420"/>
        <w:jc w:val="left"/>
      </w:pPr>
      <w:r>
        <w:rPr>
          <w:spacing w:val="-3"/>
        </w:rPr>
        <w:t>（</w:t>
      </w:r>
      <w:r>
        <w:rPr>
          <w:rFonts w:ascii="Times New Roman" w:hAnsi="Times New Roman" w:cs="Times New Roman" w:eastAsia="Times New Roman" w:hint="default"/>
          <w:spacing w:val="-3"/>
        </w:rPr>
        <w:t>8</w:t>
      </w:r>
      <w:r>
        <w:rPr>
          <w:spacing w:val="-3"/>
        </w:rPr>
        <w:t>）葛俊生：男，</w:t>
      </w:r>
      <w:r>
        <w:rPr>
          <w:rFonts w:ascii="Times New Roman" w:hAnsi="Times New Roman" w:cs="Times New Roman" w:eastAsia="Times New Roman" w:hint="default"/>
          <w:spacing w:val="-3"/>
        </w:rPr>
        <w:t>1967</w:t>
      </w:r>
      <w:r>
        <w:rPr>
          <w:spacing w:val="-3"/>
        </w:rPr>
        <w:t>年</w:t>
      </w:r>
      <w:r>
        <w:rPr>
          <w:rFonts w:ascii="Times New Roman" w:hAnsi="Times New Roman" w:cs="Times New Roman" w:eastAsia="Times New Roman" w:hint="default"/>
          <w:spacing w:val="-3"/>
        </w:rPr>
        <w:t>9</w:t>
      </w:r>
      <w:r>
        <w:rPr>
          <w:spacing w:val="-3"/>
        </w:rPr>
        <w:t>月出生，中国籍，高中学历。历任井头乡副食品厂工人、宿迁市彩塑包装</w:t>
      </w:r>
      <w:r>
        <w:rPr>
          <w:w w:val="100"/>
        </w:rPr>
        <w:t> </w:t>
      </w:r>
      <w:r>
        <w:rPr/>
        <w:t>有限公司副总经理、技术部主管。现任本公司副总经理。</w:t>
      </w:r>
    </w:p>
    <w:p>
      <w:pPr>
        <w:pStyle w:val="BodyText"/>
        <w:spacing w:line="256" w:lineRule="auto" w:before="178"/>
        <w:ind w:right="145" w:firstLine="420"/>
        <w:jc w:val="left"/>
      </w:pPr>
      <w:r>
        <w:rPr/>
        <w:t>（</w:t>
      </w:r>
      <w:r>
        <w:rPr>
          <w:rFonts w:ascii="Times New Roman" w:hAnsi="Times New Roman" w:cs="Times New Roman" w:eastAsia="Times New Roman" w:hint="default"/>
        </w:rPr>
        <w:t>9</w:t>
      </w:r>
      <w:r>
        <w:rPr/>
        <w:t>）陆敬潮：男，</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12</w:t>
      </w:r>
      <w:r>
        <w:rPr/>
        <w:t>月出生，中国籍，初中学历。历任宿迁市水利局职工、宿迁市彩塑包装</w:t>
      </w:r>
      <w:r>
        <w:rPr>
          <w:w w:val="100"/>
        </w:rPr>
        <w:t> </w:t>
      </w:r>
      <w:r>
        <w:rPr/>
        <w:t>有限公司副总经理。现任本公司副总经理。</w:t>
      </w:r>
    </w:p>
    <w:p>
      <w:pPr>
        <w:spacing w:line="240" w:lineRule="auto" w:before="3"/>
        <w:rPr>
          <w:rFonts w:ascii="宋体" w:hAnsi="宋体" w:cs="宋体" w:eastAsia="宋体" w:hint="default"/>
          <w:sz w:val="15"/>
          <w:szCs w:val="15"/>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200"/>
        <w:gridCol w:w="1860"/>
        <w:gridCol w:w="1980"/>
        <w:gridCol w:w="1610"/>
        <w:gridCol w:w="1630"/>
        <w:gridCol w:w="1387"/>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在股东单位是否</w:t>
            </w:r>
            <w:r>
              <w:rPr>
                <w:rFonts w:ascii="宋体" w:hAnsi="宋体" w:cs="宋体" w:eastAsia="宋体" w:hint="default"/>
                <w:w w:val="100"/>
                <w:sz w:val="18"/>
                <w:szCs w:val="18"/>
              </w:rPr>
              <w:t> </w:t>
            </w:r>
            <w:r>
              <w:rPr>
                <w:rFonts w:ascii="宋体" w:hAnsi="宋体" w:cs="宋体" w:eastAsia="宋体" w:hint="default"/>
                <w:sz w:val="18"/>
                <w:szCs w:val="18"/>
              </w:rPr>
              <w:t>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4" w:right="76"/>
              <w:jc w:val="left"/>
              <w:rPr>
                <w:rFonts w:ascii="宋体" w:hAnsi="宋体" w:cs="宋体" w:eastAsia="宋体" w:hint="default"/>
                <w:sz w:val="18"/>
                <w:szCs w:val="18"/>
              </w:rPr>
            </w:pPr>
            <w:r>
              <w:rPr>
                <w:rFonts w:ascii="宋体" w:hAnsi="宋体" w:cs="宋体" w:eastAsia="宋体" w:hint="default"/>
                <w:sz w:val="18"/>
                <w:szCs w:val="18"/>
              </w:rPr>
              <w:t>在其他单位</w:t>
            </w:r>
            <w:r>
              <w:rPr>
                <w:rFonts w:ascii="宋体" w:hAnsi="宋体" w:cs="宋体" w:eastAsia="宋体" w:hint="default"/>
                <w:w w:val="100"/>
                <w:sz w:val="18"/>
                <w:szCs w:val="18"/>
              </w:rPr>
              <w:t> </w:t>
            </w: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69" w:hanging="272"/>
              <w:jc w:val="left"/>
              <w:rPr>
                <w:rFonts w:ascii="宋体" w:hAnsi="宋体" w:cs="宋体" w:eastAsia="宋体" w:hint="default"/>
                <w:sz w:val="18"/>
                <w:szCs w:val="18"/>
              </w:rPr>
            </w:pPr>
            <w:r>
              <w:rPr>
                <w:rFonts w:ascii="宋体" w:hAnsi="宋体" w:cs="宋体" w:eastAsia="宋体" w:hint="default"/>
                <w:sz w:val="18"/>
                <w:szCs w:val="18"/>
              </w:rPr>
              <w:t>在其他单位是否领</w:t>
            </w:r>
            <w:r>
              <w:rPr>
                <w:rFonts w:ascii="宋体" w:hAnsi="宋体" w:cs="宋体" w:eastAsia="宋体" w:hint="default"/>
                <w:w w:val="100"/>
                <w:sz w:val="18"/>
                <w:szCs w:val="18"/>
              </w:rPr>
              <w:t> </w:t>
            </w:r>
            <w:r>
              <w:rPr>
                <w:rFonts w:ascii="宋体" w:hAnsi="宋体" w:cs="宋体" w:eastAsia="宋体" w:hint="default"/>
                <w:sz w:val="18"/>
                <w:szCs w:val="18"/>
              </w:rPr>
              <w:t>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立信会计师事务所合伙人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河南中原内配股份有限公司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南京光一科技股份有限公司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北京中关村科技发展股份有限公司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江苏佳宇资源利用股份有限公司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南京大学常州高新技术研究院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南京工业大学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四川金顶（集团）股份有限公司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三、董事、监事、高级管理人员报酬情况</w:t>
      </w:r>
    </w:p>
    <w:p>
      <w:pPr>
        <w:pStyle w:val="BodyText"/>
        <w:spacing w:line="480" w:lineRule="atLeast" w:before="118"/>
        <w:ind w:left="572" w:right="145" w:hanging="420"/>
        <w:jc w:val="left"/>
      </w:pPr>
      <w:r>
        <w:rPr/>
        <w:t>董事、监事、高级管理人员报酬的决策程序、确定依据</w:t>
      </w:r>
      <w:r>
        <w:rPr>
          <w:w w:val="100"/>
        </w:rPr>
        <w:t> </w:t>
      </w:r>
      <w:r>
        <w:rPr>
          <w:spacing w:val="-2"/>
        </w:rPr>
        <w:t>公司独立董事的津贴为每年</w:t>
      </w:r>
      <w:r>
        <w:rPr>
          <w:rFonts w:ascii="Times New Roman" w:hAnsi="Times New Roman" w:cs="Times New Roman" w:eastAsia="Times New Roman" w:hint="default"/>
          <w:spacing w:val="-2"/>
        </w:rPr>
        <w:t>6</w:t>
      </w:r>
      <w:r>
        <w:rPr>
          <w:spacing w:val="-2"/>
        </w:rPr>
        <w:t>万元</w:t>
      </w:r>
      <w:r>
        <w:rPr>
          <w:rFonts w:ascii="Times New Roman" w:hAnsi="Times New Roman" w:cs="Times New Roman" w:eastAsia="Times New Roman" w:hint="default"/>
          <w:spacing w:val="-2"/>
        </w:rPr>
        <w:t>/</w:t>
      </w:r>
      <w:r>
        <w:rPr>
          <w:spacing w:val="-2"/>
        </w:rPr>
        <w:t>人（税前），根据公司《公司董事、监事及高级管理人员薪酬考核</w:t>
      </w:r>
    </w:p>
    <w:p>
      <w:pPr>
        <w:pStyle w:val="BodyText"/>
        <w:spacing w:line="273" w:lineRule="auto" w:before="19"/>
        <w:ind w:right="145"/>
        <w:jc w:val="left"/>
      </w:pPr>
      <w:r>
        <w:rPr>
          <w:spacing w:val="-3"/>
        </w:rPr>
        <w:t>办法》等相关规定，公司按不同的职务、不同的岗位职责，结合个人工作业绩以及完成任务的情况确认公</w:t>
      </w:r>
      <w:r>
        <w:rPr>
          <w:spacing w:val="2"/>
        </w:rPr>
        <w:t> </w:t>
      </w:r>
      <w:r>
        <w:rPr>
          <w:spacing w:val="2"/>
        </w:rPr>
      </w:r>
      <w:r>
        <w:rPr/>
        <w:t>司高管人员的报酬。</w:t>
      </w:r>
    </w:p>
    <w:p>
      <w:pPr>
        <w:spacing w:line="240" w:lineRule="auto" w:before="1"/>
        <w:rPr>
          <w:rFonts w:ascii="宋体" w:hAnsi="宋体" w:cs="宋体" w:eastAsia="宋体" w:hint="default"/>
          <w:sz w:val="14"/>
          <w:szCs w:val="14"/>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95"/>
        <w:gridCol w:w="1296"/>
        <w:gridCol w:w="1195"/>
        <w:gridCol w:w="1195"/>
        <w:gridCol w:w="1198"/>
        <w:gridCol w:w="1195"/>
        <w:gridCol w:w="1195"/>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 w:right="52"/>
              <w:jc w:val="left"/>
              <w:rPr>
                <w:rFonts w:ascii="宋体" w:hAnsi="宋体" w:cs="宋体" w:eastAsia="宋体" w:hint="default"/>
                <w:sz w:val="18"/>
                <w:szCs w:val="18"/>
              </w:rPr>
            </w:pPr>
            <w:r>
              <w:rPr>
                <w:rFonts w:ascii="宋体" w:hAnsi="宋体" w:cs="宋体" w:eastAsia="宋体" w:hint="default"/>
                <w:sz w:val="18"/>
                <w:szCs w:val="18"/>
              </w:rPr>
              <w:t>从公司获得的</w:t>
            </w:r>
            <w:r>
              <w:rPr>
                <w:rFonts w:ascii="宋体" w:hAnsi="宋体" w:cs="宋体" w:eastAsia="宋体" w:hint="default"/>
                <w:w w:val="100"/>
                <w:sz w:val="18"/>
                <w:szCs w:val="18"/>
              </w:rPr>
              <w:t> </w:t>
            </w:r>
            <w:r>
              <w:rPr>
                <w:rFonts w:ascii="宋体" w:hAnsi="宋体" w:cs="宋体" w:eastAsia="宋体" w:hint="default"/>
                <w:sz w:val="18"/>
                <w:szCs w:val="18"/>
              </w:rPr>
              <w:t>应付报酬总额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w:t>
            </w:r>
            <w:r>
              <w:rPr>
                <w:rFonts w:ascii="宋体" w:hAnsi="宋体" w:cs="宋体" w:eastAsia="宋体" w:hint="default"/>
                <w:w w:val="100"/>
                <w:sz w:val="18"/>
                <w:szCs w:val="18"/>
              </w:rPr>
              <w:t> </w:t>
            </w:r>
            <w:r>
              <w:rPr>
                <w:rFonts w:ascii="宋体" w:hAnsi="宋体" w:cs="宋体" w:eastAsia="宋体" w:hint="default"/>
                <w:sz w:val="18"/>
                <w:szCs w:val="18"/>
              </w:rPr>
              <w:t>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2" w:right="52" w:hanging="180"/>
              <w:jc w:val="left"/>
              <w:rPr>
                <w:rFonts w:ascii="宋体" w:hAnsi="宋体" w:cs="宋体" w:eastAsia="宋体" w:hint="default"/>
                <w:sz w:val="18"/>
                <w:szCs w:val="18"/>
              </w:rPr>
            </w:pPr>
            <w:r>
              <w:rPr>
                <w:rFonts w:ascii="宋体" w:hAnsi="宋体" w:cs="宋体" w:eastAsia="宋体" w:hint="default"/>
                <w:sz w:val="18"/>
                <w:szCs w:val="18"/>
              </w:rPr>
              <w:t>报告期末实际</w:t>
            </w:r>
            <w:r>
              <w:rPr>
                <w:rFonts w:ascii="宋体" w:hAnsi="宋体" w:cs="宋体" w:eastAsia="宋体" w:hint="default"/>
                <w:w w:val="100"/>
                <w:sz w:val="18"/>
                <w:szCs w:val="18"/>
              </w:rPr>
              <w:t> </w:t>
            </w:r>
            <w:r>
              <w:rPr>
                <w:rFonts w:ascii="宋体" w:hAnsi="宋体" w:cs="宋体" w:eastAsia="宋体" w:hint="default"/>
                <w:sz w:val="18"/>
                <w:szCs w:val="18"/>
              </w:rPr>
              <w:t>获得报酬</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吴培服</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4"/>
                <w:sz w:val="18"/>
                <w:szCs w:val="18"/>
              </w:rPr>
              <w:t>董事长、总经理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18.00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1"/>
                <w:sz w:val="18"/>
                <w:szCs w:val="18"/>
              </w:rPr>
              <w:t> </w:t>
            </w:r>
            <w:r>
              <w:rPr>
                <w:rFonts w:ascii="宋体" w:hAnsi="宋体" w:cs="宋体" w:eastAsia="宋体" w:hint="default"/>
                <w:sz w:val="18"/>
                <w:szCs w:val="18"/>
              </w:rPr>
              <w:t>迪</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 w:hanging="80"/>
              <w:jc w:val="left"/>
              <w:rPr>
                <w:rFonts w:ascii="宋体" w:hAnsi="宋体" w:cs="宋体" w:eastAsia="宋体" w:hint="default"/>
                <w:sz w:val="18"/>
                <w:szCs w:val="18"/>
              </w:rPr>
            </w:pPr>
            <w:r>
              <w:rPr>
                <w:rFonts w:ascii="宋体" w:hAnsi="宋体" w:cs="宋体" w:eastAsia="宋体" w:hint="default"/>
                <w:spacing w:val="-4"/>
                <w:sz w:val="18"/>
                <w:szCs w:val="18"/>
              </w:rPr>
              <w:t>董事、董事会秘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书、副总经理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center"/>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195"/>
        <w:gridCol w:w="1296"/>
        <w:gridCol w:w="1195"/>
        <w:gridCol w:w="1195"/>
        <w:gridCol w:w="1198"/>
        <w:gridCol w:w="1195"/>
        <w:gridCol w:w="1195"/>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周海燕</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0"/>
              <w:jc w:val="left"/>
              <w:rPr>
                <w:rFonts w:ascii="宋体" w:hAnsi="宋体" w:cs="宋体" w:eastAsia="宋体" w:hint="default"/>
                <w:sz w:val="18"/>
                <w:szCs w:val="18"/>
              </w:rPr>
            </w:pPr>
            <w:r>
              <w:rPr>
                <w:rFonts w:ascii="宋体" w:hAnsi="宋体" w:cs="宋体" w:eastAsia="宋体" w:hint="default"/>
                <w:sz w:val="18"/>
                <w:szCs w:val="18"/>
              </w:rPr>
              <w:t>董事、副总经</w:t>
            </w:r>
            <w:r>
              <w:rPr>
                <w:rFonts w:ascii="宋体" w:hAnsi="宋体" w:cs="宋体" w:eastAsia="宋体" w:hint="default"/>
                <w:w w:val="100"/>
                <w:sz w:val="18"/>
                <w:szCs w:val="18"/>
              </w:rPr>
              <w:t> </w:t>
            </w:r>
            <w:r>
              <w:rPr>
                <w:rFonts w:ascii="宋体" w:hAnsi="宋体" w:cs="宋体" w:eastAsia="宋体" w:hint="default"/>
                <w:sz w:val="18"/>
                <w:szCs w:val="18"/>
              </w:rPr>
              <w:t>理、财务总监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0"/>
              <w:jc w:val="right"/>
              <w:rPr>
                <w:rFonts w:ascii="Times New Roman" w:hAnsi="Times New Roman" w:cs="Times New Roman" w:eastAsia="Times New Roman" w:hint="default"/>
                <w:sz w:val="18"/>
                <w:szCs w:val="18"/>
              </w:rPr>
            </w:pPr>
            <w:r>
              <w:rPr>
                <w:rFonts w:ascii="Times New Roman"/>
                <w:spacing w:val="-1"/>
                <w:sz w:val="18"/>
              </w:rPr>
              <w:t>15.50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15.50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1"/>
                <w:sz w:val="18"/>
                <w:szCs w:val="18"/>
              </w:rPr>
              <w:t> </w:t>
            </w:r>
            <w:r>
              <w:rPr>
                <w:rFonts w:ascii="宋体" w:hAnsi="宋体" w:cs="宋体" w:eastAsia="宋体" w:hint="default"/>
                <w:sz w:val="18"/>
                <w:szCs w:val="18"/>
              </w:rPr>
              <w:t>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0"/>
              <w:jc w:val="right"/>
              <w:rPr>
                <w:rFonts w:ascii="Times New Roman" w:hAnsi="Times New Roman" w:cs="Times New Roman" w:eastAsia="Times New Roman" w:hint="default"/>
                <w:sz w:val="18"/>
                <w:szCs w:val="18"/>
              </w:rPr>
            </w:pPr>
            <w:r>
              <w:rPr>
                <w:rFonts w:ascii="Times New Roman"/>
                <w:spacing w:val="-1"/>
                <w:sz w:val="18"/>
              </w:rPr>
              <w:t>15.50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15.50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廖家河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5"/>
              <w:jc w:val="right"/>
              <w:rPr>
                <w:rFonts w:ascii="Times New Roman" w:hAnsi="Times New Roman" w:cs="Times New Roman" w:eastAsia="Times New Roman" w:hint="default"/>
                <w:sz w:val="18"/>
                <w:szCs w:val="18"/>
              </w:rPr>
            </w:pPr>
            <w:r>
              <w:rPr>
                <w:rFonts w:ascii="Times New Roman"/>
                <w:spacing w:val="-1"/>
                <w:sz w:val="18"/>
              </w:rPr>
              <w:t>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1"/>
                <w:sz w:val="18"/>
                <w:szCs w:val="18"/>
              </w:rPr>
              <w:t> </w:t>
            </w:r>
            <w:r>
              <w:rPr>
                <w:rFonts w:ascii="宋体" w:hAnsi="宋体" w:cs="宋体" w:eastAsia="宋体" w:hint="default"/>
                <w:sz w:val="18"/>
                <w:szCs w:val="18"/>
              </w:rPr>
              <w:t>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5"/>
              <w:jc w:val="right"/>
              <w:rPr>
                <w:rFonts w:ascii="Times New Roman" w:hAnsi="Times New Roman" w:cs="Times New Roman" w:eastAsia="Times New Roman" w:hint="default"/>
                <w:sz w:val="18"/>
                <w:szCs w:val="18"/>
              </w:rPr>
            </w:pPr>
            <w:r>
              <w:rPr>
                <w:rFonts w:ascii="Times New Roman"/>
                <w:spacing w:val="-1"/>
                <w:sz w:val="18"/>
              </w:rPr>
              <w:t>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吕忆农</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5"/>
              <w:jc w:val="right"/>
              <w:rPr>
                <w:rFonts w:ascii="Times New Roman" w:hAnsi="Times New Roman" w:cs="Times New Roman" w:eastAsia="Times New Roman" w:hint="default"/>
                <w:sz w:val="18"/>
                <w:szCs w:val="18"/>
              </w:rPr>
            </w:pPr>
            <w:r>
              <w:rPr>
                <w:rFonts w:ascii="Times New Roman"/>
                <w:spacing w:val="-1"/>
                <w:sz w:val="18"/>
              </w:rPr>
              <w:t>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叶</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5"/>
              <w:jc w:val="right"/>
              <w:rPr>
                <w:rFonts w:ascii="Times New Roman" w:hAnsi="Times New Roman" w:cs="Times New Roman" w:eastAsia="Times New Roman" w:hint="default"/>
                <w:sz w:val="18"/>
                <w:szCs w:val="18"/>
              </w:rPr>
            </w:pPr>
            <w:r>
              <w:rPr>
                <w:rFonts w:ascii="Times New Roman"/>
                <w:spacing w:val="-1"/>
                <w:sz w:val="18"/>
              </w:rPr>
              <w:t>3.85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1"/>
                <w:sz w:val="18"/>
                <w:szCs w:val="18"/>
              </w:rPr>
              <w:t> </w:t>
            </w:r>
            <w:r>
              <w:rPr>
                <w:rFonts w:ascii="宋体" w:hAnsi="宋体" w:cs="宋体" w:eastAsia="宋体" w:hint="default"/>
                <w:sz w:val="18"/>
                <w:szCs w:val="18"/>
              </w:rPr>
              <w:t>卫</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5"/>
              <w:jc w:val="right"/>
              <w:rPr>
                <w:rFonts w:ascii="Times New Roman" w:hAnsi="Times New Roman" w:cs="Times New Roman" w:eastAsia="Times New Roman" w:hint="default"/>
                <w:sz w:val="18"/>
                <w:szCs w:val="18"/>
              </w:rPr>
            </w:pPr>
            <w:r>
              <w:rPr>
                <w:rFonts w:ascii="Times New Roman"/>
                <w:spacing w:val="-1"/>
                <w:sz w:val="18"/>
              </w:rPr>
              <w:t>5.95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5.95</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1"/>
                <w:sz w:val="18"/>
                <w:szCs w:val="18"/>
              </w:rPr>
              <w:t> </w:t>
            </w:r>
            <w:r>
              <w:rPr>
                <w:rFonts w:ascii="宋体" w:hAnsi="宋体" w:cs="宋体" w:eastAsia="宋体" w:hint="default"/>
                <w:sz w:val="18"/>
                <w:szCs w:val="18"/>
              </w:rPr>
              <w:t>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5"/>
              <w:jc w:val="right"/>
              <w:rPr>
                <w:rFonts w:ascii="Times New Roman" w:hAnsi="Times New Roman" w:cs="Times New Roman" w:eastAsia="Times New Roman" w:hint="default"/>
                <w:sz w:val="18"/>
                <w:szCs w:val="18"/>
              </w:rPr>
            </w:pPr>
            <w:r>
              <w:rPr>
                <w:rFonts w:ascii="Times New Roman"/>
                <w:spacing w:val="-1"/>
                <w:sz w:val="18"/>
              </w:rPr>
              <w:t>4.28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4.28</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潘建忠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0"/>
              <w:jc w:val="right"/>
              <w:rPr>
                <w:rFonts w:ascii="Times New Roman" w:hAnsi="Times New Roman" w:cs="Times New Roman" w:eastAsia="Times New Roman" w:hint="default"/>
                <w:sz w:val="18"/>
                <w:szCs w:val="18"/>
              </w:rPr>
            </w:pPr>
            <w:r>
              <w:rPr>
                <w:rFonts w:ascii="Times New Roman"/>
                <w:spacing w:val="-1"/>
                <w:sz w:val="18"/>
              </w:rPr>
              <w:t>35.40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35.40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邹兆云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0"/>
              <w:jc w:val="right"/>
              <w:rPr>
                <w:rFonts w:ascii="Times New Roman" w:hAnsi="Times New Roman" w:cs="Times New Roman" w:eastAsia="Times New Roman" w:hint="default"/>
                <w:sz w:val="18"/>
                <w:szCs w:val="18"/>
              </w:rPr>
            </w:pPr>
            <w:r>
              <w:rPr>
                <w:rFonts w:ascii="Times New Roman"/>
                <w:spacing w:val="-1"/>
                <w:sz w:val="18"/>
              </w:rPr>
              <w:t>34.46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34.46</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杨淑侠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0"/>
              <w:jc w:val="right"/>
              <w:rPr>
                <w:rFonts w:ascii="Times New Roman" w:hAnsi="Times New Roman" w:cs="Times New Roman" w:eastAsia="Times New Roman" w:hint="default"/>
                <w:sz w:val="18"/>
                <w:szCs w:val="18"/>
              </w:rPr>
            </w:pPr>
            <w:r>
              <w:rPr>
                <w:rFonts w:ascii="Times New Roman"/>
                <w:spacing w:val="-1"/>
                <w:sz w:val="18"/>
              </w:rPr>
              <w:t>15.50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15.50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1"/>
                <w:sz w:val="18"/>
                <w:szCs w:val="18"/>
              </w:rPr>
              <w:t> </w:t>
            </w:r>
            <w:r>
              <w:rPr>
                <w:rFonts w:ascii="宋体" w:hAnsi="宋体" w:cs="宋体" w:eastAsia="宋体" w:hint="default"/>
                <w:sz w:val="18"/>
                <w:szCs w:val="18"/>
              </w:rPr>
              <w:t>林</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0"/>
              <w:jc w:val="right"/>
              <w:rPr>
                <w:rFonts w:ascii="Times New Roman" w:hAnsi="Times New Roman" w:cs="Times New Roman" w:eastAsia="Times New Roman" w:hint="default"/>
                <w:sz w:val="18"/>
                <w:szCs w:val="18"/>
              </w:rPr>
            </w:pPr>
            <w:r>
              <w:rPr>
                <w:rFonts w:ascii="Times New Roman"/>
                <w:spacing w:val="-1"/>
                <w:sz w:val="18"/>
              </w:rPr>
              <w:t>16.00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葛俊生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0"/>
              <w:jc w:val="right"/>
              <w:rPr>
                <w:rFonts w:ascii="Times New Roman" w:hAnsi="Times New Roman" w:cs="Times New Roman" w:eastAsia="Times New Roman" w:hint="default"/>
                <w:sz w:val="18"/>
                <w:szCs w:val="18"/>
              </w:rPr>
            </w:pPr>
            <w:r>
              <w:rPr>
                <w:rFonts w:ascii="Times New Roman"/>
                <w:spacing w:val="-1"/>
                <w:sz w:val="18"/>
              </w:rPr>
              <w:t>15.50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15.50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陆敬潮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0"/>
              <w:jc w:val="right"/>
              <w:rPr>
                <w:rFonts w:ascii="Times New Roman" w:hAnsi="Times New Roman" w:cs="Times New Roman" w:eastAsia="Times New Roman" w:hint="default"/>
                <w:sz w:val="18"/>
                <w:szCs w:val="18"/>
              </w:rPr>
            </w:pPr>
            <w:r>
              <w:rPr>
                <w:rFonts w:ascii="Times New Roman"/>
                <w:spacing w:val="-1"/>
                <w:sz w:val="18"/>
              </w:rPr>
              <w:t>15.30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4"/>
              <w:jc w:val="right"/>
              <w:rPr>
                <w:rFonts w:ascii="Times New Roman" w:hAnsi="Times New Roman" w:cs="Times New Roman" w:eastAsia="Times New Roman" w:hint="default"/>
                <w:sz w:val="18"/>
                <w:szCs w:val="18"/>
              </w:rPr>
            </w:pPr>
            <w:r>
              <w:rPr>
                <w:rFonts w:ascii="Times New Roman"/>
                <w:spacing w:val="-1"/>
                <w:sz w:val="18"/>
              </w:rPr>
              <w:t>225.24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225.24</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2"/>
        <w:spacing w:line="240" w:lineRule="auto"/>
        <w:ind w:right="145"/>
        <w:jc w:val="left"/>
      </w:pPr>
      <w:r>
        <w:rPr/>
        <w:t>四、公司董事、监事、高级管理人员离职和解聘情况</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1318"/>
        <w:gridCol w:w="1330"/>
        <w:gridCol w:w="1330"/>
        <w:gridCol w:w="1330"/>
        <w:gridCol w:w="4248"/>
      </w:tblGrid>
      <w:tr>
        <w:trPr>
          <w:trHeight w:val="401" w:hRule="exact"/>
        </w:trPr>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五、报告期核心技术团队或关键技术人员变动情况（非董事、监事、高级管理人员）</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pStyle w:val="Heading2"/>
        <w:spacing w:line="620" w:lineRule="atLeast" w:before="24"/>
        <w:ind w:left="632" w:right="145" w:hanging="480"/>
        <w:jc w:val="left"/>
      </w:pPr>
      <w:r>
        <w:rPr/>
        <w:t>六、公司员工情况</w:t>
      </w:r>
      <w:r>
        <w:rPr>
          <w:spacing w:val="-117"/>
        </w:rPr>
        <w:t> </w:t>
      </w:r>
      <w:r>
        <w:rPr>
          <w:spacing w:val="-117"/>
        </w:rPr>
      </w:r>
      <w:r>
        <w:rPr>
          <w:spacing w:val="-3"/>
        </w:rPr>
        <w:t>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日，公司在职员工为</w:t>
      </w:r>
      <w:r>
        <w:rPr>
          <w:rFonts w:ascii="Times New Roman" w:hAnsi="Times New Roman" w:cs="Times New Roman" w:eastAsia="Times New Roman" w:hint="default"/>
          <w:spacing w:val="-3"/>
        </w:rPr>
        <w:t>805</w:t>
      </w:r>
      <w:r>
        <w:rPr>
          <w:spacing w:val="-3"/>
        </w:rPr>
        <w:t>人。公司员工的专业结构、受教育程度和年龄</w:t>
      </w:r>
    </w:p>
    <w:p>
      <w:pPr>
        <w:pStyle w:val="Heading2"/>
        <w:spacing w:line="294" w:lineRule="exact"/>
        <w:ind w:right="145"/>
        <w:jc w:val="left"/>
      </w:pPr>
      <w:r>
        <w:rPr/>
        <w:t>分布如下：</w:t>
      </w:r>
    </w:p>
    <w:p>
      <w:pPr>
        <w:pStyle w:val="Heading2"/>
        <w:spacing w:line="240" w:lineRule="auto" w:before="154"/>
        <w:ind w:left="632" w:right="145"/>
        <w:jc w:val="left"/>
      </w:pPr>
      <w:r>
        <w:rPr>
          <w:rFonts w:ascii="Times New Roman" w:hAnsi="Times New Roman" w:cs="Times New Roman" w:eastAsia="Times New Roman" w:hint="default"/>
        </w:rPr>
        <w:t>1</w:t>
      </w:r>
      <w:r>
        <w:rPr/>
        <w:t>、员工专业结构</w:t>
      </w:r>
    </w:p>
    <w:p>
      <w:pPr>
        <w:spacing w:line="240" w:lineRule="auto" w:before="6"/>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767"/>
        <w:gridCol w:w="1920"/>
        <w:gridCol w:w="3343"/>
      </w:tblGrid>
      <w:tr>
        <w:trPr>
          <w:trHeight w:val="356" w:hRule="exact"/>
        </w:trPr>
        <w:tc>
          <w:tcPr>
            <w:tcW w:w="2767" w:type="dxa"/>
            <w:tcBorders>
              <w:top w:val="single" w:sz="6" w:space="0" w:color="000000"/>
              <w:left w:val="single" w:sz="6" w:space="0" w:color="000000"/>
              <w:bottom w:val="single" w:sz="17" w:space="0" w:color="000000"/>
              <w:right w:val="single" w:sz="17" w:space="0" w:color="000000"/>
            </w:tcBorders>
            <w:shd w:val="clear" w:color="auto" w:fill="CCCCCC"/>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岗位类别</w:t>
            </w:r>
          </w:p>
        </w:tc>
        <w:tc>
          <w:tcPr>
            <w:tcW w:w="1920" w:type="dxa"/>
            <w:tcBorders>
              <w:top w:val="single" w:sz="6" w:space="0" w:color="000000"/>
              <w:left w:val="single" w:sz="17" w:space="0" w:color="000000"/>
              <w:bottom w:val="single" w:sz="17" w:space="0" w:color="000000"/>
              <w:right w:val="single" w:sz="17" w:space="0" w:color="000000"/>
            </w:tcBorders>
            <w:shd w:val="clear" w:color="auto" w:fill="CCCCCC"/>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3343" w:type="dxa"/>
            <w:tcBorders>
              <w:top w:val="single" w:sz="6" w:space="0" w:color="000000"/>
              <w:left w:val="single" w:sz="17" w:space="0" w:color="000000"/>
              <w:bottom w:val="single" w:sz="17" w:space="0" w:color="000000"/>
              <w:right w:val="single" w:sz="17" w:space="0" w:color="000000"/>
            </w:tcBorders>
            <w:shd w:val="clear" w:color="auto" w:fill="CCCCCC"/>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所占比例</w:t>
            </w:r>
          </w:p>
        </w:tc>
      </w:tr>
      <w:tr>
        <w:trPr>
          <w:trHeight w:val="373" w:hRule="exact"/>
        </w:trPr>
        <w:tc>
          <w:tcPr>
            <w:tcW w:w="2767" w:type="dxa"/>
            <w:tcBorders>
              <w:top w:val="single" w:sz="17" w:space="0" w:color="000000"/>
              <w:left w:val="single" w:sz="6" w:space="0" w:color="000000"/>
              <w:bottom w:val="single" w:sz="17" w:space="0" w:color="000000"/>
              <w:right w:val="single" w:sz="17"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920" w:type="dxa"/>
            <w:tcBorders>
              <w:top w:val="single" w:sz="22"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92</w:t>
            </w:r>
          </w:p>
        </w:tc>
        <w:tc>
          <w:tcPr>
            <w:tcW w:w="3343" w:type="dxa"/>
            <w:tcBorders>
              <w:top w:val="single" w:sz="22" w:space="0" w:color="000000"/>
              <w:left w:val="single" w:sz="17" w:space="0" w:color="000000"/>
              <w:bottom w:val="single" w:sz="17" w:space="0" w:color="000000"/>
              <w:right w:val="single" w:sz="17"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1"/>
                <w:sz w:val="21"/>
              </w:rPr>
              <w:t>11.43%</w:t>
            </w:r>
          </w:p>
        </w:tc>
      </w:tr>
      <w:tr>
        <w:trPr>
          <w:trHeight w:val="367" w:hRule="exact"/>
        </w:trPr>
        <w:tc>
          <w:tcPr>
            <w:tcW w:w="2767" w:type="dxa"/>
            <w:tcBorders>
              <w:top w:val="single" w:sz="17" w:space="0" w:color="000000"/>
              <w:left w:val="single" w:sz="6" w:space="0" w:color="000000"/>
              <w:bottom w:val="single" w:sz="17" w:space="0" w:color="000000"/>
              <w:right w:val="single" w:sz="17"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销售服务人员</w:t>
            </w:r>
          </w:p>
        </w:tc>
        <w:tc>
          <w:tcPr>
            <w:tcW w:w="1920"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29</w:t>
            </w:r>
          </w:p>
        </w:tc>
        <w:tc>
          <w:tcPr>
            <w:tcW w:w="3343"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1"/>
                <w:sz w:val="21"/>
              </w:rPr>
              <w:t>3.60%</w:t>
            </w:r>
          </w:p>
        </w:tc>
      </w:tr>
      <w:tr>
        <w:trPr>
          <w:trHeight w:val="367" w:hRule="exact"/>
        </w:trPr>
        <w:tc>
          <w:tcPr>
            <w:tcW w:w="2767" w:type="dxa"/>
            <w:tcBorders>
              <w:top w:val="single" w:sz="17" w:space="0" w:color="000000"/>
              <w:left w:val="single" w:sz="6" w:space="0" w:color="000000"/>
              <w:bottom w:val="single" w:sz="17" w:space="0" w:color="000000"/>
              <w:right w:val="single" w:sz="17"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研发及技术人员</w:t>
            </w:r>
          </w:p>
        </w:tc>
        <w:tc>
          <w:tcPr>
            <w:tcW w:w="1920"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245</w:t>
            </w:r>
          </w:p>
        </w:tc>
        <w:tc>
          <w:tcPr>
            <w:tcW w:w="3343"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1"/>
                <w:sz w:val="21"/>
              </w:rPr>
              <w:t>30.43%</w:t>
            </w:r>
          </w:p>
        </w:tc>
      </w:tr>
      <w:tr>
        <w:trPr>
          <w:trHeight w:val="367" w:hRule="exact"/>
        </w:trPr>
        <w:tc>
          <w:tcPr>
            <w:tcW w:w="2767" w:type="dxa"/>
            <w:tcBorders>
              <w:top w:val="single" w:sz="17" w:space="0" w:color="000000"/>
              <w:left w:val="single" w:sz="6" w:space="0" w:color="000000"/>
              <w:bottom w:val="single" w:sz="17" w:space="0" w:color="000000"/>
              <w:right w:val="single" w:sz="17"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920"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10</w:t>
            </w:r>
          </w:p>
        </w:tc>
        <w:tc>
          <w:tcPr>
            <w:tcW w:w="3343"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1"/>
                <w:sz w:val="21"/>
              </w:rPr>
              <w:t>1.24%</w:t>
            </w:r>
          </w:p>
        </w:tc>
      </w:tr>
    </w:tbl>
    <w:p>
      <w:pPr>
        <w:spacing w:after="0" w:line="240" w:lineRule="auto"/>
        <w:jc w:val="right"/>
        <w:rPr>
          <w:rFonts w:ascii="Times New Roman" w:hAnsi="Times New Roman" w:cs="Times New Roman" w:eastAsia="Times New Roman" w:hint="default"/>
          <w:sz w:val="21"/>
          <w:szCs w:val="21"/>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60.359196pt;margin-top:489.518951pt;width:368.9pt;height:238.2pt;mso-position-horizontal-relative:page;mso-position-vertical-relative:page;z-index:-686992" coordorigin="1207,9790" coordsize="7378,4764">
            <v:group style="position:absolute;left:4342;top:11454;width:660;height:466" coordorigin="4342,11454" coordsize="660,466">
              <v:shape style="position:absolute;left:4342;top:11454;width:660;height:466" coordorigin="4342,11454" coordsize="660,466" path="m4745,11454l4342,11454,4342,11919,5002,11482,4942,11468,4776,11468,4745,11454xe" filled="true" fillcolor="#ff0000" stroked="false">
                <v:path arrowok="t"/>
                <v:fill type="solid"/>
              </v:shape>
            </v:group>
            <v:group style="position:absolute;left:4342;top:11454;width:660;height:466" coordorigin="4342,11454" coordsize="660,466">
              <v:shape style="position:absolute;left:4342;top:11454;width:660;height:466" coordorigin="4342,11454" coordsize="660,466" path="m4342,11454l4745,11454,4776,11468,4942,11468,5002,11482,4342,11919,4342,11454xe" filled="false" stroked="true" strokeweight=".719475pt" strokecolor="#000000">
                <v:path arrowok="t"/>
              </v:shape>
            </v:group>
            <v:group style="position:absolute;left:6005;top:11934;width:255;height:718" coordorigin="6005,11934" coordsize="255,718">
              <v:shape style="position:absolute;left:6005;top:11934;width:255;height:718" coordorigin="6005,11934" coordsize="255,718" path="m6259,11934l6245,11948,6245,11974,6230,11989,6216,12018,6199,12032,6170,12061,6139,12073,6110,12087,6096,12102,6065,12116,6036,12130,6005,12145,6005,12651,6036,12637,6065,12625,6096,12610,6110,12596,6139,12582,6170,12567,6199,12538,6216,12524,6230,12498,6245,12483,6245,12454,6259,12440,6259,11934xe" filled="true" fillcolor="#7f7f00" stroked="false">
                <v:path arrowok="t"/>
                <v:fill type="solid"/>
              </v:shape>
            </v:group>
            <v:group style="position:absolute;left:6005;top:11919;width:255;height:732" coordorigin="6005,11919" coordsize="255,732">
              <v:shape style="position:absolute;left:6005;top:11919;width:255;height:732" coordorigin="6005,11919" coordsize="255,732" path="m6259,11919l6259,11934,6245,11948,6245,11974,6230,11989,6216,12018,6199,12032,6185,12046,6170,12061,6139,12073,6110,12087,6096,12102,6065,12116,6036,12130,6005,12145,6005,12651,6036,12637,6065,12625,6096,12610,6110,12596,6139,12582,6170,12567,6185,12553,6199,12538,6216,12524,6230,12498,6245,12483,6245,12454,6259,12440,6259,11919xe" filled="false" stroked="true" strokeweight=".744671pt" strokecolor="#000000">
                <v:path arrowok="t"/>
              </v:shape>
            </v:group>
            <v:group style="position:absolute;left:4342;top:11482;width:1918;height:663" coordorigin="4342,11482" coordsize="1918,663">
              <v:shape style="position:absolute;left:4342;top:11482;width:1918;height:663" coordorigin="4342,11482" coordsize="1918,663" path="m5062,11482l5002,11482,4342,11919,6005,12145,6036,12130,6065,12116,6096,12102,6110,12087,6139,12073,6170,12061,6199,12032,6216,12018,6230,11989,6245,11974,6245,11960,6259,11934,6259,11890,6245,11876,6245,11862,6230,11847,6216,11821,6199,11806,6156,11763,6125,11749,6110,11734,6079,11722,6022,11694,5990,11679,5945,11665,5916,11650,5825,11622,5782,11610,5690,11581,5676,11581,5630,11566,5570,11552,5525,11552,5465,11538,5422,11523,5362,11523,5302,11511,5242,11511,5182,11497,5122,11497,5062,11482xe" filled="true" fillcolor="#ffff00" stroked="false">
                <v:path arrowok="t"/>
                <v:fill type="solid"/>
              </v:shape>
            </v:group>
            <v:group style="position:absolute;left:4342;top:11482;width:1918;height:663" coordorigin="4342,11482" coordsize="1918,663">
              <v:shape style="position:absolute;left:4342;top:11482;width:1918;height:663" coordorigin="4342,11482" coordsize="1918,663" path="m5002,11482l5062,11482,5122,11497,5182,11497,5242,11511,5302,11511,5362,11523,5422,11523,5465,11538,5525,11552,5570,11552,5630,11566,5676,11581,5690,11581,5736,11595,5782,11610,5825,11622,5870,11636,5916,11650,5945,11665,5990,11679,6022,11694,6050,11708,6079,11722,6110,11734,6125,11749,6156,11763,6170,11778,6185,11792,6199,11806,6216,11821,6230,11847,6245,11862,6245,11876,6259,11890,6259,11934,6245,11960,6245,11974,6230,11989,6216,12018,6199,12032,6185,12046,6170,12061,6139,12073,6110,12087,6096,12102,6065,12116,6036,12130,6005,12145,4342,11919,5002,11482xe" filled="false" stroked="true" strokeweight=".709317pt" strokecolor="#000000">
                <v:path arrowok="t"/>
              </v:shape>
            </v:group>
            <v:group style="position:absolute;left:2436;top:11960;width:3569;height:932" coordorigin="2436,11960" coordsize="3569,932">
              <v:shape style="position:absolute;left:2436;top:11960;width:3569;height:932" coordorigin="2436,11960" coordsize="3569,932" path="m4610,12877l4085,12877,4145,12891,4550,12891,4610,12877xe" filled="true" fillcolor="#4c6500" stroked="false">
                <v:path arrowok="t"/>
                <v:fill type="solid"/>
              </v:shape>
              <v:shape style="position:absolute;left:2436;top:11960;width:3569;height:932" coordorigin="2436,11960" coordsize="3569,932" path="m4865,12862l3816,12862,3876,12877,4805,12877,4865,12862xe" filled="true" fillcolor="#4c6500" stroked="false">
                <v:path arrowok="t"/>
                <v:fill type="solid"/>
              </v:shape>
              <v:shape style="position:absolute;left:2436;top:11960;width:3569;height:932" coordorigin="2436,11960" coordsize="3569,932" path="m5062,12850l3622,12850,3696,12862,5002,12862,5062,12850xe" filled="true" fillcolor="#4c6500" stroked="false">
                <v:path arrowok="t"/>
                <v:fill type="solid"/>
              </v:shape>
              <v:shape style="position:absolute;left:2436;top:11960;width:3569;height:932" coordorigin="2436,11960" coordsize="3569,932" path="m5182,12836l3502,12836,3562,12850,5122,12850,5182,12836xe" filled="true" fillcolor="#4c6500" stroked="false">
                <v:path arrowok="t"/>
                <v:fill type="solid"/>
              </v:shape>
              <v:shape style="position:absolute;left:2436;top:11960;width:3569;height:932" coordorigin="2436,11960" coordsize="3569,932" path="m5302,12822l3382,12822,3442,12836,5242,12836,5302,12822xe" filled="true" fillcolor="#4c6500" stroked="false">
                <v:path arrowok="t"/>
                <v:fill type="solid"/>
              </v:shape>
              <v:shape style="position:absolute;left:2436;top:11960;width:3569;height:932" coordorigin="2436,11960" coordsize="3569,932" path="m5465,12793l3216,12793,3336,12822,5362,12822,5422,12807,5465,12793xe" filled="true" fillcolor="#4c6500" stroked="false">
                <v:path arrowok="t"/>
                <v:fill type="solid"/>
              </v:shape>
              <v:shape style="position:absolute;left:2436;top:11960;width:3569;height:932" coordorigin="2436,11960" coordsize="3569,932" path="m5676,12750l3022,12750,3067,12764,3110,12778,3170,12793,5525,12793,5570,12778,5630,12764,5676,12750xe" filled="true" fillcolor="#4c6500" stroked="false">
                <v:path arrowok="t"/>
                <v:fill type="solid"/>
              </v:shape>
              <v:shape style="position:absolute;left:2436;top:11960;width:3569;height:932" coordorigin="2436,11960" coordsize="3569,932" path="m2436,11960l2436,12469,2450,12483,2467,12498,2482,12524,2510,12553,2527,12567,2542,12582,2570,12596,2602,12610,2630,12625,2662,12637,2690,12651,2722,12666,2767,12680,2796,12694,2887,12723,2916,12738,2976,12750,5722,12750,5765,12738,5856,12709,5885,12694,5930,12680,5962,12666,6005,12651,6005,12385,4145,12385,4085,12370,3876,12370,3816,12356,3696,12356,3622,12342,3562,12342,3502,12327,3442,12327,3382,12313,3336,12313,3276,12298,3216,12286,3170,12286,3110,12272,3067,12258,3022,12243,2976,12243,2916,12229,2887,12214,2796,12186,2767,12174,2722,12159,2690,12145,2662,12130,2630,12116,2602,12102,2570,12087,2542,12073,2527,12061,2510,12046,2482,12018,2467,11989,2450,11974,2436,11960xe" filled="true" fillcolor="#4c6500" stroked="false">
                <v:path arrowok="t"/>
                <v:fill type="solid"/>
              </v:shape>
              <v:shape style="position:absolute;left:2436;top:11960;width:3569;height:932" coordorigin="2436,11960" coordsize="3569,932" path="m6005,12145l5962,12159,5930,12174,5885,12186,5856,12200,5765,12229,5722,12243,5676,12243,5630,12258,5570,12272,5525,12286,5465,12286,5422,12298,5362,12313,5302,12313,5242,12327,5182,12327,5122,12342,5062,12342,5002,12356,4865,12356,4805,12370,4610,12370,4550,12385,6005,12385,6005,12145xe" filled="true" fillcolor="#4c6500" stroked="false">
                <v:path arrowok="t"/>
                <v:fill type="solid"/>
              </v:shape>
            </v:group>
            <v:group style="position:absolute;left:2436;top:11919;width:3569;height:972" coordorigin="2436,11919" coordsize="3569,972">
              <v:shape style="position:absolute;left:2436;top:11919;width:3569;height:972" coordorigin="2436,11919" coordsize="3569,972" path="m6005,12145l5962,12159,5930,12174,5885,12186,5856,12200,5810,12214,5765,12229,5722,12243,5676,12243,5630,12258,5570,12272,5525,12286,5465,12286,5422,12298,5362,12313,5302,12313,5242,12327,5182,12327,5122,12342,5062,12342,5002,12356,4865,12356,4805,12370,4610,12370,4550,12385,4145,12385,4085,12370,3876,12370,3816,12356,3696,12356,3622,12342,3562,12342,3502,12327,3442,12327,3382,12313,3336,12313,3276,12298,3216,12286,3170,12286,3110,12272,3067,12258,3022,12243,2976,12243,2916,12229,2887,12214,2842,12200,2796,12186,2767,12174,2722,12159,2690,12145,2662,12130,2630,12116,2602,12102,2570,12087,2542,12073,2527,12061,2510,12046,2496,12032,2482,12018,2467,11989,2450,11974,2436,11960,2436,11919,2436,12469,2450,12483,2467,12498,2482,12524,2496,12538,2510,12553,2527,12567,2542,12582,2570,12596,2602,12610,2630,12625,2662,12637,2690,12651,2722,12666,2767,12680,2796,12694,2842,12709,2887,12723,2916,12738,2976,12750,3022,12750,3067,12764,3110,12778,3170,12793,3216,12793,3276,12807,3336,12822,3382,12822,3442,12836,3502,12836,3562,12850,3622,12850,3696,12862,3816,12862,3876,12877,4085,12877,4145,12891,4550,12891,4610,12877,4805,12877,4865,12862,5002,12862,5062,12850,5122,12850,5182,12836,5242,12836,5302,12822,5362,12822,5422,12807,5465,12793,5525,12793,5570,12778,5630,12764,5676,12750,5722,12750,5765,12738,5810,12723,5856,12709,5885,12694,5930,12680,5962,12666,6005,12651,6005,12145xe" filled="false" stroked="true" strokeweight=".707628pt" strokecolor="#000000">
                <v:path arrowok="t"/>
              </v:shape>
            </v:group>
            <v:group style="position:absolute;left:2436;top:11454;width:3569;height:932" coordorigin="2436,11454" coordsize="3569,932">
              <v:shape style="position:absolute;left:2436;top:11454;width:3569;height:932" coordorigin="2436,11454" coordsize="3569,932" path="m4610,12370l4085,12370,4145,12385,4550,12385,4610,12370xe" filled="true" fillcolor="#99cc00" stroked="false">
                <v:path arrowok="t"/>
                <v:fill type="solid"/>
              </v:shape>
              <v:shape style="position:absolute;left:2436;top:11454;width:3569;height:932" coordorigin="2436,11454" coordsize="3569,932" path="m4865,12356l3816,12356,3876,12370,4805,12370,4865,12356xe" filled="true" fillcolor="#99cc00" stroked="false">
                <v:path arrowok="t"/>
                <v:fill type="solid"/>
              </v:shape>
              <v:shape style="position:absolute;left:2436;top:11454;width:3569;height:932" coordorigin="2436,11454" coordsize="3569,932" path="m5062,12342l3622,12342,3696,12356,5002,12356,5062,12342xe" filled="true" fillcolor="#99cc00" stroked="false">
                <v:path arrowok="t"/>
                <v:fill type="solid"/>
              </v:shape>
              <v:shape style="position:absolute;left:2436;top:11454;width:3569;height:932" coordorigin="2436,11454" coordsize="3569,932" path="m5182,12327l3502,12327,3562,12342,5122,12342,5182,12327xe" filled="true" fillcolor="#99cc00" stroked="false">
                <v:path arrowok="t"/>
                <v:fill type="solid"/>
              </v:shape>
              <v:shape style="position:absolute;left:2436;top:11454;width:3569;height:932" coordorigin="2436,11454" coordsize="3569,932" path="m5302,12313l3382,12313,3442,12327,5242,12327,5302,12313xe" filled="true" fillcolor="#99cc00" stroked="false">
                <v:path arrowok="t"/>
                <v:fill type="solid"/>
              </v:shape>
              <v:shape style="position:absolute;left:2436;top:11454;width:3569;height:932" coordorigin="2436,11454" coordsize="3569,932" path="m5465,12286l3216,12286,3276,12298,3336,12313,5362,12313,5422,12298,5465,12286xe" filled="true" fillcolor="#99cc00" stroked="false">
                <v:path arrowok="t"/>
                <v:fill type="solid"/>
              </v:shape>
              <v:shape style="position:absolute;left:2436;top:11454;width:3569;height:932" coordorigin="2436,11454" coordsize="3569,932" path="m5676,12243l3022,12243,3067,12258,3110,12272,3170,12286,5525,12286,5570,12272,5630,12258,5676,12243xe" filled="true" fillcolor="#99cc00" stroked="false">
                <v:path arrowok="t"/>
                <v:fill type="solid"/>
              </v:shape>
              <v:shape style="position:absolute;left:2436;top:11454;width:3569;height:932" coordorigin="2436,11454" coordsize="3569,932" path="m4342,11454l3950,11454,3876,11468,3756,11468,3696,11482,3622,11482,3562,11497,3502,11497,3442,11511,3382,11511,3336,11523,3276,11523,3216,11538,3170,11552,3110,11552,3067,11566,2976,11595,2916,11610,2887,11622,2842,11622,2796,11636,2767,11650,2722,11665,2690,11679,2662,11694,2630,11708,2602,11722,2570,11734,2542,11749,2527,11778,2510,11792,2467,11835,2450,11847,2436,11862,2436,11960,2450,11974,2467,11989,2482,12018,2527,12061,2602,12102,2630,12116,2662,12130,2690,12145,2722,12159,2767,12174,2796,12186,2887,12214,2916,12229,2976,12243,5722,12243,5765,12229,5856,12200,5885,12186,5930,12174,5962,12159,6005,12145,4342,11919,4342,11454xe" filled="true" fillcolor="#99cc00" stroked="false">
                <v:path arrowok="t"/>
                <v:fill type="solid"/>
              </v:shape>
            </v:group>
            <v:group style="position:absolute;left:2436;top:11454;width:3569;height:932" coordorigin="2436,11454" coordsize="3569,932">
              <v:shape style="position:absolute;left:2436;top:11454;width:3569;height:932" coordorigin="2436,11454" coordsize="3569,932" path="m6005,12145l5962,12159,5930,12174,5885,12186,5856,12200,5810,12214,5765,12229,5722,12243,5676,12243,5630,12258,5570,12272,5525,12286,5465,12286,5422,12298,5362,12313,5302,12313,5242,12327,5182,12327,5122,12342,5062,12342,5002,12356,4865,12356,4805,12370,4610,12370,4550,12385,4145,12385,4085,12370,3876,12370,3816,12356,3696,12356,3622,12342,3562,12342,3502,12327,3442,12327,3382,12313,3336,12313,3276,12298,3216,12286,3170,12286,3110,12272,3067,12258,3022,12243,2976,12243,2916,12229,2887,12214,2842,12200,2796,12186,2767,12174,2722,12159,2690,12145,2662,12130,2630,12116,2602,12102,2570,12087,2542,12073,2527,12061,2510,12046,2496,12032,2482,12018,2467,11989,2450,11974,2436,11960,2436,11862,2450,11847,2467,11835,2482,11821,2496,11806,2510,11792,2527,11778,2542,11749,2570,11734,2602,11722,2630,11708,2662,11694,2690,11679,2722,11665,2767,11650,2796,11636,2842,11622,2887,11622,2916,11610,2976,11595,3022,11581,3067,11566,3110,11552,3170,11552,3216,11538,3276,11523,3336,11523,3382,11511,3442,11511,3502,11497,3562,11497,3622,11482,3696,11482,3756,11468,3876,11468,3950,11454,4342,11454,4342,11919,6005,12145xe" filled="false" stroked="true" strokeweight=".707389pt" strokecolor="#000000">
                <v:path arrowok="t"/>
              </v:shape>
              <v:shape style="position:absolute;left:1207;top:9790;width:7378;height:4764" type="#_x0000_t202" filled="false" stroked="true" strokeweight=".718949pt" strokecolor="#000000">
                <v:textbox inset="0,0,0,0">
                  <w:txbxContent>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1"/>
                          <w:szCs w:val="11"/>
                        </w:rPr>
                      </w:pPr>
                    </w:p>
                    <w:p>
                      <w:pPr>
                        <w:spacing w:before="0"/>
                        <w:ind w:left="0" w:right="148" w:firstLine="0"/>
                        <w:jc w:val="center"/>
                        <w:rPr>
                          <w:rFonts w:ascii="宋体" w:hAnsi="宋体" w:cs="宋体" w:eastAsia="宋体" w:hint="default"/>
                          <w:sz w:val="17"/>
                          <w:szCs w:val="17"/>
                        </w:rPr>
                      </w:pPr>
                      <w:r>
                        <w:rPr>
                          <w:rFonts w:ascii="宋体"/>
                          <w:w w:val="105"/>
                          <w:sz w:val="17"/>
                        </w:rPr>
                        <w:t>5.47%</w:t>
                      </w:r>
                      <w:r>
                        <w:rPr>
                          <w:rFonts w:ascii="宋体"/>
                          <w:sz w:val="17"/>
                        </w:rPr>
                      </w:r>
                    </w:p>
                    <w:p>
                      <w:pPr>
                        <w:spacing w:line="240" w:lineRule="auto" w:before="3"/>
                        <w:rPr>
                          <w:rFonts w:ascii="宋体" w:hAnsi="宋体" w:cs="宋体" w:eastAsia="宋体" w:hint="default"/>
                          <w:sz w:val="13"/>
                          <w:szCs w:val="13"/>
                        </w:rPr>
                      </w:pPr>
                    </w:p>
                    <w:p>
                      <w:pPr>
                        <w:spacing w:before="0"/>
                        <w:ind w:left="0" w:right="1818" w:firstLine="0"/>
                        <w:jc w:val="right"/>
                        <w:rPr>
                          <w:rFonts w:ascii="宋体" w:hAnsi="宋体" w:cs="宋体" w:eastAsia="宋体" w:hint="default"/>
                          <w:sz w:val="17"/>
                          <w:szCs w:val="17"/>
                        </w:rPr>
                      </w:pPr>
                      <w:r>
                        <w:rPr>
                          <w:rFonts w:ascii="宋体"/>
                          <w:spacing w:val="-1"/>
                          <w:w w:val="105"/>
                          <w:sz w:val="17"/>
                        </w:rPr>
                        <w:t>27.83%</w:t>
                      </w:r>
                      <w:r>
                        <w:rPr>
                          <w:rFonts w:ascii="宋体"/>
                          <w:spacing w:val="-1"/>
                          <w:sz w:val="17"/>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13"/>
                          <w:szCs w:val="13"/>
                        </w:rPr>
                      </w:pPr>
                    </w:p>
                    <w:p>
                      <w:pPr>
                        <w:spacing w:before="0"/>
                        <w:ind w:left="863" w:right="0" w:firstLine="0"/>
                        <w:jc w:val="left"/>
                        <w:rPr>
                          <w:rFonts w:ascii="宋体" w:hAnsi="宋体" w:cs="宋体" w:eastAsia="宋体" w:hint="default"/>
                          <w:sz w:val="17"/>
                          <w:szCs w:val="17"/>
                        </w:rPr>
                      </w:pPr>
                      <w:r>
                        <w:rPr>
                          <w:rFonts w:ascii="宋体"/>
                          <w:w w:val="105"/>
                          <w:sz w:val="17"/>
                        </w:rPr>
                        <w:t>66.71%</w:t>
                      </w:r>
                      <w:r>
                        <w:rPr>
                          <w:rFonts w:ascii="宋体"/>
                          <w:sz w:val="17"/>
                        </w:rPr>
                      </w:r>
                    </w:p>
                  </w:txbxContent>
                </v:textbox>
                <w10:wrap type="none"/>
              </v:shape>
            </v:group>
            <w10:wrap type="none"/>
          </v:group>
        </w:pict>
      </w:r>
      <w:r>
        <w:rPr/>
        <w:pict>
          <v:group style="position:absolute;margin-left:317.156006pt;margin-top:516.635132pt;width:6.05pt;height:5.65pt;mso-position-horizontal-relative:page;mso-position-vertical-relative:page;z-index:-686968" coordorigin="6343,10333" coordsize="121,113">
            <v:group style="position:absolute;left:6350;top:10340;width:106;height:99" coordorigin="6350,10340" coordsize="106,99">
              <v:shape style="position:absolute;left:6350;top:10340;width:106;height:99" coordorigin="6350,10340" coordsize="106,99" path="m6350,10438l6456,10438,6456,10340,6350,10340,6350,10438xe" filled="true" fillcolor="#ff0000" stroked="false">
                <v:path arrowok="t"/>
                <v:fill type="solid"/>
              </v:shape>
            </v:group>
            <v:group style="position:absolute;left:6350;top:10340;width:106;height:99" coordorigin="6350,10340" coordsize="106,99">
              <v:shape style="position:absolute;left:6350;top:10340;width:106;height:99" coordorigin="6350,10340" coordsize="106,99" path="m6350,10340l6456,10340,6456,10438,6350,10438,6350,10340xe" filled="false" stroked="true" strokeweight=".725434pt" strokecolor="#000000">
                <v:path arrowok="t"/>
              </v:shape>
            </v:group>
            <w10:wrap type="none"/>
          </v:group>
        </w:pict>
      </w:r>
      <w:r>
        <w:rPr/>
        <w:pict>
          <v:group style="position:absolute;margin-left:317.156006pt;margin-top:528.635864pt;width:6.05pt;height:5.65pt;mso-position-horizontal-relative:page;mso-position-vertical-relative:page;z-index:-686944" coordorigin="6343,10573" coordsize="121,113">
            <v:group style="position:absolute;left:6350;top:10580;width:106;height:99" coordorigin="6350,10580" coordsize="106,99">
              <v:shape style="position:absolute;left:6350;top:10580;width:106;height:99" coordorigin="6350,10580" coordsize="106,99" path="m6350,10678l6456,10678,6456,10580,6350,10580,6350,10678xe" filled="true" fillcolor="#ffff00" stroked="false">
                <v:path arrowok="t"/>
                <v:fill type="solid"/>
              </v:shape>
            </v:group>
            <v:group style="position:absolute;left:6350;top:10580;width:106;height:99" coordorigin="6350,10580" coordsize="106,99">
              <v:shape style="position:absolute;left:6350;top:10580;width:106;height:99" coordorigin="6350,10580" coordsize="106,99" path="m6350,10580l6456,10580,6456,10678,6350,10678,6350,10580xe" filled="false" stroked="true" strokeweight=".725434pt" strokecolor="#000000">
                <v:path arrowok="t"/>
              </v:shape>
            </v:group>
            <w10:wrap type="none"/>
          </v:group>
        </w:pict>
      </w:r>
      <w:r>
        <w:rPr/>
        <w:pict>
          <v:group style="position:absolute;margin-left:317.156006pt;margin-top:540.635498pt;width:6.05pt;height:5.65pt;mso-position-horizontal-relative:page;mso-position-vertical-relative:page;z-index:-686920" coordorigin="6343,10813" coordsize="121,113">
            <v:group style="position:absolute;left:6350;top:10820;width:106;height:99" coordorigin="6350,10820" coordsize="106,99">
              <v:shape style="position:absolute;left:6350;top:10820;width:106;height:99" coordorigin="6350,10820" coordsize="106,99" path="m6350,10918l6456,10918,6456,10820,6350,10820,6350,10918xe" filled="true" fillcolor="#99cc00" stroked="false">
                <v:path arrowok="t"/>
                <v:fill type="solid"/>
              </v:shape>
            </v:group>
            <v:group style="position:absolute;left:6350;top:10820;width:106;height:99" coordorigin="6350,10820" coordsize="106,99">
              <v:shape style="position:absolute;left:6350;top:10820;width:106;height:99" coordorigin="6350,10820" coordsize="106,99" path="m6350,10820l6456,10820,6456,10918,6350,10918,6350,10820xe" filled="false" stroked="true" strokeweight=".725434pt" strokecolor="#000000">
                <v:path arrowok="t"/>
              </v:shape>
            </v:group>
            <w10:wrap type="none"/>
          </v:group>
        </w:pict>
      </w:r>
    </w:p>
    <w:tbl>
      <w:tblPr>
        <w:tblW w:w="0" w:type="auto"/>
        <w:jc w:val="left"/>
        <w:tblInd w:w="145" w:type="dxa"/>
        <w:tblLayout w:type="fixed"/>
        <w:tblCellMar>
          <w:top w:w="0" w:type="dxa"/>
          <w:left w:w="0" w:type="dxa"/>
          <w:bottom w:w="0" w:type="dxa"/>
          <w:right w:w="0" w:type="dxa"/>
        </w:tblCellMar>
        <w:tblLook w:val="01E0"/>
      </w:tblPr>
      <w:tblGrid>
        <w:gridCol w:w="2767"/>
        <w:gridCol w:w="1920"/>
        <w:gridCol w:w="3343"/>
      </w:tblGrid>
      <w:tr>
        <w:trPr>
          <w:trHeight w:val="362" w:hRule="exact"/>
        </w:trPr>
        <w:tc>
          <w:tcPr>
            <w:tcW w:w="2767" w:type="dxa"/>
            <w:tcBorders>
              <w:top w:val="single" w:sz="6" w:space="0" w:color="000000"/>
              <w:left w:val="single" w:sz="6" w:space="0" w:color="000000"/>
              <w:bottom w:val="single" w:sz="17" w:space="0" w:color="000000"/>
              <w:right w:val="single" w:sz="17"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920" w:type="dxa"/>
            <w:tcBorders>
              <w:top w:val="single" w:sz="6" w:space="0" w:color="000000"/>
              <w:left w:val="single" w:sz="17" w:space="0" w:color="000000"/>
              <w:bottom w:val="single" w:sz="17" w:space="0" w:color="000000"/>
              <w:right w:val="single" w:sz="17"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429</w:t>
            </w:r>
          </w:p>
        </w:tc>
        <w:tc>
          <w:tcPr>
            <w:tcW w:w="3343" w:type="dxa"/>
            <w:tcBorders>
              <w:top w:val="single" w:sz="6" w:space="0" w:color="000000"/>
              <w:left w:val="single" w:sz="17" w:space="0" w:color="000000"/>
              <w:bottom w:val="single" w:sz="17" w:space="0" w:color="000000"/>
              <w:right w:val="single" w:sz="17"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53.29%</w:t>
            </w:r>
          </w:p>
        </w:tc>
      </w:tr>
      <w:tr>
        <w:trPr>
          <w:trHeight w:val="367" w:hRule="exact"/>
        </w:trPr>
        <w:tc>
          <w:tcPr>
            <w:tcW w:w="2767" w:type="dxa"/>
            <w:tcBorders>
              <w:top w:val="single" w:sz="17" w:space="0" w:color="000000"/>
              <w:left w:val="single" w:sz="6" w:space="0" w:color="000000"/>
              <w:bottom w:val="single" w:sz="17" w:space="0" w:color="000000"/>
              <w:right w:val="single" w:sz="17"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0"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805</w:t>
            </w:r>
          </w:p>
        </w:tc>
        <w:tc>
          <w:tcPr>
            <w:tcW w:w="3343"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373" w:lineRule="exact"/>
        <w:ind w:left="208"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05.65pt;height:218.7pt;mso-position-horizontal-relative:char;mso-position-vertical-relative:line" coordorigin="0,0" coordsize="8113,4374">
            <v:group style="position:absolute;left:6;top:6;width:8100;height:4361" coordorigin="6,6" coordsize="8100,4361">
              <v:shape style="position:absolute;left:6;top:6;width:8100;height:4361" coordorigin="6,6" coordsize="8100,4361" path="m6,4367l8106,4367,8106,6,6,6,6,4367xe" filled="false" stroked="true" strokeweight=".64452pt" strokecolor="#000000">
                <v:path arrowok="t"/>
              </v:shape>
              <v:shape style="position:absolute;left:1291;top:1421;width:3817;height:1534" type="#_x0000_t75" stroked="false">
                <v:imagedata r:id="rId18" o:title=""/>
              </v:shape>
            </v:group>
            <v:group style="position:absolute;left:6417;top:1542;width:1640;height:1289" coordorigin="6417,1542" coordsize="1640,1289">
              <v:shape style="position:absolute;left:6417;top:1542;width:1640;height:1289" coordorigin="6417,1542" coordsize="1640,1289" path="m6417,2831l8056,2831,8056,1542,6417,1542,6417,2831xe" filled="false" stroked="true" strokeweight=".12pt" strokecolor="#000000">
                <v:path arrowok="t"/>
              </v:shape>
            </v:group>
            <v:group style="position:absolute;left:6482;top:1631;width:118;height:118" coordorigin="6482,1631" coordsize="118,118">
              <v:shape style="position:absolute;left:6482;top:1631;width:118;height:118" coordorigin="6482,1631" coordsize="118,118" path="m6482,1749l6599,1749,6599,1631,6482,1631,6482,1749xe" filled="true" fillcolor="#ff0000" stroked="false">
                <v:path arrowok="t"/>
                <v:fill type="solid"/>
              </v:shape>
            </v:group>
            <v:group style="position:absolute;left:6482;top:1631;width:118;height:118" coordorigin="6482,1631" coordsize="118,118">
              <v:shape style="position:absolute;left:6482;top:1631;width:118;height:118" coordorigin="6482,1631" coordsize="118,118" path="m6482,1749l6599,1749,6599,1631,6482,1631,6482,1749xe" filled="false" stroked="true" strokeweight=".64452pt" strokecolor="#000000">
                <v:path arrowok="t"/>
              </v:shape>
            </v:group>
            <v:group style="position:absolute;left:6482;top:1890;width:118;height:116" coordorigin="6482,1890" coordsize="118,116">
              <v:shape style="position:absolute;left:6482;top:1890;width:118;height:116" coordorigin="6482,1890" coordsize="118,116" path="m6482,2006l6599,2006,6599,1890,6482,1890,6482,2006xe" filled="true" fillcolor="#ffff00" stroked="false">
                <v:path arrowok="t"/>
                <v:fill type="solid"/>
              </v:shape>
            </v:group>
            <v:group style="position:absolute;left:6482;top:1890;width:118;height:116" coordorigin="6482,1890" coordsize="118,116">
              <v:shape style="position:absolute;left:6482;top:1890;width:118;height:116" coordorigin="6482,1890" coordsize="118,116" path="m6482,2006l6599,2006,6599,1890,6482,1890,6482,2006xe" filled="false" stroked="true" strokeweight=".64452pt" strokecolor="#000000">
                <v:path arrowok="t"/>
              </v:shape>
            </v:group>
            <v:group style="position:absolute;left:6482;top:2147;width:118;height:118" coordorigin="6482,2147" coordsize="118,118">
              <v:shape style="position:absolute;left:6482;top:2147;width:118;height:118" coordorigin="6482,2147" coordsize="118,118" path="m6482,2265l6599,2265,6599,2147,6482,2147,6482,2265xe" filled="true" fillcolor="#99cc00" stroked="false">
                <v:path arrowok="t"/>
                <v:fill type="solid"/>
              </v:shape>
            </v:group>
            <v:group style="position:absolute;left:6482;top:2147;width:118;height:118" coordorigin="6482,2147" coordsize="118,118">
              <v:shape style="position:absolute;left:6482;top:2147;width:118;height:118" coordorigin="6482,2147" coordsize="118,118" path="m6482,2265l6599,2265,6599,2147,6482,2147,6482,2265xe" filled="false" stroked="true" strokeweight=".64452pt" strokecolor="#000000">
                <v:path arrowok="t"/>
              </v:shape>
            </v:group>
            <v:group style="position:absolute;left:6482;top:2406;width:118;height:116" coordorigin="6482,2406" coordsize="118,116">
              <v:shape style="position:absolute;left:6482;top:2406;width:118;height:116" coordorigin="6482,2406" coordsize="118,116" path="m6482,2522l6599,2522,6599,2406,6482,2406,6482,2522xe" filled="true" fillcolor="#ccffff" stroked="false">
                <v:path arrowok="t"/>
                <v:fill type="solid"/>
              </v:shape>
            </v:group>
            <v:group style="position:absolute;left:6482;top:2406;width:118;height:116" coordorigin="6482,2406" coordsize="118,116">
              <v:shape style="position:absolute;left:6482;top:2406;width:118;height:116" coordorigin="6482,2406" coordsize="118,116" path="m6482,2522l6599,2522,6599,2406,6482,2406,6482,2522xe" filled="false" stroked="true" strokeweight=".64452pt" strokecolor="#000000">
                <v:path arrowok="t"/>
              </v:shape>
            </v:group>
            <v:group style="position:absolute;left:6482;top:2663;width:118;height:118" coordorigin="6482,2663" coordsize="118,118">
              <v:shape style="position:absolute;left:6482;top:2663;width:118;height:118" coordorigin="6482,2663" coordsize="118,118" path="m6482,2781l6599,2781,6599,2663,6482,2663,6482,2781xe" filled="true" fillcolor="#00ccff" stroked="false">
                <v:path arrowok="t"/>
                <v:fill type="solid"/>
              </v:shape>
            </v:group>
            <v:group style="position:absolute;left:6482;top:2663;width:118;height:118" coordorigin="6482,2663" coordsize="118,118">
              <v:shape style="position:absolute;left:6482;top:2663;width:118;height:118" coordorigin="6482,2663" coordsize="118,118" path="m6482,2781l6599,2781,6599,2663,6482,2663,6482,2781xe" filled="false" stroked="true" strokeweight=".64452pt" strokecolor="#000000">
                <v:path arrowok="t"/>
              </v:shape>
            </v:group>
            <v:group style="position:absolute;left:6;top:6;width:8100;height:4361" coordorigin="6,6" coordsize="8100,4361">
              <v:shape style="position:absolute;left:6;top:6;width:8100;height:4361" coordorigin="6,6" coordsize="8100,4361" path="m6,4367l8106,4367,8106,6,6,6,6,4367xe" filled="false" stroked="true" strokeweight=".64452pt" strokecolor="#000000">
                <v:path arrowok="t"/>
              </v:shape>
              <v:shape style="position:absolute;left:3878;top:1208;width:613;height:194"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spacing w:val="4"/>
                          <w:sz w:val="19"/>
                        </w:rPr>
                        <w:t>11.43%</w:t>
                      </w:r>
                    </w:p>
                  </w:txbxContent>
                </v:textbox>
                <w10:wrap type="none"/>
              </v:shape>
              <v:shape style="position:absolute;left:4653;top:1362;width:508;height:194"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spacing w:val="3"/>
                          <w:sz w:val="19"/>
                        </w:rPr>
                        <w:t>3.60%</w:t>
                      </w:r>
                    </w:p>
                  </w:txbxContent>
                </v:textbox>
                <w10:wrap type="none"/>
              </v:shape>
              <v:shape style="position:absolute;left:614;top:2420;width:613;height:194"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spacing w:val="4"/>
                          <w:sz w:val="19"/>
                        </w:rPr>
                        <w:t>53.29%</w:t>
                      </w:r>
                    </w:p>
                  </w:txbxContent>
                </v:textbox>
                <w10:wrap type="none"/>
              </v:shape>
              <v:shape style="position:absolute;left:5066;top:2562;width:611;height:194"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spacing w:val="3"/>
                          <w:sz w:val="19"/>
                        </w:rPr>
                        <w:t>30.43%</w:t>
                      </w:r>
                    </w:p>
                  </w:txbxContent>
                </v:textbox>
                <w10:wrap type="none"/>
              </v:shape>
              <v:shape style="position:absolute;left:6664;top:1595;width:1356;height:1226"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管理人员</w:t>
                      </w:r>
                    </w:p>
                    <w:p>
                      <w:pPr>
                        <w:spacing w:line="249" w:lineRule="auto" w:before="8"/>
                        <w:ind w:left="0" w:right="0" w:firstLine="0"/>
                        <w:jc w:val="left"/>
                        <w:rPr>
                          <w:rFonts w:ascii="宋体" w:hAnsi="宋体" w:cs="宋体" w:eastAsia="宋体" w:hint="default"/>
                          <w:sz w:val="19"/>
                          <w:szCs w:val="19"/>
                        </w:rPr>
                      </w:pPr>
                      <w:r>
                        <w:rPr>
                          <w:rFonts w:ascii="宋体" w:hAnsi="宋体" w:cs="宋体" w:eastAsia="宋体" w:hint="default"/>
                          <w:sz w:val="19"/>
                          <w:szCs w:val="19"/>
                        </w:rPr>
                        <w:t>销售服务人员</w:t>
                      </w:r>
                      <w:r>
                        <w:rPr>
                          <w:rFonts w:ascii="宋体" w:hAnsi="宋体" w:cs="宋体" w:eastAsia="宋体" w:hint="default"/>
                          <w:spacing w:val="-79"/>
                          <w:sz w:val="19"/>
                          <w:szCs w:val="19"/>
                        </w:rPr>
                        <w:t> </w:t>
                      </w:r>
                      <w:r>
                        <w:rPr>
                          <w:rFonts w:ascii="宋体" w:hAnsi="宋体" w:cs="宋体" w:eastAsia="宋体" w:hint="default"/>
                          <w:spacing w:val="-79"/>
                          <w:sz w:val="19"/>
                          <w:szCs w:val="19"/>
                        </w:rPr>
                      </w:r>
                      <w:r>
                        <w:rPr>
                          <w:rFonts w:ascii="宋体" w:hAnsi="宋体" w:cs="宋体" w:eastAsia="宋体" w:hint="default"/>
                          <w:sz w:val="19"/>
                          <w:szCs w:val="19"/>
                        </w:rPr>
                        <w:t>研发及技术人员</w:t>
                      </w:r>
                      <w:r>
                        <w:rPr>
                          <w:rFonts w:ascii="宋体" w:hAnsi="宋体" w:cs="宋体" w:eastAsia="宋体" w:hint="default"/>
                          <w:spacing w:val="-68"/>
                          <w:sz w:val="19"/>
                          <w:szCs w:val="19"/>
                        </w:rPr>
                        <w:t> </w:t>
                      </w:r>
                      <w:r>
                        <w:rPr>
                          <w:rFonts w:ascii="宋体" w:hAnsi="宋体" w:cs="宋体" w:eastAsia="宋体" w:hint="default"/>
                          <w:spacing w:val="-68"/>
                          <w:sz w:val="19"/>
                          <w:szCs w:val="19"/>
                        </w:rPr>
                      </w:r>
                      <w:r>
                        <w:rPr>
                          <w:rFonts w:ascii="宋体" w:hAnsi="宋体" w:cs="宋体" w:eastAsia="宋体" w:hint="default"/>
                          <w:sz w:val="19"/>
                          <w:szCs w:val="19"/>
                        </w:rPr>
                        <w:t>财务人员</w:t>
                      </w:r>
                      <w:r>
                        <w:rPr>
                          <w:rFonts w:ascii="宋体" w:hAnsi="宋体" w:cs="宋体" w:eastAsia="宋体" w:hint="default"/>
                          <w:spacing w:val="-84"/>
                          <w:sz w:val="19"/>
                          <w:szCs w:val="19"/>
                        </w:rPr>
                        <w:t> </w:t>
                      </w:r>
                      <w:r>
                        <w:rPr>
                          <w:rFonts w:ascii="宋体" w:hAnsi="宋体" w:cs="宋体" w:eastAsia="宋体" w:hint="default"/>
                          <w:spacing w:val="-84"/>
                          <w:sz w:val="19"/>
                          <w:szCs w:val="19"/>
                        </w:rPr>
                      </w:r>
                      <w:r>
                        <w:rPr>
                          <w:rFonts w:ascii="宋体" w:hAnsi="宋体" w:cs="宋体" w:eastAsia="宋体" w:hint="default"/>
                          <w:sz w:val="19"/>
                          <w:szCs w:val="19"/>
                        </w:rPr>
                        <w:t>生产人员</w:t>
                      </w:r>
                    </w:p>
                  </w:txbxContent>
                </v:textbox>
                <w10:wrap type="none"/>
              </v:shape>
              <v:shape style="position:absolute;left:3621;top:2975;width:510;height:194"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spacing w:val="4"/>
                          <w:sz w:val="19"/>
                        </w:rPr>
                        <w:t>1.24%</w:t>
                      </w:r>
                    </w:p>
                  </w:txbxContent>
                </v:textbox>
                <w10:wrap type="none"/>
              </v:shape>
            </v:group>
          </v:group>
        </w:pict>
      </w:r>
      <w:r>
        <w:rPr>
          <w:rFonts w:ascii="宋体" w:hAnsi="宋体" w:cs="宋体" w:eastAsia="宋体" w:hint="default"/>
          <w:position w:val="-86"/>
          <w:sz w:val="20"/>
          <w:szCs w:val="20"/>
        </w:rPr>
      </w:r>
    </w:p>
    <w:p>
      <w:pPr>
        <w:spacing w:line="240" w:lineRule="auto" w:before="13"/>
        <w:rPr>
          <w:rFonts w:ascii="宋体" w:hAnsi="宋体" w:cs="宋体" w:eastAsia="宋体" w:hint="default"/>
          <w:sz w:val="6"/>
          <w:szCs w:val="6"/>
        </w:rPr>
      </w:pPr>
    </w:p>
    <w:p>
      <w:pPr>
        <w:pStyle w:val="Heading2"/>
        <w:spacing w:line="240" w:lineRule="auto" w:before="26"/>
        <w:ind w:left="632" w:right="145"/>
        <w:jc w:val="left"/>
      </w:pPr>
      <w:r>
        <w:rPr>
          <w:rFonts w:ascii="Times New Roman" w:hAnsi="Times New Roman" w:cs="Times New Roman" w:eastAsia="Times New Roman" w:hint="default"/>
        </w:rPr>
        <w:t>2</w:t>
      </w:r>
      <w:r>
        <w:rPr/>
        <w:t>、员工受教育程度</w:t>
      </w:r>
    </w:p>
    <w:p>
      <w:pPr>
        <w:spacing w:line="240" w:lineRule="auto" w:before="0"/>
        <w:rPr>
          <w:rFonts w:ascii="宋体" w:hAnsi="宋体" w:cs="宋体" w:eastAsia="宋体" w:hint="default"/>
          <w:sz w:val="2"/>
          <w:szCs w:val="2"/>
        </w:rPr>
      </w:pPr>
    </w:p>
    <w:tbl>
      <w:tblPr>
        <w:tblW w:w="0" w:type="auto"/>
        <w:jc w:val="left"/>
        <w:tblInd w:w="349" w:type="dxa"/>
        <w:tblLayout w:type="fixed"/>
        <w:tblCellMar>
          <w:top w:w="0" w:type="dxa"/>
          <w:left w:w="0" w:type="dxa"/>
          <w:bottom w:w="0" w:type="dxa"/>
          <w:right w:w="0" w:type="dxa"/>
        </w:tblCellMar>
        <w:tblLook w:val="01E0"/>
      </w:tblPr>
      <w:tblGrid>
        <w:gridCol w:w="2734"/>
        <w:gridCol w:w="2734"/>
        <w:gridCol w:w="2736"/>
      </w:tblGrid>
      <w:tr>
        <w:trPr>
          <w:trHeight w:val="354" w:hRule="exact"/>
        </w:trPr>
        <w:tc>
          <w:tcPr>
            <w:tcW w:w="2734" w:type="dxa"/>
            <w:tcBorders>
              <w:top w:val="single" w:sz="8" w:space="0" w:color="000000"/>
              <w:left w:val="single" w:sz="8" w:space="0" w:color="000000"/>
              <w:bottom w:val="single" w:sz="17" w:space="0" w:color="000000"/>
              <w:right w:val="single" w:sz="17" w:space="0" w:color="000000"/>
            </w:tcBorders>
            <w:shd w:val="clear" w:color="auto" w:fill="CCCCCC"/>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2734"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2736"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84" w:lineRule="exact"/>
              <w:ind w:left="604" w:right="0"/>
              <w:jc w:val="left"/>
              <w:rPr>
                <w:rFonts w:ascii="宋体" w:hAnsi="宋体" w:cs="宋体" w:eastAsia="宋体" w:hint="default"/>
                <w:sz w:val="21"/>
                <w:szCs w:val="21"/>
              </w:rPr>
            </w:pPr>
            <w:r>
              <w:rPr>
                <w:rFonts w:ascii="宋体" w:hAnsi="宋体" w:cs="宋体" w:eastAsia="宋体" w:hint="default"/>
                <w:sz w:val="21"/>
                <w:szCs w:val="21"/>
              </w:rPr>
              <w:t>所占比例（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72"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本科以上</w:t>
            </w:r>
          </w:p>
        </w:tc>
        <w:tc>
          <w:tcPr>
            <w:tcW w:w="2734"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44</w:t>
            </w:r>
          </w:p>
        </w:tc>
        <w:tc>
          <w:tcPr>
            <w:tcW w:w="2736"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5.47%</w:t>
            </w:r>
          </w:p>
        </w:tc>
      </w:tr>
      <w:tr>
        <w:trPr>
          <w:trHeight w:val="367"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734"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224</w:t>
            </w:r>
          </w:p>
        </w:tc>
        <w:tc>
          <w:tcPr>
            <w:tcW w:w="2736"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27.83%</w:t>
            </w:r>
          </w:p>
        </w:tc>
      </w:tr>
      <w:tr>
        <w:trPr>
          <w:trHeight w:val="367"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2734"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537</w:t>
            </w:r>
          </w:p>
        </w:tc>
        <w:tc>
          <w:tcPr>
            <w:tcW w:w="2736"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66.71%</w:t>
            </w:r>
          </w:p>
        </w:tc>
      </w:tr>
      <w:tr>
        <w:trPr>
          <w:trHeight w:val="367"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34"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805</w:t>
            </w:r>
          </w:p>
        </w:tc>
        <w:tc>
          <w:tcPr>
            <w:tcW w:w="2736"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717" w:lineRule="exact"/>
        <w:ind w:left="5295"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50.2pt;height:35.9pt;mso-position-horizontal-relative:char;mso-position-vertical-relative:line" type="#_x0000_t202" filled="false" stroked="true" strokeweight=".12pt" strokecolor="#000000">
            <w10:anchorlock/>
            <v:textbox inset="0,0,0,0">
              <w:txbxContent>
                <w:p>
                  <w:pPr>
                    <w:spacing w:line="256" w:lineRule="auto" w:before="4"/>
                    <w:ind w:left="238" w:right="40" w:firstLine="0"/>
                    <w:jc w:val="left"/>
                    <w:rPr>
                      <w:rFonts w:ascii="宋体" w:hAnsi="宋体" w:cs="宋体" w:eastAsia="宋体" w:hint="default"/>
                      <w:sz w:val="17"/>
                      <w:szCs w:val="17"/>
                    </w:rPr>
                  </w:pPr>
                  <w:r>
                    <w:rPr>
                      <w:rFonts w:ascii="宋体" w:hAnsi="宋体" w:cs="宋体" w:eastAsia="宋体" w:hint="default"/>
                      <w:w w:val="105"/>
                      <w:sz w:val="17"/>
                      <w:szCs w:val="17"/>
                    </w:rPr>
                    <w:t>本科以上</w:t>
                  </w:r>
                  <w:r>
                    <w:rPr>
                      <w:rFonts w:ascii="宋体" w:hAnsi="宋体" w:cs="宋体" w:eastAsia="宋体" w:hint="default"/>
                      <w:spacing w:val="-84"/>
                      <w:w w:val="105"/>
                      <w:sz w:val="17"/>
                      <w:szCs w:val="17"/>
                    </w:rPr>
                    <w:t> </w:t>
                  </w:r>
                  <w:r>
                    <w:rPr>
                      <w:rFonts w:ascii="宋体" w:hAnsi="宋体" w:cs="宋体" w:eastAsia="宋体" w:hint="default"/>
                      <w:w w:val="105"/>
                      <w:sz w:val="17"/>
                      <w:szCs w:val="17"/>
                    </w:rPr>
                    <w:t>大专</w:t>
                  </w:r>
                  <w:r>
                    <w:rPr>
                      <w:rFonts w:ascii="宋体" w:hAnsi="宋体" w:cs="宋体" w:eastAsia="宋体" w:hint="default"/>
                      <w:spacing w:val="-87"/>
                      <w:w w:val="105"/>
                      <w:sz w:val="17"/>
                      <w:szCs w:val="17"/>
                    </w:rPr>
                    <w:t> </w:t>
                  </w:r>
                  <w:r>
                    <w:rPr>
                      <w:rFonts w:ascii="宋体" w:hAnsi="宋体" w:cs="宋体" w:eastAsia="宋体" w:hint="default"/>
                      <w:w w:val="105"/>
                      <w:sz w:val="17"/>
                      <w:szCs w:val="17"/>
                    </w:rPr>
                    <w:t>大专以下</w:t>
                  </w:r>
                  <w:r>
                    <w:rPr>
                      <w:rFonts w:ascii="宋体" w:hAnsi="宋体" w:cs="宋体" w:eastAsia="宋体" w:hint="default"/>
                      <w:sz w:val="17"/>
                      <w:szCs w:val="17"/>
                    </w:rPr>
                  </w:r>
                </w:p>
              </w:txbxContent>
            </v:textbox>
          </v:shape>
        </w:pict>
      </w:r>
      <w:r>
        <w:rPr>
          <w:rFonts w:ascii="宋体" w:hAnsi="宋体" w:cs="宋体" w:eastAsia="宋体" w:hint="default"/>
          <w:position w:val="-13"/>
          <w:sz w:val="20"/>
          <w:szCs w:val="20"/>
        </w:rPr>
      </w:r>
    </w:p>
    <w:p>
      <w:pPr>
        <w:spacing w:after="0" w:line="717" w:lineRule="exact"/>
        <w:rPr>
          <w:rFonts w:ascii="宋体" w:hAnsi="宋体" w:cs="宋体" w:eastAsia="宋体" w:hint="default"/>
          <w:sz w:val="20"/>
          <w:szCs w:val="20"/>
        </w:rPr>
        <w:sectPr>
          <w:pgSz w:w="11900" w:h="16840"/>
          <w:pgMar w:header="746" w:footer="982" w:top="1060" w:bottom="1180" w:left="980" w:right="980"/>
        </w:sectPr>
      </w:pPr>
    </w:p>
    <w:p>
      <w:pPr>
        <w:spacing w:line="240" w:lineRule="auto" w:before="6"/>
        <w:rPr>
          <w:rFonts w:ascii="宋体" w:hAnsi="宋体" w:cs="宋体" w:eastAsia="宋体" w:hint="default"/>
          <w:sz w:val="23"/>
          <w:szCs w:val="23"/>
        </w:rPr>
      </w:pPr>
      <w:r>
        <w:rPr/>
        <w:pict>
          <v:group style="position:absolute;margin-left:60.119038pt;margin-top:216.399216pt;width:403.2pt;height:240.75pt;mso-position-horizontal-relative:page;mso-position-vertical-relative:page;z-index:-686848" coordorigin="1202,4328" coordsize="8064,4815">
            <v:shape style="position:absolute;left:2534;top:5859;width:4332;height:1737" type="#_x0000_t75" stroked="false">
              <v:imagedata r:id="rId19" o:title=""/>
            </v:shape>
            <v:shape style="position:absolute;left:1202;top:4328;width:8064;height:4815" type="#_x0000_t202" filled="false" stroked="true" strokeweight=".71208pt" strokecolor="#000000">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1" w:right="1585" w:firstLine="0"/>
                      <w:jc w:val="center"/>
                      <w:rPr>
                        <w:rFonts w:ascii="宋体" w:hAnsi="宋体" w:cs="宋体" w:eastAsia="宋体" w:hint="default"/>
                        <w:sz w:val="18"/>
                        <w:szCs w:val="18"/>
                      </w:rPr>
                    </w:pPr>
                    <w:r>
                      <w:rPr>
                        <w:rFonts w:ascii="宋体"/>
                        <w:spacing w:val="4"/>
                        <w:w w:val="105"/>
                        <w:sz w:val="18"/>
                      </w:rPr>
                      <w:t>2.48%</w:t>
                    </w:r>
                    <w:r>
                      <w:rPr>
                        <w:rFonts w:ascii="宋体"/>
                        <w:spacing w:val="4"/>
                        <w:sz w:val="18"/>
                      </w:rPr>
                    </w:r>
                  </w:p>
                  <w:p>
                    <w:pPr>
                      <w:spacing w:line="240" w:lineRule="auto" w:before="12"/>
                      <w:rPr>
                        <w:rFonts w:ascii="宋体" w:hAnsi="宋体" w:cs="宋体" w:eastAsia="宋体" w:hint="default"/>
                        <w:sz w:val="17"/>
                        <w:szCs w:val="17"/>
                      </w:rPr>
                    </w:pPr>
                  </w:p>
                  <w:p>
                    <w:pPr>
                      <w:spacing w:before="0"/>
                      <w:ind w:left="748" w:right="0" w:firstLine="0"/>
                      <w:jc w:val="left"/>
                      <w:rPr>
                        <w:rFonts w:ascii="宋体" w:hAnsi="宋体" w:cs="宋体" w:eastAsia="宋体" w:hint="default"/>
                        <w:sz w:val="18"/>
                        <w:szCs w:val="18"/>
                      </w:rPr>
                    </w:pPr>
                    <w:r>
                      <w:rPr>
                        <w:rFonts w:ascii="宋体"/>
                        <w:spacing w:val="4"/>
                        <w:w w:val="105"/>
                        <w:sz w:val="18"/>
                      </w:rPr>
                      <w:t>33.91%</w:t>
                    </w:r>
                    <w:r>
                      <w:rPr>
                        <w:rFonts w:ascii="宋体"/>
                        <w:spacing w:val="4"/>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0" w:right="1892" w:firstLine="0"/>
                      <w:jc w:val="right"/>
                      <w:rPr>
                        <w:rFonts w:ascii="宋体" w:hAnsi="宋体" w:cs="宋体" w:eastAsia="宋体" w:hint="default"/>
                        <w:sz w:val="18"/>
                        <w:szCs w:val="18"/>
                      </w:rPr>
                    </w:pPr>
                    <w:r>
                      <w:rPr>
                        <w:rFonts w:ascii="宋体"/>
                        <w:spacing w:val="4"/>
                        <w:sz w:val="18"/>
                      </w:rPr>
                      <w:t>63.60%</w:t>
                    </w:r>
                  </w:p>
                </w:txbxContent>
              </v:textbox>
              <w10:wrap type="none"/>
            </v:shape>
            <w10:wrap type="none"/>
          </v:group>
        </w:pict>
      </w:r>
      <w:r>
        <w:rPr/>
        <w:pict>
          <v:group style="position:absolute;margin-left:334.082764pt;margin-top:241.003174pt;width:5.65pt;height:5.65pt;mso-position-horizontal-relative:page;mso-position-vertical-relative:page;z-index:-686824" coordorigin="6682,4820" coordsize="113,113">
            <v:group style="position:absolute;left:6689;top:4827;width:99;height:99" coordorigin="6689,4827" coordsize="99,99">
              <v:shape style="position:absolute;left:6689;top:4827;width:99;height:99" coordorigin="6689,4827" coordsize="99,99" path="m6689,4926l6787,4926,6787,4827,6689,4827,6689,4926xe" filled="true" fillcolor="#99cc00" stroked="false">
                <v:path arrowok="t"/>
                <v:fill type="solid"/>
              </v:shape>
            </v:group>
            <v:group style="position:absolute;left:6689;top:4827;width:99;height:99" coordorigin="6689,4827" coordsize="99,99">
              <v:shape style="position:absolute;left:6689;top:4827;width:99;height:99" coordorigin="6689,4827" coordsize="99,99" path="m6689,4926l6787,4926,6787,4827,6689,4827,6689,4926xe" filled="false" stroked="true" strokeweight=".71208pt" strokecolor="#000000">
                <v:path arrowok="t"/>
              </v:shape>
            </v:group>
            <w10:wrap type="none"/>
          </v:group>
        </w:pict>
      </w:r>
      <w:r>
        <w:rPr/>
        <w:pict>
          <v:group style="position:absolute;margin-left:334.082764pt;margin-top:253.84317pt;width:5.65pt;height:5.65pt;mso-position-horizontal-relative:page;mso-position-vertical-relative:page;z-index:-686800" coordorigin="6682,5077" coordsize="113,113">
            <v:group style="position:absolute;left:6689;top:5084;width:99;height:99" coordorigin="6689,5084" coordsize="99,99">
              <v:shape style="position:absolute;left:6689;top:5084;width:99;height:99" coordorigin="6689,5084" coordsize="99,99" path="m6689,5182l6787,5182,6787,5084,6689,5084,6689,5182xe" filled="true" fillcolor="#3265ff" stroked="false">
                <v:path arrowok="t"/>
                <v:fill type="solid"/>
              </v:shape>
            </v:group>
            <v:group style="position:absolute;left:6689;top:5084;width:99;height:99" coordorigin="6689,5084" coordsize="99,99">
              <v:shape style="position:absolute;left:6689;top:5084;width:99;height:99" coordorigin="6689,5084" coordsize="99,99" path="m6689,5182l6787,5182,6787,5084,6689,5084,6689,5182xe" filled="false" stroked="true" strokeweight=".71208pt" strokecolor="#000000">
                <v:path arrowok="t"/>
              </v:shape>
            </v:group>
            <w10:wrap type="none"/>
          </v:group>
        </w:pict>
      </w:r>
      <w:r>
        <w:rPr/>
        <w:pict>
          <v:group style="position:absolute;margin-left:334.082764pt;margin-top:266.683167pt;width:5.65pt;height:5.65pt;mso-position-horizontal-relative:page;mso-position-vertical-relative:page;z-index:-686776" coordorigin="6682,5334" coordsize="113,113">
            <v:group style="position:absolute;left:6689;top:5341;width:99;height:99" coordorigin="6689,5341" coordsize="99,99">
              <v:shape style="position:absolute;left:6689;top:5341;width:99;height:99" coordorigin="6689,5341" coordsize="99,99" path="m6689,5439l6787,5439,6787,5341,6689,5341,6689,5439xe" filled="true" fillcolor="#ff0000" stroked="false">
                <v:path arrowok="t"/>
                <v:fill type="solid"/>
              </v:shape>
            </v:group>
            <v:group style="position:absolute;left:6689;top:5341;width:99;height:99" coordorigin="6689,5341" coordsize="99,99">
              <v:shape style="position:absolute;left:6689;top:5341;width:99;height:99" coordorigin="6689,5341" coordsize="99,99" path="m6689,5439l6787,5439,6787,5341,6689,5341,6689,5439xe" filled="false" stroked="true" strokeweight=".71208pt" strokecolor="#000000">
                <v:path arrowok="t"/>
              </v:shape>
            </v:group>
            <w10:wrap type="none"/>
          </v:group>
        </w:pict>
      </w:r>
    </w:p>
    <w:p>
      <w:pPr>
        <w:pStyle w:val="Heading2"/>
        <w:spacing w:line="240" w:lineRule="auto" w:before="26"/>
        <w:ind w:left="632" w:right="145"/>
        <w:jc w:val="left"/>
      </w:pPr>
      <w:r>
        <w:rPr>
          <w:rFonts w:ascii="Times New Roman" w:hAnsi="Times New Roman" w:cs="Times New Roman" w:eastAsia="Times New Roman" w:hint="default"/>
        </w:rPr>
        <w:t>3</w:t>
      </w:r>
      <w:r>
        <w:rPr/>
        <w:t>、员工年龄分布</w:t>
      </w:r>
    </w:p>
    <w:tbl>
      <w:tblPr>
        <w:tblW w:w="0" w:type="auto"/>
        <w:jc w:val="left"/>
        <w:tblInd w:w="143" w:type="dxa"/>
        <w:tblLayout w:type="fixed"/>
        <w:tblCellMar>
          <w:top w:w="0" w:type="dxa"/>
          <w:left w:w="0" w:type="dxa"/>
          <w:bottom w:w="0" w:type="dxa"/>
          <w:right w:w="0" w:type="dxa"/>
        </w:tblCellMar>
        <w:tblLook w:val="01E0"/>
      </w:tblPr>
      <w:tblGrid>
        <w:gridCol w:w="2722"/>
        <w:gridCol w:w="2722"/>
        <w:gridCol w:w="2722"/>
      </w:tblGrid>
      <w:tr>
        <w:trPr>
          <w:trHeight w:val="360" w:hRule="exact"/>
        </w:trPr>
        <w:tc>
          <w:tcPr>
            <w:tcW w:w="2722" w:type="dxa"/>
            <w:tcBorders>
              <w:top w:val="single" w:sz="8" w:space="0" w:color="000000"/>
              <w:left w:val="single" w:sz="8" w:space="0" w:color="000000"/>
              <w:bottom w:val="single" w:sz="17" w:space="0" w:color="000000"/>
              <w:right w:val="single" w:sz="17" w:space="0" w:color="000000"/>
            </w:tcBorders>
            <w:shd w:val="clear" w:color="auto" w:fill="CCCCCC"/>
          </w:tcPr>
          <w:p>
            <w:pPr>
              <w:pStyle w:val="TableParagraph"/>
              <w:spacing w:line="274" w:lineRule="exact"/>
              <w:ind w:right="1135"/>
              <w:jc w:val="right"/>
              <w:rPr>
                <w:rFonts w:ascii="宋体" w:hAnsi="宋体" w:cs="宋体" w:eastAsia="宋体" w:hint="default"/>
                <w:sz w:val="21"/>
                <w:szCs w:val="21"/>
              </w:rPr>
            </w:pPr>
            <w:r>
              <w:rPr>
                <w:rFonts w:ascii="宋体" w:hAnsi="宋体" w:cs="宋体" w:eastAsia="宋体" w:hint="default"/>
                <w:spacing w:val="-1"/>
                <w:sz w:val="21"/>
                <w:szCs w:val="21"/>
              </w:rPr>
              <w:t>年龄</w:t>
            </w:r>
          </w:p>
        </w:tc>
        <w:tc>
          <w:tcPr>
            <w:tcW w:w="2722"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2722"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90" w:lineRule="exact"/>
              <w:ind w:left="597" w:right="0"/>
              <w:jc w:val="left"/>
              <w:rPr>
                <w:rFonts w:ascii="宋体" w:hAnsi="宋体" w:cs="宋体" w:eastAsia="宋体" w:hint="default"/>
                <w:sz w:val="21"/>
                <w:szCs w:val="21"/>
              </w:rPr>
            </w:pPr>
            <w:r>
              <w:rPr>
                <w:rFonts w:ascii="宋体" w:hAnsi="宋体" w:cs="宋体" w:eastAsia="宋体" w:hint="default"/>
                <w:sz w:val="21"/>
                <w:szCs w:val="21"/>
              </w:rPr>
              <w:t>所占比例（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72" w:hRule="exact"/>
        </w:trPr>
        <w:tc>
          <w:tcPr>
            <w:tcW w:w="2722" w:type="dxa"/>
            <w:tcBorders>
              <w:top w:val="single" w:sz="21" w:space="0" w:color="000000"/>
              <w:left w:val="single" w:sz="8" w:space="0" w:color="000000"/>
              <w:bottom w:val="single" w:sz="17" w:space="0" w:color="000000"/>
              <w:right w:val="single" w:sz="17" w:space="0" w:color="000000"/>
            </w:tcBorders>
          </w:tcPr>
          <w:p>
            <w:pPr>
              <w:pStyle w:val="TableParagraph"/>
              <w:spacing w:line="281"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722" w:type="dxa"/>
            <w:tcBorders>
              <w:top w:val="single" w:sz="21"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512</w:t>
            </w:r>
          </w:p>
        </w:tc>
        <w:tc>
          <w:tcPr>
            <w:tcW w:w="2722" w:type="dxa"/>
            <w:tcBorders>
              <w:top w:val="single" w:sz="21" w:space="0" w:color="000000"/>
              <w:left w:val="single" w:sz="17" w:space="0" w:color="000000"/>
              <w:bottom w:val="single" w:sz="17" w:space="0" w:color="000000"/>
              <w:right w:val="single" w:sz="17"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65.54%</w:t>
            </w:r>
          </w:p>
        </w:tc>
      </w:tr>
      <w:tr>
        <w:trPr>
          <w:trHeight w:val="365" w:hRule="exact"/>
        </w:trPr>
        <w:tc>
          <w:tcPr>
            <w:tcW w:w="2722" w:type="dxa"/>
            <w:tcBorders>
              <w:top w:val="single" w:sz="17" w:space="0" w:color="000000"/>
              <w:left w:val="single" w:sz="8" w:space="0" w:color="000000"/>
              <w:bottom w:val="single" w:sz="17" w:space="0" w:color="000000"/>
              <w:right w:val="single" w:sz="17" w:space="0" w:color="000000"/>
            </w:tcBorders>
          </w:tcPr>
          <w:p>
            <w:pPr>
              <w:pStyle w:val="TableParagraph"/>
              <w:spacing w:line="281"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273</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31.64%</w:t>
            </w:r>
          </w:p>
        </w:tc>
      </w:tr>
      <w:tr>
        <w:trPr>
          <w:trHeight w:val="367" w:hRule="exact"/>
        </w:trPr>
        <w:tc>
          <w:tcPr>
            <w:tcW w:w="2722" w:type="dxa"/>
            <w:tcBorders>
              <w:top w:val="single" w:sz="17" w:space="0" w:color="000000"/>
              <w:left w:val="single" w:sz="8" w:space="0" w:color="000000"/>
              <w:bottom w:val="single" w:sz="17" w:space="0" w:color="000000"/>
              <w:right w:val="single" w:sz="17" w:space="0" w:color="000000"/>
            </w:tcBorders>
          </w:tcPr>
          <w:p>
            <w:pPr>
              <w:pStyle w:val="TableParagraph"/>
              <w:spacing w:line="281"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20</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2.82%</w:t>
            </w:r>
          </w:p>
        </w:tc>
      </w:tr>
      <w:tr>
        <w:trPr>
          <w:trHeight w:val="370" w:hRule="exact"/>
        </w:trPr>
        <w:tc>
          <w:tcPr>
            <w:tcW w:w="2722"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right="1135"/>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805</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770" w:lineRule="exact"/>
        <w:ind w:left="5636" w:right="0" w:firstLine="0"/>
        <w:rPr>
          <w:rFonts w:ascii="宋体" w:hAnsi="宋体" w:cs="宋体" w:eastAsia="宋体" w:hint="default"/>
          <w:sz w:val="20"/>
          <w:szCs w:val="20"/>
        </w:rPr>
      </w:pPr>
      <w:r>
        <w:rPr>
          <w:rFonts w:ascii="宋体" w:hAnsi="宋体" w:cs="宋体" w:eastAsia="宋体" w:hint="default"/>
          <w:position w:val="-14"/>
          <w:sz w:val="20"/>
          <w:szCs w:val="20"/>
        </w:rPr>
        <w:pict>
          <v:shape style="width:52pt;height:38.550pt;mso-position-horizontal-relative:char;mso-position-vertical-relative:line" type="#_x0000_t202" filled="false" stroked="true" strokeweight=".12pt" strokecolor="#000000">
            <w10:anchorlock/>
            <v:textbox inset="0,0,0,0">
              <w:txbxContent>
                <w:p>
                  <w:pPr>
                    <w:spacing w:before="7"/>
                    <w:ind w:left="226" w:right="0" w:firstLine="0"/>
                    <w:jc w:val="left"/>
                    <w:rPr>
                      <w:rFonts w:ascii="宋体" w:hAnsi="宋体" w:cs="宋体" w:eastAsia="宋体" w:hint="default"/>
                      <w:sz w:val="18"/>
                      <w:szCs w:val="18"/>
                    </w:rPr>
                  </w:pPr>
                  <w:r>
                    <w:rPr>
                      <w:rFonts w:ascii="宋体" w:hAnsi="宋体" w:cs="宋体" w:eastAsia="宋体" w:hint="default"/>
                      <w:w w:val="105"/>
                      <w:sz w:val="18"/>
                      <w:szCs w:val="18"/>
                    </w:rPr>
                    <w:t>30岁以下</w:t>
                  </w:r>
                  <w:r>
                    <w:rPr>
                      <w:rFonts w:ascii="宋体" w:hAnsi="宋体" w:cs="宋体" w:eastAsia="宋体" w:hint="default"/>
                      <w:sz w:val="18"/>
                      <w:szCs w:val="18"/>
                    </w:rPr>
                  </w:r>
                </w:p>
                <w:p>
                  <w:pPr>
                    <w:spacing w:before="19"/>
                    <w:ind w:left="226" w:right="0" w:firstLine="0"/>
                    <w:jc w:val="left"/>
                    <w:rPr>
                      <w:rFonts w:ascii="宋体" w:hAnsi="宋体" w:cs="宋体" w:eastAsia="宋体" w:hint="default"/>
                      <w:sz w:val="18"/>
                      <w:szCs w:val="18"/>
                    </w:rPr>
                  </w:pPr>
                  <w:r>
                    <w:rPr>
                      <w:rFonts w:ascii="宋体" w:hAnsi="宋体" w:cs="宋体" w:eastAsia="宋体" w:hint="default"/>
                      <w:spacing w:val="2"/>
                      <w:w w:val="105"/>
                      <w:sz w:val="18"/>
                      <w:szCs w:val="18"/>
                    </w:rPr>
                    <w:t>31～50岁</w:t>
                  </w:r>
                  <w:r>
                    <w:rPr>
                      <w:rFonts w:ascii="宋体" w:hAnsi="宋体" w:cs="宋体" w:eastAsia="宋体" w:hint="default"/>
                      <w:spacing w:val="2"/>
                      <w:sz w:val="18"/>
                      <w:szCs w:val="18"/>
                    </w:rPr>
                  </w:r>
                </w:p>
                <w:p>
                  <w:pPr>
                    <w:spacing w:before="21"/>
                    <w:ind w:left="226" w:right="0" w:firstLine="0"/>
                    <w:jc w:val="left"/>
                    <w:rPr>
                      <w:rFonts w:ascii="宋体" w:hAnsi="宋体" w:cs="宋体" w:eastAsia="宋体" w:hint="default"/>
                      <w:sz w:val="18"/>
                      <w:szCs w:val="18"/>
                    </w:rPr>
                  </w:pPr>
                  <w:r>
                    <w:rPr>
                      <w:rFonts w:ascii="宋体" w:hAnsi="宋体" w:cs="宋体" w:eastAsia="宋体" w:hint="default"/>
                      <w:w w:val="105"/>
                      <w:sz w:val="18"/>
                      <w:szCs w:val="18"/>
                    </w:rPr>
                    <w:t>51岁以上</w:t>
                  </w:r>
                  <w:r>
                    <w:rPr>
                      <w:rFonts w:ascii="宋体" w:hAnsi="宋体" w:cs="宋体" w:eastAsia="宋体" w:hint="default"/>
                      <w:sz w:val="18"/>
                      <w:szCs w:val="18"/>
                    </w:rPr>
                  </w:r>
                </w:p>
              </w:txbxContent>
            </v:textbox>
          </v:shape>
        </w:pict>
      </w:r>
      <w:r>
        <w:rPr>
          <w:rFonts w:ascii="宋体" w:hAnsi="宋体" w:cs="宋体" w:eastAsia="宋体" w:hint="default"/>
          <w:position w:val="-14"/>
          <w:sz w:val="20"/>
          <w:szCs w:val="20"/>
        </w:rPr>
      </w:r>
    </w:p>
    <w:p>
      <w:pPr>
        <w:spacing w:after="0" w:line="770" w:lineRule="exact"/>
        <w:rPr>
          <w:rFonts w:ascii="宋体" w:hAnsi="宋体" w:cs="宋体" w:eastAsia="宋体" w:hint="default"/>
          <w:sz w:val="20"/>
          <w:szCs w:val="20"/>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750" w:right="3803"/>
        <w:jc w:val="center"/>
      </w:pPr>
      <w:bookmarkStart w:name="_TOC_250003" w:id="8"/>
      <w:r>
        <w:rPr/>
        <w:t>第八节</w:t>
      </w:r>
      <w:r>
        <w:rPr>
          <w:spacing w:val="7"/>
        </w:rPr>
        <w:t> </w:t>
      </w:r>
      <w:bookmarkEnd w:id="8"/>
      <w:r>
        <w:rPr/>
        <w:t>公司治理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before="26"/>
        <w:ind w:right="4490"/>
        <w:jc w:val="left"/>
      </w:pPr>
      <w:r>
        <w:rPr/>
        <w:t>一、公司治理的基本状况</w:t>
      </w:r>
    </w:p>
    <w:p>
      <w:pPr>
        <w:spacing w:line="240" w:lineRule="auto" w:before="10"/>
        <w:rPr>
          <w:rFonts w:ascii="宋体" w:hAnsi="宋体" w:cs="宋体" w:eastAsia="宋体" w:hint="default"/>
          <w:sz w:val="30"/>
          <w:szCs w:val="30"/>
        </w:rPr>
      </w:pPr>
    </w:p>
    <w:p>
      <w:pPr>
        <w:pStyle w:val="BodyText"/>
        <w:spacing w:line="408" w:lineRule="auto"/>
        <w:ind w:right="96" w:firstLine="420"/>
        <w:jc w:val="left"/>
      </w:pPr>
      <w:r>
        <w:rPr>
          <w:spacing w:val="-3"/>
        </w:rPr>
        <w:t>报告期内，公司严格按照《公司法》、《证券法》、《上市公司治理准则》、《深圳证券交易所股票</w:t>
      </w:r>
      <w:r>
        <w:rPr>
          <w:w w:val="100"/>
        </w:rPr>
        <w:t> </w:t>
      </w:r>
      <w:r>
        <w:rPr>
          <w:spacing w:val="-5"/>
        </w:rPr>
        <w:t>上市规则》、《深圳证券交易所中小企业板上市公司规范运作指引》和中国证监会有关法律法规等的要求，</w:t>
      </w:r>
      <w:r>
        <w:rPr>
          <w:spacing w:val="-6"/>
        </w:rPr>
        <w:t> </w:t>
      </w:r>
      <w:r>
        <w:rPr>
          <w:spacing w:val="-6"/>
        </w:rPr>
      </w:r>
      <w:r>
        <w:rPr>
          <w:spacing w:val="-3"/>
        </w:rPr>
        <w:t>不断完善公司治理结构，建立健全内部管理和控制制度，持续深入开展公司治理活动，以进一步规范公司</w:t>
      </w:r>
      <w:r>
        <w:rPr>
          <w:spacing w:val="4"/>
        </w:rPr>
        <w:t> </w:t>
      </w:r>
      <w:r>
        <w:rPr>
          <w:spacing w:val="4"/>
        </w:rPr>
      </w:r>
      <w:r>
        <w:rPr/>
        <w:t>运作，提高了公司治理水平。</w:t>
      </w:r>
    </w:p>
    <w:p>
      <w:pPr>
        <w:spacing w:line="240" w:lineRule="auto" w:before="6"/>
        <w:rPr>
          <w:rFonts w:ascii="宋体" w:hAnsi="宋体" w:cs="宋体" w:eastAsia="宋体" w:hint="default"/>
          <w:sz w:val="15"/>
          <w:szCs w:val="15"/>
        </w:rPr>
      </w:pPr>
    </w:p>
    <w:p>
      <w:pPr>
        <w:pStyle w:val="BodyText"/>
        <w:spacing w:line="240" w:lineRule="auto"/>
        <w:ind w:left="572" w:right="1318"/>
        <w:jc w:val="left"/>
      </w:pPr>
      <w:r>
        <w:rPr/>
        <w:t>自公司上市以来截至报告期末，公司已建立的各项制度的名称和公开信息披露情况：</w:t>
      </w:r>
    </w:p>
    <w:p>
      <w:pPr>
        <w:spacing w:line="240" w:lineRule="auto" w:before="10"/>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4140"/>
        <w:gridCol w:w="1980"/>
        <w:gridCol w:w="2160"/>
      </w:tblGrid>
      <w:tr>
        <w:trPr>
          <w:trHeight w:val="58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公司已建立制度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信息披露载体</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信息披露管理办法</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对外提供财务资助管理制度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董事会提名委员会实施细则</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董事会战略委员会实施细则</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董事会审计委员会实施细则</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内部审计制度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董事会薪酬与考核委员会实施细则</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董事会审计委员会年报工作规程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防范控股股东及其关联方资金占用制度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投资者调研接待工作管理办法</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00" w:h="16840"/>
          <w:pgMar w:header="746"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140"/>
        <w:gridCol w:w="1980"/>
        <w:gridCol w:w="2160"/>
      </w:tblGrid>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8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33"/>
              <w:jc w:val="right"/>
              <w:rPr>
                <w:rFonts w:ascii="宋体" w:hAnsi="宋体" w:cs="宋体" w:eastAsia="宋体" w:hint="default"/>
                <w:sz w:val="21"/>
                <w:szCs w:val="21"/>
              </w:rPr>
            </w:pPr>
            <w:r>
              <w:rPr>
                <w:rFonts w:ascii="宋体" w:hAnsi="宋体" w:cs="宋体" w:eastAsia="宋体" w:hint="default"/>
                <w:spacing w:val="-2"/>
                <w:sz w:val="21"/>
                <w:szCs w:val="21"/>
              </w:rPr>
              <w:t>巨潮资讯网</w:t>
            </w:r>
          </w:p>
        </w:tc>
      </w:tr>
      <w:tr>
        <w:trPr>
          <w:trHeight w:val="58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0" w:right="0"/>
              <w:jc w:val="center"/>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8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33"/>
              <w:jc w:val="right"/>
              <w:rPr>
                <w:rFonts w:ascii="宋体" w:hAnsi="宋体" w:cs="宋体" w:eastAsia="宋体" w:hint="default"/>
                <w:sz w:val="21"/>
                <w:szCs w:val="21"/>
              </w:rPr>
            </w:pPr>
            <w:r>
              <w:rPr>
                <w:rFonts w:ascii="宋体" w:hAnsi="宋体" w:cs="宋体" w:eastAsia="宋体" w:hint="default"/>
                <w:spacing w:val="-2"/>
                <w:sz w:val="21"/>
                <w:szCs w:val="21"/>
              </w:rPr>
              <w:t>巨潮资讯网</w:t>
            </w:r>
          </w:p>
        </w:tc>
      </w:tr>
      <w:tr>
        <w:trPr>
          <w:trHeight w:val="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18" w:right="0"/>
              <w:jc w:val="center"/>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8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33"/>
              <w:jc w:val="right"/>
              <w:rPr>
                <w:rFonts w:ascii="宋体" w:hAnsi="宋体" w:cs="宋体" w:eastAsia="宋体" w:hint="default"/>
                <w:sz w:val="21"/>
                <w:szCs w:val="21"/>
              </w:rPr>
            </w:pPr>
            <w:r>
              <w:rPr>
                <w:rFonts w:ascii="宋体" w:hAnsi="宋体" w:cs="宋体" w:eastAsia="宋体" w:hint="default"/>
                <w:spacing w:val="-2"/>
                <w:sz w:val="21"/>
                <w:szCs w:val="21"/>
              </w:rPr>
              <w:t>巨潮资讯网</w:t>
            </w:r>
          </w:p>
        </w:tc>
      </w:tr>
      <w:tr>
        <w:trPr>
          <w:trHeight w:val="82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65"/>
              <w:ind w:left="1221" w:right="-1" w:hanging="80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董事、监事和高级管理人员持有和买卖本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公司股票管理制度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33"/>
              <w:jc w:val="right"/>
              <w:rPr>
                <w:rFonts w:ascii="宋体" w:hAnsi="宋体" w:cs="宋体" w:eastAsia="宋体" w:hint="default"/>
                <w:sz w:val="21"/>
                <w:szCs w:val="21"/>
              </w:rPr>
            </w:pPr>
            <w:r>
              <w:rPr>
                <w:rFonts w:ascii="宋体" w:hAnsi="宋体" w:cs="宋体" w:eastAsia="宋体" w:hint="default"/>
                <w:spacing w:val="-2"/>
                <w:sz w:val="21"/>
                <w:szCs w:val="21"/>
              </w:rPr>
              <w:t>巨潮资讯网</w:t>
            </w:r>
          </w:p>
        </w:tc>
      </w:tr>
    </w:tbl>
    <w:p>
      <w:pPr>
        <w:spacing w:line="240" w:lineRule="auto" w:before="1"/>
        <w:rPr>
          <w:rFonts w:ascii="宋体" w:hAnsi="宋体" w:cs="宋体" w:eastAsia="宋体" w:hint="default"/>
          <w:sz w:val="14"/>
          <w:szCs w:val="14"/>
        </w:rPr>
      </w:pPr>
    </w:p>
    <w:p>
      <w:pPr>
        <w:pStyle w:val="BodyText"/>
        <w:spacing w:line="240" w:lineRule="auto" w:before="36"/>
        <w:ind w:left="575" w:right="145"/>
        <w:jc w:val="left"/>
      </w:pPr>
      <w:r>
        <w:rPr/>
        <w:t>（一）股东大会制度的建立健全及运行情况</w:t>
      </w:r>
    </w:p>
    <w:p>
      <w:pPr>
        <w:spacing w:line="240" w:lineRule="auto" w:before="9"/>
        <w:rPr>
          <w:rFonts w:ascii="宋体" w:hAnsi="宋体" w:cs="宋体" w:eastAsia="宋体" w:hint="default"/>
          <w:sz w:val="26"/>
          <w:szCs w:val="26"/>
        </w:rPr>
      </w:pPr>
    </w:p>
    <w:p>
      <w:pPr>
        <w:pStyle w:val="BodyText"/>
        <w:spacing w:line="408" w:lineRule="auto"/>
        <w:ind w:right="119" w:firstLine="420"/>
        <w:jc w:val="both"/>
      </w:pPr>
      <w:r>
        <w:rPr>
          <w:spacing w:val="-2"/>
        </w:rPr>
        <w:t>报告期内，公司严格按照《公司法》和《公司章程》、《股东大会议事规则》等规则的规定和要求，</w:t>
      </w:r>
      <w:r>
        <w:rPr>
          <w:w w:val="100"/>
        </w:rPr>
        <w:t> </w:t>
      </w:r>
      <w:r>
        <w:rPr>
          <w:spacing w:val="-3"/>
        </w:rPr>
        <w:t>召集、召开股东大会，能够确保全体股东特别是中小股东享有平等地位，充分行使自己的权力。报告期内</w:t>
      </w:r>
      <w:r>
        <w:rPr>
          <w:spacing w:val="2"/>
        </w:rPr>
        <w:t> </w:t>
      </w:r>
      <w:r>
        <w:rPr>
          <w:spacing w:val="2"/>
        </w:rPr>
      </w:r>
      <w:r>
        <w:rPr>
          <w:spacing w:val="-3"/>
        </w:rPr>
        <w:t>的股东大会均由董事会召集召开，并聘请律师进行现场见证，根据相关法律、行政法规、部门规章、规范</w:t>
      </w:r>
      <w:r>
        <w:rPr>
          <w:spacing w:val="3"/>
        </w:rPr>
        <w:t> </w:t>
      </w:r>
      <w:r>
        <w:rPr>
          <w:spacing w:val="3"/>
        </w:rPr>
      </w:r>
      <w:r>
        <w:rPr>
          <w:spacing w:val="-3"/>
        </w:rPr>
        <w:t>性文件及公司章程等规定应由股东大会表决的事项均按照相应的权限审批后交由股东大会审议，不存在越</w:t>
      </w:r>
      <w:r>
        <w:rPr>
          <w:spacing w:val="4"/>
        </w:rPr>
        <w:t> </w:t>
      </w:r>
      <w:r>
        <w:rPr>
          <w:spacing w:val="4"/>
        </w:rPr>
      </w:r>
      <w:r>
        <w:rPr/>
        <w:t>权审批或先实施后审议的情况。</w:t>
      </w:r>
    </w:p>
    <w:p>
      <w:pPr>
        <w:spacing w:line="240" w:lineRule="auto" w:before="6"/>
        <w:rPr>
          <w:rFonts w:ascii="宋体" w:hAnsi="宋体" w:cs="宋体" w:eastAsia="宋体" w:hint="default"/>
          <w:sz w:val="15"/>
          <w:szCs w:val="15"/>
        </w:rPr>
      </w:pPr>
    </w:p>
    <w:p>
      <w:pPr>
        <w:pStyle w:val="BodyText"/>
        <w:spacing w:line="386" w:lineRule="auto"/>
        <w:ind w:right="122" w:firstLine="420"/>
        <w:jc w:val="both"/>
      </w:pPr>
      <w:r>
        <w:rPr/>
        <w:t>报告期内，公司共召开了</w:t>
      </w:r>
      <w:r>
        <w:rPr>
          <w:rFonts w:ascii="Times New Roman" w:hAnsi="Times New Roman" w:cs="Times New Roman" w:eastAsia="Times New Roman" w:hint="default"/>
        </w:rPr>
        <w:t>4</w:t>
      </w:r>
      <w:r>
        <w:rPr/>
        <w:t>次股东大会：</w:t>
      </w:r>
      <w:r>
        <w:rPr>
          <w:rFonts w:ascii="Times New Roman" w:hAnsi="Times New Roman" w:cs="Times New Roman" w:eastAsia="Times New Roman" w:hint="default"/>
        </w:rPr>
        <w:t>2011</w:t>
      </w:r>
      <w:r>
        <w:rPr/>
        <w:t>年度股东大会、</w:t>
      </w:r>
      <w:r>
        <w:rPr>
          <w:rFonts w:ascii="Times New Roman" w:hAnsi="Times New Roman" w:cs="Times New Roman" w:eastAsia="Times New Roman" w:hint="default"/>
        </w:rPr>
        <w:t>2012</w:t>
      </w:r>
      <w:r>
        <w:rPr/>
        <w:t>年第一次临时股东大会、</w:t>
      </w:r>
      <w:r>
        <w:rPr>
          <w:rFonts w:ascii="Times New Roman" w:hAnsi="Times New Roman" w:cs="Times New Roman" w:eastAsia="Times New Roman" w:hint="default"/>
        </w:rPr>
        <w:t>2012</w:t>
      </w:r>
      <w:r>
        <w:rPr/>
        <w:t>年第</w:t>
      </w:r>
      <w:r>
        <w:rPr>
          <w:w w:val="100"/>
        </w:rPr>
        <w:t> </w:t>
      </w:r>
      <w:r>
        <w:rPr>
          <w:spacing w:val="-3"/>
        </w:rPr>
        <w:t>二次临时股东大会、</w:t>
      </w:r>
      <w:r>
        <w:rPr>
          <w:rFonts w:ascii="Times New Roman" w:hAnsi="Times New Roman" w:cs="Times New Roman" w:eastAsia="Times New Roman" w:hint="default"/>
          <w:spacing w:val="-3"/>
        </w:rPr>
        <w:t>2012</w:t>
      </w:r>
      <w:r>
        <w:rPr>
          <w:spacing w:val="-3"/>
        </w:rPr>
        <w:t>年第三次临时股东大会。会议的召集程序、召开程序、出席会议人员资格及表决</w:t>
      </w:r>
      <w:r>
        <w:rPr>
          <w:spacing w:val="4"/>
        </w:rPr>
        <w:t> </w:t>
      </w:r>
      <w:r>
        <w:rPr>
          <w:spacing w:val="4"/>
        </w:rPr>
      </w:r>
      <w:r>
        <w:rPr>
          <w:spacing w:val="-2"/>
        </w:rPr>
        <w:t>程序均符合《公司法》、《上市公司股东大会规则》等法律、法规、规范性文件和《公司章程》的规定。</w:t>
      </w:r>
    </w:p>
    <w:p>
      <w:pPr>
        <w:spacing w:line="240" w:lineRule="auto" w:before="12"/>
        <w:rPr>
          <w:rFonts w:ascii="宋体" w:hAnsi="宋体" w:cs="宋体" w:eastAsia="宋体" w:hint="default"/>
          <w:sz w:val="16"/>
          <w:szCs w:val="16"/>
        </w:rPr>
      </w:pPr>
    </w:p>
    <w:p>
      <w:pPr>
        <w:pStyle w:val="BodyText"/>
        <w:spacing w:line="240" w:lineRule="auto"/>
        <w:ind w:left="572" w:right="145"/>
        <w:jc w:val="left"/>
      </w:pPr>
      <w:r>
        <w:rPr/>
        <w:t>会议具体情况如下：</w:t>
      </w:r>
    </w:p>
    <w:p>
      <w:pPr>
        <w:spacing w:line="240" w:lineRule="auto" w:before="9"/>
        <w:rPr>
          <w:rFonts w:ascii="宋体" w:hAnsi="宋体" w:cs="宋体" w:eastAsia="宋体" w:hint="default"/>
          <w:sz w:val="26"/>
          <w:szCs w:val="26"/>
        </w:rPr>
      </w:pPr>
    </w:p>
    <w:p>
      <w:pPr>
        <w:spacing w:before="0"/>
        <w:ind w:left="575" w:right="1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b/>
          <w:bCs/>
          <w:sz w:val="21"/>
          <w:szCs w:val="21"/>
        </w:rPr>
        <w:t>4</w:t>
      </w:r>
      <w:r>
        <w:rPr>
          <w:rFonts w:ascii="宋体" w:hAnsi="宋体" w:cs="宋体" w:eastAsia="宋体" w:hint="default"/>
          <w:sz w:val="21"/>
          <w:szCs w:val="21"/>
        </w:rPr>
        <w:t>月</w:t>
      </w:r>
      <w:r>
        <w:rPr>
          <w:rFonts w:ascii="Times New Roman" w:hAnsi="Times New Roman" w:cs="Times New Roman" w:eastAsia="Times New Roman" w:hint="default"/>
          <w:b/>
          <w:bCs/>
          <w:sz w:val="21"/>
          <w:szCs w:val="21"/>
        </w:rPr>
        <w:t>18</w:t>
      </w:r>
      <w:r>
        <w:rPr>
          <w:rFonts w:ascii="宋体" w:hAnsi="宋体" w:cs="宋体" w:eastAsia="宋体" w:hint="default"/>
          <w:sz w:val="21"/>
          <w:szCs w:val="21"/>
        </w:rPr>
        <w:t>日，公司召开了</w:t>
      </w:r>
      <w:r>
        <w:rPr>
          <w:rFonts w:ascii="Times New Roman" w:hAnsi="Times New Roman" w:cs="Times New Roman" w:eastAsia="Times New Roman" w:hint="default"/>
          <w:b/>
          <w:bCs/>
          <w:sz w:val="21"/>
          <w:szCs w:val="21"/>
        </w:rPr>
        <w:t>2011</w:t>
      </w:r>
      <w:r>
        <w:rPr>
          <w:rFonts w:ascii="宋体" w:hAnsi="宋体" w:cs="宋体" w:eastAsia="宋体" w:hint="default"/>
          <w:sz w:val="21"/>
          <w:szCs w:val="21"/>
        </w:rPr>
        <w:t>年度股东大会，会议审议通过了以下议案：</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年度董事会工作报告》；</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年度监事会工作报告》；</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t>年年度报告及摘要》；</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t>年利润分配和资本公积转增股本预案》；</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2011</w:t>
      </w:r>
      <w:r>
        <w:rPr/>
        <w:t>年度财务决算报告》；</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t>年度内部控制自我评价报告》；</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t>年度募集资金使用情况专项报告》；</w:t>
      </w:r>
    </w:p>
    <w:p>
      <w:pPr>
        <w:spacing w:line="240" w:lineRule="auto" w:before="6"/>
        <w:rPr>
          <w:rFonts w:ascii="宋体" w:hAnsi="宋体" w:cs="宋体" w:eastAsia="宋体" w:hint="default"/>
          <w:sz w:val="25"/>
          <w:szCs w:val="25"/>
        </w:rPr>
      </w:pPr>
    </w:p>
    <w:p>
      <w:pPr>
        <w:pStyle w:val="BodyText"/>
        <w:spacing w:line="240" w:lineRule="auto"/>
        <w:ind w:left="572" w:right="145"/>
        <w:jc w:val="left"/>
      </w:pPr>
      <w:r>
        <w:rPr>
          <w:rFonts w:ascii="Times New Roman" w:hAnsi="Times New Roman" w:cs="Times New Roman" w:eastAsia="Times New Roman" w:hint="default"/>
        </w:rPr>
        <w:t>8</w:t>
      </w:r>
      <w:r>
        <w:rPr/>
        <w:t>、《关于续聘公司</w:t>
      </w:r>
      <w:r>
        <w:rPr>
          <w:rFonts w:ascii="Times New Roman" w:hAnsi="Times New Roman" w:cs="Times New Roman" w:eastAsia="Times New Roman" w:hint="default"/>
        </w:rPr>
        <w:t>2012</w:t>
      </w:r>
      <w:r>
        <w:rPr/>
        <w:t>年财务审计机构的议案》；</w:t>
      </w:r>
    </w:p>
    <w:p>
      <w:pPr>
        <w:spacing w:after="0" w:line="240" w:lineRule="auto"/>
        <w:jc w:val="left"/>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pStyle w:val="BodyText"/>
        <w:spacing w:line="516" w:lineRule="auto" w:before="175"/>
        <w:ind w:left="467" w:right="0" w:firstLine="105"/>
        <w:jc w:val="left"/>
      </w:pPr>
      <w:r>
        <w:rPr>
          <w:rFonts w:ascii="Times New Roman" w:hAnsi="Times New Roman" w:cs="Times New Roman" w:eastAsia="Times New Roman" w:hint="default"/>
        </w:rPr>
        <w:t>9</w:t>
      </w:r>
      <w:r>
        <w:rPr/>
        <w:t>、《关于修改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w w:val="100"/>
        </w:rPr>
        <w:t> </w:t>
      </w:r>
      <w:r>
        <w:rPr>
          <w:spacing w:val="-5"/>
        </w:rPr>
        <w:t>会议决议公告刊登在</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19</w:t>
      </w:r>
      <w:r>
        <w:rPr>
          <w:spacing w:val="-5"/>
        </w:rPr>
        <w:t>日的《证券日报》、《证券时报》、《中国证券报》和巨潮资讯网上。</w:t>
      </w:r>
    </w:p>
    <w:p>
      <w:pPr>
        <w:spacing w:before="66"/>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b/>
          <w:bCs/>
          <w:sz w:val="21"/>
          <w:szCs w:val="21"/>
        </w:rPr>
        <w:t>6</w:t>
      </w:r>
      <w:r>
        <w:rPr>
          <w:rFonts w:ascii="宋体" w:hAnsi="宋体" w:cs="宋体" w:eastAsia="宋体" w:hint="default"/>
          <w:sz w:val="21"/>
          <w:szCs w:val="21"/>
        </w:rPr>
        <w:t>月</w:t>
      </w:r>
      <w:r>
        <w:rPr>
          <w:rFonts w:ascii="Times New Roman" w:hAnsi="Times New Roman" w:cs="Times New Roman" w:eastAsia="Times New Roman" w:hint="default"/>
          <w:b/>
          <w:bCs/>
          <w:sz w:val="21"/>
          <w:szCs w:val="21"/>
        </w:rPr>
        <w:t>28</w:t>
      </w:r>
      <w:r>
        <w:rPr>
          <w:rFonts w:ascii="宋体" w:hAnsi="宋体" w:cs="宋体" w:eastAsia="宋体" w:hint="default"/>
          <w:sz w:val="21"/>
          <w:szCs w:val="21"/>
        </w:rPr>
        <w:t>日，公司召开了</w:t>
      </w:r>
      <w:r>
        <w:rPr>
          <w:rFonts w:ascii="Times New Roman" w:hAnsi="Times New Roman" w:cs="Times New Roman" w:eastAsia="Times New Roman" w:hint="default"/>
          <w:b/>
          <w:bCs/>
          <w:sz w:val="21"/>
          <w:szCs w:val="21"/>
        </w:rPr>
        <w:t>2012</w:t>
      </w:r>
      <w:r>
        <w:rPr>
          <w:rFonts w:ascii="宋体" w:hAnsi="宋体" w:cs="宋体" w:eastAsia="宋体" w:hint="default"/>
          <w:sz w:val="21"/>
          <w:szCs w:val="21"/>
        </w:rPr>
        <w:t>年第一次临时股东大会，会议审议通过了如下议案：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1</w:t>
      </w:r>
      <w:r>
        <w:rPr/>
        <w:t>、《关于选举周海燕为公司第一届董事会董事的议案》；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2</w:t>
      </w:r>
      <w:r>
        <w:rPr/>
        <w:t>、《关于选举吕忆农为公司第一届董事会独立董事的议案》；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3</w:t>
      </w:r>
      <w:r>
        <w:rPr/>
        <w:t>、《关于修改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spacing w:line="240" w:lineRule="auto" w:before="6"/>
        <w:rPr>
          <w:rFonts w:ascii="宋体" w:hAnsi="宋体" w:cs="宋体" w:eastAsia="宋体" w:hint="default"/>
          <w:sz w:val="25"/>
          <w:szCs w:val="25"/>
        </w:rPr>
      </w:pPr>
    </w:p>
    <w:p>
      <w:pPr>
        <w:pStyle w:val="BodyText"/>
        <w:spacing w:line="516" w:lineRule="auto"/>
        <w:ind w:left="572" w:right="0"/>
        <w:jc w:val="left"/>
      </w:pPr>
      <w:r>
        <w:rPr>
          <w:rFonts w:ascii="Times New Roman" w:hAnsi="Times New Roman" w:cs="Times New Roman" w:eastAsia="Times New Roman" w:hint="default"/>
        </w:rPr>
        <w:t>4</w:t>
      </w:r>
      <w:r>
        <w:rPr/>
        <w:t>、《关于向银行申请不超过人民币</w:t>
      </w:r>
      <w:r>
        <w:rPr>
          <w:rFonts w:ascii="Times New Roman" w:hAnsi="Times New Roman" w:cs="Times New Roman" w:eastAsia="Times New Roman" w:hint="default"/>
        </w:rPr>
        <w:t>30</w:t>
      </w:r>
      <w:r>
        <w:rPr/>
        <w:t>亿元授信额度的议案》；</w:t>
      </w:r>
      <w:r>
        <w:rPr>
          <w:w w:val="100"/>
        </w:rPr>
        <w:t> </w:t>
      </w:r>
      <w:r>
        <w:rPr>
          <w:spacing w:val="-2"/>
        </w:rPr>
        <w:t>会议决议公告刊登在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日的《上海证券报》、《证券时报》和巨潮资讯网上。</w:t>
      </w:r>
    </w:p>
    <w:p>
      <w:pPr>
        <w:pStyle w:val="BodyText"/>
        <w:spacing w:line="516" w:lineRule="auto" w:before="66"/>
        <w:ind w:left="572" w:right="0" w:firstLine="2"/>
        <w:jc w:val="left"/>
      </w:pPr>
      <w:r>
        <w:rPr>
          <w:spacing w:val="-2"/>
        </w:rPr>
        <w:t>（</w:t>
      </w:r>
      <w:r>
        <w:rPr>
          <w:rFonts w:ascii="Times New Roman" w:hAnsi="Times New Roman" w:cs="Times New Roman" w:eastAsia="Times New Roman" w:hint="default"/>
          <w:b/>
          <w:bCs/>
          <w:spacing w:val="-2"/>
        </w:rPr>
        <w:t>3</w:t>
      </w:r>
      <w:r>
        <w:rPr>
          <w:spacing w:val="-2"/>
        </w:rPr>
        <w:t>）</w:t>
      </w:r>
      <w:r>
        <w:rPr>
          <w:rFonts w:ascii="Times New Roman" w:hAnsi="Times New Roman" w:cs="Times New Roman" w:eastAsia="Times New Roman" w:hint="default"/>
          <w:b/>
          <w:bCs/>
          <w:spacing w:val="-2"/>
        </w:rPr>
        <w:t>2012</w:t>
      </w:r>
      <w:r>
        <w:rPr>
          <w:spacing w:val="-2"/>
        </w:rPr>
        <w:t>年</w:t>
      </w:r>
      <w:r>
        <w:rPr>
          <w:rFonts w:ascii="Times New Roman" w:hAnsi="Times New Roman" w:cs="Times New Roman" w:eastAsia="Times New Roman" w:hint="default"/>
          <w:b/>
          <w:bCs/>
          <w:spacing w:val="-2"/>
        </w:rPr>
        <w:t>8</w:t>
      </w:r>
      <w:r>
        <w:rPr>
          <w:spacing w:val="-2"/>
        </w:rPr>
        <w:t>月</w:t>
      </w:r>
      <w:r>
        <w:rPr>
          <w:rFonts w:ascii="Times New Roman" w:hAnsi="Times New Roman" w:cs="Times New Roman" w:eastAsia="Times New Roman" w:hint="default"/>
          <w:b/>
          <w:bCs/>
          <w:spacing w:val="-2"/>
        </w:rPr>
        <w:t>28</w:t>
      </w:r>
      <w:r>
        <w:rPr>
          <w:spacing w:val="-2"/>
        </w:rPr>
        <w:t>日，公司召开了</w:t>
      </w:r>
      <w:r>
        <w:rPr>
          <w:rFonts w:ascii="Times New Roman" w:hAnsi="Times New Roman" w:cs="Times New Roman" w:eastAsia="Times New Roman" w:hint="default"/>
          <w:b/>
          <w:bCs/>
          <w:spacing w:val="-2"/>
        </w:rPr>
        <w:t>2012</w:t>
      </w:r>
      <w:r>
        <w:rPr>
          <w:spacing w:val="-2"/>
        </w:rPr>
        <w:t>年第二次临时股东大会，会议审议通过了如下议案：</w:t>
      </w:r>
      <w:r>
        <w:rPr>
          <w:spacing w:val="-5"/>
        </w:rPr>
        <w:t> </w:t>
      </w:r>
      <w:r>
        <w:rPr>
          <w:spacing w:val="-5"/>
        </w:rPr>
      </w:r>
      <w:r>
        <w:rPr>
          <w:rFonts w:ascii="Times New Roman" w:hAnsi="Times New Roman" w:cs="Times New Roman" w:eastAsia="Times New Roman" w:hint="default"/>
        </w:rPr>
        <w:t>1</w:t>
      </w:r>
      <w:r>
        <w:rPr/>
        <w:t>、《关于修改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w w:val="100"/>
        </w:rPr>
        <w:t> </w:t>
      </w:r>
      <w:r>
        <w:rPr/>
        <w:t>会议决议公告刊登在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日的《上海证券报》、《证券时报》和巨潮资讯网上。</w:t>
      </w:r>
    </w:p>
    <w:p>
      <w:pPr>
        <w:spacing w:before="66"/>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b/>
          <w:bCs/>
          <w:sz w:val="21"/>
          <w:szCs w:val="21"/>
        </w:rPr>
        <w:t>11</w:t>
      </w:r>
      <w:r>
        <w:rPr>
          <w:rFonts w:ascii="宋体" w:hAnsi="宋体" w:cs="宋体" w:eastAsia="宋体" w:hint="default"/>
          <w:sz w:val="21"/>
          <w:szCs w:val="21"/>
        </w:rPr>
        <w:t>月</w:t>
      </w:r>
      <w:r>
        <w:rPr>
          <w:rFonts w:ascii="Times New Roman" w:hAnsi="Times New Roman" w:cs="Times New Roman" w:eastAsia="Times New Roman" w:hint="default"/>
          <w:b/>
          <w:bCs/>
          <w:sz w:val="21"/>
          <w:szCs w:val="21"/>
        </w:rPr>
        <w:t>29</w:t>
      </w:r>
      <w:r>
        <w:rPr>
          <w:rFonts w:ascii="宋体" w:hAnsi="宋体" w:cs="宋体" w:eastAsia="宋体" w:hint="default"/>
          <w:sz w:val="21"/>
          <w:szCs w:val="21"/>
        </w:rPr>
        <w:t>日，公司召开了</w:t>
      </w:r>
      <w:r>
        <w:rPr>
          <w:rFonts w:ascii="Times New Roman" w:hAnsi="Times New Roman" w:cs="Times New Roman" w:eastAsia="Times New Roman" w:hint="default"/>
          <w:b/>
          <w:bCs/>
          <w:sz w:val="21"/>
          <w:szCs w:val="21"/>
        </w:rPr>
        <w:t>2012</w:t>
      </w:r>
      <w:r>
        <w:rPr>
          <w:rFonts w:ascii="宋体" w:hAnsi="宋体" w:cs="宋体" w:eastAsia="宋体" w:hint="default"/>
          <w:sz w:val="21"/>
          <w:szCs w:val="21"/>
        </w:rPr>
        <w:t>年第三次临时股东大会，会议审议通过了如下议案：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1</w:t>
      </w:r>
      <w:r>
        <w:rPr/>
        <w:t>、《关于公司符合公开发行可转换公司债券条件的议案》；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2</w:t>
      </w:r>
      <w:r>
        <w:rPr/>
        <w:t>、《关于公司公开发行可转换公司债券的议案》；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3</w:t>
      </w:r>
      <w:r>
        <w:rPr/>
        <w:t>、《关于公司公开发行可转换公司债券募集资金项目可行性报告的议案》；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4</w:t>
      </w:r>
      <w:r>
        <w:rPr/>
        <w:t>、《关于前次募集资金使用情况报告的议案》；</w:t>
      </w:r>
    </w:p>
    <w:p>
      <w:pPr>
        <w:spacing w:line="240" w:lineRule="auto" w:before="6"/>
        <w:rPr>
          <w:rFonts w:ascii="宋体" w:hAnsi="宋体" w:cs="宋体" w:eastAsia="宋体" w:hint="default"/>
          <w:sz w:val="25"/>
          <w:szCs w:val="25"/>
        </w:rPr>
      </w:pPr>
    </w:p>
    <w:p>
      <w:pPr>
        <w:pStyle w:val="BodyText"/>
        <w:spacing w:line="240" w:lineRule="auto"/>
        <w:ind w:left="572" w:right="0"/>
        <w:jc w:val="left"/>
      </w:pPr>
      <w:r>
        <w:rPr>
          <w:rFonts w:ascii="Times New Roman" w:hAnsi="Times New Roman" w:cs="Times New Roman" w:eastAsia="Times New Roman" w:hint="default"/>
        </w:rPr>
        <w:t>5</w:t>
      </w:r>
      <w:r>
        <w:rPr/>
        <w:t>、《关于授权董事会全权办理本次可转换公司债券发行具体事宜的议案》；</w:t>
      </w:r>
    </w:p>
    <w:p>
      <w:pPr>
        <w:spacing w:line="240" w:lineRule="auto" w:before="6"/>
        <w:rPr>
          <w:rFonts w:ascii="宋体" w:hAnsi="宋体" w:cs="宋体" w:eastAsia="宋体" w:hint="default"/>
          <w:sz w:val="25"/>
          <w:szCs w:val="25"/>
        </w:rPr>
      </w:pPr>
    </w:p>
    <w:p>
      <w:pPr>
        <w:pStyle w:val="BodyText"/>
        <w:spacing w:line="516" w:lineRule="auto"/>
        <w:ind w:left="363" w:right="0" w:firstLine="208"/>
        <w:jc w:val="left"/>
      </w:pPr>
      <w:r>
        <w:rPr>
          <w:rFonts w:ascii="Times New Roman" w:hAnsi="Times New Roman" w:cs="Times New Roman" w:eastAsia="Times New Roman" w:hint="default"/>
        </w:rPr>
        <w:t>6</w:t>
      </w:r>
      <w:r>
        <w:rPr/>
        <w:t>、《关于公司未来三年股东回报规划的议案》。</w:t>
      </w:r>
      <w:r>
        <w:rPr>
          <w:w w:val="100"/>
        </w:rPr>
        <w:t> </w:t>
      </w:r>
      <w:r>
        <w:rPr>
          <w:spacing w:val="-5"/>
        </w:rPr>
        <w:t>会议决议公告刊登在</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30</w:t>
      </w:r>
      <w:r>
        <w:rPr>
          <w:spacing w:val="-5"/>
        </w:rPr>
        <w:t>日的《证券日报》、《证券时报》、《上海证券报》和巨潮资讯网上。</w:t>
      </w:r>
    </w:p>
    <w:p>
      <w:pPr>
        <w:pStyle w:val="BodyText"/>
        <w:spacing w:line="240" w:lineRule="auto" w:before="66"/>
        <w:ind w:left="575" w:right="0"/>
        <w:jc w:val="left"/>
      </w:pPr>
      <w:r>
        <w:rPr/>
        <w:t>（二）公司与控股股东</w:t>
      </w:r>
    </w:p>
    <w:p>
      <w:pPr>
        <w:spacing w:line="240" w:lineRule="auto" w:before="9"/>
        <w:rPr>
          <w:rFonts w:ascii="宋体" w:hAnsi="宋体" w:cs="宋体" w:eastAsia="宋体" w:hint="default"/>
          <w:sz w:val="26"/>
          <w:szCs w:val="26"/>
        </w:rPr>
      </w:pPr>
    </w:p>
    <w:p>
      <w:pPr>
        <w:pStyle w:val="BodyText"/>
        <w:spacing w:line="408" w:lineRule="auto"/>
        <w:ind w:right="221" w:firstLine="420"/>
        <w:jc w:val="both"/>
      </w:pPr>
      <w:r>
        <w:rPr>
          <w:spacing w:val="-3"/>
        </w:rPr>
        <w:t>公司拥有独立的业务和经营自主能力，在业务、人员、资产、机构、财务上独立于控股股东，公司董</w:t>
      </w:r>
      <w:r>
        <w:rPr>
          <w:w w:val="100"/>
        </w:rPr>
        <w:t> </w:t>
      </w:r>
      <w:r>
        <w:rPr>
          <w:spacing w:val="-3"/>
        </w:rPr>
        <w:t>事会、监事会和内部机构独立运作。公司控股股东能严格规范自己的行为，没有超越公司股东大会直接或</w:t>
      </w:r>
      <w:r>
        <w:rPr>
          <w:spacing w:val="4"/>
        </w:rPr>
        <w:t> </w:t>
      </w:r>
      <w:r>
        <w:rPr>
          <w:spacing w:val="4"/>
        </w:rPr>
      </w:r>
      <w:r>
        <w:rPr/>
        <w:t>间接干预公司的决策和经营活动的行为。</w:t>
      </w:r>
    </w:p>
    <w:p>
      <w:pPr>
        <w:spacing w:after="0" w:line="408" w:lineRule="auto"/>
        <w:jc w:val="both"/>
        <w:sectPr>
          <w:pgSz w:w="11900" w:h="16840"/>
          <w:pgMar w:header="746" w:footer="982" w:top="1060" w:bottom="1180" w:left="980" w:right="900"/>
        </w:sectPr>
      </w:pPr>
    </w:p>
    <w:p>
      <w:pPr>
        <w:spacing w:line="240" w:lineRule="auto" w:before="0"/>
        <w:rPr>
          <w:rFonts w:ascii="宋体" w:hAnsi="宋体" w:cs="宋体" w:eastAsia="宋体" w:hint="default"/>
          <w:sz w:val="20"/>
          <w:szCs w:val="20"/>
        </w:rPr>
      </w:pPr>
    </w:p>
    <w:p>
      <w:pPr>
        <w:pStyle w:val="BodyText"/>
        <w:spacing w:line="240" w:lineRule="auto" w:before="175"/>
        <w:ind w:left="575" w:right="4490"/>
        <w:jc w:val="left"/>
      </w:pPr>
      <w:r>
        <w:rPr/>
        <w:t>（三）董事与董事会</w:t>
      </w:r>
    </w:p>
    <w:p>
      <w:pPr>
        <w:spacing w:line="240" w:lineRule="auto" w:before="9"/>
        <w:rPr>
          <w:rFonts w:ascii="宋体" w:hAnsi="宋体" w:cs="宋体" w:eastAsia="宋体" w:hint="default"/>
          <w:sz w:val="26"/>
          <w:szCs w:val="26"/>
        </w:rPr>
      </w:pPr>
    </w:p>
    <w:p>
      <w:pPr>
        <w:pStyle w:val="BodyText"/>
        <w:spacing w:line="408" w:lineRule="auto"/>
        <w:ind w:right="201" w:firstLine="420"/>
        <w:jc w:val="both"/>
      </w:pPr>
      <w:r>
        <w:rPr>
          <w:spacing w:val="-3"/>
        </w:rPr>
        <w:t>公司董事会由七名董事组成，其中独立董事三名，董事会的人数、构成及选聘程序均符合法律、法规</w:t>
      </w:r>
      <w:r>
        <w:rPr>
          <w:w w:val="100"/>
        </w:rPr>
        <w:t> </w:t>
      </w:r>
      <w:r>
        <w:rPr>
          <w:spacing w:val="-3"/>
        </w:rPr>
        <w:t>和《公司章程》的规定。报告期内，公司全体董事能积极严格按照《公司法》、《公司章程》、《董事会</w:t>
      </w:r>
      <w:r>
        <w:rPr>
          <w:spacing w:val="1"/>
        </w:rPr>
        <w:t> </w:t>
      </w:r>
      <w:r>
        <w:rPr>
          <w:spacing w:val="1"/>
        </w:rPr>
      </w:r>
      <w:r>
        <w:rPr>
          <w:spacing w:val="-3"/>
        </w:rPr>
        <w:t>议事规则》和《独立董事工作制度》等有关规定及相关工作规程开展工作和履行职责，认真出席董事会和</w:t>
      </w:r>
      <w:r>
        <w:rPr>
          <w:spacing w:val="2"/>
        </w:rPr>
        <w:t> </w:t>
      </w:r>
      <w:r>
        <w:rPr>
          <w:spacing w:val="2"/>
        </w:rPr>
      </w:r>
      <w:r>
        <w:rPr>
          <w:spacing w:val="-3"/>
        </w:rPr>
        <w:t>股东大会，积极参加对相关知识的培训，熟悉并掌握有关法律、法规。为进一步完善公司治理结构，公司</w:t>
      </w:r>
      <w:r>
        <w:rPr>
          <w:spacing w:val="3"/>
        </w:rPr>
        <w:t> </w:t>
      </w:r>
      <w:r>
        <w:rPr>
          <w:spacing w:val="3"/>
        </w:rPr>
      </w:r>
      <w:r>
        <w:rPr>
          <w:spacing w:val="-3"/>
        </w:rPr>
        <w:t>董事会根据《上市公司治理准则》成立了战略、提名、审计、薪酬与考核等四个专业委员会，为董事会的</w:t>
      </w:r>
      <w:r>
        <w:rPr>
          <w:spacing w:val="2"/>
        </w:rPr>
        <w:t> </w:t>
      </w:r>
      <w:r>
        <w:rPr>
          <w:spacing w:val="2"/>
        </w:rPr>
      </w:r>
      <w:r>
        <w:rPr/>
        <w:t>决策提供了科学和专业的意见。</w:t>
      </w:r>
    </w:p>
    <w:p>
      <w:pPr>
        <w:spacing w:line="240" w:lineRule="auto" w:before="6"/>
        <w:rPr>
          <w:rFonts w:ascii="宋体" w:hAnsi="宋体" w:cs="宋体" w:eastAsia="宋体" w:hint="default"/>
          <w:sz w:val="15"/>
          <w:szCs w:val="15"/>
        </w:rPr>
      </w:pPr>
    </w:p>
    <w:p>
      <w:pPr>
        <w:pStyle w:val="BodyText"/>
        <w:spacing w:line="240" w:lineRule="auto"/>
        <w:ind w:left="575" w:right="4490"/>
        <w:jc w:val="left"/>
      </w:pPr>
      <w:r>
        <w:rPr/>
        <w:t>（四）监事与监事会</w:t>
      </w:r>
    </w:p>
    <w:p>
      <w:pPr>
        <w:spacing w:line="240" w:lineRule="auto" w:before="9"/>
        <w:rPr>
          <w:rFonts w:ascii="宋体" w:hAnsi="宋体" w:cs="宋体" w:eastAsia="宋体" w:hint="default"/>
          <w:sz w:val="26"/>
          <w:szCs w:val="26"/>
        </w:rPr>
      </w:pPr>
    </w:p>
    <w:p>
      <w:pPr>
        <w:pStyle w:val="BodyText"/>
        <w:spacing w:line="408" w:lineRule="auto"/>
        <w:ind w:right="203" w:firstLine="419"/>
        <w:jc w:val="both"/>
      </w:pPr>
      <w:r>
        <w:rPr>
          <w:spacing w:val="-3"/>
        </w:rPr>
        <w:t>公司严格按照《公司法》、《公司章程》等的有关规定产生监事，监事会的人数及构成符合法律、法</w:t>
      </w:r>
      <w:r>
        <w:rPr>
          <w:w w:val="100"/>
        </w:rPr>
        <w:t> </w:t>
      </w:r>
      <w:r>
        <w:rPr>
          <w:spacing w:val="-3"/>
        </w:rPr>
        <w:t>规的要求。公司监事能够按照《监事会议事规则》等的要求，认真履行自己的职责，对公司重大事项、关</w:t>
      </w:r>
      <w:r>
        <w:rPr/>
        <w:t> </w:t>
      </w:r>
      <w:r>
        <w:rPr/>
        <w:t>联交易、收购兼并、财务状况、董事和经理的履职情况等进行有效监督并发表独立意见。</w:t>
      </w:r>
    </w:p>
    <w:p>
      <w:pPr>
        <w:spacing w:line="240" w:lineRule="auto" w:before="6"/>
        <w:rPr>
          <w:rFonts w:ascii="宋体" w:hAnsi="宋体" w:cs="宋体" w:eastAsia="宋体" w:hint="default"/>
          <w:sz w:val="15"/>
          <w:szCs w:val="15"/>
        </w:rPr>
      </w:pPr>
    </w:p>
    <w:p>
      <w:pPr>
        <w:pStyle w:val="BodyText"/>
        <w:spacing w:line="240" w:lineRule="auto"/>
        <w:ind w:left="572" w:right="1318"/>
        <w:jc w:val="left"/>
      </w:pPr>
      <w:r>
        <w:rPr/>
        <w:t>报告期内，公司监事会共召开了五次会议，监事会在报告期内的监督事项无异议。</w:t>
      </w:r>
    </w:p>
    <w:p>
      <w:pPr>
        <w:pStyle w:val="BodyText"/>
        <w:spacing w:line="620" w:lineRule="atLeast" w:before="4"/>
        <w:ind w:left="572" w:right="96" w:firstLine="2"/>
        <w:jc w:val="left"/>
      </w:pPr>
      <w:r>
        <w:rPr/>
        <w:t>（五）关于相关利益者</w:t>
      </w:r>
      <w:r>
        <w:rPr>
          <w:spacing w:val="-101"/>
        </w:rPr>
        <w:t> </w:t>
      </w:r>
      <w:r>
        <w:rPr>
          <w:spacing w:val="-101"/>
        </w:rPr>
      </w:r>
      <w:r>
        <w:rPr>
          <w:spacing w:val="-3"/>
        </w:rPr>
        <w:t>公司充分尊重和维护相关利益者的合法权益，在企业创造利润最大化的同时，实现社会、股东、员工</w:t>
      </w:r>
    </w:p>
    <w:p>
      <w:pPr>
        <w:spacing w:line="240" w:lineRule="auto" w:before="10"/>
        <w:rPr>
          <w:rFonts w:ascii="宋体" w:hAnsi="宋体" w:cs="宋体" w:eastAsia="宋体" w:hint="default"/>
          <w:sz w:val="14"/>
          <w:szCs w:val="14"/>
        </w:rPr>
      </w:pPr>
    </w:p>
    <w:p>
      <w:pPr>
        <w:pStyle w:val="BodyText"/>
        <w:spacing w:line="240" w:lineRule="auto"/>
        <w:ind w:right="0"/>
        <w:jc w:val="both"/>
      </w:pPr>
      <w:r>
        <w:rPr/>
        <w:t>等各方利益的协调平衡，共同推动公司持续、稳健发展。</w:t>
      </w:r>
    </w:p>
    <w:p>
      <w:pPr>
        <w:pStyle w:val="BodyText"/>
        <w:spacing w:line="620" w:lineRule="atLeast" w:before="4"/>
        <w:ind w:left="572" w:right="96" w:firstLine="2"/>
        <w:jc w:val="left"/>
      </w:pPr>
      <w:r>
        <w:rPr/>
        <w:t>（六）信息披露与透明度</w:t>
      </w:r>
      <w:r>
        <w:rPr>
          <w:spacing w:val="-100"/>
        </w:rPr>
        <w:t> </w:t>
      </w:r>
      <w:r>
        <w:rPr>
          <w:spacing w:val="-100"/>
        </w:rPr>
      </w:r>
      <w:r>
        <w:rPr>
          <w:spacing w:val="-5"/>
        </w:rPr>
        <w:t>公司指定董事会秘书负责信息披露工作、接待股东来访和咨询，指定《上海证券报》、《证券时报》、</w:t>
      </w:r>
    </w:p>
    <w:p>
      <w:pPr>
        <w:spacing w:line="240" w:lineRule="auto" w:before="10"/>
        <w:rPr>
          <w:rFonts w:ascii="宋体" w:hAnsi="宋体" w:cs="宋体" w:eastAsia="宋体" w:hint="default"/>
          <w:sz w:val="14"/>
          <w:szCs w:val="14"/>
        </w:rPr>
      </w:pPr>
    </w:p>
    <w:p>
      <w:pPr>
        <w:pStyle w:val="BodyText"/>
        <w:spacing w:line="408" w:lineRule="auto"/>
        <w:ind w:right="201"/>
        <w:jc w:val="both"/>
      </w:pPr>
      <w:r>
        <w:rPr>
          <w:spacing w:val="-3"/>
        </w:rPr>
        <w:t>《证券日报》和巨潮资讯网为公司信息披露的报纸和网站；公司严格按照有关法律法规及公司制定的《信</w:t>
      </w:r>
      <w:r>
        <w:rPr>
          <w:spacing w:val="2"/>
        </w:rPr>
        <w:t> </w:t>
      </w:r>
      <w:r>
        <w:rPr>
          <w:spacing w:val="2"/>
        </w:rPr>
      </w:r>
      <w:r>
        <w:rPr>
          <w:spacing w:val="-3"/>
        </w:rPr>
        <w:t>息披露管理制度》的要求，真实、准确、完整、及时地披露有关信息，并确保所有股东有平等的机会获得</w:t>
      </w:r>
      <w:r>
        <w:rPr/>
        <w:t> </w:t>
      </w:r>
      <w:r>
        <w:rPr/>
        <w:t>信息。</w:t>
      </w:r>
    </w:p>
    <w:p>
      <w:pPr>
        <w:spacing w:line="240" w:lineRule="auto" w:before="6"/>
        <w:rPr>
          <w:rFonts w:ascii="宋体" w:hAnsi="宋体" w:cs="宋体" w:eastAsia="宋体" w:hint="default"/>
          <w:sz w:val="15"/>
          <w:szCs w:val="15"/>
        </w:rPr>
      </w:pPr>
    </w:p>
    <w:p>
      <w:pPr>
        <w:pStyle w:val="BodyText"/>
        <w:spacing w:line="240" w:lineRule="auto"/>
        <w:ind w:left="575" w:right="4490"/>
        <w:jc w:val="left"/>
      </w:pPr>
      <w:r>
        <w:rPr/>
        <w:t>（七）内部审计制度</w:t>
      </w:r>
    </w:p>
    <w:p>
      <w:pPr>
        <w:spacing w:line="240" w:lineRule="auto" w:before="9"/>
        <w:rPr>
          <w:rFonts w:ascii="宋体" w:hAnsi="宋体" w:cs="宋体" w:eastAsia="宋体" w:hint="default"/>
          <w:sz w:val="26"/>
          <w:szCs w:val="26"/>
        </w:rPr>
      </w:pPr>
    </w:p>
    <w:p>
      <w:pPr>
        <w:pStyle w:val="BodyText"/>
        <w:spacing w:line="408" w:lineRule="auto"/>
        <w:ind w:right="96" w:firstLine="420"/>
        <w:jc w:val="left"/>
      </w:pPr>
      <w:r>
        <w:rPr>
          <w:spacing w:val="-3"/>
        </w:rPr>
        <w:t>公司已建立内部审计制度，设置内部审计部门，聘任了内部审计负责人，对公司的日常运行、内控制</w:t>
      </w:r>
      <w:r>
        <w:rPr>
          <w:w w:val="100"/>
        </w:rPr>
        <w:t> </w:t>
      </w:r>
      <w:r>
        <w:rPr/>
        <w:t>度和公司重大关联交易等进行有效控制。</w:t>
      </w:r>
    </w:p>
    <w:p>
      <w:pPr>
        <w:spacing w:line="240" w:lineRule="auto" w:before="6"/>
        <w:rPr>
          <w:rFonts w:ascii="宋体" w:hAnsi="宋体" w:cs="宋体" w:eastAsia="宋体" w:hint="default"/>
          <w:sz w:val="15"/>
          <w:szCs w:val="15"/>
        </w:rPr>
      </w:pPr>
    </w:p>
    <w:p>
      <w:pPr>
        <w:pStyle w:val="BodyText"/>
        <w:spacing w:line="240" w:lineRule="auto"/>
        <w:ind w:left="575" w:right="4490"/>
        <w:jc w:val="left"/>
      </w:pPr>
      <w:r>
        <w:rPr/>
        <w:t>（八）关于公司与投资者</w:t>
      </w:r>
    </w:p>
    <w:p>
      <w:pPr>
        <w:spacing w:line="240" w:lineRule="auto" w:before="9"/>
        <w:rPr>
          <w:rFonts w:ascii="宋体" w:hAnsi="宋体" w:cs="宋体" w:eastAsia="宋体" w:hint="default"/>
          <w:sz w:val="26"/>
          <w:szCs w:val="26"/>
        </w:rPr>
      </w:pPr>
    </w:p>
    <w:p>
      <w:pPr>
        <w:pStyle w:val="BodyText"/>
        <w:spacing w:line="408" w:lineRule="auto"/>
        <w:ind w:right="96" w:firstLine="420"/>
        <w:jc w:val="left"/>
      </w:pPr>
      <w:r>
        <w:rPr>
          <w:spacing w:val="-3"/>
        </w:rPr>
        <w:t>公司董事会秘书为投资者关系管理负责人，组织实施投资者关系的日常管理工作。报告期内，公司通</w:t>
      </w:r>
      <w:r>
        <w:rPr>
          <w:w w:val="100"/>
        </w:rPr>
        <w:t> </w:t>
      </w:r>
      <w:r>
        <w:rPr/>
        <w:t>过电话、接待投资者现场调研等方式，加强与投资者的沟通。</w:t>
      </w:r>
    </w:p>
    <w:p>
      <w:pPr>
        <w:spacing w:after="0" w:line="408" w:lineRule="auto"/>
        <w:jc w:val="left"/>
        <w:sectPr>
          <w:footerReference w:type="default" r:id="rId20"/>
          <w:pgSz w:w="11900" w:h="16840"/>
          <w:pgMar w:footer="982" w:header="746" w:top="1060" w:bottom="1180" w:left="980" w:right="920"/>
          <w:pgNumType w:start="48"/>
        </w:sectPr>
      </w:pPr>
    </w:p>
    <w:p>
      <w:pPr>
        <w:spacing w:line="240" w:lineRule="auto" w:before="0"/>
        <w:rPr>
          <w:rFonts w:ascii="宋体" w:hAnsi="宋体" w:cs="宋体" w:eastAsia="宋体" w:hint="default"/>
          <w:sz w:val="20"/>
          <w:szCs w:val="20"/>
        </w:rPr>
      </w:pPr>
    </w:p>
    <w:p>
      <w:pPr>
        <w:pStyle w:val="BodyText"/>
        <w:spacing w:line="240" w:lineRule="auto" w:before="175"/>
        <w:ind w:left="575" w:right="4490"/>
        <w:jc w:val="left"/>
      </w:pPr>
      <w:r>
        <w:rPr/>
        <w:t>（九）上市公司治理专项活动开展情况</w:t>
      </w:r>
    </w:p>
    <w:p>
      <w:pPr>
        <w:spacing w:line="240" w:lineRule="auto" w:before="9"/>
        <w:rPr>
          <w:rFonts w:ascii="宋体" w:hAnsi="宋体" w:cs="宋体" w:eastAsia="宋体" w:hint="default"/>
          <w:sz w:val="26"/>
          <w:szCs w:val="26"/>
        </w:rPr>
      </w:pPr>
    </w:p>
    <w:p>
      <w:pPr>
        <w:pStyle w:val="BodyText"/>
        <w:spacing w:line="398" w:lineRule="auto"/>
        <w:ind w:right="96" w:firstLine="420"/>
        <w:jc w:val="left"/>
      </w:pPr>
      <w:r>
        <w:rPr>
          <w:spacing w:val="-5"/>
        </w:rPr>
        <w:t>根据中国证监会《关于开展加强上市公司治理专项活动有关事项的通知》（证监公司字〔</w:t>
      </w:r>
      <w:r>
        <w:rPr>
          <w:rFonts w:ascii="Times New Roman" w:hAnsi="Times New Roman" w:cs="Times New Roman" w:eastAsia="Times New Roman" w:hint="default"/>
          <w:spacing w:val="-5"/>
        </w:rPr>
        <w:t>2007</w:t>
      </w:r>
      <w:r>
        <w:rPr>
          <w:spacing w:val="-5"/>
        </w:rPr>
        <w:t>〕</w:t>
      </w:r>
      <w:r>
        <w:rPr>
          <w:rFonts w:ascii="Times New Roman" w:hAnsi="Times New Roman" w:cs="Times New Roman" w:eastAsia="Times New Roman" w:hint="default"/>
          <w:spacing w:val="-5"/>
        </w:rPr>
        <w:t>28</w:t>
      </w:r>
      <w:r>
        <w:rPr>
          <w:spacing w:val="-5"/>
        </w:rPr>
        <w:t>号）</w:t>
      </w:r>
      <w:r>
        <w:rPr>
          <w:w w:val="100"/>
        </w:rPr>
        <w:t> </w:t>
      </w:r>
      <w:r>
        <w:rPr/>
        <w:t>精神和中国证监会江苏监管局《关于开展公司治理专项活动的通知》（苏证监公司字〔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118</w:t>
      </w:r>
      <w:r>
        <w:rPr/>
        <w:t>号）精</w:t>
      </w:r>
      <w:r>
        <w:rPr>
          <w:spacing w:val="-52"/>
        </w:rPr>
        <w:t> </w:t>
      </w:r>
      <w:r>
        <w:rPr>
          <w:spacing w:val="-52"/>
        </w:rPr>
      </w:r>
      <w:r>
        <w:rPr>
          <w:spacing w:val="-3"/>
        </w:rPr>
        <w:t>神，对照《公司法》、《证券法》等有关法律、行政法规，以及《公司章程》的要求，公司深入开展上市</w:t>
      </w:r>
      <w:r>
        <w:rPr>
          <w:spacing w:val="4"/>
        </w:rPr>
        <w:t> </w:t>
      </w:r>
      <w:r>
        <w:rPr>
          <w:spacing w:val="4"/>
        </w:rPr>
      </w:r>
      <w:r>
        <w:rPr>
          <w:spacing w:val="-3"/>
        </w:rPr>
        <w:t>公司治理专项活动，先后完成了自查整改、公众评议和中国证监会江苏监管局现场检查整改等工作，具体</w:t>
      </w:r>
      <w:r>
        <w:rPr>
          <w:spacing w:val="3"/>
        </w:rPr>
        <w:t> </w:t>
      </w:r>
      <w:r>
        <w:rPr>
          <w:spacing w:val="3"/>
        </w:rPr>
      </w:r>
      <w:r>
        <w:rPr/>
        <w:t>情况请见公司如下公告：</w:t>
      </w:r>
    </w:p>
    <w:p>
      <w:pPr>
        <w:spacing w:line="240" w:lineRule="auto" w:before="2"/>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927"/>
        <w:gridCol w:w="1913"/>
        <w:gridCol w:w="1980"/>
      </w:tblGrid>
      <w:tr>
        <w:trPr>
          <w:trHeight w:val="588"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公告文件</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4"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信息披露载体</w:t>
            </w:r>
          </w:p>
        </w:tc>
      </w:tr>
      <w:tr>
        <w:trPr>
          <w:trHeight w:val="586"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关于加强上市公司治理专项活动的自查事项报告</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上市公司治理专项活动自查报告和整改计划</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8"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公司治理专项活动整改报告</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4"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2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3"/>
        <w:rPr>
          <w:rFonts w:ascii="宋体" w:hAnsi="宋体" w:cs="宋体" w:eastAsia="宋体" w:hint="default"/>
          <w:sz w:val="8"/>
          <w:szCs w:val="8"/>
        </w:rPr>
      </w:pPr>
    </w:p>
    <w:p>
      <w:pPr>
        <w:pStyle w:val="BodyText"/>
        <w:spacing w:line="240" w:lineRule="auto" w:before="36"/>
        <w:ind w:right="1318"/>
        <w:jc w:val="left"/>
      </w:pPr>
      <w:r>
        <w:rPr/>
        <w:t>公司治理与《公司法》和中国证监会相关规定的要求是否存在差异</w:t>
      </w:r>
    </w:p>
    <w:p>
      <w:pPr>
        <w:spacing w:line="240" w:lineRule="auto" w:before="10"/>
        <w:rPr>
          <w:rFonts w:ascii="宋体" w:hAnsi="宋体" w:cs="宋体" w:eastAsia="宋体" w:hint="default"/>
          <w:sz w:val="14"/>
          <w:szCs w:val="14"/>
        </w:rPr>
      </w:pPr>
    </w:p>
    <w:p>
      <w:pPr>
        <w:pStyle w:val="BodyText"/>
        <w:spacing w:line="408" w:lineRule="auto"/>
        <w:ind w:right="2687"/>
        <w:jc w:val="left"/>
      </w:pPr>
      <w:r>
        <w:rPr/>
        <w:t>□ 是</w:t>
      </w:r>
      <w:r>
        <w:rPr>
          <w:spacing w:val="-3"/>
        </w:rPr>
        <w:t> </w:t>
      </w:r>
      <w:r>
        <w:rPr/>
        <w:t>√</w:t>
      </w:r>
      <w:r>
        <w:rPr>
          <w:spacing w:val="-3"/>
        </w:rPr>
        <w:t> </w:t>
      </w:r>
      <w:r>
        <w:rPr/>
        <w:t>否</w:t>
      </w:r>
      <w:r>
        <w:rPr>
          <w:spacing w:val="-99"/>
        </w:rPr>
        <w:t> </w:t>
      </w:r>
      <w:r>
        <w:rPr>
          <w:spacing w:val="-99"/>
        </w:rPr>
      </w:r>
      <w:r>
        <w:rPr>
          <w:spacing w:val="-2"/>
        </w:rPr>
        <w:t>公司治理与《公司法》和中国证监会相关规定的要求不存在差异。</w:t>
      </w:r>
    </w:p>
    <w:p>
      <w:pPr>
        <w:pStyle w:val="BodyText"/>
        <w:spacing w:line="240" w:lineRule="auto" w:before="46"/>
        <w:ind w:right="1318"/>
        <w:jc w:val="left"/>
      </w:pPr>
      <w:r>
        <w:rPr/>
        <w:t>公司治理专项活动开展情况以及内幕信息知情人登记管理制度的制定、实施情况</w:t>
      </w:r>
    </w:p>
    <w:p>
      <w:pPr>
        <w:spacing w:line="240" w:lineRule="auto" w:before="10"/>
        <w:rPr>
          <w:rFonts w:ascii="宋体" w:hAnsi="宋体" w:cs="宋体" w:eastAsia="宋体" w:hint="default"/>
          <w:sz w:val="14"/>
          <w:szCs w:val="14"/>
        </w:rPr>
      </w:pPr>
    </w:p>
    <w:p>
      <w:pPr>
        <w:pStyle w:val="BodyText"/>
        <w:spacing w:line="273" w:lineRule="auto"/>
        <w:ind w:right="96" w:firstLine="420"/>
        <w:jc w:val="left"/>
      </w:pPr>
      <w:r>
        <w:rPr>
          <w:spacing w:val="-3"/>
        </w:rPr>
        <w:t>报告期内，公司针对董事会各专门委员职能、内部管理制度及信息披露和投资者关系管理情况进行了</w:t>
      </w:r>
      <w:r>
        <w:rPr>
          <w:w w:val="100"/>
        </w:rPr>
        <w:t> </w:t>
      </w:r>
      <w:r>
        <w:rPr>
          <w:spacing w:val="-3"/>
        </w:rPr>
        <w:t>认真的自查与总结。根据中国证监会《关于开展加强上市公司治理专项活动有关事项的通知》（证监公司</w:t>
      </w:r>
      <w:r>
        <w:rPr>
          <w:spacing w:val="2"/>
        </w:rPr>
        <w:t> </w:t>
      </w:r>
      <w:r>
        <w:rPr>
          <w:spacing w:val="2"/>
        </w:rPr>
      </w:r>
      <w:r>
        <w:rPr>
          <w:spacing w:val="-21"/>
          <w:w w:val="100"/>
        </w:rPr>
        <w:t>字〔2007〕28</w:t>
      </w:r>
      <w:r>
        <w:rPr>
          <w:spacing w:val="-34"/>
          <w:w w:val="100"/>
        </w:rPr>
        <w:t> </w:t>
      </w:r>
      <w:r>
        <w:rPr>
          <w:spacing w:val="-12"/>
          <w:w w:val="100"/>
        </w:rPr>
        <w:t>号）精神和中国证监会江苏监管局《关于开展公司治理专项活动的通知》（苏证监公司字〔2012〕</w:t>
      </w:r>
      <w:r>
        <w:rPr>
          <w:spacing w:val="-97"/>
          <w:w w:val="100"/>
        </w:rPr>
        <w:t> </w:t>
      </w:r>
      <w:r>
        <w:rPr>
          <w:spacing w:val="-97"/>
          <w:w w:val="100"/>
        </w:rPr>
      </w:r>
      <w:r>
        <w:rPr>
          <w:spacing w:val="-1"/>
        </w:rPr>
        <w:t>118</w:t>
      </w:r>
      <w:r>
        <w:rPr>
          <w:spacing w:val="32"/>
        </w:rPr>
        <w:t> </w:t>
      </w:r>
      <w:r>
        <w:rPr>
          <w:spacing w:val="-2"/>
        </w:rPr>
        <w:t>号）精神，对照《公司法》、《证券法》等有关法律、行政法规，以及《公司章程》的要求，公司进</w:t>
      </w:r>
    </w:p>
    <w:p>
      <w:pPr>
        <w:pStyle w:val="BodyText"/>
        <w:spacing w:line="273" w:lineRule="auto" w:before="7"/>
        <w:ind w:right="96"/>
        <w:jc w:val="left"/>
      </w:pPr>
      <w:r>
        <w:rPr>
          <w:spacing w:val="-3"/>
        </w:rPr>
        <w:t>行了认真的自查与整改。公司于</w:t>
      </w:r>
      <w:r>
        <w:rPr>
          <w:spacing w:val="-39"/>
        </w:rPr>
        <w:t> </w:t>
      </w:r>
      <w:r>
        <w:rPr/>
        <w:t>2012</w:t>
      </w:r>
      <w:r>
        <w:rPr>
          <w:spacing w:val="-39"/>
        </w:rPr>
        <w:t> </w:t>
      </w:r>
      <w:r>
        <w:rPr/>
        <w:t>年</w:t>
      </w:r>
      <w:r>
        <w:rPr>
          <w:spacing w:val="-43"/>
        </w:rPr>
        <w:t> </w:t>
      </w:r>
      <w:r>
        <w:rPr/>
        <w:t>4</w:t>
      </w:r>
      <w:r>
        <w:rPr>
          <w:spacing w:val="-39"/>
        </w:rPr>
        <w:t> </w:t>
      </w:r>
      <w:r>
        <w:rPr/>
        <w:t>月</w:t>
      </w:r>
      <w:r>
        <w:rPr>
          <w:spacing w:val="-43"/>
        </w:rPr>
        <w:t> </w:t>
      </w:r>
      <w:r>
        <w:rPr/>
        <w:t>26</w:t>
      </w:r>
      <w:r>
        <w:rPr>
          <w:spacing w:val="-39"/>
        </w:rPr>
        <w:t> </w:t>
      </w:r>
      <w:r>
        <w:rPr>
          <w:spacing w:val="-3"/>
        </w:rPr>
        <w:t>日召开第一届董事会第十六次会议，审议通过了《关于公</w:t>
      </w:r>
      <w:r>
        <w:rPr>
          <w:spacing w:val="-99"/>
        </w:rPr>
        <w:t> </w:t>
      </w:r>
      <w:r>
        <w:rPr>
          <w:spacing w:val="-99"/>
        </w:rPr>
      </w:r>
      <w:r>
        <w:rPr/>
        <w:t>司治理专项活动自查报告和整改计划》。</w:t>
      </w:r>
    </w:p>
    <w:p>
      <w:pPr>
        <w:pStyle w:val="BodyText"/>
        <w:spacing w:line="273" w:lineRule="auto" w:before="163"/>
        <w:ind w:right="96" w:firstLine="420"/>
        <w:jc w:val="left"/>
      </w:pPr>
      <w:r>
        <w:rPr/>
        <w:t>江苏证监局于</w:t>
      </w:r>
      <w:r>
        <w:rPr>
          <w:spacing w:val="-53"/>
        </w:rPr>
        <w:t> </w:t>
      </w:r>
      <w:r>
        <w:rPr/>
        <w:t>2012</w:t>
      </w:r>
      <w:r>
        <w:rPr>
          <w:spacing w:val="-55"/>
        </w:rPr>
        <w:t> </w:t>
      </w:r>
      <w:r>
        <w:rPr/>
        <w:t>年</w:t>
      </w:r>
      <w:r>
        <w:rPr>
          <w:spacing w:val="-53"/>
        </w:rPr>
        <w:t> </w:t>
      </w:r>
      <w:r>
        <w:rPr/>
        <w:t>5</w:t>
      </w:r>
      <w:r>
        <w:rPr>
          <w:spacing w:val="-55"/>
        </w:rPr>
        <w:t> </w:t>
      </w:r>
      <w:r>
        <w:rPr/>
        <w:t>月</w:t>
      </w:r>
      <w:r>
        <w:rPr>
          <w:spacing w:val="-53"/>
        </w:rPr>
        <w:t> </w:t>
      </w:r>
      <w:r>
        <w:rPr/>
        <w:t>22</w:t>
      </w:r>
      <w:r>
        <w:rPr>
          <w:spacing w:val="-55"/>
        </w:rPr>
        <w:t> </w:t>
      </w:r>
      <w:r>
        <w:rPr/>
        <w:t>日至</w:t>
      </w:r>
      <w:r>
        <w:rPr>
          <w:spacing w:val="-56"/>
        </w:rPr>
        <w:t> </w:t>
      </w:r>
      <w:r>
        <w:rPr/>
        <w:t>5</w:t>
      </w:r>
      <w:r>
        <w:rPr>
          <w:spacing w:val="-53"/>
        </w:rPr>
        <w:t> </w:t>
      </w:r>
      <w:r>
        <w:rPr/>
        <w:t>月</w:t>
      </w:r>
      <w:r>
        <w:rPr>
          <w:spacing w:val="-56"/>
        </w:rPr>
        <w:t> </w:t>
      </w:r>
      <w:r>
        <w:rPr/>
        <w:t>24</w:t>
      </w:r>
      <w:r>
        <w:rPr>
          <w:spacing w:val="-53"/>
        </w:rPr>
        <w:t> </w:t>
      </w:r>
      <w:r>
        <w:rPr/>
        <w:t>日对公司治理情况进行了现场检查，并于</w:t>
      </w:r>
      <w:r>
        <w:rPr>
          <w:spacing w:val="-53"/>
        </w:rPr>
        <w:t> </w:t>
      </w:r>
      <w:r>
        <w:rPr/>
        <w:t>2012</w:t>
      </w:r>
      <w:r>
        <w:rPr>
          <w:spacing w:val="-55"/>
        </w:rPr>
        <w:t> </w:t>
      </w:r>
      <w:r>
        <w:rPr/>
        <w:t>年</w:t>
      </w:r>
      <w:r>
        <w:rPr>
          <w:spacing w:val="-53"/>
        </w:rPr>
        <w:t> </w:t>
      </w:r>
      <w:r>
        <w:rPr/>
        <w:t>6</w:t>
      </w:r>
      <w:r>
        <w:rPr>
          <w:spacing w:val="-55"/>
        </w:rPr>
        <w:t> </w:t>
      </w:r>
      <w:r>
        <w:rPr/>
        <w:t>月</w:t>
      </w:r>
      <w:r>
        <w:rPr>
          <w:spacing w:val="-53"/>
        </w:rPr>
        <w:t> </w:t>
      </w:r>
      <w:r>
        <w:rPr/>
        <w:t>29</w:t>
      </w:r>
      <w:r>
        <w:rPr>
          <w:w w:val="100"/>
        </w:rPr>
        <w:t> </w:t>
      </w:r>
      <w:r>
        <w:rPr>
          <w:spacing w:val="-2"/>
        </w:rPr>
        <w:t>日向本公司出具了苏证监函[2012]280</w:t>
      </w:r>
      <w:r>
        <w:rPr/>
        <w:t> </w:t>
      </w:r>
      <w:r>
        <w:rPr>
          <w:spacing w:val="-2"/>
        </w:rPr>
        <w:t>号《关于对江苏双星彩塑新材料股份有限公司治理状况综合评价和</w:t>
      </w:r>
      <w:r>
        <w:rPr>
          <w:spacing w:val="-67"/>
        </w:rPr>
        <w:t> </w:t>
      </w:r>
      <w:r>
        <w:rPr>
          <w:spacing w:val="-67"/>
        </w:rPr>
      </w:r>
      <w:r>
        <w:rPr>
          <w:spacing w:val="-3"/>
        </w:rPr>
        <w:t>整改意见的函》（以下简称《整改意见函》）。公司收到江苏证监局下达的《整改意见函》后，立即组织</w:t>
      </w:r>
      <w:r>
        <w:rPr>
          <w:spacing w:val="2"/>
        </w:rPr>
        <w:t> </w:t>
      </w:r>
      <w:r>
        <w:rPr>
          <w:spacing w:val="2"/>
        </w:rPr>
      </w:r>
      <w:r>
        <w:rPr>
          <w:spacing w:val="-2"/>
        </w:rPr>
        <w:t>全体董事、监事和高级管理人员进行认真学习讨论，针对《整改意见函》中指出的问题，深入分析研究，</w:t>
      </w:r>
      <w:r>
        <w:rPr>
          <w:spacing w:val="-20"/>
        </w:rPr>
        <w:t> </w:t>
      </w:r>
      <w:r>
        <w:rPr>
          <w:spacing w:val="-20"/>
        </w:rPr>
      </w:r>
      <w:r>
        <w:rPr>
          <w:spacing w:val="-3"/>
        </w:rPr>
        <w:t>并组织相关部门成立了整改工作小组，对照有关法律法规及《公司章程》、部门规章制度的规定，结合公</w:t>
      </w:r>
      <w:r>
        <w:rPr>
          <w:spacing w:val="3"/>
        </w:rPr>
        <w:t> </w:t>
      </w:r>
      <w:r>
        <w:rPr>
          <w:spacing w:val="3"/>
        </w:rPr>
      </w:r>
      <w:r>
        <w:rPr/>
        <w:t>司实际情况，制定了相应的整改措施并开始实施。</w:t>
      </w:r>
    </w:p>
    <w:p>
      <w:pPr>
        <w:pStyle w:val="BodyText"/>
        <w:spacing w:line="273" w:lineRule="auto" w:before="163"/>
        <w:ind w:right="201" w:firstLine="420"/>
        <w:jc w:val="both"/>
      </w:pPr>
      <w:r>
        <w:rPr>
          <w:spacing w:val="-3"/>
        </w:rPr>
        <w:t>报告期内，公司认真做好内幕信息知情人的登记、报备工作；组织公司董事、监事、高级管理人员以</w:t>
      </w:r>
      <w:r>
        <w:rPr>
          <w:w w:val="100"/>
        </w:rPr>
        <w:t> </w:t>
      </w:r>
      <w:r>
        <w:rPr>
          <w:spacing w:val="-3"/>
        </w:rPr>
        <w:t>及可接触内幕信息的相关岗位员工对相关文件进行学习，提高相关人员的合规、保密意识，规范对外报送</w:t>
      </w:r>
      <w:r>
        <w:rPr>
          <w:spacing w:val="4"/>
        </w:rPr>
        <w:t> </w:t>
      </w:r>
      <w:r>
        <w:rPr>
          <w:spacing w:val="4"/>
        </w:rPr>
      </w:r>
      <w:r>
        <w:rPr>
          <w:spacing w:val="-3"/>
        </w:rPr>
        <w:t>信息及外部信息使用人使用本公司信息的行为。报告期内，公司未发生内幕信息知情人在影响公司股价的</w:t>
      </w:r>
      <w:r>
        <w:rPr>
          <w:spacing w:val="4"/>
        </w:rPr>
        <w:t> </w:t>
      </w:r>
      <w:r>
        <w:rPr>
          <w:spacing w:val="4"/>
        </w:rPr>
      </w:r>
      <w:r>
        <w:rPr/>
        <w:t>重大敏感信息披露前利用内幕信息买卖公司股票的行为，也没有发生监管部门查处和需要整改的情况。</w:t>
      </w:r>
    </w:p>
    <w:p>
      <w:pPr>
        <w:spacing w:after="0" w:line="273" w:lineRule="auto"/>
        <w:jc w:val="both"/>
        <w:sectPr>
          <w:pgSz w:w="11900" w:h="16840"/>
          <w:pgMar w:header="746" w:footer="982" w:top="1060" w:bottom="118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pPr>
      <w:r>
        <w:rPr/>
        <w:t>二、报告期内召开的年度股东大会和临时股东大会的有关情况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b/>
          <w:bCs/>
        </w:rPr>
        <w:t>1</w:t>
      </w:r>
      <w:r>
        <w:rPr/>
        <w:t>、本报告期年度股东大会情况</w:t>
      </w:r>
    </w:p>
    <w:p>
      <w:pPr>
        <w:spacing w:line="240" w:lineRule="auto" w:before="2"/>
        <w:rPr>
          <w:rFonts w:ascii="宋体" w:hAnsi="宋体" w:cs="宋体" w:eastAsia="宋体" w:hint="default"/>
          <w:sz w:val="25"/>
          <w:szCs w:val="25"/>
        </w:rPr>
      </w:pPr>
    </w:p>
    <w:p>
      <w:pPr>
        <w:spacing w:line="3499" w:lineRule="exact"/>
        <w:ind w:left="148" w:right="0" w:firstLine="0"/>
        <w:rPr>
          <w:rFonts w:ascii="宋体" w:hAnsi="宋体" w:cs="宋体" w:eastAsia="宋体" w:hint="default"/>
          <w:sz w:val="20"/>
          <w:szCs w:val="20"/>
        </w:rPr>
      </w:pPr>
      <w:r>
        <w:rPr>
          <w:rFonts w:ascii="宋体" w:hAnsi="宋体" w:cs="宋体" w:eastAsia="宋体" w:hint="default"/>
          <w:position w:val="-69"/>
          <w:sz w:val="20"/>
          <w:szCs w:val="20"/>
        </w:rPr>
        <w:pict>
          <v:group style="width:486.15pt;height:175pt;mso-position-horizontal-relative:char;mso-position-vertical-relative:line" coordorigin="0,0" coordsize="9723,3500">
            <v:group style="position:absolute;left:10;top:395;width:891;height:2" coordorigin="10,395" coordsize="891,2">
              <v:shape style="position:absolute;left:10;top:395;width:891;height:2" coordorigin="10,395" coordsize="891,0" path="m10,395l900,395e" filled="false" stroked="true" strokeweight=".1pt" strokecolor="#d3d3d3">
                <v:path arrowok="t"/>
              </v:shape>
            </v:group>
            <v:group style="position:absolute;left:22;top:14;width:2;height:380" coordorigin="22,14" coordsize="2,380">
              <v:shape style="position:absolute;left:22;top:14;width:2;height:380" coordorigin="22,14" coordsize="0,380" path="m22,14l22,394e" filled="false" stroked="true" strokeweight="1.199996pt" strokecolor="#d3d3d3">
                <v:path arrowok="t"/>
              </v:shape>
            </v:group>
            <v:group style="position:absolute;left:889;top:14;width:2;height:380" coordorigin="889,14" coordsize="2,380">
              <v:shape style="position:absolute;left:889;top:14;width:2;height:380" coordorigin="889,14" coordsize="0,380" path="m889,14l889,394e" filled="false" stroked="true" strokeweight="1.08pt" strokecolor="#d3d3d3">
                <v:path arrowok="t"/>
              </v:shape>
            </v:group>
            <v:group style="position:absolute;left:34;top:14;width:845;height:380" coordorigin="34,14" coordsize="845,380">
              <v:shape style="position:absolute;left:34;top:14;width:845;height:380" coordorigin="34,14" coordsize="845,380" path="m34,394l878,394,878,14,34,14,34,394xe" filled="true" fillcolor="#d3d3d3" stroked="false">
                <v:path arrowok="t"/>
                <v:fill type="solid"/>
              </v:shape>
            </v:group>
            <v:group style="position:absolute;left:910;top:395;width:1071;height:2" coordorigin="910,395" coordsize="1071,2">
              <v:shape style="position:absolute;left:910;top:395;width:1071;height:2" coordorigin="910,395" coordsize="1071,0" path="m910,395l1980,395e" filled="false" stroked="true" strokeweight=".1pt" strokecolor="#d3d3d3">
                <v:path arrowok="t"/>
              </v:shape>
            </v:group>
            <v:group style="position:absolute;left:922;top:14;width:2;height:380" coordorigin="922,14" coordsize="2,380">
              <v:shape style="position:absolute;left:922;top:14;width:2;height:380" coordorigin="922,14" coordsize="0,380" path="m922,14l922,394e" filled="false" stroked="true" strokeweight="1.199994pt" strokecolor="#d3d3d3">
                <v:path arrowok="t"/>
              </v:shape>
            </v:group>
            <v:group style="position:absolute;left:1969;top:14;width:2;height:380" coordorigin="1969,14" coordsize="2,380">
              <v:shape style="position:absolute;left:1969;top:14;width:2;height:380" coordorigin="1969,14" coordsize="0,380" path="m1969,14l1969,394e" filled="false" stroked="true" strokeweight="1.08pt" strokecolor="#d3d3d3">
                <v:path arrowok="t"/>
              </v:shape>
            </v:group>
            <v:group style="position:absolute;left:934;top:14;width:1025;height:380" coordorigin="934,14" coordsize="1025,380">
              <v:shape style="position:absolute;left:934;top:14;width:1025;height:380" coordorigin="934,14" coordsize="1025,380" path="m934,394l1958,394,1958,14,934,14,934,394xe" filled="true" fillcolor="#d3d3d3" stroked="false">
                <v:path arrowok="t"/>
                <v:fill type="solid"/>
              </v:shape>
            </v:group>
            <v:group style="position:absolute;left:1990;top:395;width:3692;height:2" coordorigin="1990,395" coordsize="3692,2">
              <v:shape style="position:absolute;left:1990;top:395;width:3692;height:2" coordorigin="1990,395" coordsize="3692,0" path="m1990,395l5681,395e" filled="false" stroked="true" strokeweight=".1pt" strokecolor="#d3d3d3">
                <v:path arrowok="t"/>
              </v:shape>
            </v:group>
            <v:group style="position:absolute;left:2002;top:14;width:2;height:380" coordorigin="2002,14" coordsize="2,380">
              <v:shape style="position:absolute;left:2002;top:14;width:2;height:380" coordorigin="2002,14" coordsize="0,380" path="m2002,14l2002,394e" filled="false" stroked="true" strokeweight="1.199990pt" strokecolor="#d3d3d3">
                <v:path arrowok="t"/>
              </v:shape>
            </v:group>
            <v:group style="position:absolute;left:5670;top:14;width:2;height:380" coordorigin="5670,14" coordsize="2,380">
              <v:shape style="position:absolute;left:5670;top:14;width:2;height:380" coordorigin="5670,14" coordsize="0,380" path="m5670,14l5670,394e" filled="false" stroked="true" strokeweight="1.08pt" strokecolor="#d3d3d3">
                <v:path arrowok="t"/>
              </v:shape>
            </v:group>
            <v:group style="position:absolute;left:2014;top:14;width:3646;height:380" coordorigin="2014,14" coordsize="3646,380">
              <v:shape style="position:absolute;left:2014;top:14;width:3646;height:380" coordorigin="2014,14" coordsize="3646,380" path="m2014,394l5659,394,5659,14,2014,14,2014,394xe" filled="true" fillcolor="#d3d3d3" stroked="false">
                <v:path arrowok="t"/>
                <v:fill type="solid"/>
              </v:shape>
            </v:group>
            <v:group style="position:absolute;left:5690;top:395;width:1330;height:2" coordorigin="5690,395" coordsize="1330,2">
              <v:shape style="position:absolute;left:5690;top:395;width:1330;height:2" coordorigin="5690,395" coordsize="1330,0" path="m5690,395l7020,395e" filled="false" stroked="true" strokeweight=".1pt" strokecolor="#d3d3d3">
                <v:path arrowok="t"/>
              </v:shape>
            </v:group>
            <v:group style="position:absolute;left:5702;top:14;width:2;height:380" coordorigin="5702,14" coordsize="2,380">
              <v:shape style="position:absolute;left:5702;top:14;width:2;height:380" coordorigin="5702,14" coordsize="0,380" path="m5702,14l5702,394e" filled="false" stroked="true" strokeweight="1.199979pt" strokecolor="#d3d3d3">
                <v:path arrowok="t"/>
              </v:shape>
            </v:group>
            <v:group style="position:absolute;left:7009;top:14;width:2;height:380" coordorigin="7009,14" coordsize="2,380">
              <v:shape style="position:absolute;left:7009;top:14;width:2;height:380" coordorigin="7009,14" coordsize="0,380" path="m7009,14l7009,394e" filled="false" stroked="true" strokeweight="1.08pt" strokecolor="#d3d3d3">
                <v:path arrowok="t"/>
              </v:shape>
            </v:group>
            <v:group style="position:absolute;left:5714;top:14;width:1284;height:380" coordorigin="5714,14" coordsize="1284,380">
              <v:shape style="position:absolute;left:5714;top:14;width:1284;height:380" coordorigin="5714,14" coordsize="1284,380" path="m5714,394l6998,394,6998,14,5714,14,5714,394xe" filled="true" fillcolor="#d3d3d3" stroked="false">
                <v:path arrowok="t"/>
                <v:fill type="solid"/>
              </v:shape>
            </v:group>
            <v:group style="position:absolute;left:7030;top:395;width:1042;height:2" coordorigin="7030,395" coordsize="1042,2">
              <v:shape style="position:absolute;left:7030;top:395;width:1042;height:2" coordorigin="7030,395" coordsize="1042,0" path="m7030,395l8071,395e" filled="false" stroked="true" strokeweight=".1pt" strokecolor="#d3d3d3">
                <v:path arrowok="t"/>
              </v:shape>
            </v:group>
            <v:group style="position:absolute;left:7042;top:14;width:2;height:380" coordorigin="7042,14" coordsize="2,380">
              <v:shape style="position:absolute;left:7042;top:14;width:2;height:380" coordorigin="7042,14" coordsize="0,380" path="m7042,14l7042,394e" filled="false" stroked="true" strokeweight="1.199975pt" strokecolor="#d3d3d3">
                <v:path arrowok="t"/>
              </v:shape>
            </v:group>
            <v:group style="position:absolute;left:8060;top:14;width:2;height:380" coordorigin="8060,14" coordsize="2,380">
              <v:shape style="position:absolute;left:8060;top:14;width:2;height:380" coordorigin="8060,14" coordsize="0,380" path="m8060,14l8060,394e" filled="false" stroked="true" strokeweight="1.08pt" strokecolor="#d3d3d3">
                <v:path arrowok="t"/>
              </v:shape>
            </v:group>
            <v:group style="position:absolute;left:7054;top:14;width:996;height:380" coordorigin="7054,14" coordsize="996,380">
              <v:shape style="position:absolute;left:7054;top:14;width:996;height:380" coordorigin="7054,14" coordsize="996,380" path="m7054,394l8050,394,8050,14,7054,14,7054,394xe" filled="true" fillcolor="#d3d3d3" stroked="false">
                <v:path arrowok="t"/>
                <v:fill type="solid"/>
              </v:shape>
            </v:group>
            <v:group style="position:absolute;left:8081;top:395;width:1587;height:2" coordorigin="8081,395" coordsize="1587,2">
              <v:shape style="position:absolute;left:8081;top:395;width:1587;height:2" coordorigin="8081,395" coordsize="1587,0" path="m8081,395l9667,395e" filled="false" stroked="true" strokeweight=".1pt" strokecolor="#d3d3d3">
                <v:path arrowok="t"/>
              </v:shape>
            </v:group>
            <v:group style="position:absolute;left:8093;top:14;width:2;height:380" coordorigin="8093,14" coordsize="2,380">
              <v:shape style="position:absolute;left:8093;top:14;width:2;height:380" coordorigin="8093,14" coordsize="0,380" path="m8093,14l8093,394e" filled="false" stroked="true" strokeweight="1.199972pt" strokecolor="#d3d3d3">
                <v:path arrowok="t"/>
              </v:shape>
            </v:group>
            <v:group style="position:absolute;left:9655;top:14;width:2;height:380" coordorigin="9655,14" coordsize="2,380">
              <v:shape style="position:absolute;left:9655;top:14;width:2;height:380" coordorigin="9655,14" coordsize="0,380" path="m9655,14l9655,394e" filled="false" stroked="true" strokeweight="1.2pt" strokecolor="#d3d3d3">
                <v:path arrowok="t"/>
              </v:shape>
            </v:group>
            <v:group style="position:absolute;left:8105;top:14;width:1539;height:380" coordorigin="8105,14" coordsize="1539,380">
              <v:shape style="position:absolute;left:8105;top:14;width:1539;height:380" coordorigin="8105,14" coordsize="1539,380" path="m8105,394l9643,394,9643,14,8105,14,8105,394xe" filled="true" fillcolor="#d3d3d3" stroked="false">
                <v:path arrowok="t"/>
                <v:fill type="solid"/>
              </v:shape>
            </v:group>
            <v:group style="position:absolute;left:10;top:10;width:891;height:2" coordorigin="10,10" coordsize="891,2">
              <v:shape style="position:absolute;left:10;top:10;width:891;height:2" coordorigin="10,10" coordsize="891,0" path="m10,10l900,10e" filled="false" stroked="true" strokeweight=".48pt" strokecolor="#000000">
                <v:path arrowok="t"/>
              </v:shape>
            </v:group>
            <v:group style="position:absolute;left:910;top:10;width:1071;height:2" coordorigin="910,10" coordsize="1071,2">
              <v:shape style="position:absolute;left:910;top:10;width:1071;height:2" coordorigin="910,10" coordsize="1071,0" path="m910,10l1980,10e" filled="false" stroked="true" strokeweight=".48pt" strokecolor="#000000">
                <v:path arrowok="t"/>
              </v:shape>
            </v:group>
            <v:group style="position:absolute;left:1990;top:10;width:3692;height:2" coordorigin="1990,10" coordsize="3692,2">
              <v:shape style="position:absolute;left:1990;top:10;width:3692;height:2" coordorigin="1990,10" coordsize="3692,0" path="m1990,10l5681,10e" filled="false" stroked="true" strokeweight=".48pt" strokecolor="#000000">
                <v:path arrowok="t"/>
              </v:shape>
            </v:group>
            <v:group style="position:absolute;left:5690;top:10;width:1330;height:2" coordorigin="5690,10" coordsize="1330,2">
              <v:shape style="position:absolute;left:5690;top:10;width:1330;height:2" coordorigin="5690,10" coordsize="1330,0" path="m5690,10l7020,10e" filled="false" stroked="true" strokeweight=".48pt" strokecolor="#000000">
                <v:path arrowok="t"/>
              </v:shape>
            </v:group>
            <v:group style="position:absolute;left:7030;top:10;width:1042;height:2" coordorigin="7030,10" coordsize="1042,2">
              <v:shape style="position:absolute;left:7030;top:10;width:1042;height:2" coordorigin="7030,10" coordsize="1042,0" path="m7030,10l8071,10e" filled="false" stroked="true" strokeweight=".48pt" strokecolor="#000000">
                <v:path arrowok="t"/>
              </v:shape>
            </v:group>
            <v:group style="position:absolute;left:8081;top:10;width:1587;height:2" coordorigin="8081,10" coordsize="1587,2">
              <v:shape style="position:absolute;left:8081;top:10;width:1587;height:2" coordorigin="8081,10" coordsize="1587,0" path="m8081,10l9667,10e" filled="false" stroked="true" strokeweight=".48pt" strokecolor="#000000">
                <v:path arrowok="t"/>
              </v:shape>
            </v:group>
            <v:group style="position:absolute;left:5702;top:1158;width:2;height:1578" coordorigin="5702,1158" coordsize="2,1578">
              <v:shape style="position:absolute;left:5702;top:1158;width:2;height:1578" coordorigin="5702,1158" coordsize="0,1578" path="m5702,1158l5702,2736e" filled="false" stroked="true" strokeweight="1.199979pt" strokecolor="#ffffff">
                <v:path arrowok="t"/>
              </v:shape>
            </v:group>
            <v:group style="position:absolute;left:5690;top:406;width:1330;height:752" coordorigin="5690,406" coordsize="1330,752">
              <v:shape style="position:absolute;left:5690;top:406;width:1330;height:752" coordorigin="5690,406" coordsize="1330,752" path="m5690,1158l7020,1158,7020,406,5690,406,5690,1158xe" filled="true" fillcolor="#ffffff" stroked="false">
                <v:path arrowok="t"/>
                <v:fill type="solid"/>
              </v:shape>
            </v:group>
            <v:group style="position:absolute;left:5714;top:1157;width:1284;height:339" coordorigin="5714,1157" coordsize="1284,339">
              <v:shape style="position:absolute;left:5714;top:1157;width:1284;height:339" coordorigin="5714,1157" coordsize="1284,339" path="m5714,1495l6998,1495,6998,1157,5714,1157,5714,1495xe" filled="true" fillcolor="#ffffff" stroked="false">
                <v:path arrowok="t"/>
                <v:fill type="solid"/>
              </v:shape>
            </v:group>
            <v:group style="position:absolute;left:5714;top:1495;width:1284;height:300" coordorigin="5714,1495" coordsize="1284,300">
              <v:shape style="position:absolute;left:5714;top:1495;width:1284;height:300" coordorigin="5714,1495" coordsize="1284,300" path="m5714,1795l6998,1795,6998,1495,5714,1495,5714,1795xe" filled="true" fillcolor="#ffffff" stroked="false">
                <v:path arrowok="t"/>
                <v:fill type="solid"/>
              </v:shape>
            </v:group>
            <v:group style="position:absolute;left:7030;top:2286;width:1042;height:1200" coordorigin="7030,2286" coordsize="1042,1200">
              <v:shape style="position:absolute;left:7030;top:2286;width:1042;height:1200" coordorigin="7030,2286" coordsize="1042,1200" path="m7030,3486l8071,3486,8071,2286,7030,2286,7030,3486xe" filled="true" fillcolor="#ffffff" stroked="false">
                <v:path arrowok="t"/>
                <v:fill type="solid"/>
              </v:shape>
            </v:group>
            <v:group style="position:absolute;left:7042;top:1606;width:2;height:680" coordorigin="7042,1606" coordsize="2,680">
              <v:shape style="position:absolute;left:7042;top:1606;width:2;height:680" coordorigin="7042,1606" coordsize="0,680" path="m7042,1606l7042,2286e" filled="false" stroked="true" strokeweight="1.199975pt" strokecolor="#ffffff">
                <v:path arrowok="t"/>
              </v:shape>
            </v:group>
            <v:group style="position:absolute;left:7054;top:1944;width:996;height:341" coordorigin="7054,1944" coordsize="996,341">
              <v:shape style="position:absolute;left:7054;top:1944;width:996;height:341" coordorigin="7054,1944" coordsize="996,341" path="m7054,2285l8050,2285,8050,1944,7054,1944,7054,2285xe" filled="true" fillcolor="#ffffff" stroked="false">
                <v:path arrowok="t"/>
                <v:fill type="solid"/>
              </v:shape>
            </v:group>
            <v:group style="position:absolute;left:10;top:401;width:891;height:2" coordorigin="10,401" coordsize="891,2">
              <v:shape style="position:absolute;left:10;top:401;width:891;height:2" coordorigin="10,401" coordsize="891,0" path="m10,401l900,401e" filled="false" stroked="true" strokeweight=".48pt" strokecolor="#000000">
                <v:path arrowok="t"/>
              </v:shape>
            </v:group>
            <v:group style="position:absolute;left:910;top:401;width:1071;height:2" coordorigin="910,401" coordsize="1071,2">
              <v:shape style="position:absolute;left:910;top:401;width:1071;height:2" coordorigin="910,401" coordsize="1071,0" path="m910,401l1980,401e" filled="false" stroked="true" strokeweight=".48pt" strokecolor="#000000">
                <v:path arrowok="t"/>
              </v:shape>
            </v:group>
            <v:group style="position:absolute;left:1990;top:401;width:3692;height:2" coordorigin="1990,401" coordsize="3692,2">
              <v:shape style="position:absolute;left:1990;top:401;width:3692;height:2" coordorigin="1990,401" coordsize="3692,0" path="m1990,401l5681,401e" filled="false" stroked="true" strokeweight=".48pt" strokecolor="#000000">
                <v:path arrowok="t"/>
              </v:shape>
            </v:group>
            <v:group style="position:absolute;left:5690;top:401;width:1330;height:2" coordorigin="5690,401" coordsize="1330,2">
              <v:shape style="position:absolute;left:5690;top:401;width:1330;height:2" coordorigin="5690,401" coordsize="1330,0" path="m5690,401l7020,401e" filled="false" stroked="true" strokeweight=".48pt" strokecolor="#000000">
                <v:path arrowok="t"/>
              </v:shape>
            </v:group>
            <v:group style="position:absolute;left:7030;top:401;width:1042;height:2" coordorigin="7030,401" coordsize="1042,2">
              <v:shape style="position:absolute;left:7030;top:401;width:1042;height:2" coordorigin="7030,401" coordsize="1042,0" path="m7030,401l8071,401e" filled="false" stroked="true" strokeweight=".48pt" strokecolor="#000000">
                <v:path arrowok="t"/>
              </v:shape>
            </v:group>
            <v:group style="position:absolute;left:8081;top:401;width:1587;height:2" coordorigin="8081,401" coordsize="1587,2">
              <v:shape style="position:absolute;left:8081;top:401;width:1587;height:2" coordorigin="8081,401" coordsize="1587,0" path="m8081,401l9667,401e" filled="false" stroked="true" strokeweight=".48pt" strokecolor="#000000">
                <v:path arrowok="t"/>
              </v:shape>
            </v:group>
            <v:group style="position:absolute;left:5;top:5;width:2;height:3490" coordorigin="5,5" coordsize="2,3490">
              <v:shape style="position:absolute;left:5;top:5;width:2;height:3490" coordorigin="5,5" coordsize="0,3490" path="m5,5l5,3494e" filled="false" stroked="true" strokeweight=".48pt" strokecolor="#000000">
                <v:path arrowok="t"/>
              </v:shape>
            </v:group>
            <v:group style="position:absolute;left:10;top:3490;width:891;height:2" coordorigin="10,3490" coordsize="891,2">
              <v:shape style="position:absolute;left:10;top:3490;width:891;height:2" coordorigin="10,3490" coordsize="891,0" path="m10,3490l900,3490e" filled="false" stroked="true" strokeweight=".48pt" strokecolor="#000000">
                <v:path arrowok="t"/>
              </v:shape>
            </v:group>
            <v:group style="position:absolute;left:905;top:5;width:2;height:3490" coordorigin="905,5" coordsize="2,3490">
              <v:shape style="position:absolute;left:905;top:5;width:2;height:3490" coordorigin="905,5" coordsize="0,3490" path="m905,5l905,3494e" filled="false" stroked="true" strokeweight=".48pt" strokecolor="#000000">
                <v:path arrowok="t"/>
              </v:shape>
            </v:group>
            <v:group style="position:absolute;left:910;top:3490;width:1071;height:2" coordorigin="910,3490" coordsize="1071,2">
              <v:shape style="position:absolute;left:910;top:3490;width:1071;height:2" coordorigin="910,3490" coordsize="1071,0" path="m910,3490l1980,3490e" filled="false" stroked="true" strokeweight=".48pt" strokecolor="#000000">
                <v:path arrowok="t"/>
              </v:shape>
            </v:group>
            <v:group style="position:absolute;left:1985;top:5;width:2;height:3490" coordorigin="1985,5" coordsize="2,3490">
              <v:shape style="position:absolute;left:1985;top:5;width:2;height:3490" coordorigin="1985,5" coordsize="0,3490" path="m1985,5l1985,3494e" filled="false" stroked="true" strokeweight=".48pt" strokecolor="#000000">
                <v:path arrowok="t"/>
              </v:shape>
            </v:group>
            <v:group style="position:absolute;left:1990;top:3490;width:3692;height:2" coordorigin="1990,3490" coordsize="3692,2">
              <v:shape style="position:absolute;left:1990;top:3490;width:3692;height:2" coordorigin="1990,3490" coordsize="3692,0" path="m1990,3490l5681,3490e" filled="false" stroked="true" strokeweight=".48pt" strokecolor="#000000">
                <v:path arrowok="t"/>
              </v:shape>
            </v:group>
            <v:group style="position:absolute;left:5686;top:5;width:2;height:3490" coordorigin="5686,5" coordsize="2,3490">
              <v:shape style="position:absolute;left:5686;top:5;width:2;height:3490" coordorigin="5686,5" coordsize="0,3490" path="m5686,5l5686,3494e" filled="false" stroked="true" strokeweight=".48pt" strokecolor="#000000">
                <v:path arrowok="t"/>
              </v:shape>
            </v:group>
            <v:group style="position:absolute;left:5690;top:3490;width:1330;height:2" coordorigin="5690,3490" coordsize="1330,2">
              <v:shape style="position:absolute;left:5690;top:3490;width:1330;height:2" coordorigin="5690,3490" coordsize="1330,0" path="m5690,3490l7020,3490e" filled="false" stroked="true" strokeweight=".48pt" strokecolor="#000000">
                <v:path arrowok="t"/>
              </v:shape>
            </v:group>
            <v:group style="position:absolute;left:7025;top:5;width:2;height:3490" coordorigin="7025,5" coordsize="2,3490">
              <v:shape style="position:absolute;left:7025;top:5;width:2;height:3490" coordorigin="7025,5" coordsize="0,3490" path="m7025,5l7025,3494e" filled="false" stroked="true" strokeweight=".48pt" strokecolor="#000000">
                <v:path arrowok="t"/>
              </v:shape>
            </v:group>
            <v:group style="position:absolute;left:7030;top:3490;width:1042;height:2" coordorigin="7030,3490" coordsize="1042,2">
              <v:shape style="position:absolute;left:7030;top:3490;width:1042;height:2" coordorigin="7030,3490" coordsize="1042,0" path="m7030,3490l8071,3490e" filled="false" stroked="true" strokeweight=".48pt" strokecolor="#000000">
                <v:path arrowok="t"/>
              </v:shape>
            </v:group>
            <v:group style="position:absolute;left:8076;top:5;width:2;height:3490" coordorigin="8076,5" coordsize="2,3490">
              <v:shape style="position:absolute;left:8076;top:5;width:2;height:3490" coordorigin="8076,5" coordsize="0,3490" path="m8076,5l8076,3494e" filled="false" stroked="true" strokeweight=".48pt" strokecolor="#000000">
                <v:path arrowok="t"/>
              </v:shape>
            </v:group>
            <v:group style="position:absolute;left:8081;top:3490;width:1587;height:2" coordorigin="8081,3490" coordsize="1587,2">
              <v:shape style="position:absolute;left:8081;top:3490;width:1587;height:2" coordorigin="8081,3490" coordsize="1587,0" path="m8081,3490l9667,3490e" filled="false" stroked="true" strokeweight=".48pt" strokecolor="#000000">
                <v:path arrowok="t"/>
              </v:shape>
            </v:group>
            <v:group style="position:absolute;left:9672;top:5;width:2;height:3490" coordorigin="9672,5" coordsize="2,3490">
              <v:shape style="position:absolute;left:9672;top:5;width:2;height:3490" coordorigin="9672,5" coordsize="0,3490" path="m9672,5l9672,3494e" filled="false" stroked="true" strokeweight=".48pt" strokecolor="#000000">
                <v:path arrowok="t"/>
              </v:shape>
              <v:shape style="position:absolute;left:5;top:10;width:900;height:384" type="#_x0000_t202" filled="false" stroked="false">
                <v:textbox inset="0,0,0,0">
                  <w:txbxContent>
                    <w:p>
                      <w:pPr>
                        <w:spacing w:before="73"/>
                        <w:ind w:left="91" w:right="0" w:firstLine="0"/>
                        <w:jc w:val="left"/>
                        <w:rPr>
                          <w:rFonts w:ascii="宋体" w:hAnsi="宋体" w:cs="宋体" w:eastAsia="宋体" w:hint="default"/>
                          <w:sz w:val="18"/>
                          <w:szCs w:val="18"/>
                        </w:rPr>
                      </w:pPr>
                      <w:r>
                        <w:rPr>
                          <w:rFonts w:ascii="宋体" w:hAnsi="宋体" w:cs="宋体" w:eastAsia="宋体" w:hint="default"/>
                          <w:sz w:val="18"/>
                          <w:szCs w:val="18"/>
                        </w:rPr>
                        <w:t>会议届次</w:t>
                      </w:r>
                    </w:p>
                  </w:txbxContent>
                </v:textbox>
                <w10:wrap type="none"/>
              </v:shape>
              <v:shape style="position:absolute;left:905;top:10;width:1080;height:384" type="#_x0000_t202" filled="false" stroked="false">
                <v:textbox inset="0,0,0,0">
                  <w:txbxContent>
                    <w:p>
                      <w:pPr>
                        <w:spacing w:before="73"/>
                        <w:ind w:left="179" w:right="0" w:firstLine="0"/>
                        <w:jc w:val="left"/>
                        <w:rPr>
                          <w:rFonts w:ascii="宋体" w:hAnsi="宋体" w:cs="宋体" w:eastAsia="宋体" w:hint="default"/>
                          <w:sz w:val="18"/>
                          <w:szCs w:val="18"/>
                        </w:rPr>
                      </w:pPr>
                      <w:r>
                        <w:rPr>
                          <w:rFonts w:ascii="宋体" w:hAnsi="宋体" w:cs="宋体" w:eastAsia="宋体" w:hint="default"/>
                          <w:sz w:val="18"/>
                          <w:szCs w:val="18"/>
                        </w:rPr>
                        <w:t>召开日期</w:t>
                      </w:r>
                    </w:p>
                  </w:txbxContent>
                </v:textbox>
                <w10:wrap type="none"/>
              </v:shape>
              <v:shape style="position:absolute;left:1985;top:10;width:3701;height:384" type="#_x0000_t202" filled="false" stroked="false">
                <v:textbox inset="0,0,0,0">
                  <w:txbxContent>
                    <w:p>
                      <w:pPr>
                        <w:spacing w:before="73"/>
                        <w:ind w:left="0" w:right="0" w:firstLine="0"/>
                        <w:jc w:val="center"/>
                        <w:rPr>
                          <w:rFonts w:ascii="宋体" w:hAnsi="宋体" w:cs="宋体" w:eastAsia="宋体" w:hint="default"/>
                          <w:sz w:val="18"/>
                          <w:szCs w:val="18"/>
                        </w:rPr>
                      </w:pPr>
                      <w:r>
                        <w:rPr>
                          <w:rFonts w:ascii="宋体" w:hAnsi="宋体" w:cs="宋体" w:eastAsia="宋体" w:hint="default"/>
                          <w:sz w:val="18"/>
                          <w:szCs w:val="18"/>
                        </w:rPr>
                        <w:t>会议议案名称</w:t>
                      </w:r>
                    </w:p>
                  </w:txbxContent>
                </v:textbox>
                <w10:wrap type="none"/>
              </v:shape>
              <v:shape style="position:absolute;left:5686;top:10;width:1340;height:384" type="#_x0000_t202" filled="false" stroked="false">
                <v:textbox inset="0,0,0,0">
                  <w:txbxContent>
                    <w:p>
                      <w:pPr>
                        <w:spacing w:before="73"/>
                        <w:ind w:left="309" w:right="0" w:firstLine="0"/>
                        <w:jc w:val="left"/>
                        <w:rPr>
                          <w:rFonts w:ascii="宋体" w:hAnsi="宋体" w:cs="宋体" w:eastAsia="宋体" w:hint="default"/>
                          <w:sz w:val="18"/>
                          <w:szCs w:val="18"/>
                        </w:rPr>
                      </w:pPr>
                      <w:r>
                        <w:rPr>
                          <w:rFonts w:ascii="宋体" w:hAnsi="宋体" w:cs="宋体" w:eastAsia="宋体" w:hint="default"/>
                          <w:sz w:val="18"/>
                          <w:szCs w:val="18"/>
                        </w:rPr>
                        <w:t>决议情况</w:t>
                      </w:r>
                    </w:p>
                  </w:txbxContent>
                </v:textbox>
                <w10:wrap type="none"/>
              </v:shape>
              <v:shape style="position:absolute;left:7025;top:10;width:1052;height:384" type="#_x0000_t202" filled="false" stroked="false">
                <v:textbox inset="0,0,0,0">
                  <w:txbxContent>
                    <w:p>
                      <w:pPr>
                        <w:spacing w:before="73"/>
                        <w:ind w:left="165" w:right="0" w:firstLine="0"/>
                        <w:jc w:val="left"/>
                        <w:rPr>
                          <w:rFonts w:ascii="宋体" w:hAnsi="宋体" w:cs="宋体" w:eastAsia="宋体" w:hint="default"/>
                          <w:sz w:val="18"/>
                          <w:szCs w:val="18"/>
                        </w:rPr>
                      </w:pPr>
                      <w:r>
                        <w:rPr>
                          <w:rFonts w:ascii="宋体" w:hAnsi="宋体" w:cs="宋体" w:eastAsia="宋体" w:hint="default"/>
                          <w:sz w:val="18"/>
                          <w:szCs w:val="18"/>
                        </w:rPr>
                        <w:t>披露日期</w:t>
                      </w:r>
                    </w:p>
                  </w:txbxContent>
                </v:textbox>
                <w10:wrap type="none"/>
              </v:shape>
              <v:shape style="position:absolute;left:8076;top:10;width:1596;height:384" type="#_x0000_t202" filled="false" stroked="false">
                <v:textbox inset="0,0,0,0">
                  <w:txbxContent>
                    <w:p>
                      <w:pPr>
                        <w:spacing w:before="73"/>
                        <w:ind w:left="436" w:right="0" w:firstLine="0"/>
                        <w:jc w:val="left"/>
                        <w:rPr>
                          <w:rFonts w:ascii="宋体" w:hAnsi="宋体" w:cs="宋体" w:eastAsia="宋体" w:hint="default"/>
                          <w:sz w:val="18"/>
                          <w:szCs w:val="18"/>
                        </w:rPr>
                      </w:pPr>
                      <w:r>
                        <w:rPr>
                          <w:rFonts w:ascii="宋体" w:hAnsi="宋体" w:cs="宋体" w:eastAsia="宋体" w:hint="default"/>
                          <w:sz w:val="18"/>
                          <w:szCs w:val="18"/>
                        </w:rPr>
                        <w:t>披露索引</w:t>
                      </w:r>
                    </w:p>
                  </w:txbxContent>
                </v:textbox>
                <w10:wrap type="none"/>
              </v:shape>
              <v:shape style="position:absolute;left:5;top:394;width:900;height:3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line="285" w:lineRule="auto" w:before="0"/>
                        <w:ind w:left="28" w:right="107"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宋体" w:hAnsi="宋体" w:cs="宋体" w:eastAsia="宋体" w:hint="default"/>
                          <w:w w:val="100"/>
                          <w:sz w:val="18"/>
                          <w:szCs w:val="18"/>
                        </w:rPr>
                        <w:t> </w:t>
                      </w:r>
                      <w:r>
                        <w:rPr>
                          <w:rFonts w:ascii="宋体" w:hAnsi="宋体" w:cs="宋体" w:eastAsia="宋体" w:hint="default"/>
                          <w:sz w:val="18"/>
                          <w:szCs w:val="18"/>
                        </w:rPr>
                        <w:t>股东大会</w:t>
                      </w:r>
                    </w:p>
                  </w:txbxContent>
                </v:textbox>
                <w10:wrap type="none"/>
              </v:shape>
              <v:shape style="position:absolute;left:905;top:394;width:1080;height:3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before="0"/>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spacing w:before="48"/>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7025;top:394;width:1052;height:3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before="0"/>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spacing w:line="201" w:lineRule="exact" w:before="48"/>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88" w:lineRule="exact" w:before="0"/>
                        <w:ind w:left="-113" w:right="0" w:firstLine="0"/>
                        <w:jc w:val="left"/>
                        <w:rPr>
                          <w:rFonts w:ascii="宋体" w:hAnsi="宋体" w:cs="宋体" w:eastAsia="宋体" w:hint="default"/>
                          <w:sz w:val="18"/>
                          <w:szCs w:val="18"/>
                        </w:rPr>
                      </w:pPr>
                      <w:r>
                        <w:rPr>
                          <w:rFonts w:ascii="宋体" w:hAnsi="宋体" w:cs="宋体" w:eastAsia="宋体" w:hint="default"/>
                          <w:w w:val="100"/>
                          <w:sz w:val="18"/>
                          <w:szCs w:val="18"/>
                        </w:rPr>
                        <w:t>；</w:t>
                      </w:r>
                    </w:p>
                  </w:txbxContent>
                </v:textbox>
                <w10:wrap type="none"/>
              </v:shape>
              <v:shape style="position:absolute;left:8076;top:394;width:1596;height:3096" type="#_x0000_t202" filled="false" stroked="false">
                <v:textbox inset="0,0,0,0">
                  <w:txbxContent>
                    <w:p>
                      <w:pPr>
                        <w:spacing w:line="300" w:lineRule="auto" w:before="80"/>
                        <w:ind w:left="28" w:right="35" w:firstLine="0"/>
                        <w:jc w:val="left"/>
                        <w:rPr>
                          <w:rFonts w:ascii="宋体" w:hAnsi="宋体" w:cs="宋体" w:eastAsia="宋体" w:hint="default"/>
                          <w:sz w:val="18"/>
                          <w:szCs w:val="18"/>
                        </w:rPr>
                      </w:pPr>
                      <w:r>
                        <w:rPr>
                          <w:rFonts w:ascii="宋体" w:hAnsi="宋体" w:cs="宋体" w:eastAsia="宋体" w:hint="default"/>
                          <w:spacing w:val="-11"/>
                          <w:sz w:val="18"/>
                          <w:szCs w:val="18"/>
                        </w:rPr>
                        <w:t>公告名称：《江苏双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星彩塑新材料股份</w:t>
                      </w:r>
                      <w:r>
                        <w:rPr>
                          <w:rFonts w:ascii="宋体" w:hAnsi="宋体" w:cs="宋体" w:eastAsia="宋体" w:hint="default"/>
                          <w:w w:val="100"/>
                          <w:sz w:val="18"/>
                          <w:szCs w:val="18"/>
                        </w:rPr>
                        <w:t> </w:t>
                      </w:r>
                      <w:r>
                        <w:rPr>
                          <w:rFonts w:ascii="宋体" w:hAnsi="宋体" w:cs="宋体" w:eastAsia="宋体" w:hint="default"/>
                          <w:sz w:val="18"/>
                          <w:szCs w:val="18"/>
                        </w:rPr>
                        <w:t>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w w:val="100"/>
                          <w:sz w:val="18"/>
                          <w:szCs w:val="18"/>
                        </w:rPr>
                        <w:t> </w:t>
                      </w:r>
                      <w:r>
                        <w:rPr>
                          <w:rFonts w:ascii="宋体" w:hAnsi="宋体" w:cs="宋体" w:eastAsia="宋体" w:hint="default"/>
                          <w:sz w:val="18"/>
                          <w:szCs w:val="18"/>
                        </w:rPr>
                        <w:t>股东大会决议公</w:t>
                      </w:r>
                    </w:p>
                    <w:p>
                      <w:pPr>
                        <w:spacing w:line="297" w:lineRule="auto" w:before="19"/>
                        <w:ind w:left="28" w:right="107" w:firstLine="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
                          <w:sz w:val="18"/>
                          <w:szCs w:val="18"/>
                        </w:rPr>
                        <w:t> </w:t>
                      </w:r>
                      <w:r>
                        <w:rPr>
                          <w:rFonts w:ascii="宋体" w:hAnsi="宋体" w:cs="宋体" w:eastAsia="宋体" w:hint="default"/>
                          <w:sz w:val="18"/>
                          <w:szCs w:val="18"/>
                        </w:rPr>
                        <w:t>》公告编号：</w:t>
                      </w:r>
                      <w:r>
                        <w:rPr>
                          <w:rFonts w:ascii="宋体" w:hAnsi="宋体" w:cs="宋体" w:eastAsia="宋体" w:hint="default"/>
                          <w:w w:val="100"/>
                          <w:sz w:val="18"/>
                          <w:szCs w:val="18"/>
                        </w:rPr>
                        <w:t> </w:t>
                      </w:r>
                      <w:r>
                        <w:rPr>
                          <w:rFonts w:ascii="Times New Roman" w:hAnsi="Times New Roman" w:cs="Times New Roman" w:eastAsia="Times New Roman" w:hint="default"/>
                          <w:spacing w:val="-1"/>
                          <w:sz w:val="18"/>
                          <w:szCs w:val="18"/>
                        </w:rPr>
                        <w:t>2012-014.</w:t>
                      </w:r>
                      <w:r>
                        <w:rPr>
                          <w:rFonts w:ascii="宋体" w:hAnsi="宋体" w:cs="宋体" w:eastAsia="宋体" w:hint="default"/>
                          <w:spacing w:val="-1"/>
                          <w:sz w:val="18"/>
                          <w:szCs w:val="18"/>
                        </w:rPr>
                        <w:t>信息披露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2"/>
                          <w:sz w:val="18"/>
                          <w:szCs w:val="18"/>
                        </w:rPr>
                        <w:t>媒体：《证券时报》</w:t>
                      </w:r>
                      <w:r>
                        <w:rPr>
                          <w:rFonts w:ascii="宋体" w:hAnsi="宋体" w:cs="宋体" w:eastAsia="宋体" w:hint="default"/>
                          <w:sz w:val="18"/>
                          <w:szCs w:val="18"/>
                        </w:rPr>
                      </w:r>
                    </w:p>
                    <w:p>
                      <w:pPr>
                        <w:spacing w:line="304" w:lineRule="auto" w:before="21"/>
                        <w:ind w:left="28" w:right="28" w:firstLine="0"/>
                        <w:jc w:val="both"/>
                        <w:rPr>
                          <w:rFonts w:ascii="宋体" w:hAnsi="宋体" w:cs="宋体" w:eastAsia="宋体" w:hint="default"/>
                          <w:sz w:val="18"/>
                          <w:szCs w:val="18"/>
                        </w:rPr>
                      </w:pPr>
                      <w:r>
                        <w:rPr>
                          <w:rFonts w:ascii="宋体" w:hAnsi="宋体" w:cs="宋体" w:eastAsia="宋体" w:hint="default"/>
                          <w:spacing w:val="-28"/>
                          <w:sz w:val="18"/>
                          <w:szCs w:val="18"/>
                        </w:rPr>
                        <w:t>《证券日报》、《中国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证券报》、巨潮资讯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w:t>
                      </w:r>
                    </w:p>
                  </w:txbxContent>
                </v:textbox>
                <w10:wrap type="none"/>
              </v:shape>
              <v:shape style="position:absolute;left:2014;top:829;width:4962;height:932"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1</w:t>
                      </w:r>
                      <w:r>
                        <w:rPr>
                          <w:rFonts w:ascii="宋体" w:hAnsi="宋体" w:cs="宋体" w:eastAsia="宋体" w:hint="default"/>
                          <w:spacing w:val="-104"/>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w w:val="100"/>
                          <w:sz w:val="18"/>
                          <w:szCs w:val="18"/>
                        </w:rPr>
                        <w:t>20</w:t>
                      </w:r>
                      <w:r>
                        <w:rPr>
                          <w:rFonts w:ascii="Times New Roman" w:hAnsi="Times New Roman" w:cs="Times New Roman" w:eastAsia="Times New Roman" w:hint="default"/>
                          <w:spacing w:val="-9"/>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年度董事会工作报告</w:t>
                      </w:r>
                      <w:r>
                        <w:rPr>
                          <w:rFonts w:ascii="宋体" w:hAnsi="宋体" w:cs="宋体" w:eastAsia="宋体" w:hint="default"/>
                          <w:spacing w:val="-13"/>
                          <w:w w:val="100"/>
                          <w:sz w:val="18"/>
                          <w:szCs w:val="18"/>
                        </w:rPr>
                        <w:t>》</w:t>
                      </w:r>
                      <w:r>
                        <w:rPr>
                          <w:rFonts w:ascii="Times New Roman" w:hAnsi="Times New Roman" w:cs="Times New Roman" w:eastAsia="Times New Roman" w:hint="default"/>
                          <w:w w:val="100"/>
                          <w:sz w:val="18"/>
                          <w:szCs w:val="18"/>
                        </w:rPr>
                        <w:t>2</w:t>
                      </w:r>
                      <w:r>
                        <w:rPr>
                          <w:rFonts w:ascii="宋体" w:hAnsi="宋体" w:cs="宋体" w:eastAsia="宋体" w:hint="default"/>
                          <w:spacing w:val="-104"/>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w w:val="100"/>
                          <w:sz w:val="18"/>
                          <w:szCs w:val="18"/>
                        </w:rPr>
                        <w:t>20</w:t>
                      </w:r>
                      <w:r>
                        <w:rPr>
                          <w:rFonts w:ascii="Times New Roman" w:hAnsi="Times New Roman" w:cs="Times New Roman" w:eastAsia="Times New Roman" w:hint="default"/>
                          <w:spacing w:val="-7"/>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w:t>
                      </w:r>
                      <w:r>
                        <w:rPr>
                          <w:rFonts w:ascii="宋体" w:hAnsi="宋体" w:cs="宋体" w:eastAsia="宋体" w:hint="default"/>
                          <w:w w:val="100"/>
                          <w:sz w:val="18"/>
                          <w:szCs w:val="18"/>
                        </w:rPr>
                        <w:t>度</w:t>
                      </w:r>
                    </w:p>
                    <w:p>
                      <w:pPr>
                        <w:spacing w:line="200" w:lineRule="exact" w:before="51"/>
                        <w:ind w:left="0" w:right="0" w:firstLine="0"/>
                        <w:jc w:val="left"/>
                        <w:rPr>
                          <w:rFonts w:ascii="宋体" w:hAnsi="宋体" w:cs="宋体" w:eastAsia="宋体" w:hint="default"/>
                          <w:sz w:val="18"/>
                          <w:szCs w:val="18"/>
                        </w:rPr>
                      </w:pPr>
                      <w:r>
                        <w:rPr>
                          <w:rFonts w:ascii="宋体" w:hAnsi="宋体" w:cs="宋体" w:eastAsia="宋体" w:hint="default"/>
                          <w:spacing w:val="-1"/>
                          <w:w w:val="100"/>
                          <w:sz w:val="18"/>
                          <w:szCs w:val="18"/>
                        </w:rPr>
                        <w:t>监事会工作报告</w:t>
                      </w:r>
                      <w:r>
                        <w:rPr>
                          <w:rFonts w:ascii="宋体" w:hAnsi="宋体" w:cs="宋体" w:eastAsia="宋体" w:hint="default"/>
                          <w:spacing w:val="-44"/>
                          <w:w w:val="100"/>
                          <w:sz w:val="18"/>
                          <w:szCs w:val="18"/>
                        </w:rPr>
                        <w:t>》</w:t>
                      </w:r>
                      <w:r>
                        <w:rPr>
                          <w:rFonts w:ascii="Times New Roman" w:hAnsi="Times New Roman" w:cs="Times New Roman" w:eastAsia="Times New Roman" w:hint="default"/>
                          <w:w w:val="100"/>
                          <w:sz w:val="18"/>
                          <w:szCs w:val="18"/>
                        </w:rPr>
                        <w:t>3</w:t>
                      </w:r>
                      <w:r>
                        <w:rPr>
                          <w:rFonts w:ascii="宋体" w:hAnsi="宋体" w:cs="宋体" w:eastAsia="宋体" w:hint="default"/>
                          <w:spacing w:val="-135"/>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w w:val="100"/>
                          <w:sz w:val="18"/>
                          <w:szCs w:val="18"/>
                        </w:rPr>
                        <w:t>20</w:t>
                      </w:r>
                      <w:r>
                        <w:rPr>
                          <w:rFonts w:ascii="Times New Roman" w:hAnsi="Times New Roman" w:cs="Times New Roman" w:eastAsia="Times New Roman" w:hint="default"/>
                          <w:spacing w:val="-7"/>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w w:val="100"/>
                          <w:sz w:val="18"/>
                          <w:szCs w:val="18"/>
                        </w:rPr>
                        <w:t>年</w:t>
                      </w:r>
                      <w:r>
                        <w:rPr>
                          <w:rFonts w:ascii="宋体" w:hAnsi="宋体" w:cs="宋体" w:eastAsia="宋体" w:hint="default"/>
                          <w:spacing w:val="-1"/>
                          <w:w w:val="100"/>
                          <w:sz w:val="18"/>
                          <w:szCs w:val="18"/>
                        </w:rPr>
                        <w:t>年度报告及摘要</w:t>
                      </w:r>
                      <w:r>
                        <w:rPr>
                          <w:rFonts w:ascii="宋体" w:hAnsi="宋体" w:cs="宋体" w:eastAsia="宋体" w:hint="default"/>
                          <w:w w:val="100"/>
                          <w:sz w:val="18"/>
                          <w:szCs w:val="18"/>
                        </w:rPr>
                        <w:t>》</w:t>
                      </w:r>
                    </w:p>
                    <w:p>
                      <w:pPr>
                        <w:spacing w:line="150" w:lineRule="exact" w:before="0"/>
                        <w:ind w:left="0" w:right="175"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15,600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万股同</w:t>
                      </w:r>
                    </w:p>
                    <w:p>
                      <w:pPr>
                        <w:spacing w:line="15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4</w:t>
                      </w:r>
                      <w:r>
                        <w:rPr>
                          <w:rFonts w:ascii="宋体" w:hAnsi="宋体" w:cs="宋体" w:eastAsia="宋体" w:hint="default"/>
                          <w:spacing w:val="-176"/>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w w:val="100"/>
                          <w:sz w:val="18"/>
                          <w:szCs w:val="18"/>
                        </w:rPr>
                        <w:t>20</w:t>
                      </w:r>
                      <w:r>
                        <w:rPr>
                          <w:rFonts w:ascii="Times New Roman" w:hAnsi="Times New Roman" w:cs="Times New Roman" w:eastAsia="Times New Roman" w:hint="default"/>
                          <w:spacing w:val="-9"/>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年利润分配和资本</w:t>
                      </w:r>
                      <w:r>
                        <w:rPr>
                          <w:rFonts w:ascii="宋体" w:hAnsi="宋体" w:cs="宋体" w:eastAsia="宋体" w:hint="default"/>
                          <w:spacing w:val="-3"/>
                          <w:w w:val="100"/>
                          <w:sz w:val="18"/>
                          <w:szCs w:val="18"/>
                        </w:rPr>
                        <w:t>公</w:t>
                      </w:r>
                      <w:r>
                        <w:rPr>
                          <w:rFonts w:ascii="宋体" w:hAnsi="宋体" w:cs="宋体" w:eastAsia="宋体" w:hint="default"/>
                          <w:spacing w:val="-1"/>
                          <w:w w:val="100"/>
                          <w:sz w:val="18"/>
                          <w:szCs w:val="18"/>
                        </w:rPr>
                        <w:t>积转增股本预案</w:t>
                      </w:r>
                      <w:r>
                        <w:rPr>
                          <w:rFonts w:ascii="宋体" w:hAnsi="宋体" w:cs="宋体" w:eastAsia="宋体" w:hint="default"/>
                          <w:w w:val="100"/>
                          <w:sz w:val="18"/>
                          <w:szCs w:val="18"/>
                        </w:rPr>
                        <w:t>》</w:t>
                      </w:r>
                    </w:p>
                    <w:p>
                      <w:pPr>
                        <w:spacing w:line="187" w:lineRule="exact" w:before="0"/>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意，占与会有表</w:t>
                      </w:r>
                    </w:p>
                  </w:txbxContent>
                </v:textbox>
                <w10:wrap type="none"/>
              </v:shape>
              <v:shape style="position:absolute;left:2014;top:1729;width:3649;height:1378" type="#_x0000_t202" filled="false" stroked="false">
                <v:textbox inset="0,0,0,0">
                  <w:txbxContent>
                    <w:p>
                      <w:pPr>
                        <w:spacing w:line="194" w:lineRule="exact" w:before="0"/>
                        <w:ind w:left="0" w:right="0" w:firstLine="0"/>
                        <w:jc w:val="both"/>
                        <w:rPr>
                          <w:rFonts w:ascii="宋体" w:hAnsi="宋体" w:cs="宋体" w:eastAsia="宋体" w:hint="default"/>
                          <w:sz w:val="18"/>
                          <w:szCs w:val="18"/>
                        </w:rPr>
                      </w:pPr>
                      <w:r>
                        <w:rPr>
                          <w:rFonts w:ascii="Times New Roman" w:hAnsi="Times New Roman" w:cs="Times New Roman" w:eastAsia="Times New Roman" w:hint="default"/>
                          <w:w w:val="100"/>
                          <w:sz w:val="18"/>
                          <w:szCs w:val="18"/>
                        </w:rPr>
                        <w:t>5</w:t>
                      </w:r>
                      <w:r>
                        <w:rPr>
                          <w:rFonts w:ascii="宋体" w:hAnsi="宋体" w:cs="宋体" w:eastAsia="宋体" w:hint="default"/>
                          <w:spacing w:val="-13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w w:val="100"/>
                          <w:sz w:val="18"/>
                          <w:szCs w:val="18"/>
                        </w:rPr>
                        <w:t>20</w:t>
                      </w:r>
                      <w:r>
                        <w:rPr>
                          <w:rFonts w:ascii="Times New Roman" w:hAnsi="Times New Roman" w:cs="Times New Roman" w:eastAsia="Times New Roman" w:hint="default"/>
                          <w:spacing w:val="-9"/>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年度财务决算报</w:t>
                      </w:r>
                      <w:r>
                        <w:rPr>
                          <w:rFonts w:ascii="宋体" w:hAnsi="宋体" w:cs="宋体" w:eastAsia="宋体" w:hint="default"/>
                          <w:w w:val="100"/>
                          <w:sz w:val="18"/>
                          <w:szCs w:val="18"/>
                        </w:rPr>
                        <w:t>告</w:t>
                      </w:r>
                      <w:r>
                        <w:rPr>
                          <w:rFonts w:ascii="宋体" w:hAnsi="宋体" w:cs="宋体" w:eastAsia="宋体" w:hint="default"/>
                          <w:spacing w:val="-48"/>
                          <w:sz w:val="18"/>
                          <w:szCs w:val="18"/>
                        </w:rPr>
                        <w:t> </w:t>
                      </w:r>
                      <w:r>
                        <w:rPr>
                          <w:rFonts w:ascii="Times New Roman" w:hAnsi="Times New Roman" w:cs="Times New Roman" w:eastAsia="Times New Roman" w:hint="default"/>
                          <w:w w:val="100"/>
                          <w:sz w:val="18"/>
                          <w:szCs w:val="18"/>
                        </w:rPr>
                        <w:t>6</w:t>
                      </w:r>
                      <w:r>
                        <w:rPr>
                          <w:rFonts w:ascii="宋体" w:hAnsi="宋体" w:cs="宋体" w:eastAsia="宋体" w:hint="default"/>
                          <w:spacing w:val="-13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w w:val="100"/>
                          <w:sz w:val="18"/>
                          <w:szCs w:val="18"/>
                        </w:rPr>
                        <w:t>20</w:t>
                      </w:r>
                      <w:r>
                        <w:rPr>
                          <w:rFonts w:ascii="Times New Roman" w:hAnsi="Times New Roman" w:cs="Times New Roman" w:eastAsia="Times New Roman" w:hint="default"/>
                          <w:spacing w:val="-9"/>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年度内</w:t>
                      </w:r>
                      <w:r>
                        <w:rPr>
                          <w:rFonts w:ascii="宋体" w:hAnsi="宋体" w:cs="宋体" w:eastAsia="宋体" w:hint="default"/>
                          <w:w w:val="100"/>
                          <w:sz w:val="18"/>
                          <w:szCs w:val="18"/>
                        </w:rPr>
                        <w:t>部</w:t>
                      </w:r>
                    </w:p>
                    <w:p>
                      <w:pPr>
                        <w:spacing w:line="288" w:lineRule="auto" w:before="51"/>
                        <w:ind w:left="0" w:right="0" w:firstLine="0"/>
                        <w:jc w:val="both"/>
                        <w:rPr>
                          <w:rFonts w:ascii="Times New Roman" w:hAnsi="Times New Roman" w:cs="Times New Roman" w:eastAsia="Times New Roman" w:hint="default"/>
                          <w:sz w:val="18"/>
                          <w:szCs w:val="18"/>
                        </w:rPr>
                      </w:pPr>
                      <w:r>
                        <w:rPr>
                          <w:rFonts w:ascii="宋体" w:hAnsi="宋体" w:cs="宋体" w:eastAsia="宋体" w:hint="default"/>
                          <w:spacing w:val="-1"/>
                          <w:w w:val="100"/>
                          <w:sz w:val="18"/>
                          <w:szCs w:val="18"/>
                        </w:rPr>
                        <w:t>控制自我评价报告》</w:t>
                      </w:r>
                      <w:r>
                        <w:rPr>
                          <w:rFonts w:ascii="Times New Roman" w:hAnsi="Times New Roman" w:cs="Times New Roman" w:eastAsia="Times New Roman" w:hint="default"/>
                          <w:w w:val="100"/>
                          <w:sz w:val="18"/>
                          <w:szCs w:val="18"/>
                        </w:rPr>
                        <w:t>7</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w w:val="100"/>
                          <w:sz w:val="18"/>
                          <w:szCs w:val="18"/>
                        </w:rPr>
                        <w:t>20</w:t>
                      </w:r>
                      <w:r>
                        <w:rPr>
                          <w:rFonts w:ascii="Times New Roman" w:hAnsi="Times New Roman" w:cs="Times New Roman" w:eastAsia="Times New Roman" w:hint="default"/>
                          <w:spacing w:val="-9"/>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年度募集资金</w:t>
                      </w:r>
                      <w:r>
                        <w:rPr>
                          <w:rFonts w:ascii="宋体" w:hAnsi="宋体" w:cs="宋体" w:eastAsia="宋体" w:hint="default"/>
                          <w:w w:val="100"/>
                          <w:sz w:val="18"/>
                          <w:szCs w:val="18"/>
                        </w:rPr>
                        <w:t>使</w:t>
                      </w:r>
                      <w:r>
                        <w:rPr>
                          <w:rFonts w:ascii="宋体" w:hAnsi="宋体" w:cs="宋体" w:eastAsia="宋体" w:hint="default"/>
                          <w:w w:val="100"/>
                          <w:sz w:val="18"/>
                          <w:szCs w:val="18"/>
                        </w:rPr>
                        <w:t> </w:t>
                      </w:r>
                      <w:r>
                        <w:rPr>
                          <w:rFonts w:ascii="宋体" w:hAnsi="宋体" w:cs="宋体" w:eastAsia="宋体" w:hint="default"/>
                          <w:spacing w:val="-1"/>
                          <w:w w:val="100"/>
                          <w:sz w:val="18"/>
                          <w:szCs w:val="18"/>
                        </w:rPr>
                        <w:t>用情况专项报告</w:t>
                      </w:r>
                      <w:r>
                        <w:rPr>
                          <w:rFonts w:ascii="宋体" w:hAnsi="宋体" w:cs="宋体" w:eastAsia="宋体" w:hint="default"/>
                          <w:spacing w:val="-25"/>
                          <w:w w:val="100"/>
                          <w:sz w:val="18"/>
                          <w:szCs w:val="18"/>
                        </w:rPr>
                        <w:t>》</w:t>
                      </w:r>
                      <w:r>
                        <w:rPr>
                          <w:rFonts w:ascii="Times New Roman" w:hAnsi="Times New Roman" w:cs="Times New Roman" w:eastAsia="Times New Roman" w:hint="default"/>
                          <w:w w:val="100"/>
                          <w:sz w:val="18"/>
                          <w:szCs w:val="18"/>
                        </w:rPr>
                        <w:t>8</w:t>
                      </w:r>
                      <w:r>
                        <w:rPr>
                          <w:rFonts w:ascii="宋体" w:hAnsi="宋体" w:cs="宋体" w:eastAsia="宋体" w:hint="default"/>
                          <w:spacing w:val="-116"/>
                          <w:w w:val="100"/>
                          <w:sz w:val="18"/>
                          <w:szCs w:val="18"/>
                        </w:rPr>
                        <w:t>、</w:t>
                      </w:r>
                      <w:r>
                        <w:rPr>
                          <w:rFonts w:ascii="宋体" w:hAnsi="宋体" w:cs="宋体" w:eastAsia="宋体" w:hint="default"/>
                          <w:spacing w:val="-1"/>
                          <w:w w:val="100"/>
                          <w:sz w:val="18"/>
                          <w:szCs w:val="18"/>
                        </w:rPr>
                        <w:t>《关于</w:t>
                      </w:r>
                      <w:r>
                        <w:rPr>
                          <w:rFonts w:ascii="宋体" w:hAnsi="宋体" w:cs="宋体" w:eastAsia="宋体" w:hint="default"/>
                          <w:spacing w:val="1"/>
                          <w:w w:val="100"/>
                          <w:sz w:val="18"/>
                          <w:szCs w:val="18"/>
                        </w:rPr>
                        <w:t>续</w:t>
                      </w:r>
                      <w:r>
                        <w:rPr>
                          <w:rFonts w:ascii="宋体" w:hAnsi="宋体" w:cs="宋体" w:eastAsia="宋体" w:hint="default"/>
                          <w:spacing w:val="-1"/>
                          <w:w w:val="100"/>
                          <w:sz w:val="18"/>
                          <w:szCs w:val="18"/>
                        </w:rPr>
                        <w:t>聘公</w:t>
                      </w:r>
                      <w:r>
                        <w:rPr>
                          <w:rFonts w:ascii="宋体" w:hAnsi="宋体" w:cs="宋体" w:eastAsia="宋体" w:hint="default"/>
                          <w:w w:val="100"/>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w w:val="100"/>
                          <w:sz w:val="18"/>
                          <w:szCs w:val="18"/>
                        </w:rPr>
                        <w:t>2</w:t>
                      </w:r>
                      <w:r>
                        <w:rPr>
                          <w:rFonts w:ascii="Times New Roman" w:hAnsi="Times New Roman" w:cs="Times New Roman" w:eastAsia="Times New Roman" w:hint="default"/>
                          <w:spacing w:val="-2"/>
                          <w:w w:val="100"/>
                          <w:sz w:val="18"/>
                          <w:szCs w:val="18"/>
                        </w:rPr>
                        <w:t>0</w:t>
                      </w:r>
                      <w:r>
                        <w:rPr>
                          <w:rFonts w:ascii="Times New Roman" w:hAnsi="Times New Roman" w:cs="Times New Roman" w:eastAsia="Times New Roman" w:hint="default"/>
                          <w:w w:val="100"/>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w:t>
                      </w:r>
                      <w:r>
                        <w:rPr>
                          <w:rFonts w:ascii="宋体" w:hAnsi="宋体" w:cs="宋体" w:eastAsia="宋体" w:hint="default"/>
                          <w:w w:val="100"/>
                          <w:sz w:val="18"/>
                          <w:szCs w:val="18"/>
                        </w:rPr>
                        <w:t>财</w:t>
                      </w:r>
                      <w:r>
                        <w:rPr>
                          <w:rFonts w:ascii="宋体" w:hAnsi="宋体" w:cs="宋体" w:eastAsia="宋体" w:hint="default"/>
                          <w:w w:val="100"/>
                          <w:sz w:val="18"/>
                          <w:szCs w:val="18"/>
                        </w:rPr>
                        <w:t> </w:t>
                      </w:r>
                      <w:r>
                        <w:rPr>
                          <w:rFonts w:ascii="宋体" w:hAnsi="宋体" w:cs="宋体" w:eastAsia="宋体" w:hint="default"/>
                          <w:spacing w:val="-1"/>
                          <w:w w:val="100"/>
                          <w:sz w:val="18"/>
                          <w:szCs w:val="18"/>
                        </w:rPr>
                        <w:t>务审计机构的议案》</w:t>
                      </w:r>
                      <w:r>
                        <w:rPr>
                          <w:rFonts w:ascii="Times New Roman" w:hAnsi="Times New Roman" w:cs="Times New Roman" w:eastAsia="Times New Roman" w:hint="default"/>
                          <w:w w:val="100"/>
                          <w:sz w:val="18"/>
                          <w:szCs w:val="18"/>
                        </w:rPr>
                        <w:t>9</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《关于修改</w:t>
                      </w:r>
                      <w:r>
                        <w:rPr>
                          <w:rFonts w:ascii="Times New Roman" w:hAnsi="Times New Roman" w:cs="Times New Roman" w:eastAsia="Times New Roman" w:hint="default"/>
                          <w:spacing w:val="-1"/>
                          <w:w w:val="100"/>
                          <w:sz w:val="18"/>
                          <w:szCs w:val="18"/>
                        </w:rPr>
                        <w:t>&lt;</w:t>
                      </w:r>
                      <w:r>
                        <w:rPr>
                          <w:rFonts w:ascii="宋体" w:hAnsi="宋体" w:cs="宋体" w:eastAsia="宋体" w:hint="default"/>
                          <w:spacing w:val="-1"/>
                          <w:w w:val="100"/>
                          <w:sz w:val="18"/>
                          <w:szCs w:val="18"/>
                        </w:rPr>
                        <w:t>公司章程</w:t>
                      </w:r>
                      <w:r>
                        <w:rPr>
                          <w:rFonts w:ascii="Times New Roman" w:hAnsi="Times New Roman" w:cs="Times New Roman" w:eastAsia="Times New Roman" w:hint="default"/>
                          <w:w w:val="100"/>
                          <w:sz w:val="18"/>
                          <w:szCs w:val="18"/>
                        </w:rPr>
                        <w:t>&gt;</w:t>
                      </w:r>
                    </w:p>
                    <w:p>
                      <w:pPr>
                        <w:spacing w:before="8"/>
                        <w:ind w:left="0" w:right="0" w:firstLine="0"/>
                        <w:jc w:val="both"/>
                        <w:rPr>
                          <w:rFonts w:ascii="宋体" w:hAnsi="宋体" w:cs="宋体" w:eastAsia="宋体" w:hint="default"/>
                          <w:sz w:val="18"/>
                          <w:szCs w:val="18"/>
                        </w:rPr>
                      </w:pPr>
                      <w:r>
                        <w:rPr>
                          <w:rFonts w:ascii="宋体" w:hAnsi="宋体" w:cs="宋体" w:eastAsia="宋体" w:hint="default"/>
                          <w:sz w:val="18"/>
                          <w:szCs w:val="18"/>
                        </w:rPr>
                        <w:t>的议案》</w:t>
                      </w:r>
                    </w:p>
                  </w:txbxContent>
                </v:textbox>
                <w10:wrap type="none"/>
              </v:shape>
              <v:shape style="position:absolute;left:5714;top:1881;width:1261;height:78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决权股份总数的</w:t>
                      </w:r>
                    </w:p>
                    <w:p>
                      <w:pPr>
                        <w:spacing w:before="64"/>
                        <w:ind w:left="0" w:right="0" w:firstLine="0"/>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100</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83"/>
                          <w:w w:val="100"/>
                          <w:sz w:val="18"/>
                          <w:szCs w:val="18"/>
                        </w:rPr>
                        <w:t>；</w:t>
                      </w:r>
                      <w:r>
                        <w:rPr>
                          <w:rFonts w:ascii="Times New Roman" w:hAnsi="Times New Roman" w:cs="Times New Roman" w:eastAsia="Times New Roman" w:hint="default"/>
                          <w:w w:val="100"/>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股反</w:t>
                      </w:r>
                      <w:r>
                        <w:rPr>
                          <w:rFonts w:ascii="宋体" w:hAnsi="宋体" w:cs="宋体" w:eastAsia="宋体" w:hint="default"/>
                          <w:w w:val="100"/>
                          <w:sz w:val="18"/>
                          <w:szCs w:val="18"/>
                        </w:rPr>
                        <w:t>对</w:t>
                      </w:r>
                    </w:p>
                    <w:p>
                      <w:pPr>
                        <w:spacing w:line="245" w:lineRule="exact" w:before="48"/>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股弃权。</w:t>
                      </w:r>
                    </w:p>
                  </w:txbxContent>
                </v:textbox>
                <w10:wrap type="none"/>
              </v:shape>
              <v:shape style="position:absolute;left:9542;top:2329;width:1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100"/>
                          <w:sz w:val="18"/>
                          <w:szCs w:val="18"/>
                        </w:rPr>
                        <w:t>、</w:t>
                      </w:r>
                    </w:p>
                  </w:txbxContent>
                </v:textbox>
                <w10:wrap type="none"/>
              </v:shape>
            </v:group>
          </v:group>
        </w:pict>
      </w:r>
      <w:r>
        <w:rPr>
          <w:rFonts w:ascii="宋体" w:hAnsi="宋体" w:cs="宋体" w:eastAsia="宋体" w:hint="default"/>
          <w:position w:val="-69"/>
          <w:sz w:val="20"/>
          <w:szCs w:val="20"/>
        </w:rPr>
      </w:r>
    </w:p>
    <w:p>
      <w:pPr>
        <w:spacing w:line="240" w:lineRule="auto" w:before="11"/>
        <w:rPr>
          <w:rFonts w:ascii="宋体" w:hAnsi="宋体" w:cs="宋体" w:eastAsia="宋体" w:hint="default"/>
          <w:sz w:val="18"/>
          <w:szCs w:val="18"/>
        </w:rPr>
      </w:pPr>
    </w:p>
    <w:p>
      <w:pPr>
        <w:pStyle w:val="BodyText"/>
        <w:spacing w:line="240" w:lineRule="auto" w:before="36"/>
        <w:ind w:right="0"/>
        <w:jc w:val="left"/>
      </w:pPr>
      <w:r>
        <w:rPr>
          <w:rFonts w:ascii="Times New Roman" w:hAnsi="Times New Roman" w:cs="Times New Roman" w:eastAsia="Times New Roman" w:hint="default"/>
          <w:b/>
          <w:bCs/>
        </w:rPr>
        <w:t>2</w:t>
      </w:r>
      <w:r>
        <w:rPr/>
        <w:t>、本报告期临时股东大会情况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44"/>
        <w:ind w:left="0" w:right="198" w:firstLine="0"/>
        <w:jc w:val="right"/>
        <w:rPr>
          <w:rFonts w:ascii="宋体" w:hAnsi="宋体" w:cs="宋体" w:eastAsia="宋体" w:hint="default"/>
          <w:sz w:val="18"/>
          <w:szCs w:val="18"/>
        </w:rPr>
      </w:pPr>
      <w:r>
        <w:rPr/>
        <w:pict>
          <v:group style="position:absolute;margin-left:254.878799pt;margin-top:-40.208221pt;width:199.1pt;height:82pt;mso-position-horizontal-relative:page;mso-position-vertical-relative:paragraph;z-index:2464" coordorigin="5098,-804" coordsize="3982,1640">
            <v:group style="position:absolute;left:5098;top:-445;width:2871;height:1280" coordorigin="5098,-445" coordsize="2871,1280">
              <v:shape style="position:absolute;left:5098;top:-445;width:2871;height:1280" coordorigin="5098,-445" coordsize="2871,1280" path="m5098,835l7968,835,7968,-445,5098,-445,5098,835xe" filled="true" fillcolor="#ffffff" stroked="false">
                <v:path arrowok="t"/>
                <v:fill type="solid"/>
              </v:shape>
            </v:group>
            <v:group style="position:absolute;left:8002;top:-804;width:1078;height:360" coordorigin="8002,-804" coordsize="1078,360">
              <v:shape style="position:absolute;left:8002;top:-804;width:1078;height:360" coordorigin="8002,-804" coordsize="1078,360" path="m8002,-444l9079,-444,9079,-804,8002,-804,8002,-444xe" filled="true" fillcolor="#ffffff" stroked="false">
                <v:path arrowok="t"/>
                <v:fill type="solid"/>
              </v:shape>
            </v:group>
            <w10:wrap type="none"/>
          </v:group>
        </w:pict>
      </w:r>
      <w:r>
        <w:rPr/>
        <w:pict>
          <v:shape style="position:absolute;margin-left:56.39904pt;margin-top:-143.168213pt;width:479.05pt;height:400.4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1080"/>
                    <w:gridCol w:w="1800"/>
                    <w:gridCol w:w="2880"/>
                    <w:gridCol w:w="1133"/>
                    <w:gridCol w:w="1594"/>
                  </w:tblGrid>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left="17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9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4"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r>
                          <w:rPr>
                            <w:rFonts w:ascii="宋体" w:hAnsi="宋体" w:cs="宋体" w:eastAsia="宋体" w:hint="default"/>
                            <w:w w:val="100"/>
                            <w:sz w:val="18"/>
                            <w:szCs w:val="18"/>
                          </w:rPr>
                          <w:t> </w:t>
                        </w:r>
                        <w:r>
                          <w:rPr>
                            <w:rFonts w:ascii="宋体" w:hAnsi="宋体" w:cs="宋体" w:eastAsia="宋体" w:hint="default"/>
                            <w:sz w:val="18"/>
                            <w:szCs w:val="18"/>
                          </w:rPr>
                          <w:t>次临时股东</w:t>
                        </w:r>
                        <w:r>
                          <w:rPr>
                            <w:rFonts w:ascii="宋体" w:hAnsi="宋体" w:cs="宋体" w:eastAsia="宋体" w:hint="default"/>
                            <w:w w:val="100"/>
                            <w:sz w:val="18"/>
                            <w:szCs w:val="18"/>
                          </w:rPr>
                          <w:t> </w:t>
                        </w:r>
                        <w:r>
                          <w:rPr>
                            <w:rFonts w:ascii="宋体" w:hAnsi="宋体" w:cs="宋体" w:eastAsia="宋体" w:hint="default"/>
                            <w:sz w:val="18"/>
                            <w:szCs w:val="18"/>
                          </w:rPr>
                          <w:t>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4"/>
                          <w:ind w:left="2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5"/>
                            <w:w w:val="100"/>
                            <w:sz w:val="18"/>
                            <w:szCs w:val="18"/>
                          </w:rPr>
                          <w:t>1</w:t>
                        </w:r>
                        <w:r>
                          <w:rPr>
                            <w:rFonts w:ascii="宋体" w:hAnsi="宋体" w:cs="宋体" w:eastAsia="宋体" w:hint="default"/>
                            <w:spacing w:val="-15"/>
                            <w:w w:val="100"/>
                            <w:sz w:val="18"/>
                            <w:szCs w:val="18"/>
                          </w:rPr>
                          <w:t>、《关于选举周海燕为</w:t>
                        </w:r>
                        <w:r>
                          <w:rPr>
                            <w:rFonts w:ascii="宋体" w:hAnsi="宋体" w:cs="宋体" w:eastAsia="宋体" w:hint="default"/>
                            <w:spacing w:val="-81"/>
                            <w:w w:val="100"/>
                            <w:sz w:val="18"/>
                            <w:szCs w:val="18"/>
                          </w:rPr>
                          <w:t> </w:t>
                        </w:r>
                        <w:r>
                          <w:rPr>
                            <w:rFonts w:ascii="宋体" w:hAnsi="宋体" w:cs="宋体" w:eastAsia="宋体" w:hint="default"/>
                            <w:spacing w:val="-81"/>
                            <w:w w:val="100"/>
                            <w:sz w:val="18"/>
                            <w:szCs w:val="18"/>
                          </w:rPr>
                        </w:r>
                        <w:r>
                          <w:rPr>
                            <w:rFonts w:ascii="宋体" w:hAnsi="宋体" w:cs="宋体" w:eastAsia="宋体" w:hint="default"/>
                            <w:sz w:val="18"/>
                            <w:szCs w:val="18"/>
                          </w:rPr>
                          <w:t>公司第一届董事会董</w:t>
                        </w:r>
                        <w:r>
                          <w:rPr>
                            <w:rFonts w:ascii="宋体" w:hAnsi="宋体" w:cs="宋体" w:eastAsia="宋体" w:hint="default"/>
                            <w:w w:val="100"/>
                            <w:sz w:val="18"/>
                            <w:szCs w:val="18"/>
                          </w:rPr>
                          <w:t> </w:t>
                        </w:r>
                        <w:r>
                          <w:rPr>
                            <w:rFonts w:ascii="宋体" w:hAnsi="宋体" w:cs="宋体" w:eastAsia="宋体" w:hint="default"/>
                            <w:spacing w:val="-15"/>
                            <w:w w:val="100"/>
                            <w:sz w:val="18"/>
                            <w:szCs w:val="18"/>
                          </w:rPr>
                          <w:t>事的议案》</w:t>
                        </w:r>
                        <w:r>
                          <w:rPr>
                            <w:rFonts w:ascii="Times New Roman" w:hAnsi="Times New Roman" w:cs="Times New Roman" w:eastAsia="Times New Roman" w:hint="default"/>
                            <w:spacing w:val="-15"/>
                            <w:w w:val="100"/>
                            <w:sz w:val="18"/>
                            <w:szCs w:val="18"/>
                          </w:rPr>
                          <w:t>2</w:t>
                        </w:r>
                        <w:r>
                          <w:rPr>
                            <w:rFonts w:ascii="宋体" w:hAnsi="宋体" w:cs="宋体" w:eastAsia="宋体" w:hint="default"/>
                            <w:spacing w:val="-15"/>
                            <w:w w:val="100"/>
                            <w:sz w:val="18"/>
                            <w:szCs w:val="18"/>
                          </w:rPr>
                          <w:t>、《关于选</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举吕忆农为公司第一</w:t>
                        </w:r>
                        <w:r>
                          <w:rPr>
                            <w:rFonts w:ascii="宋体" w:hAnsi="宋体" w:cs="宋体" w:eastAsia="宋体" w:hint="default"/>
                            <w:w w:val="100"/>
                            <w:sz w:val="18"/>
                            <w:szCs w:val="18"/>
                          </w:rPr>
                          <w:t> </w:t>
                        </w:r>
                        <w:r>
                          <w:rPr>
                            <w:rFonts w:ascii="宋体" w:hAnsi="宋体" w:cs="宋体" w:eastAsia="宋体" w:hint="default"/>
                            <w:sz w:val="18"/>
                            <w:szCs w:val="18"/>
                          </w:rPr>
                          <w:t>届董事会独立董事的</w:t>
                        </w:r>
                        <w:r>
                          <w:rPr>
                            <w:rFonts w:ascii="宋体" w:hAnsi="宋体" w:cs="宋体" w:eastAsia="宋体" w:hint="default"/>
                            <w:w w:val="100"/>
                            <w:sz w:val="18"/>
                            <w:szCs w:val="18"/>
                          </w:rPr>
                          <w:t> </w:t>
                        </w:r>
                        <w:r>
                          <w:rPr>
                            <w:rFonts w:ascii="宋体" w:hAnsi="宋体" w:cs="宋体" w:eastAsia="宋体" w:hint="default"/>
                            <w:spacing w:val="-10"/>
                            <w:w w:val="100"/>
                            <w:sz w:val="18"/>
                            <w:szCs w:val="18"/>
                          </w:rPr>
                          <w:t>议案》</w:t>
                        </w:r>
                        <w:r>
                          <w:rPr>
                            <w:rFonts w:ascii="Times New Roman" w:hAnsi="Times New Roman" w:cs="Times New Roman" w:eastAsia="Times New Roman" w:hint="default"/>
                            <w:spacing w:val="-10"/>
                            <w:w w:val="100"/>
                            <w:sz w:val="18"/>
                            <w:szCs w:val="18"/>
                          </w:rPr>
                          <w:t>3</w:t>
                        </w:r>
                        <w:r>
                          <w:rPr>
                            <w:rFonts w:ascii="宋体" w:hAnsi="宋体" w:cs="宋体" w:eastAsia="宋体" w:hint="default"/>
                            <w:spacing w:val="-10"/>
                            <w:w w:val="100"/>
                            <w:sz w:val="18"/>
                            <w:szCs w:val="18"/>
                          </w:rPr>
                          <w:t>、《关于修改</w:t>
                        </w:r>
                        <w:r>
                          <w:rPr>
                            <w:rFonts w:ascii="Times New Roman" w:hAnsi="Times New Roman" w:cs="Times New Roman" w:eastAsia="Times New Roman" w:hint="default"/>
                            <w:spacing w:val="-10"/>
                            <w:w w:val="100"/>
                            <w:sz w:val="18"/>
                            <w:szCs w:val="18"/>
                          </w:rPr>
                          <w:t>&lt;</w:t>
                        </w:r>
                        <w:r>
                          <w:rPr>
                            <w:rFonts w:ascii="Times New Roman" w:hAnsi="Times New Roman" w:cs="Times New Roman" w:eastAsia="Times New Roman" w:hint="default"/>
                            <w:spacing w:val="-36"/>
                            <w:w w:val="100"/>
                            <w:sz w:val="18"/>
                            <w:szCs w:val="18"/>
                          </w:rPr>
                          <w:t> </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4</w:t>
                        </w:r>
                      </w:p>
                      <w:p>
                        <w:pPr>
                          <w:pStyle w:val="TableParagraph"/>
                          <w:spacing w:line="316" w:lineRule="auto" w:before="8"/>
                          <w:ind w:left="24" w:right="50"/>
                          <w:jc w:val="left"/>
                          <w:rPr>
                            <w:rFonts w:ascii="宋体" w:hAnsi="宋体" w:cs="宋体" w:eastAsia="宋体" w:hint="default"/>
                            <w:sz w:val="18"/>
                            <w:szCs w:val="18"/>
                          </w:rPr>
                        </w:pPr>
                        <w:r>
                          <w:rPr>
                            <w:rFonts w:ascii="宋体" w:hAnsi="宋体" w:cs="宋体" w:eastAsia="宋体" w:hint="default"/>
                            <w:sz w:val="18"/>
                            <w:szCs w:val="18"/>
                          </w:rPr>
                          <w:t>《关于向银行申请不</w:t>
                        </w:r>
                        <w:r>
                          <w:rPr>
                            <w:rFonts w:ascii="宋体" w:hAnsi="宋体" w:cs="宋体" w:eastAsia="宋体" w:hint="default"/>
                            <w:w w:val="100"/>
                            <w:sz w:val="18"/>
                            <w:szCs w:val="18"/>
                          </w:rPr>
                          <w:t> </w:t>
                        </w:r>
                        <w:r>
                          <w:rPr>
                            <w:rFonts w:ascii="宋体" w:hAnsi="宋体" w:cs="宋体" w:eastAsia="宋体" w:hint="default"/>
                            <w:sz w:val="18"/>
                            <w:szCs w:val="18"/>
                          </w:rPr>
                          <w:t>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亿元授</w:t>
                        </w:r>
                        <w:r>
                          <w:rPr>
                            <w:rFonts w:ascii="宋体" w:hAnsi="宋体" w:cs="宋体" w:eastAsia="宋体" w:hint="default"/>
                            <w:w w:val="100"/>
                            <w:sz w:val="18"/>
                            <w:szCs w:val="18"/>
                          </w:rPr>
                          <w:t> </w:t>
                        </w:r>
                        <w:r>
                          <w:rPr>
                            <w:rFonts w:ascii="宋体" w:hAnsi="宋体" w:cs="宋体" w:eastAsia="宋体" w:hint="default"/>
                            <w:sz w:val="18"/>
                            <w:szCs w:val="18"/>
                          </w:rPr>
                          <w:t>信额度的议案》</w:t>
                        </w:r>
                      </w:p>
                    </w:tc>
                    <w:tc>
                      <w:tcPr>
                        <w:tcW w:w="288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07"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pacing w:val="-6"/>
                            <w:sz w:val="18"/>
                            <w:szCs w:val="18"/>
                          </w:rPr>
                          <w:t>万股同意，占与会有表决权股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w w:val="100"/>
                            <w:sz w:val="18"/>
                            <w:szCs w:val="18"/>
                          </w:rPr>
                          <w:t>份总数的</w:t>
                        </w:r>
                        <w:r>
                          <w:rPr>
                            <w:rFonts w:ascii="宋体" w:hAnsi="宋体" w:cs="宋体" w:eastAsia="宋体" w:hint="default"/>
                            <w:spacing w:val="-43"/>
                            <w:w w:val="100"/>
                            <w:sz w:val="18"/>
                            <w:szCs w:val="18"/>
                          </w:rPr>
                          <w:t> </w:t>
                        </w:r>
                        <w:r>
                          <w:rPr>
                            <w:rFonts w:ascii="Times New Roman" w:hAnsi="Times New Roman" w:cs="Times New Roman" w:eastAsia="Times New Roman" w:hint="default"/>
                            <w:spacing w:val="-15"/>
                            <w:w w:val="100"/>
                            <w:sz w:val="18"/>
                            <w:szCs w:val="18"/>
                          </w:rPr>
                          <w:t>100%</w:t>
                        </w:r>
                        <w:r>
                          <w:rPr>
                            <w:rFonts w:ascii="宋体" w:hAnsi="宋体" w:cs="宋体" w:eastAsia="宋体" w:hint="default"/>
                            <w:spacing w:val="-15"/>
                            <w:w w:val="100"/>
                            <w:sz w:val="18"/>
                            <w:szCs w:val="18"/>
                          </w:rPr>
                          <w:t>；</w:t>
                        </w:r>
                        <w:r>
                          <w:rPr>
                            <w:rFonts w:ascii="Times New Roman" w:hAnsi="Times New Roman" w:cs="Times New Roman" w:eastAsia="Times New Roman" w:hint="default"/>
                            <w:spacing w:val="-15"/>
                            <w:w w:val="100"/>
                            <w:sz w:val="18"/>
                            <w:szCs w:val="18"/>
                          </w:rPr>
                          <w:t>0</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18"/>
                            <w:w w:val="100"/>
                            <w:sz w:val="18"/>
                            <w:szCs w:val="18"/>
                          </w:rPr>
                          <w:t>股反对；</w:t>
                        </w:r>
                        <w:r>
                          <w:rPr>
                            <w:rFonts w:ascii="Times New Roman" w:hAnsi="Times New Roman" w:cs="Times New Roman" w:eastAsia="Times New Roman" w:hint="default"/>
                            <w:spacing w:val="-18"/>
                            <w:w w:val="100"/>
                            <w:sz w:val="18"/>
                            <w:szCs w:val="18"/>
                          </w:rPr>
                          <w:t>0</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10"/>
                            <w:w w:val="100"/>
                            <w:sz w:val="18"/>
                            <w:szCs w:val="18"/>
                          </w:rPr>
                          <w:t>股弃权。</w:t>
                        </w:r>
                        <w:r>
                          <w:rPr>
                            <w:rFonts w:ascii="宋体" w:hAnsi="宋体" w:cs="宋体" w:eastAsia="宋体" w:hint="default"/>
                            <w:w w:val="100"/>
                            <w:sz w:val="18"/>
                            <w:szCs w:val="18"/>
                          </w:rPr>
                        </w:r>
                      </w:p>
                      <w:p>
                        <w:pPr>
                          <w:pStyle w:val="TableParagraph"/>
                          <w:spacing w:line="240" w:lineRule="auto" w:before="14"/>
                          <w:ind w:left="-144"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7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21" w:right="26"/>
                          <w:jc w:val="left"/>
                          <w:rPr>
                            <w:rFonts w:ascii="宋体" w:hAnsi="宋体" w:cs="宋体" w:eastAsia="宋体" w:hint="default"/>
                            <w:sz w:val="18"/>
                            <w:szCs w:val="18"/>
                          </w:rPr>
                        </w:pPr>
                        <w:r>
                          <w:rPr>
                            <w:rFonts w:ascii="宋体" w:hAnsi="宋体" w:cs="宋体" w:eastAsia="宋体" w:hint="default"/>
                            <w:spacing w:val="-11"/>
                            <w:w w:val="100"/>
                            <w:sz w:val="18"/>
                            <w:szCs w:val="18"/>
                          </w:rPr>
                          <w:t>公告名称：《江苏双</w:t>
                        </w:r>
                        <w:r>
                          <w:rPr>
                            <w:rFonts w:ascii="宋体" w:hAnsi="宋体" w:cs="宋体" w:eastAsia="宋体" w:hint="default"/>
                            <w:w w:val="100"/>
                            <w:sz w:val="18"/>
                            <w:szCs w:val="18"/>
                          </w:rPr>
                          <w:t> </w:t>
                        </w:r>
                        <w:r>
                          <w:rPr>
                            <w:rFonts w:ascii="宋体" w:hAnsi="宋体" w:cs="宋体" w:eastAsia="宋体" w:hint="default"/>
                            <w:sz w:val="18"/>
                            <w:szCs w:val="18"/>
                          </w:rPr>
                          <w:t>星彩塑新材料股份</w:t>
                        </w:r>
                        <w:r>
                          <w:rPr>
                            <w:rFonts w:ascii="宋体" w:hAnsi="宋体" w:cs="宋体" w:eastAsia="宋体" w:hint="default"/>
                            <w:w w:val="100"/>
                            <w:sz w:val="18"/>
                            <w:szCs w:val="18"/>
                          </w:rPr>
                          <w:t> </w:t>
                        </w: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w:t>
                        </w:r>
                        <w:r>
                          <w:rPr>
                            <w:rFonts w:ascii="宋体" w:hAnsi="宋体" w:cs="宋体" w:eastAsia="宋体" w:hint="default"/>
                            <w:w w:val="100"/>
                            <w:sz w:val="18"/>
                            <w:szCs w:val="18"/>
                          </w:rPr>
                          <w:t> </w:t>
                        </w:r>
                        <w:r>
                          <w:rPr>
                            <w:rFonts w:ascii="宋体" w:hAnsi="宋体" w:cs="宋体" w:eastAsia="宋体" w:hint="default"/>
                            <w:sz w:val="18"/>
                            <w:szCs w:val="18"/>
                          </w:rPr>
                          <w:t>一次临时股东大会</w:t>
                        </w:r>
                        <w:r>
                          <w:rPr>
                            <w:rFonts w:ascii="宋体" w:hAnsi="宋体" w:cs="宋体" w:eastAsia="宋体" w:hint="default"/>
                            <w:w w:val="100"/>
                            <w:sz w:val="18"/>
                            <w:szCs w:val="18"/>
                          </w:rPr>
                          <w:t> </w:t>
                        </w:r>
                        <w:r>
                          <w:rPr>
                            <w:rFonts w:ascii="宋体" w:hAnsi="宋体" w:cs="宋体" w:eastAsia="宋体" w:hint="default"/>
                            <w:sz w:val="18"/>
                            <w:szCs w:val="18"/>
                          </w:rPr>
                          <w:t>决议公告</w:t>
                        </w:r>
                        <w:r>
                          <w:rPr>
                            <w:rFonts w:ascii="宋体" w:hAnsi="宋体" w:cs="宋体" w:eastAsia="宋体" w:hint="default"/>
                            <w:spacing w:val="-2"/>
                            <w:sz w:val="18"/>
                            <w:szCs w:val="18"/>
                          </w:rPr>
                          <w:t> </w:t>
                        </w:r>
                        <w:r>
                          <w:rPr>
                            <w:rFonts w:ascii="宋体" w:hAnsi="宋体" w:cs="宋体" w:eastAsia="宋体" w:hint="default"/>
                            <w:sz w:val="18"/>
                            <w:szCs w:val="18"/>
                          </w:rPr>
                          <w:t>》公告编</w:t>
                        </w:r>
                        <w:r>
                          <w:rPr>
                            <w:rFonts w:ascii="宋体" w:hAnsi="宋体" w:cs="宋体" w:eastAsia="宋体" w:hint="default"/>
                            <w:w w:val="10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2012-021.</w:t>
                        </w:r>
                        <w:r>
                          <w:rPr>
                            <w:rFonts w:ascii="宋体" w:hAnsi="宋体" w:cs="宋体" w:eastAsia="宋体" w:hint="default"/>
                            <w:sz w:val="18"/>
                            <w:szCs w:val="18"/>
                          </w:rPr>
                          <w:t>信息</w:t>
                        </w:r>
                        <w:r>
                          <w:rPr>
                            <w:rFonts w:ascii="宋体" w:hAnsi="宋体" w:cs="宋体" w:eastAsia="宋体" w:hint="default"/>
                            <w:w w:val="100"/>
                            <w:sz w:val="18"/>
                            <w:szCs w:val="18"/>
                          </w:rPr>
                          <w:t> </w:t>
                        </w:r>
                        <w:r>
                          <w:rPr>
                            <w:rFonts w:ascii="宋体" w:hAnsi="宋体" w:cs="宋体" w:eastAsia="宋体" w:hint="default"/>
                            <w:spacing w:val="-11"/>
                            <w:w w:val="100"/>
                            <w:sz w:val="18"/>
                            <w:szCs w:val="18"/>
                          </w:rPr>
                          <w:t>披露媒体：《证券时</w:t>
                        </w:r>
                        <w:r>
                          <w:rPr>
                            <w:rFonts w:ascii="宋体" w:hAnsi="宋体" w:cs="宋体" w:eastAsia="宋体" w:hint="default"/>
                            <w:w w:val="100"/>
                            <w:sz w:val="18"/>
                            <w:szCs w:val="18"/>
                          </w:rPr>
                          <w:t> </w:t>
                        </w:r>
                        <w:r>
                          <w:rPr>
                            <w:rFonts w:ascii="宋体" w:hAnsi="宋体" w:cs="宋体" w:eastAsia="宋体" w:hint="default"/>
                            <w:spacing w:val="-37"/>
                            <w:w w:val="100"/>
                            <w:sz w:val="18"/>
                            <w:szCs w:val="18"/>
                          </w:rPr>
                          <w:t>报》、《上海证券报》</w:t>
                        </w:r>
                        <w:r>
                          <w:rPr>
                            <w:rFonts w:ascii="宋体" w:hAnsi="宋体" w:cs="宋体" w:eastAsia="宋体" w:hint="default"/>
                            <w:spacing w:val="-90"/>
                            <w:w w:val="100"/>
                            <w:sz w:val="18"/>
                            <w:szCs w:val="18"/>
                          </w:rPr>
                          <w:t> </w:t>
                        </w:r>
                        <w:r>
                          <w:rPr>
                            <w:rFonts w:ascii="宋体" w:hAnsi="宋体" w:cs="宋体" w:eastAsia="宋体" w:hint="default"/>
                            <w:spacing w:val="-90"/>
                            <w:w w:val="100"/>
                            <w:sz w:val="18"/>
                            <w:szCs w:val="18"/>
                          </w:rPr>
                        </w:r>
                        <w:r>
                          <w:rPr>
                            <w:rFonts w:ascii="宋体" w:hAnsi="宋体" w:cs="宋体" w:eastAsia="宋体" w:hint="default"/>
                            <w:sz w:val="18"/>
                            <w:szCs w:val="18"/>
                          </w:rPr>
                          <w:t>巨潮资讯网。</w:t>
                        </w:r>
                      </w:p>
                    </w:tc>
                  </w:tr>
                  <w:tr>
                    <w:trPr>
                      <w:trHeight w:val="39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公告名称</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《江苏</w:t>
                        </w:r>
                        <w:r>
                          <w:rPr>
                            <w:rFonts w:ascii="宋体" w:hAnsi="宋体" w:cs="宋体" w:eastAsia="宋体" w:hint="default"/>
                            <w:w w:val="100"/>
                            <w:sz w:val="18"/>
                            <w:szCs w:val="18"/>
                          </w:rPr>
                          <w:t>双</w:t>
                        </w:r>
                      </w:p>
                    </w:tc>
                  </w:tr>
                  <w:tr>
                    <w:trPr>
                      <w:trHeight w:val="320"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1" w:right="0"/>
                          <w:jc w:val="left"/>
                          <w:rPr>
                            <w:rFonts w:ascii="宋体" w:hAnsi="宋体" w:cs="宋体" w:eastAsia="宋体" w:hint="default"/>
                            <w:sz w:val="18"/>
                            <w:szCs w:val="18"/>
                          </w:rPr>
                        </w:pPr>
                        <w:r>
                          <w:rPr>
                            <w:rFonts w:ascii="宋体" w:hAnsi="宋体" w:cs="宋体" w:eastAsia="宋体" w:hint="default"/>
                            <w:sz w:val="18"/>
                            <w:szCs w:val="18"/>
                          </w:rPr>
                          <w:t>星彩塑新材料股份</w:t>
                        </w:r>
                      </w:p>
                    </w:tc>
                  </w:tr>
                  <w:tr>
                    <w:trPr>
                      <w:trHeight w:val="325"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960"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w:t>
                        </w:r>
                        <w:r>
                          <w:rPr>
                            <w:rFonts w:ascii="宋体" w:hAnsi="宋体" w:cs="宋体" w:eastAsia="宋体" w:hint="default"/>
                            <w:w w:val="100"/>
                            <w:sz w:val="18"/>
                            <w:szCs w:val="18"/>
                          </w:rPr>
                          <w:t> </w:t>
                        </w:r>
                        <w:r>
                          <w:rPr>
                            <w:rFonts w:ascii="宋体" w:hAnsi="宋体" w:cs="宋体" w:eastAsia="宋体" w:hint="default"/>
                            <w:sz w:val="18"/>
                            <w:szCs w:val="18"/>
                          </w:rPr>
                          <w:t>次临时股东</w:t>
                        </w:r>
                        <w:r>
                          <w:rPr>
                            <w:rFonts w:ascii="宋体" w:hAnsi="宋体" w:cs="宋体" w:eastAsia="宋体" w:hint="default"/>
                            <w:w w:val="100"/>
                            <w:sz w:val="18"/>
                            <w:szCs w:val="18"/>
                          </w:rPr>
                          <w:t> </w:t>
                        </w:r>
                        <w:r>
                          <w:rPr>
                            <w:rFonts w:ascii="宋体" w:hAnsi="宋体" w:cs="宋体" w:eastAsia="宋体" w:hint="default"/>
                            <w:sz w:val="18"/>
                            <w:szCs w:val="18"/>
                          </w:rPr>
                          <w:t>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309" w:lineRule="auto" w:before="9"/>
                          <w:ind w:left="24"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300,028,500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股同意，占与会有表决</w:t>
                        </w:r>
                        <w:r>
                          <w:rPr>
                            <w:rFonts w:ascii="宋体" w:hAnsi="宋体" w:cs="宋体" w:eastAsia="宋体" w:hint="default"/>
                            <w:w w:val="100"/>
                            <w:sz w:val="18"/>
                            <w:szCs w:val="18"/>
                          </w:rPr>
                          <w:t> </w:t>
                        </w:r>
                        <w:r>
                          <w:rPr>
                            <w:rFonts w:ascii="宋体" w:hAnsi="宋体" w:cs="宋体" w:eastAsia="宋体" w:hint="default"/>
                            <w:sz w:val="18"/>
                            <w:szCs w:val="18"/>
                          </w:rPr>
                          <w:t>权股份总数的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股反对；</w:t>
                        </w:r>
                        <w:r>
                          <w:rPr>
                            <w:rFonts w:ascii="Times New Roman" w:hAnsi="Times New Roman" w:cs="Times New Roman" w:eastAsia="Times New Roman" w:hint="default"/>
                            <w:sz w:val="18"/>
                            <w:szCs w:val="18"/>
                          </w:rPr>
                          <w:t>0</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股弃权。</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26" w:lineRule="auto" w:before="9"/>
                          <w:ind w:left="21" w:right="103"/>
                          <w:jc w:val="both"/>
                          <w:rPr>
                            <w:rFonts w:ascii="宋体" w:hAnsi="宋体" w:cs="宋体" w:eastAsia="宋体" w:hint="default"/>
                            <w:sz w:val="18"/>
                            <w:szCs w:val="18"/>
                          </w:rPr>
                        </w:pPr>
                        <w:r>
                          <w:rPr>
                            <w:rFonts w:ascii="宋体" w:hAnsi="宋体" w:cs="宋体" w:eastAsia="宋体" w:hint="default"/>
                            <w:sz w:val="18"/>
                            <w:szCs w:val="18"/>
                          </w:rPr>
                          <w:t>二次临时股东大会</w:t>
                        </w:r>
                        <w:r>
                          <w:rPr>
                            <w:rFonts w:ascii="宋体" w:hAnsi="宋体" w:cs="宋体" w:eastAsia="宋体" w:hint="default"/>
                            <w:w w:val="100"/>
                            <w:sz w:val="18"/>
                            <w:szCs w:val="18"/>
                          </w:rPr>
                          <w:t> </w:t>
                        </w:r>
                        <w:r>
                          <w:rPr>
                            <w:rFonts w:ascii="宋体" w:hAnsi="宋体" w:cs="宋体" w:eastAsia="宋体" w:hint="default"/>
                            <w:sz w:val="18"/>
                            <w:szCs w:val="18"/>
                          </w:rPr>
                          <w:t>决议公告》公告编</w:t>
                        </w:r>
                        <w:r>
                          <w:rPr>
                            <w:rFonts w:ascii="宋体" w:hAnsi="宋体" w:cs="宋体" w:eastAsia="宋体" w:hint="default"/>
                            <w:w w:val="10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2012-030.</w:t>
                        </w:r>
                        <w:r>
                          <w:rPr>
                            <w:rFonts w:ascii="宋体" w:hAnsi="宋体" w:cs="宋体" w:eastAsia="宋体" w:hint="default"/>
                            <w:sz w:val="18"/>
                            <w:szCs w:val="18"/>
                          </w:rPr>
                          <w:t>信息</w:t>
                        </w:r>
                      </w:p>
                    </w:tc>
                  </w:tr>
                  <w:tr>
                    <w:trPr>
                      <w:trHeight w:val="314"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披露媒体</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《证券</w:t>
                        </w:r>
                        <w:r>
                          <w:rPr>
                            <w:rFonts w:ascii="宋体" w:hAnsi="宋体" w:cs="宋体" w:eastAsia="宋体" w:hint="default"/>
                            <w:w w:val="100"/>
                            <w:sz w:val="18"/>
                            <w:szCs w:val="18"/>
                          </w:rPr>
                          <w:t>时</w:t>
                        </w:r>
                      </w:p>
                    </w:tc>
                  </w:tr>
                  <w:tr>
                    <w:trPr>
                      <w:trHeight w:val="320"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报</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《上海证券报</w:t>
                        </w:r>
                        <w:r>
                          <w:rPr>
                            <w:rFonts w:ascii="宋体" w:hAnsi="宋体" w:cs="宋体" w:eastAsia="宋体" w:hint="default"/>
                            <w:spacing w:val="-90"/>
                            <w:w w:val="100"/>
                            <w:sz w:val="18"/>
                            <w:szCs w:val="18"/>
                          </w:rPr>
                          <w:t>》</w:t>
                        </w:r>
                        <w:r>
                          <w:rPr>
                            <w:rFonts w:ascii="宋体" w:hAnsi="宋体" w:cs="宋体" w:eastAsia="宋体" w:hint="default"/>
                            <w:w w:val="100"/>
                            <w:sz w:val="18"/>
                            <w:szCs w:val="18"/>
                          </w:rPr>
                        </w:r>
                      </w:p>
                    </w:tc>
                  </w:tr>
                  <w:tr>
                    <w:trPr>
                      <w:trHeight w:val="333"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107"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20" w:lineRule="exact"/>
                          <w:ind w:left="24"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w:t>
                        </w:r>
                        <w:r>
                          <w:rPr>
                            <w:rFonts w:ascii="宋体" w:hAnsi="宋体" w:cs="宋体" w:eastAsia="宋体" w:hint="default"/>
                            <w:w w:val="100"/>
                            <w:sz w:val="18"/>
                            <w:szCs w:val="18"/>
                          </w:rPr>
                          <w:t> </w:t>
                        </w:r>
                        <w:r>
                          <w:rPr>
                            <w:rFonts w:ascii="宋体" w:hAnsi="宋体" w:cs="宋体" w:eastAsia="宋体" w:hint="default"/>
                            <w:sz w:val="18"/>
                            <w:szCs w:val="18"/>
                          </w:rPr>
                          <w:t>次临时股东</w:t>
                        </w:r>
                        <w:r>
                          <w:rPr>
                            <w:rFonts w:ascii="宋体" w:hAnsi="宋体" w:cs="宋体" w:eastAsia="宋体" w:hint="default"/>
                            <w:w w:val="100"/>
                            <w:sz w:val="18"/>
                            <w:szCs w:val="18"/>
                          </w:rPr>
                          <w:t> </w:t>
                        </w:r>
                        <w:r>
                          <w:rPr>
                            <w:rFonts w:ascii="宋体" w:hAnsi="宋体" w:cs="宋体" w:eastAsia="宋体" w:hint="default"/>
                            <w:sz w:val="18"/>
                            <w:szCs w:val="18"/>
                          </w:rPr>
                          <w:t>大会</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87"/>
                          <w:ind w:left="24" w:right="19"/>
                          <w:jc w:val="left"/>
                          <w:rPr>
                            <w:rFonts w:ascii="宋体" w:hAnsi="宋体" w:cs="宋体" w:eastAsia="宋体" w:hint="default"/>
                            <w:sz w:val="18"/>
                            <w:szCs w:val="18"/>
                          </w:rPr>
                        </w:pPr>
                        <w:r>
                          <w:rPr>
                            <w:rFonts w:ascii="Times New Roman" w:hAnsi="Times New Roman" w:cs="Times New Roman" w:eastAsia="Times New Roman" w:hint="default"/>
                            <w:spacing w:val="-15"/>
                            <w:w w:val="100"/>
                            <w:sz w:val="18"/>
                            <w:szCs w:val="18"/>
                          </w:rPr>
                          <w:t>1</w:t>
                        </w:r>
                        <w:r>
                          <w:rPr>
                            <w:rFonts w:ascii="宋体" w:hAnsi="宋体" w:cs="宋体" w:eastAsia="宋体" w:hint="default"/>
                            <w:spacing w:val="-15"/>
                            <w:w w:val="100"/>
                            <w:sz w:val="18"/>
                            <w:szCs w:val="18"/>
                          </w:rPr>
                          <w:t>、《关于公司符合公开</w:t>
                        </w:r>
                        <w:r>
                          <w:rPr>
                            <w:rFonts w:ascii="宋体" w:hAnsi="宋体" w:cs="宋体" w:eastAsia="宋体" w:hint="default"/>
                            <w:spacing w:val="-81"/>
                            <w:w w:val="100"/>
                            <w:sz w:val="18"/>
                            <w:szCs w:val="18"/>
                          </w:rPr>
                          <w:t> </w:t>
                        </w:r>
                        <w:r>
                          <w:rPr>
                            <w:rFonts w:ascii="宋体" w:hAnsi="宋体" w:cs="宋体" w:eastAsia="宋体" w:hint="default"/>
                            <w:spacing w:val="-81"/>
                            <w:w w:val="100"/>
                            <w:sz w:val="18"/>
                            <w:szCs w:val="18"/>
                          </w:rPr>
                        </w:r>
                        <w:r>
                          <w:rPr>
                            <w:rFonts w:ascii="宋体" w:hAnsi="宋体" w:cs="宋体" w:eastAsia="宋体" w:hint="default"/>
                            <w:sz w:val="18"/>
                            <w:szCs w:val="18"/>
                          </w:rPr>
                          <w:t>发行可转换公司债券</w:t>
                        </w:r>
                        <w:r>
                          <w:rPr>
                            <w:rFonts w:ascii="宋体" w:hAnsi="宋体" w:cs="宋体" w:eastAsia="宋体" w:hint="default"/>
                            <w:w w:val="100"/>
                            <w:sz w:val="18"/>
                            <w:szCs w:val="18"/>
                          </w:rPr>
                          <w:t> </w:t>
                        </w:r>
                        <w:r>
                          <w:rPr>
                            <w:rFonts w:ascii="宋体" w:hAnsi="宋体" w:cs="宋体" w:eastAsia="宋体" w:hint="default"/>
                            <w:spacing w:val="-15"/>
                            <w:w w:val="100"/>
                            <w:sz w:val="18"/>
                            <w:szCs w:val="18"/>
                          </w:rPr>
                          <w:t>条件的议案》</w:t>
                        </w:r>
                        <w:r>
                          <w:rPr>
                            <w:rFonts w:ascii="Times New Roman" w:hAnsi="Times New Roman" w:cs="Times New Roman" w:eastAsia="Times New Roman" w:hint="default"/>
                            <w:spacing w:val="-15"/>
                            <w:w w:val="100"/>
                            <w:sz w:val="18"/>
                            <w:szCs w:val="18"/>
                          </w:rPr>
                          <w:t>2</w:t>
                        </w:r>
                        <w:r>
                          <w:rPr>
                            <w:rFonts w:ascii="宋体" w:hAnsi="宋体" w:cs="宋体" w:eastAsia="宋体" w:hint="default"/>
                            <w:spacing w:val="-15"/>
                            <w:w w:val="100"/>
                            <w:sz w:val="18"/>
                            <w:szCs w:val="18"/>
                          </w:rPr>
                          <w:t>、《关于</w:t>
                        </w:r>
                      </w:p>
                    </w:tc>
                    <w:tc>
                      <w:tcPr>
                        <w:tcW w:w="288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87"/>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、审议通过《关于公司符合公开发</w:t>
                        </w:r>
                        <w:r>
                          <w:rPr>
                            <w:rFonts w:ascii="宋体" w:hAnsi="宋体" w:cs="宋体" w:eastAsia="宋体" w:hint="default"/>
                            <w:w w:val="100"/>
                            <w:sz w:val="18"/>
                            <w:szCs w:val="18"/>
                          </w:rPr>
                          <w:t> </w:t>
                        </w:r>
                        <w:r>
                          <w:rPr>
                            <w:rFonts w:ascii="宋体" w:hAnsi="宋体" w:cs="宋体" w:eastAsia="宋体" w:hint="default"/>
                            <w:spacing w:val="-5"/>
                            <w:sz w:val="18"/>
                            <w:szCs w:val="18"/>
                          </w:rPr>
                          <w:t>行可转换公司债券条件的议案》表决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结果：</w:t>
                        </w:r>
                        <w:r>
                          <w:rPr>
                            <w:rFonts w:ascii="Times New Roman" w:hAnsi="Times New Roman" w:cs="Times New Roman" w:eastAsia="Times New Roman" w:hint="default"/>
                            <w:sz w:val="18"/>
                            <w:szCs w:val="18"/>
                          </w:rPr>
                          <w:t>300,029,700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股同意，占与会</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326" w:lineRule="auto" w:before="87"/>
                          <w:ind w:left="21" w:right="26"/>
                          <w:jc w:val="left"/>
                          <w:rPr>
                            <w:rFonts w:ascii="宋体" w:hAnsi="宋体" w:cs="宋体" w:eastAsia="宋体" w:hint="default"/>
                            <w:sz w:val="18"/>
                            <w:szCs w:val="18"/>
                          </w:rPr>
                        </w:pPr>
                        <w:r>
                          <w:rPr>
                            <w:rFonts w:ascii="宋体" w:hAnsi="宋体" w:cs="宋体" w:eastAsia="宋体" w:hint="default"/>
                            <w:spacing w:val="-11"/>
                            <w:w w:val="100"/>
                            <w:sz w:val="18"/>
                            <w:szCs w:val="18"/>
                          </w:rPr>
                          <w:t>公告名称：《江苏双</w:t>
                        </w:r>
                        <w:r>
                          <w:rPr>
                            <w:rFonts w:ascii="宋体" w:hAnsi="宋体" w:cs="宋体" w:eastAsia="宋体" w:hint="default"/>
                            <w:w w:val="100"/>
                            <w:sz w:val="18"/>
                            <w:szCs w:val="18"/>
                          </w:rPr>
                          <w:t> </w:t>
                        </w:r>
                        <w:r>
                          <w:rPr>
                            <w:rFonts w:ascii="宋体" w:hAnsi="宋体" w:cs="宋体" w:eastAsia="宋体" w:hint="default"/>
                            <w:sz w:val="18"/>
                            <w:szCs w:val="18"/>
                          </w:rPr>
                          <w:t>星彩塑新材料股份</w:t>
                        </w:r>
                        <w:r>
                          <w:rPr>
                            <w:rFonts w:ascii="宋体" w:hAnsi="宋体" w:cs="宋体" w:eastAsia="宋体" w:hint="default"/>
                            <w:w w:val="100"/>
                            <w:sz w:val="18"/>
                            <w:szCs w:val="18"/>
                          </w:rPr>
                          <w:t> </w:t>
                        </w:r>
                        <w:r>
                          <w:rPr>
                            <w:rFonts w:ascii="宋体" w:hAnsi="宋体" w:cs="宋体" w:eastAsia="宋体" w:hint="default"/>
                            <w:sz w:val="18"/>
                            <w:szCs w:val="18"/>
                          </w:rPr>
                          <w:t>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223"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181" w:lineRule="exact"/>
                          <w:ind w:right="119"/>
                          <w:jc w:val="center"/>
                          <w:rPr>
                            <w:rFonts w:ascii="宋体" w:hAnsi="宋体" w:cs="宋体" w:eastAsia="宋体" w:hint="default"/>
                            <w:sz w:val="18"/>
                            <w:szCs w:val="18"/>
                          </w:rPr>
                        </w:pPr>
                        <w:r>
                          <w:rPr>
                            <w:rFonts w:ascii="宋体" w:hAnsi="宋体" w:cs="宋体" w:eastAsia="宋体" w:hint="default"/>
                            <w:sz w:val="18"/>
                            <w:szCs w:val="18"/>
                          </w:rPr>
                          <w:t>公司公开发行可转换</w:t>
                        </w:r>
                      </w:p>
                    </w:tc>
                    <w:tc>
                      <w:tcPr>
                        <w:tcW w:w="2880"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有表决权股份总数的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99.871%</w:t>
                        </w:r>
                        <w:r>
                          <w:rPr>
                            <w:rFonts w:ascii="宋体" w:hAnsi="宋体" w:cs="宋体" w:eastAsia="宋体" w:hint="default"/>
                            <w:sz w:val="18"/>
                            <w:szCs w:val="18"/>
                          </w:rPr>
                          <w:t>；</w:t>
                        </w:r>
                      </w:p>
                    </w:tc>
                    <w:tc>
                      <w:tcPr>
                        <w:tcW w:w="1133"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181" w:lineRule="exact"/>
                          <w:ind w:left="21" w:right="0"/>
                          <w:jc w:val="left"/>
                          <w:rPr>
                            <w:rFonts w:ascii="宋体" w:hAnsi="宋体" w:cs="宋体" w:eastAsia="宋体" w:hint="default"/>
                            <w:sz w:val="18"/>
                            <w:szCs w:val="18"/>
                          </w:rPr>
                        </w:pPr>
                        <w:r>
                          <w:rPr>
                            <w:rFonts w:ascii="宋体" w:hAnsi="宋体" w:cs="宋体" w:eastAsia="宋体" w:hint="default"/>
                            <w:sz w:val="18"/>
                            <w:szCs w:val="18"/>
                          </w:rPr>
                          <w:t>三次临时股东大会</w:t>
                        </w:r>
                      </w:p>
                    </w:tc>
                  </w:tr>
                </w:tbl>
                <w:p>
                  <w:pPr/>
                </w:p>
              </w:txbxContent>
            </v:textbox>
            <w10:wrap type="none"/>
          </v:shape>
        </w:pict>
      </w:r>
      <w:r>
        <w:rPr>
          <w:rFonts w:ascii="宋体" w:hAnsi="宋体" w:cs="宋体" w:eastAsia="宋体" w:hint="default"/>
          <w:w w:val="100"/>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44"/>
        <w:ind w:left="0" w:right="198" w:firstLine="0"/>
        <w:jc w:val="right"/>
        <w:rPr>
          <w:rFonts w:ascii="宋体" w:hAnsi="宋体" w:cs="宋体" w:eastAsia="宋体" w:hint="default"/>
          <w:sz w:val="18"/>
          <w:szCs w:val="18"/>
        </w:rPr>
      </w:pPr>
      <w:r>
        <w:rPr>
          <w:rFonts w:ascii="宋体" w:hAnsi="宋体" w:cs="宋体" w:eastAsia="宋体" w:hint="default"/>
          <w:w w:val="100"/>
          <w:sz w:val="18"/>
          <w:szCs w:val="18"/>
        </w:rPr>
        <w:t>、</w:t>
      </w:r>
    </w:p>
    <w:p>
      <w:pPr>
        <w:spacing w:after="0"/>
        <w:jc w:val="right"/>
        <w:rPr>
          <w:rFonts w:ascii="宋体" w:hAnsi="宋体" w:cs="宋体" w:eastAsia="宋体" w:hint="default"/>
          <w:sz w:val="18"/>
          <w:szCs w:val="18"/>
        </w:rPr>
        <w:sectPr>
          <w:footerReference w:type="default" r:id="rId21"/>
          <w:pgSz w:w="11900" w:h="16840"/>
          <w:pgMar w:footer="982" w:header="746" w:top="1060" w:bottom="1180" w:left="980" w:right="940"/>
          <w:pgNumType w:start="50"/>
        </w:sectPr>
      </w:pPr>
    </w:p>
    <w:p>
      <w:pPr>
        <w:spacing w:line="240" w:lineRule="auto" w:before="0"/>
        <w:rPr>
          <w:rFonts w:ascii="Times New Roman" w:hAnsi="Times New Roman" w:cs="Times New Roman" w:eastAsia="Times New Roman" w:hint="default"/>
          <w:sz w:val="20"/>
          <w:szCs w:val="20"/>
        </w:rPr>
      </w:pPr>
      <w:r>
        <w:rPr/>
        <w:pict>
          <v:group style="position:absolute;margin-left:256.078796pt;margin-top:72.519218pt;width:199pt;height:626.050pt;mso-position-horizontal-relative:page;mso-position-vertical-relative:page;z-index:-686344" coordorigin="5122,1450" coordsize="3980,12521">
            <v:group style="position:absolute;left:5122;top:4330;width:2825;height:320" coordorigin="5122,4330" coordsize="2825,320">
              <v:shape style="position:absolute;left:5122;top:4330;width:2825;height:320" coordorigin="5122,4330" coordsize="2825,320" path="m5122,4650l7946,4650,7946,4330,5122,4330,5122,4650xe" filled="true" fillcolor="#ffffff" stroked="false">
                <v:path arrowok="t"/>
                <v:fill type="solid"/>
              </v:shape>
            </v:group>
            <v:group style="position:absolute;left:7978;top:1450;width:1124;height:12521" coordorigin="7978,1450" coordsize="1124,12521">
              <v:shape style="position:absolute;left:7978;top:1450;width:1124;height:12521" coordorigin="7978,1450" coordsize="1124,12521" path="m7978,13971l9101,13971,9101,1450,7978,1450,7978,1397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080"/>
        <w:gridCol w:w="1080"/>
        <w:gridCol w:w="1812"/>
        <w:gridCol w:w="2868"/>
        <w:gridCol w:w="1133"/>
        <w:gridCol w:w="1594"/>
      </w:tblGrid>
      <w:tr>
        <w:trPr>
          <w:trHeight w:val="361" w:hRule="exact"/>
        </w:trPr>
        <w:tc>
          <w:tcPr>
            <w:tcW w:w="108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812"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公司债券的议案》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868"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4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363,897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股反对，占与会有表决权股</w:t>
            </w:r>
          </w:p>
        </w:tc>
        <w:tc>
          <w:tcPr>
            <w:tcW w:w="1133"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决议公告》公告编</w:t>
            </w: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《关于公司公开发行</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0.121%</w:t>
            </w:r>
            <w:r>
              <w:rPr>
                <w:rFonts w:ascii="宋体" w:hAnsi="宋体" w:cs="宋体" w:eastAsia="宋体" w:hint="default"/>
                <w:sz w:val="18"/>
                <w:szCs w:val="18"/>
              </w:rPr>
              <w:t>；</w:t>
            </w:r>
            <w:r>
              <w:rPr>
                <w:rFonts w:ascii="Times New Roman" w:hAnsi="Times New Roman" w:cs="Times New Roman" w:eastAsia="Times New Roman" w:hint="default"/>
                <w:sz w:val="18"/>
                <w:szCs w:val="18"/>
              </w:rPr>
              <w:t>25,100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股弃权，</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2012-014.</w:t>
            </w:r>
            <w:r>
              <w:rPr>
                <w:rFonts w:ascii="宋体" w:hAnsi="宋体" w:cs="宋体" w:eastAsia="宋体" w:hint="default"/>
                <w:sz w:val="18"/>
                <w:szCs w:val="18"/>
              </w:rPr>
              <w:t>信息</w:t>
            </w: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可转换公司债券募集</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披露媒体</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《证券</w:t>
            </w:r>
            <w:r>
              <w:rPr>
                <w:rFonts w:ascii="宋体" w:hAnsi="宋体" w:cs="宋体" w:eastAsia="宋体" w:hint="default"/>
                <w:w w:val="100"/>
                <w:sz w:val="18"/>
                <w:szCs w:val="18"/>
              </w:rPr>
              <w:t>时</w:t>
            </w:r>
          </w:p>
        </w:tc>
      </w:tr>
      <w:tr>
        <w:trPr>
          <w:trHeight w:val="32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资金项目可行性报告</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0.008%  </w:t>
            </w:r>
            <w:r>
              <w:rPr>
                <w:rFonts w:ascii="宋体" w:hAnsi="宋体" w:cs="宋体" w:eastAsia="宋体" w:hint="default"/>
                <w:sz w:val="18"/>
                <w:szCs w:val="18"/>
              </w:rPr>
              <w:t>。</w:t>
            </w:r>
            <w:r>
              <w:rPr>
                <w:rFonts w:ascii="宋体" w:hAnsi="宋体" w:cs="宋体" w:eastAsia="宋体" w:hint="default"/>
                <w:spacing w:val="75"/>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、审议通过《关于公司</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报</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《证券日</w:t>
            </w:r>
            <w:r>
              <w:rPr>
                <w:rFonts w:ascii="宋体" w:hAnsi="宋体" w:cs="宋体" w:eastAsia="宋体" w:hint="default"/>
                <w:spacing w:val="1"/>
                <w:w w:val="100"/>
                <w:sz w:val="18"/>
                <w:szCs w:val="18"/>
              </w:rPr>
              <w:t>报</w:t>
            </w:r>
            <w:r>
              <w:rPr>
                <w:rFonts w:ascii="宋体" w:hAnsi="宋体" w:cs="宋体" w:eastAsia="宋体" w:hint="default"/>
                <w:spacing w:val="-92"/>
                <w:w w:val="100"/>
                <w:sz w:val="18"/>
                <w:szCs w:val="18"/>
              </w:rPr>
              <w:t>》</w:t>
            </w:r>
            <w:r>
              <w:rPr>
                <w:rFonts w:ascii="宋体" w:hAnsi="宋体" w:cs="宋体" w:eastAsia="宋体" w:hint="default"/>
                <w:w w:val="100"/>
                <w:sz w:val="18"/>
                <w:szCs w:val="18"/>
              </w:rPr>
              <w:t>、</w:t>
            </w: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1"/>
                <w:w w:val="100"/>
                <w:sz w:val="18"/>
                <w:szCs w:val="18"/>
              </w:rPr>
              <w:t>的议案</w:t>
            </w:r>
            <w:r>
              <w:rPr>
                <w:rFonts w:ascii="宋体" w:hAnsi="宋体" w:cs="宋体" w:eastAsia="宋体" w:hint="default"/>
                <w:spacing w:val="-30"/>
                <w:w w:val="100"/>
                <w:sz w:val="18"/>
                <w:szCs w:val="18"/>
              </w:rPr>
              <w:t>》</w:t>
            </w:r>
            <w:r>
              <w:rPr>
                <w:rFonts w:ascii="Times New Roman" w:hAnsi="Times New Roman" w:cs="Times New Roman" w:eastAsia="Times New Roman" w:hint="default"/>
                <w:w w:val="100"/>
                <w:sz w:val="18"/>
                <w:szCs w:val="18"/>
              </w:rPr>
              <w:t>4</w:t>
            </w:r>
            <w:r>
              <w:rPr>
                <w:rFonts w:ascii="宋体" w:hAnsi="宋体" w:cs="宋体" w:eastAsia="宋体" w:hint="default"/>
                <w:spacing w:val="-121"/>
                <w:w w:val="100"/>
                <w:sz w:val="18"/>
                <w:szCs w:val="18"/>
              </w:rPr>
              <w:t>、</w:t>
            </w:r>
            <w:r>
              <w:rPr>
                <w:rFonts w:ascii="宋体" w:hAnsi="宋体" w:cs="宋体" w:eastAsia="宋体" w:hint="default"/>
                <w:spacing w:val="-1"/>
                <w:w w:val="100"/>
                <w:sz w:val="18"/>
                <w:szCs w:val="18"/>
              </w:rPr>
              <w:t>《关于前</w:t>
            </w:r>
            <w:r>
              <w:rPr>
                <w:rFonts w:ascii="宋体" w:hAnsi="宋体" w:cs="宋体" w:eastAsia="宋体" w:hint="default"/>
                <w:w w:val="100"/>
                <w:sz w:val="18"/>
                <w:szCs w:val="18"/>
              </w:rPr>
              <w:t>次</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pacing w:val="-5"/>
                <w:sz w:val="18"/>
                <w:szCs w:val="18"/>
              </w:rPr>
              <w:t>公开发行可转换公司债券的议案》表</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《上海证券报</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w:t>
            </w:r>
            <w:r>
              <w:rPr>
                <w:rFonts w:ascii="宋体" w:hAnsi="宋体" w:cs="宋体" w:eastAsia="宋体" w:hint="default"/>
                <w:w w:val="100"/>
                <w:sz w:val="18"/>
                <w:szCs w:val="18"/>
              </w:rPr>
              <w:t>巨</w:t>
            </w: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募集资金使用情况报</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决结果：</w:t>
            </w:r>
            <w:r>
              <w:rPr>
                <w:rFonts w:ascii="Times New Roman" w:hAnsi="Times New Roman" w:cs="Times New Roman" w:eastAsia="Times New Roman" w:hint="default"/>
                <w:sz w:val="18"/>
                <w:szCs w:val="18"/>
              </w:rPr>
              <w:t>300,029,700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股同意，占与</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9"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1"/>
                <w:w w:val="100"/>
                <w:sz w:val="18"/>
                <w:szCs w:val="18"/>
              </w:rPr>
              <w:t>告的议案</w:t>
            </w:r>
            <w:r>
              <w:rPr>
                <w:rFonts w:ascii="宋体" w:hAnsi="宋体" w:cs="宋体" w:eastAsia="宋体" w:hint="default"/>
                <w:spacing w:val="-30"/>
                <w:w w:val="100"/>
                <w:sz w:val="18"/>
                <w:szCs w:val="18"/>
              </w:rPr>
              <w:t>》</w:t>
            </w:r>
            <w:r>
              <w:rPr>
                <w:rFonts w:ascii="Times New Roman" w:hAnsi="Times New Roman" w:cs="Times New Roman" w:eastAsia="Times New Roman" w:hint="default"/>
                <w:w w:val="100"/>
                <w:sz w:val="18"/>
                <w:szCs w:val="18"/>
              </w:rPr>
              <w:t>5</w:t>
            </w:r>
            <w:r>
              <w:rPr>
                <w:rFonts w:ascii="宋体" w:hAnsi="宋体" w:cs="宋体" w:eastAsia="宋体" w:hint="default"/>
                <w:spacing w:val="-121"/>
                <w:w w:val="100"/>
                <w:sz w:val="18"/>
                <w:szCs w:val="18"/>
              </w:rPr>
              <w:t>、</w:t>
            </w:r>
            <w:r>
              <w:rPr>
                <w:rFonts w:ascii="宋体" w:hAnsi="宋体" w:cs="宋体" w:eastAsia="宋体" w:hint="default"/>
                <w:spacing w:val="-1"/>
                <w:w w:val="100"/>
                <w:sz w:val="18"/>
                <w:szCs w:val="18"/>
              </w:rPr>
              <w:t>《关于</w:t>
            </w:r>
            <w:r>
              <w:rPr>
                <w:rFonts w:ascii="宋体" w:hAnsi="宋体" w:cs="宋体" w:eastAsia="宋体" w:hint="default"/>
                <w:w w:val="100"/>
                <w:sz w:val="18"/>
                <w:szCs w:val="18"/>
              </w:rPr>
              <w:t>授</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会有表决权股份总数的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99.871%</w:t>
            </w:r>
            <w:r>
              <w:rPr>
                <w:rFonts w:ascii="宋体" w:hAnsi="宋体" w:cs="宋体" w:eastAsia="宋体" w:hint="default"/>
                <w:sz w:val="18"/>
                <w:szCs w:val="18"/>
              </w:rPr>
              <w:t>；</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权董事会全权办理本</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378,197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股反对，占与会有表决权股</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次可转换公司债券发</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0.126%</w:t>
            </w:r>
            <w:r>
              <w:rPr>
                <w:rFonts w:ascii="宋体" w:hAnsi="宋体" w:cs="宋体" w:eastAsia="宋体" w:hint="default"/>
                <w:sz w:val="18"/>
                <w:szCs w:val="18"/>
              </w:rPr>
              <w:t>；</w:t>
            </w:r>
            <w:r>
              <w:rPr>
                <w:rFonts w:ascii="Times New Roman" w:hAnsi="Times New Roman" w:cs="Times New Roman" w:eastAsia="Times New Roman" w:hint="default"/>
                <w:sz w:val="18"/>
                <w:szCs w:val="18"/>
              </w:rPr>
              <w:t>10,800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股弃权，</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9"/>
              <w:ind w:left="24" w:right="-34"/>
              <w:jc w:val="left"/>
              <w:rPr>
                <w:rFonts w:ascii="宋体" w:hAnsi="宋体" w:cs="宋体" w:eastAsia="宋体" w:hint="default"/>
                <w:sz w:val="18"/>
                <w:szCs w:val="18"/>
              </w:rPr>
            </w:pPr>
            <w:r>
              <w:rPr>
                <w:rFonts w:ascii="宋体" w:hAnsi="宋体" w:cs="宋体" w:eastAsia="宋体" w:hint="default"/>
                <w:spacing w:val="-10"/>
                <w:sz w:val="18"/>
                <w:szCs w:val="18"/>
              </w:rPr>
              <w:t>行具体事宜的议案》</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r>
              <w:rPr>
                <w:rFonts w:ascii="宋体" w:hAnsi="宋体" w:cs="宋体" w:eastAsia="宋体" w:hint="default"/>
                <w:sz w:val="18"/>
                <w:szCs w:val="18"/>
              </w:rPr>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《关于公司未来三年</w:t>
            </w:r>
          </w:p>
        </w:tc>
        <w:tc>
          <w:tcPr>
            <w:tcW w:w="2868" w:type="dxa"/>
            <w:tcBorders>
              <w:top w:val="nil" w:sz="6" w:space="0" w:color="auto"/>
              <w:left w:val="single" w:sz="13" w:space="0" w:color="FFFFFF"/>
              <w:bottom w:val="nil" w:sz="6" w:space="0" w:color="auto"/>
              <w:right w:val="single" w:sz="4" w:space="0" w:color="000000"/>
            </w:tcBorders>
          </w:tcPr>
          <w:p>
            <w:pPr>
              <w:pStyle w:val="TableParagraph"/>
              <w:tabs>
                <w:tab w:pos="1096" w:val="left" w:leader="none"/>
              </w:tabs>
              <w:spacing w:line="240" w:lineRule="auto" w:before="9"/>
              <w:ind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0.003%</w:t>
            </w:r>
            <w:r>
              <w:rPr>
                <w:rFonts w:ascii="宋体" w:hAnsi="宋体" w:cs="宋体" w:eastAsia="宋体" w:hint="default"/>
                <w:spacing w:val="-1"/>
                <w:sz w:val="18"/>
                <w:szCs w:val="18"/>
              </w:rPr>
              <w:t>。</w:t>
              <w:tab/>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、审议通过《关于公</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4" w:right="-35"/>
              <w:jc w:val="left"/>
              <w:rPr>
                <w:rFonts w:ascii="宋体" w:hAnsi="宋体" w:cs="宋体" w:eastAsia="宋体" w:hint="default"/>
                <w:sz w:val="18"/>
                <w:szCs w:val="18"/>
              </w:rPr>
            </w:pPr>
            <w:r>
              <w:rPr>
                <w:rFonts w:ascii="宋体" w:hAnsi="宋体" w:cs="宋体" w:eastAsia="宋体" w:hint="default"/>
                <w:sz w:val="18"/>
                <w:szCs w:val="18"/>
              </w:rPr>
              <w:t>股东回报规划的议案》</w:t>
            </w: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司公开发行可转换公司债券募集资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金项目可行性报告的议案》表决结</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果：</w:t>
            </w:r>
            <w:r>
              <w:rPr>
                <w:rFonts w:ascii="Times New Roman" w:hAnsi="Times New Roman" w:cs="Times New Roman" w:eastAsia="Times New Roman" w:hint="default"/>
                <w:sz w:val="18"/>
                <w:szCs w:val="18"/>
              </w:rPr>
              <w:t>300,029,700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股同意，占与会有</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r>
              <w:rPr>
                <w:rFonts w:ascii="宋体" w:hAnsi="宋体" w:cs="宋体" w:eastAsia="宋体" w:hint="default"/>
                <w:spacing w:val="-1"/>
                <w:w w:val="100"/>
                <w:sz w:val="18"/>
                <w:szCs w:val="18"/>
              </w:rPr>
              <w:t>表决权股份总数</w:t>
            </w:r>
            <w:r>
              <w:rPr>
                <w:rFonts w:ascii="宋体" w:hAnsi="宋体" w:cs="宋体" w:eastAsia="宋体" w:hint="default"/>
                <w:w w:val="100"/>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w w:val="100"/>
                <w:sz w:val="18"/>
                <w:szCs w:val="18"/>
              </w:rPr>
              <w:t>99</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w w:val="100"/>
                <w:sz w:val="18"/>
                <w:szCs w:val="18"/>
              </w:rPr>
              <w:t>8</w:t>
            </w:r>
            <w:r>
              <w:rPr>
                <w:rFonts w:ascii="Times New Roman" w:hAnsi="Times New Roman" w:cs="Times New Roman" w:eastAsia="Times New Roman" w:hint="default"/>
                <w:spacing w:val="-2"/>
                <w:w w:val="100"/>
                <w:sz w:val="18"/>
                <w:szCs w:val="18"/>
              </w:rPr>
              <w:t>7</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73"/>
                <w:w w:val="100"/>
                <w:sz w:val="18"/>
                <w:szCs w:val="18"/>
              </w:rPr>
              <w:t>；</w:t>
            </w:r>
            <w:r>
              <w:rPr>
                <w:rFonts w:ascii="Times New Roman" w:hAnsi="Times New Roman" w:cs="Times New Roman" w:eastAsia="Times New Roman" w:hint="default"/>
                <w:w w:val="100"/>
                <w:sz w:val="18"/>
                <w:szCs w:val="18"/>
              </w:rPr>
              <w:t>3</w:t>
            </w:r>
            <w:r>
              <w:rPr>
                <w:rFonts w:ascii="Times New Roman" w:hAnsi="Times New Roman" w:cs="Times New Roman" w:eastAsia="Times New Roman" w:hint="default"/>
                <w:spacing w:val="-2"/>
                <w:w w:val="100"/>
                <w:sz w:val="18"/>
                <w:szCs w:val="18"/>
              </w:rPr>
              <w:t>5</w:t>
            </w:r>
            <w:r>
              <w:rPr>
                <w:rFonts w:ascii="Times New Roman" w:hAnsi="Times New Roman" w:cs="Times New Roman" w:eastAsia="Times New Roman" w:hint="default"/>
                <w:w w:val="100"/>
                <w:sz w:val="18"/>
                <w:szCs w:val="18"/>
              </w:rPr>
              <w:t>7,</w:t>
            </w:r>
            <w:r>
              <w:rPr>
                <w:rFonts w:ascii="Times New Roman" w:hAnsi="Times New Roman" w:cs="Times New Roman" w:eastAsia="Times New Roman" w:hint="default"/>
                <w:spacing w:val="-2"/>
                <w:w w:val="100"/>
                <w:sz w:val="18"/>
                <w:szCs w:val="18"/>
              </w:rPr>
              <w:t>7</w:t>
            </w:r>
            <w:r>
              <w:rPr>
                <w:rFonts w:ascii="Times New Roman" w:hAnsi="Times New Roman" w:cs="Times New Roman" w:eastAsia="Times New Roman" w:hint="default"/>
                <w:w w:val="100"/>
                <w:sz w:val="18"/>
                <w:szCs w:val="18"/>
              </w:rPr>
              <w:t>97</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pacing w:val="-5"/>
                <w:sz w:val="18"/>
                <w:szCs w:val="18"/>
              </w:rPr>
              <w:t>股反对，占与会有表决权股份总数的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0.119%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31,200</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股弃权，占与会有表</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tabs>
                <w:tab w:pos="2311" w:val="left" w:leader="none"/>
              </w:tabs>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决权股份总数的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0.01%</w:t>
            </w:r>
            <w:r>
              <w:rPr>
                <w:rFonts w:ascii="宋体" w:hAnsi="宋体" w:cs="宋体" w:eastAsia="宋体" w:hint="default"/>
                <w:sz w:val="18"/>
                <w:szCs w:val="18"/>
              </w:rPr>
              <w:t>。</w:t>
              <w:tab/>
            </w:r>
            <w:r>
              <w:rPr>
                <w:rFonts w:ascii="Times New Roman" w:hAnsi="Times New Roman" w:cs="Times New Roman" w:eastAsia="Times New Roman" w:hint="default"/>
                <w:sz w:val="18"/>
                <w:szCs w:val="18"/>
              </w:rPr>
              <w:t>4</w:t>
            </w:r>
            <w:r>
              <w:rPr>
                <w:rFonts w:ascii="宋体" w:hAnsi="宋体" w:cs="宋体" w:eastAsia="宋体" w:hint="default"/>
                <w:sz w:val="18"/>
                <w:szCs w:val="18"/>
              </w:rPr>
              <w:t>、审</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pacing w:val="-5"/>
                <w:sz w:val="18"/>
                <w:szCs w:val="18"/>
              </w:rPr>
              <w:t>议通过《关于前次募集资金使用情况</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报告的议案》表决结果：</w:t>
            </w:r>
            <w:r>
              <w:rPr>
                <w:rFonts w:ascii="Times New Roman" w:hAnsi="Times New Roman" w:cs="Times New Roman" w:eastAsia="Times New Roman" w:hint="default"/>
                <w:spacing w:val="-4"/>
                <w:sz w:val="18"/>
                <w:szCs w:val="18"/>
              </w:rPr>
              <w:t>300,029,700</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pacing w:val="-5"/>
                <w:sz w:val="18"/>
                <w:szCs w:val="18"/>
              </w:rPr>
              <w:t>股同意，占与会有表决权股份总数的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99.871%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357,797</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股反对，占与会有</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表决权股份总数的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0.119%</w:t>
            </w:r>
            <w:r>
              <w:rPr>
                <w:rFonts w:ascii="宋体" w:hAnsi="宋体" w:cs="宋体" w:eastAsia="宋体" w:hint="default"/>
                <w:sz w:val="18"/>
                <w:szCs w:val="18"/>
              </w:rPr>
              <w:t>；</w:t>
            </w:r>
            <w:r>
              <w:rPr>
                <w:rFonts w:ascii="Times New Roman" w:hAnsi="Times New Roman" w:cs="Times New Roman" w:eastAsia="Times New Roman" w:hint="default"/>
                <w:sz w:val="18"/>
                <w:szCs w:val="18"/>
              </w:rPr>
              <w:t>31,200</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pacing w:val="-5"/>
                <w:sz w:val="18"/>
                <w:szCs w:val="18"/>
              </w:rPr>
              <w:t>股弃权，占与会有表决权股份总数的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tabs>
                <w:tab w:pos="916" w:val="left" w:leader="none"/>
              </w:tabs>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0.01%</w:t>
            </w:r>
            <w:r>
              <w:rPr>
                <w:rFonts w:ascii="宋体" w:hAnsi="宋体" w:cs="宋体" w:eastAsia="宋体" w:hint="default"/>
                <w:spacing w:val="-1"/>
                <w:sz w:val="18"/>
                <w:szCs w:val="18"/>
              </w:rPr>
              <w:t>。</w:t>
              <w:tab/>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、审议通过《关于授权</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董事会全权办理本次可转换公司债</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5"/>
              <w:ind w:right="-35"/>
              <w:jc w:val="left"/>
              <w:rPr>
                <w:rFonts w:ascii="宋体" w:hAnsi="宋体" w:cs="宋体" w:eastAsia="宋体" w:hint="default"/>
                <w:sz w:val="18"/>
                <w:szCs w:val="18"/>
              </w:rPr>
            </w:pPr>
            <w:r>
              <w:rPr>
                <w:rFonts w:ascii="宋体" w:hAnsi="宋体" w:cs="宋体" w:eastAsia="宋体" w:hint="default"/>
                <w:sz w:val="18"/>
                <w:szCs w:val="18"/>
              </w:rPr>
              <w:t>券发行具体事宜的议案》表决结果：</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300,029,700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股同意，占与会有表决</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权股份总数的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99.871%</w:t>
            </w:r>
            <w:r>
              <w:rPr>
                <w:rFonts w:ascii="宋体" w:hAnsi="宋体" w:cs="宋体" w:eastAsia="宋体" w:hint="default"/>
                <w:sz w:val="18"/>
                <w:szCs w:val="18"/>
              </w:rPr>
              <w:t>；</w:t>
            </w:r>
            <w:r>
              <w:rPr>
                <w:rFonts w:ascii="Times New Roman" w:hAnsi="Times New Roman" w:cs="Times New Roman" w:eastAsia="Times New Roman" w:hint="default"/>
                <w:sz w:val="18"/>
                <w:szCs w:val="18"/>
              </w:rPr>
              <w:t>357,797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反对，占与会有表决权股份总数的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0.119%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31,200</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股弃权，占与会有表</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tabs>
                <w:tab w:pos="2207" w:val="left" w:leader="none"/>
              </w:tabs>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决权股份总数的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0.01%</w:t>
            </w:r>
            <w:r>
              <w:rPr>
                <w:rFonts w:ascii="宋体" w:hAnsi="宋体" w:cs="宋体" w:eastAsia="宋体" w:hint="default"/>
                <w:sz w:val="18"/>
                <w:szCs w:val="18"/>
              </w:rPr>
              <w:t>。</w:t>
              <w:tab/>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、审议</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pacing w:val="-5"/>
                <w:sz w:val="18"/>
                <w:szCs w:val="18"/>
              </w:rPr>
              <w:t>通过《关于公司未来三年股东回报规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4"/>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划的议案》表决结果：</w:t>
            </w:r>
            <w:r>
              <w:rPr>
                <w:rFonts w:ascii="Times New Roman" w:hAnsi="Times New Roman" w:cs="Times New Roman" w:eastAsia="Times New Roman" w:hint="default"/>
                <w:sz w:val="18"/>
                <w:szCs w:val="18"/>
              </w:rPr>
              <w:t>300,029,700</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pacing w:val="-5"/>
                <w:sz w:val="18"/>
                <w:szCs w:val="18"/>
              </w:rPr>
              <w:t>股同意，占与会有表决权股份总数的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99.871%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357,797</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股反对，占与会有</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表决权股份总数的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0.119%</w:t>
            </w:r>
            <w:r>
              <w:rPr>
                <w:rFonts w:ascii="宋体" w:hAnsi="宋体" w:cs="宋体" w:eastAsia="宋体" w:hint="default"/>
                <w:sz w:val="18"/>
                <w:szCs w:val="18"/>
              </w:rPr>
              <w:t>；</w:t>
            </w:r>
            <w:r>
              <w:rPr>
                <w:rFonts w:ascii="Times New Roman" w:hAnsi="Times New Roman" w:cs="Times New Roman" w:eastAsia="Times New Roman" w:hint="default"/>
                <w:sz w:val="18"/>
                <w:szCs w:val="18"/>
              </w:rPr>
              <w:t>31,200</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13" w:space="0" w:color="FFFFFF"/>
            </w:tcBorders>
          </w:tcPr>
          <w:p>
            <w:pPr/>
          </w:p>
        </w:tc>
        <w:tc>
          <w:tcPr>
            <w:tcW w:w="286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pacing w:val="-5"/>
                <w:sz w:val="18"/>
                <w:szCs w:val="18"/>
              </w:rPr>
              <w:t>股弃权，占与会有表决权股份总数的</w:t>
            </w:r>
          </w:p>
        </w:tc>
        <w:tc>
          <w:tcPr>
            <w:tcW w:w="1133"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33" w:hRule="exact"/>
        </w:trPr>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13" w:space="0" w:color="FFFFFF"/>
            </w:tcBorders>
          </w:tcPr>
          <w:p>
            <w:pPr/>
          </w:p>
        </w:tc>
        <w:tc>
          <w:tcPr>
            <w:tcW w:w="2868"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宋体" w:hAnsi="宋体" w:cs="宋体" w:eastAsia="宋体" w:hint="default"/>
                <w:sz w:val="18"/>
                <w:szCs w:val="18"/>
              </w:rPr>
              <w:t>。</w:t>
            </w:r>
          </w:p>
        </w:tc>
        <w:tc>
          <w:tcPr>
            <w:tcW w:w="1133"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6" w:footer="982" w:top="1060" w:bottom="118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45"/>
        <w:jc w:val="left"/>
      </w:pPr>
      <w:r>
        <w:rPr/>
        <w:t>三、报告期内独立董事履行职责的情况</w:t>
      </w:r>
    </w:p>
    <w:p>
      <w:pPr>
        <w:spacing w:line="240" w:lineRule="auto" w:before="12"/>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、独立董事出席董事会及股东大会的情况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397"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9"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5"/>
              <w:ind w:left="206" w:right="23" w:hanging="180"/>
              <w:jc w:val="left"/>
              <w:rPr>
                <w:rFonts w:ascii="宋体" w:hAnsi="宋体" w:cs="宋体" w:eastAsia="宋体" w:hint="default"/>
                <w:sz w:val="18"/>
                <w:szCs w:val="18"/>
              </w:rPr>
            </w:pPr>
            <w:r>
              <w:rPr>
                <w:rFonts w:ascii="宋体" w:hAnsi="宋体" w:cs="宋体" w:eastAsia="宋体" w:hint="default"/>
                <w:sz w:val="18"/>
                <w:szCs w:val="18"/>
              </w:rPr>
              <w:t>本报告期应参加</w:t>
            </w:r>
            <w:r>
              <w:rPr>
                <w:rFonts w:ascii="宋体" w:hAnsi="宋体" w:cs="宋体" w:eastAsia="宋体" w:hint="default"/>
                <w:w w:val="100"/>
                <w:sz w:val="18"/>
                <w:szCs w:val="18"/>
              </w:rPr>
              <w:t> </w:t>
            </w:r>
            <w:r>
              <w:rPr>
                <w:rFonts w:ascii="宋体" w:hAnsi="宋体" w:cs="宋体" w:eastAsia="宋体" w:hint="default"/>
                <w:sz w:val="18"/>
                <w:szCs w:val="18"/>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5"/>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w:t>
            </w:r>
            <w:r>
              <w:rPr>
                <w:rFonts w:ascii="宋体" w:hAnsi="宋体" w:cs="宋体" w:eastAsia="宋体" w:hint="default"/>
                <w:w w:val="100"/>
                <w:sz w:val="18"/>
                <w:szCs w:val="18"/>
              </w:rPr>
              <w:t> </w:t>
            </w:r>
            <w:r>
              <w:rPr>
                <w:rFonts w:ascii="宋体" w:hAnsi="宋体" w:cs="宋体" w:eastAsia="宋体" w:hint="default"/>
                <w:sz w:val="18"/>
                <w:szCs w:val="18"/>
              </w:rPr>
              <w:t>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5"/>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w:t>
            </w:r>
            <w:r>
              <w:rPr>
                <w:rFonts w:ascii="宋体" w:hAnsi="宋体" w:cs="宋体" w:eastAsia="宋体" w:hint="default"/>
                <w:w w:val="100"/>
                <w:sz w:val="18"/>
                <w:szCs w:val="18"/>
              </w:rPr>
              <w:t> </w:t>
            </w:r>
            <w:r>
              <w:rPr>
                <w:rFonts w:ascii="宋体" w:hAnsi="宋体" w:cs="宋体" w:eastAsia="宋体" w:hint="default"/>
                <w:sz w:val="18"/>
                <w:szCs w:val="18"/>
              </w:rPr>
              <w:t>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4</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2</w:t>
      </w:r>
      <w:r>
        <w:rPr/>
        <w:t>、独立董事对公司有关事项提出异议的情况</w:t>
      </w:r>
    </w:p>
    <w:p>
      <w:pPr>
        <w:spacing w:line="240" w:lineRule="auto" w:before="2"/>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7"/>
        <w:ind w:left="152" w:right="5247"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w w:val="100"/>
          <w:sz w:val="18"/>
          <w:szCs w:val="18"/>
        </w:rPr>
        <w:t> </w:t>
      </w:r>
      <w:r>
        <w:rPr>
          <w:rFonts w:ascii="宋体" w:hAnsi="宋体" w:cs="宋体" w:eastAsia="宋体" w:hint="default"/>
          <w:spacing w:val="-1"/>
          <w:sz w:val="18"/>
          <w:szCs w:val="18"/>
        </w:rPr>
        <w:t>报告期内独立董事对公司有关事项未提出异议。</w:t>
      </w:r>
    </w:p>
    <w:p>
      <w:pPr>
        <w:spacing w:line="240" w:lineRule="auto" w:before="2"/>
        <w:rPr>
          <w:rFonts w:ascii="宋体" w:hAnsi="宋体" w:cs="宋体" w:eastAsia="宋体" w:hint="default"/>
          <w:sz w:val="20"/>
          <w:szCs w:val="20"/>
        </w:rPr>
      </w:pPr>
    </w:p>
    <w:p>
      <w:pPr>
        <w:pStyle w:val="BodyText"/>
        <w:spacing w:line="240" w:lineRule="auto"/>
        <w:ind w:right="145"/>
        <w:jc w:val="left"/>
      </w:pPr>
      <w:r>
        <w:rPr>
          <w:rFonts w:ascii="Times New Roman" w:hAnsi="Times New Roman" w:cs="Times New Roman" w:eastAsia="Times New Roman" w:hint="default"/>
          <w:b/>
          <w:bCs/>
        </w:rPr>
        <w:t>3</w:t>
      </w:r>
      <w:r>
        <w:rPr/>
        <w:t>、独立董事履行职责的其他说明</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52" w:right="5690"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w w:val="100"/>
          <w:sz w:val="18"/>
          <w:szCs w:val="18"/>
        </w:rPr>
        <w:t> </w:t>
      </w:r>
      <w:r>
        <w:rPr>
          <w:rFonts w:ascii="宋体" w:hAnsi="宋体" w:cs="宋体" w:eastAsia="宋体" w:hint="default"/>
          <w:spacing w:val="-1"/>
          <w:sz w:val="18"/>
          <w:szCs w:val="18"/>
        </w:rPr>
        <w:t>独立董事对公司有关建议被采纳或未被采纳的说明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无</w:t>
      </w:r>
    </w:p>
    <w:p>
      <w:pPr>
        <w:spacing w:line="240" w:lineRule="auto" w:before="7"/>
        <w:rPr>
          <w:rFonts w:ascii="宋体" w:hAnsi="宋体" w:cs="宋体" w:eastAsia="宋体" w:hint="default"/>
          <w:sz w:val="18"/>
          <w:szCs w:val="18"/>
        </w:rPr>
      </w:pPr>
    </w:p>
    <w:p>
      <w:pPr>
        <w:pStyle w:val="Heading2"/>
        <w:spacing w:line="240" w:lineRule="auto"/>
        <w:ind w:right="145"/>
        <w:jc w:val="left"/>
      </w:pPr>
      <w:r>
        <w:rPr/>
        <w:t>四、董事会下设专门委员会在报告期内履行职责情况</w:t>
      </w:r>
    </w:p>
    <w:p>
      <w:pPr>
        <w:pStyle w:val="BodyText"/>
        <w:spacing w:line="450" w:lineRule="atLeast" w:before="166"/>
        <w:ind w:left="572" w:right="145"/>
        <w:jc w:val="left"/>
      </w:pPr>
      <w:r>
        <w:rPr>
          <w:rFonts w:ascii="Times New Roman" w:hAnsi="Times New Roman" w:cs="Times New Roman" w:eastAsia="Times New Roman" w:hint="default"/>
        </w:rPr>
        <w:t>1</w:t>
      </w:r>
      <w:r>
        <w:rPr/>
        <w:t>、董事会审计委员会的履职情况</w:t>
      </w:r>
      <w:r>
        <w:rPr>
          <w:w w:val="100"/>
        </w:rPr>
        <w:t> </w:t>
      </w:r>
      <w:r>
        <w:rPr>
          <w:spacing w:val="-3"/>
        </w:rPr>
        <w:t>报告期内，审计委员会根据《董事会审计委员会实施细则》赋予的职责和权限，认真履行职责，切实</w:t>
      </w:r>
    </w:p>
    <w:p>
      <w:pPr>
        <w:pStyle w:val="BodyText"/>
        <w:spacing w:line="240" w:lineRule="auto" w:before="37"/>
        <w:ind w:right="145"/>
        <w:jc w:val="left"/>
      </w:pPr>
      <w:r>
        <w:rPr/>
        <w:t>发挥了审计委员会的专业职能。</w:t>
      </w:r>
    </w:p>
    <w:p>
      <w:pPr>
        <w:spacing w:line="240" w:lineRule="auto" w:before="10"/>
        <w:rPr>
          <w:rFonts w:ascii="宋体" w:hAnsi="宋体" w:cs="宋体" w:eastAsia="宋体" w:hint="default"/>
          <w:sz w:val="14"/>
          <w:szCs w:val="14"/>
        </w:rPr>
      </w:pPr>
    </w:p>
    <w:p>
      <w:pPr>
        <w:pStyle w:val="BodyText"/>
        <w:spacing w:line="273" w:lineRule="auto"/>
        <w:ind w:right="145" w:firstLine="420"/>
        <w:jc w:val="left"/>
      </w:pPr>
      <w:r>
        <w:rPr>
          <w:spacing w:val="-3"/>
        </w:rPr>
        <w:t>日常工作：审议公司审计部提交的审计计划和工作报告、审核公司的财务信息及其披露、监督公司的</w:t>
      </w:r>
      <w:r>
        <w:rPr>
          <w:w w:val="100"/>
        </w:rPr>
        <w:t> </w:t>
      </w:r>
      <w:r>
        <w:rPr/>
        <w:t>内部审计制度及实施、负责内部审计与外部审计沟通。</w:t>
      </w:r>
    </w:p>
    <w:p>
      <w:pPr>
        <w:pStyle w:val="BodyText"/>
        <w:spacing w:line="240" w:lineRule="auto" w:before="163"/>
        <w:ind w:left="572" w:right="145"/>
        <w:jc w:val="left"/>
      </w:pPr>
      <w:r>
        <w:rPr>
          <w:rFonts w:ascii="Times New Roman" w:hAnsi="Times New Roman" w:cs="Times New Roman" w:eastAsia="Times New Roman" w:hint="default"/>
          <w:spacing w:val="-3"/>
        </w:rPr>
        <w:t>2012</w:t>
      </w:r>
      <w:r>
        <w:rPr>
          <w:spacing w:val="-3"/>
        </w:rPr>
        <w:t>年年报审计工作：在与</w:t>
      </w:r>
      <w:r>
        <w:rPr>
          <w:rFonts w:ascii="Times New Roman" w:hAnsi="Times New Roman" w:cs="Times New Roman" w:eastAsia="Times New Roman" w:hint="default"/>
          <w:spacing w:val="-3"/>
        </w:rPr>
        <w:t>2012</w:t>
      </w:r>
      <w:r>
        <w:rPr>
          <w:spacing w:val="-3"/>
        </w:rPr>
        <w:t>年年度审计机构上海众华沪银会计师事务所充分沟通的基础上，确定</w:t>
      </w:r>
    </w:p>
    <w:p>
      <w:pPr>
        <w:pStyle w:val="BodyText"/>
        <w:spacing w:line="266" w:lineRule="auto" w:before="21"/>
        <w:ind w:right="141"/>
        <w:jc w:val="both"/>
      </w:pPr>
      <w:r>
        <w:rPr>
          <w:rFonts w:ascii="Times New Roman" w:hAnsi="Times New Roman" w:cs="Times New Roman" w:eastAsia="Times New Roman" w:hint="default"/>
          <w:spacing w:val="-3"/>
        </w:rPr>
        <w:t>2012</w:t>
      </w:r>
      <w:r>
        <w:rPr>
          <w:spacing w:val="-3"/>
        </w:rPr>
        <w:t>年度财务报告审计工作的进度安排；审计委员会在年审注册会计师进场前审阅了公司编制的财务会计</w:t>
      </w:r>
      <w:r>
        <w:rPr>
          <w:spacing w:val="8"/>
        </w:rPr>
        <w:t> </w:t>
      </w:r>
      <w:r>
        <w:rPr>
          <w:spacing w:val="8"/>
        </w:rPr>
      </w:r>
      <w:r>
        <w:rPr>
          <w:spacing w:val="-3"/>
        </w:rPr>
        <w:t>报告后，同意将公司按照《企业会计准则》及有关补充规定编制的财务报告提交会计师事务所审计；审计</w:t>
      </w:r>
      <w:r>
        <w:rPr>
          <w:spacing w:val="2"/>
        </w:rPr>
        <w:t> </w:t>
      </w:r>
      <w:r>
        <w:rPr>
          <w:spacing w:val="2"/>
        </w:rPr>
      </w:r>
      <w:r>
        <w:rPr>
          <w:spacing w:val="-3"/>
        </w:rPr>
        <w:t>委员会审阅了注册会计师出具的初步审计意见后形成书面审核意见：经会计师事务所初步审计，同意审计</w:t>
      </w:r>
      <w:r>
        <w:rPr>
          <w:spacing w:val="4"/>
        </w:rPr>
        <w:t> </w:t>
      </w:r>
      <w:r>
        <w:rPr>
          <w:spacing w:val="4"/>
        </w:rPr>
      </w:r>
      <w:r>
        <w:rPr/>
        <w:t>结果，确保了审计的独立性和审计工作的如期完成。</w:t>
      </w:r>
    </w:p>
    <w:p>
      <w:pPr>
        <w:pStyle w:val="BodyText"/>
        <w:spacing w:line="386" w:lineRule="auto" w:before="170"/>
        <w:ind w:left="572" w:right="145"/>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、薪酬与考核委员会</w:t>
      </w:r>
      <w:r>
        <w:rPr>
          <w:w w:val="100"/>
        </w:rPr>
        <w:t> </w:t>
      </w:r>
      <w:r>
        <w:rPr>
          <w:spacing w:val="-7"/>
        </w:rPr>
        <w:t>严格按照公司《董事会薪酬与考核委员会实施细则》开展工作，对公司董事、监事和高级管理人员</w:t>
      </w:r>
      <w:r>
        <w:rPr>
          <w:rFonts w:ascii="Times New Roman" w:hAnsi="Times New Roman" w:cs="Times New Roman" w:eastAsia="Times New Roman" w:hint="default"/>
          <w:spacing w:val="-7"/>
        </w:rPr>
        <w:t>2012</w:t>
      </w:r>
    </w:p>
    <w:p>
      <w:pPr>
        <w:spacing w:after="0" w:line="386" w:lineRule="auto"/>
        <w:jc w:val="left"/>
        <w:rPr>
          <w:rFonts w:ascii="Times New Roman" w:hAnsi="Times New Roman" w:cs="Times New Roman" w:eastAsia="Times New Roman" w:hint="default"/>
        </w:rPr>
        <w:sectPr>
          <w:pgSz w:w="11900" w:h="16840"/>
          <w:pgMar w:header="746"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BodyText"/>
        <w:spacing w:line="273" w:lineRule="auto" w:before="36"/>
        <w:ind w:right="96"/>
        <w:jc w:val="left"/>
      </w:pPr>
      <w:r>
        <w:rPr>
          <w:spacing w:val="-3"/>
        </w:rPr>
        <w:t>年度的薪酬进行了核查，认为：薪酬数据合理、真实，公司为董事、独立董事、监事、高级管理人员所发</w:t>
      </w:r>
      <w:r>
        <w:rPr>
          <w:spacing w:val="2"/>
        </w:rPr>
        <w:t> </w:t>
      </w:r>
      <w:r>
        <w:rPr>
          <w:spacing w:val="2"/>
        </w:rPr>
      </w:r>
      <w:r>
        <w:rPr/>
        <w:t>放的薪酬符合规定，与其履职尽责情况匹配。</w:t>
      </w:r>
    </w:p>
    <w:p>
      <w:pPr>
        <w:pStyle w:val="BodyText"/>
        <w:spacing w:line="450" w:lineRule="atLeast" w:before="4"/>
        <w:ind w:left="572" w:right="96"/>
        <w:jc w:val="left"/>
      </w:pPr>
      <w:r>
        <w:rPr>
          <w:rFonts w:ascii="Times New Roman" w:hAnsi="Times New Roman" w:cs="Times New Roman" w:eastAsia="Times New Roman" w:hint="default"/>
        </w:rPr>
        <w:t>3</w:t>
      </w:r>
      <w:r>
        <w:rPr/>
        <w:t>、提名委员会</w:t>
      </w:r>
      <w:r>
        <w:rPr>
          <w:w w:val="100"/>
        </w:rPr>
        <w:t> </w:t>
      </w:r>
      <w:r>
        <w:rPr>
          <w:spacing w:val="-3"/>
        </w:rPr>
        <w:t>严格按照公司《董事会提名委员会实施细则》开展工作，对公司管理层成员的选聘提交了方案，为公</w:t>
      </w:r>
    </w:p>
    <w:p>
      <w:pPr>
        <w:pStyle w:val="BodyText"/>
        <w:spacing w:line="240" w:lineRule="auto" w:before="37"/>
        <w:ind w:right="1318"/>
        <w:jc w:val="left"/>
      </w:pPr>
      <w:r>
        <w:rPr/>
        <w:t>司提供了业务素质与职业道德高且任职资格合法合规的管理层人选。</w:t>
      </w:r>
    </w:p>
    <w:p>
      <w:pPr>
        <w:pStyle w:val="BodyText"/>
        <w:spacing w:line="450" w:lineRule="atLeast" w:before="34"/>
        <w:ind w:left="572" w:right="96"/>
        <w:jc w:val="left"/>
      </w:pPr>
      <w:r>
        <w:rPr>
          <w:rFonts w:ascii="Times New Roman" w:hAnsi="Times New Roman" w:cs="Times New Roman" w:eastAsia="Times New Roman" w:hint="default"/>
        </w:rPr>
        <w:t>4</w:t>
      </w:r>
      <w:r>
        <w:rPr/>
        <w:t>、战略委员会</w:t>
      </w:r>
      <w:r>
        <w:rPr>
          <w:w w:val="100"/>
        </w:rPr>
        <w:t> </w:t>
      </w:r>
      <w:r>
        <w:rPr>
          <w:spacing w:val="-3"/>
        </w:rPr>
        <w:t>严格按照公司《董事会战略委员会实施细则》开展工作，对公司的发展战略提交了方案，为公司提供</w:t>
      </w:r>
    </w:p>
    <w:p>
      <w:pPr>
        <w:pStyle w:val="BodyText"/>
        <w:spacing w:line="240" w:lineRule="auto" w:before="37"/>
        <w:ind w:right="4490"/>
        <w:jc w:val="left"/>
      </w:pPr>
      <w:r>
        <w:rPr/>
        <w:t>了适应公司发展的有效战略。</w:t>
      </w:r>
    </w:p>
    <w:p>
      <w:pPr>
        <w:spacing w:line="240" w:lineRule="auto" w:before="11"/>
        <w:rPr>
          <w:rFonts w:ascii="宋体" w:hAnsi="宋体" w:cs="宋体" w:eastAsia="宋体" w:hint="default"/>
          <w:sz w:val="23"/>
          <w:szCs w:val="23"/>
        </w:rPr>
      </w:pPr>
    </w:p>
    <w:p>
      <w:pPr>
        <w:pStyle w:val="Heading2"/>
        <w:spacing w:line="240" w:lineRule="auto"/>
        <w:ind w:right="4490"/>
        <w:jc w:val="left"/>
      </w:pPr>
      <w:r>
        <w:rPr/>
        <w:t>五、监事会工作情况</w:t>
      </w:r>
    </w:p>
    <w:p>
      <w:pPr>
        <w:spacing w:line="240" w:lineRule="auto" w:before="12"/>
        <w:rPr>
          <w:rFonts w:ascii="宋体" w:hAnsi="宋体" w:cs="宋体" w:eastAsia="宋体" w:hint="default"/>
          <w:sz w:val="24"/>
          <w:szCs w:val="24"/>
        </w:rPr>
      </w:pPr>
    </w:p>
    <w:p>
      <w:pPr>
        <w:pStyle w:val="BodyText"/>
        <w:spacing w:line="240" w:lineRule="auto"/>
        <w:ind w:right="4490"/>
        <w:jc w:val="left"/>
      </w:pPr>
      <w:r>
        <w:rPr/>
        <w:t>监事会在报告期内的监督活动中发现公司是否存在风险</w:t>
      </w:r>
    </w:p>
    <w:p>
      <w:pPr>
        <w:pStyle w:val="BodyText"/>
        <w:spacing w:line="307" w:lineRule="auto" w:before="75"/>
        <w:ind w:right="5183"/>
        <w:jc w:val="left"/>
      </w:pPr>
      <w:r>
        <w:rPr/>
        <w:t>□ 是</w:t>
      </w:r>
      <w:r>
        <w:rPr>
          <w:spacing w:val="-3"/>
        </w:rPr>
        <w:t> </w:t>
      </w:r>
      <w:r>
        <w:rPr/>
        <w:t>√</w:t>
      </w:r>
      <w:r>
        <w:rPr>
          <w:spacing w:val="-3"/>
        </w:rPr>
        <w:t> </w:t>
      </w:r>
      <w:r>
        <w:rPr/>
        <w:t>否</w:t>
      </w:r>
      <w:r>
        <w:rPr>
          <w:spacing w:val="-99"/>
        </w:rPr>
        <w:t> </w:t>
      </w:r>
      <w:r>
        <w:rPr>
          <w:spacing w:val="-99"/>
        </w:rPr>
      </w:r>
      <w:r>
        <w:rPr>
          <w:spacing w:val="-2"/>
        </w:rPr>
        <w:t>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96"/>
        <w:jc w:val="left"/>
      </w:pPr>
      <w:r>
        <w:rPr/>
        <w:t>六、公司相对于控股股东在业务、人员、资产、机构、财务等方面的独立完整情况</w:t>
      </w:r>
    </w:p>
    <w:p>
      <w:pPr>
        <w:spacing w:line="240" w:lineRule="auto" w:before="9"/>
        <w:rPr>
          <w:rFonts w:ascii="宋体" w:hAnsi="宋体" w:cs="宋体" w:eastAsia="宋体" w:hint="default"/>
          <w:sz w:val="24"/>
          <w:szCs w:val="24"/>
        </w:rPr>
      </w:pPr>
    </w:p>
    <w:p>
      <w:pPr>
        <w:pStyle w:val="BodyText"/>
        <w:spacing w:line="273" w:lineRule="auto"/>
        <w:ind w:right="96" w:firstLine="420"/>
        <w:jc w:val="left"/>
      </w:pPr>
      <w:r>
        <w:rPr>
          <w:spacing w:val="-10"/>
          <w:w w:val="100"/>
        </w:rPr>
        <w:t>公司自成立以来，严格按照《公司法》、《证券法》等有关法律、法规和《公司章程》的要求规范运作，</w:t>
      </w:r>
      <w:r>
        <w:rPr>
          <w:w w:val="100"/>
        </w:rPr>
        <w:t> </w:t>
      </w:r>
      <w:r>
        <w:rPr>
          <w:spacing w:val="-9"/>
          <w:w w:val="100"/>
        </w:rPr>
        <w:t>与控股股东在业务、人员、资产、机构、财务等方面完全分开，具有独立完整的业务及自主经营能力。（一）</w:t>
      </w:r>
      <w:r>
        <w:rPr>
          <w:w w:val="100"/>
        </w:rPr>
        <w:t> </w:t>
      </w:r>
      <w:r>
        <w:rPr>
          <w:spacing w:val="-3"/>
        </w:rPr>
        <w:t>业务独立情况：公司业务独立于控股股东及其下属企业，拥有独立完整的供应、生产和销售系统，独立开</w:t>
      </w:r>
      <w:r>
        <w:rPr>
          <w:spacing w:val="2"/>
        </w:rPr>
        <w:t> </w:t>
      </w:r>
      <w:r>
        <w:rPr>
          <w:spacing w:val="2"/>
        </w:rPr>
      </w:r>
      <w:r>
        <w:rPr>
          <w:spacing w:val="-3"/>
        </w:rPr>
        <w:t>展业务，不依赖于股东或其它任何关联方。公司股东及其他关联方目前业务均与本公司不同，而且向本公</w:t>
      </w:r>
      <w:r>
        <w:rPr>
          <w:spacing w:val="4"/>
        </w:rPr>
        <w:t> </w:t>
      </w:r>
      <w:r>
        <w:rPr>
          <w:spacing w:val="4"/>
        </w:rPr>
      </w:r>
      <w:r>
        <w:rPr>
          <w:spacing w:val="-7"/>
          <w:w w:val="100"/>
        </w:rPr>
        <w:t>司出具了《避免同业竞争的承诺函》。（二）人员独立情况：公司人员、劳动、人事及工资完全独立。公司</w:t>
      </w:r>
      <w:r>
        <w:rPr>
          <w:spacing w:val="-101"/>
          <w:w w:val="100"/>
        </w:rPr>
        <w:t> </w:t>
      </w:r>
      <w:r>
        <w:rPr>
          <w:spacing w:val="-101"/>
          <w:w w:val="100"/>
        </w:rPr>
      </w:r>
      <w:r>
        <w:rPr>
          <w:spacing w:val="-3"/>
        </w:rPr>
        <w:t>总经理、副总经理、董事会秘书、财务负责人等高级管理人员均在公司工作并领取薪酬，未在控股股东及</w:t>
      </w:r>
      <w:r>
        <w:rPr>
          <w:spacing w:val="2"/>
        </w:rPr>
        <w:t> </w:t>
      </w:r>
      <w:r>
        <w:rPr>
          <w:spacing w:val="2"/>
        </w:rPr>
      </w:r>
      <w:r>
        <w:rPr>
          <w:spacing w:val="-5"/>
          <w:w w:val="100"/>
        </w:rPr>
        <w:t>其下属企业担任职务和领取报酬。（三）资产独立情况：公司拥有独立于控股股东的生产经营场所，拥有</w:t>
      </w:r>
      <w:r>
        <w:rPr>
          <w:spacing w:val="-69"/>
          <w:w w:val="100"/>
        </w:rPr>
        <w:t> </w:t>
      </w:r>
      <w:r>
        <w:rPr>
          <w:spacing w:val="-69"/>
          <w:w w:val="100"/>
        </w:rPr>
      </w:r>
      <w:r>
        <w:rPr>
          <w:spacing w:val="-5"/>
        </w:rPr>
        <w:t>独立完整的资产结构，拥有独立的生产系统、辅助生产系统和配套设施、土地使用权、房屋所有权等资产，</w:t>
      </w:r>
      <w:r>
        <w:rPr>
          <w:spacing w:val="-9"/>
        </w:rPr>
        <w:t> </w:t>
      </w:r>
      <w:r>
        <w:rPr>
          <w:spacing w:val="-9"/>
        </w:rPr>
      </w:r>
      <w:r>
        <w:rPr>
          <w:spacing w:val="-5"/>
          <w:w w:val="100"/>
        </w:rPr>
        <w:t>拥有独立的采购和销售系统。（四）机构独立情况：公司设立了健全的组织机构体系，独立运作，不存在</w:t>
      </w:r>
      <w:r>
        <w:rPr>
          <w:spacing w:val="-69"/>
          <w:w w:val="100"/>
        </w:rPr>
        <w:t> </w:t>
      </w:r>
      <w:r>
        <w:rPr>
          <w:spacing w:val="-69"/>
          <w:w w:val="100"/>
        </w:rPr>
      </w:r>
      <w:r>
        <w:rPr>
          <w:spacing w:val="-5"/>
          <w:w w:val="100"/>
        </w:rPr>
        <w:t>与控股股东或其职能部门之间的从属关系。（五）财务独立情况：公司有独立的财务会计部门，建立了独</w:t>
      </w:r>
      <w:r>
        <w:rPr>
          <w:spacing w:val="-69"/>
          <w:w w:val="100"/>
        </w:rPr>
        <w:t> </w:t>
      </w:r>
      <w:r>
        <w:rPr>
          <w:spacing w:val="-69"/>
          <w:w w:val="100"/>
        </w:rPr>
      </w:r>
      <w:r>
        <w:rPr/>
        <w:t>立的会计核算体系和财务管理制度，独立进行财务决策。公司独立开设银行账户，独立纳税。</w:t>
      </w:r>
    </w:p>
    <w:p>
      <w:pPr>
        <w:spacing w:line="240" w:lineRule="auto" w:before="8"/>
        <w:rPr>
          <w:rFonts w:ascii="宋体" w:hAnsi="宋体" w:cs="宋体" w:eastAsia="宋体" w:hint="default"/>
          <w:sz w:val="21"/>
          <w:szCs w:val="21"/>
        </w:rPr>
      </w:pPr>
    </w:p>
    <w:p>
      <w:pPr>
        <w:pStyle w:val="Heading2"/>
        <w:spacing w:line="240" w:lineRule="auto"/>
        <w:ind w:right="4490"/>
        <w:jc w:val="left"/>
      </w:pPr>
      <w:r>
        <w:rPr/>
        <w:t>七、同业竞争情况</w:t>
      </w:r>
    </w:p>
    <w:p>
      <w:pPr>
        <w:spacing w:line="240" w:lineRule="auto" w:before="6"/>
        <w:rPr>
          <w:rFonts w:ascii="宋体" w:hAnsi="宋体" w:cs="宋体" w:eastAsia="宋体" w:hint="default"/>
          <w:sz w:val="26"/>
          <w:szCs w:val="26"/>
        </w:rPr>
      </w:pPr>
    </w:p>
    <w:p>
      <w:pPr>
        <w:spacing w:before="0"/>
        <w:ind w:left="152" w:right="4490" w:firstLine="0"/>
        <w:jc w:val="left"/>
        <w:rPr>
          <w:rFonts w:ascii="宋体" w:hAnsi="宋体" w:cs="宋体" w:eastAsia="宋体" w:hint="default"/>
          <w:sz w:val="18"/>
          <w:szCs w:val="18"/>
        </w:rPr>
      </w:pPr>
      <w:r>
        <w:rPr>
          <w:rFonts w:ascii="宋体" w:hAnsi="宋体" w:cs="宋体" w:eastAsia="宋体" w:hint="default"/>
          <w:w w:val="100"/>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4490"/>
        <w:jc w:val="left"/>
      </w:pPr>
      <w:r>
        <w:rPr/>
        <w:t>八、高级管理人员的考评及激励情况</w:t>
      </w:r>
    </w:p>
    <w:p>
      <w:pPr>
        <w:spacing w:line="240" w:lineRule="auto" w:before="9"/>
        <w:rPr>
          <w:rFonts w:ascii="宋体" w:hAnsi="宋体" w:cs="宋体" w:eastAsia="宋体" w:hint="default"/>
          <w:sz w:val="24"/>
          <w:szCs w:val="24"/>
        </w:rPr>
      </w:pPr>
    </w:p>
    <w:p>
      <w:pPr>
        <w:pStyle w:val="BodyText"/>
        <w:spacing w:line="273" w:lineRule="auto"/>
        <w:ind w:right="201" w:firstLine="420"/>
        <w:jc w:val="both"/>
      </w:pPr>
      <w:r>
        <w:rPr>
          <w:spacing w:val="-3"/>
        </w:rPr>
        <w:t>公司建立了高级管理人员的选择、考评、激励与约束机制并不断完善。公司高级管理人员全部由董事</w:t>
      </w:r>
      <w:r>
        <w:rPr>
          <w:w w:val="100"/>
        </w:rPr>
        <w:t> </w:t>
      </w:r>
      <w:r>
        <w:rPr>
          <w:spacing w:val="-3"/>
        </w:rPr>
        <w:t>会聘任，直接对董事会负责，承担董事会下达的经营指标。董事会下设的薪酬与考核委员会负责对高级管</w:t>
      </w:r>
      <w:r>
        <w:rPr>
          <w:spacing w:val="2"/>
        </w:rPr>
        <w:t> </w:t>
      </w:r>
      <w:r>
        <w:rPr>
          <w:spacing w:val="2"/>
        </w:rPr>
      </w:r>
      <w:r>
        <w:rPr>
          <w:spacing w:val="-3"/>
        </w:rPr>
        <w:t>理人员的工作能力、履职情况、责任目标完成情况，制定薪酬方案并报董事会审批。报告期内，高级管理</w:t>
      </w:r>
      <w:r>
        <w:rPr>
          <w:spacing w:val="3"/>
        </w:rPr>
        <w:t> </w:t>
      </w:r>
      <w:r>
        <w:rPr>
          <w:spacing w:val="3"/>
        </w:rPr>
      </w:r>
      <w:r>
        <w:rPr>
          <w:spacing w:val="-7"/>
          <w:w w:val="100"/>
        </w:rPr>
        <w:t>人员能够严格按照《公司法》、《公司章程》及国家有关法律法规认真履行职责，积极落实公司股东大会和</w:t>
      </w:r>
      <w:r>
        <w:rPr>
          <w:spacing w:val="-101"/>
          <w:w w:val="100"/>
        </w:rPr>
        <w:t> </w:t>
      </w:r>
      <w:r>
        <w:rPr>
          <w:spacing w:val="-101"/>
          <w:w w:val="100"/>
        </w:rPr>
      </w:r>
      <w:r>
        <w:rPr>
          <w:spacing w:val="-3"/>
        </w:rPr>
        <w:t>董事会相关决议，在董事会的正确指导下积极调整经营思路，优化产品结构，不断加强内部管理，较好地</w:t>
      </w:r>
      <w:r>
        <w:rPr>
          <w:spacing w:val="2"/>
        </w:rPr>
        <w:t> </w:t>
      </w:r>
      <w:r>
        <w:rPr>
          <w:spacing w:val="2"/>
        </w:rPr>
      </w:r>
      <w:r>
        <w:rPr/>
        <w:t>完成了本年度的各项任务。</w:t>
      </w:r>
    </w:p>
    <w:p>
      <w:pPr>
        <w:spacing w:after="0" w:line="273" w:lineRule="auto"/>
        <w:jc w:val="both"/>
        <w:sectPr>
          <w:pgSz w:w="11900" w:h="16840"/>
          <w:pgMar w:header="746"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0" w:right="3803"/>
        <w:jc w:val="center"/>
      </w:pPr>
      <w:bookmarkStart w:name="_TOC_250002" w:id="9"/>
      <w:r>
        <w:rPr/>
        <w:t>第九节</w:t>
      </w:r>
      <w:r>
        <w:rPr>
          <w:spacing w:val="7"/>
        </w:rPr>
        <w:t> </w:t>
      </w:r>
      <w:bookmarkEnd w:id="9"/>
      <w:r>
        <w:rPr/>
        <w:t>内部控制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4490"/>
        <w:jc w:val="left"/>
      </w:pPr>
      <w:r>
        <w:rPr/>
        <w:t>一、内部控制建设情况</w:t>
      </w:r>
    </w:p>
    <w:p>
      <w:pPr>
        <w:spacing w:line="240" w:lineRule="auto" w:before="9"/>
        <w:rPr>
          <w:rFonts w:ascii="宋体" w:hAnsi="宋体" w:cs="宋体" w:eastAsia="宋体" w:hint="default"/>
          <w:sz w:val="24"/>
          <w:szCs w:val="24"/>
        </w:rPr>
      </w:pPr>
    </w:p>
    <w:p>
      <w:pPr>
        <w:pStyle w:val="BodyText"/>
        <w:spacing w:line="273" w:lineRule="auto"/>
        <w:ind w:right="201" w:firstLine="631"/>
        <w:jc w:val="both"/>
      </w:pPr>
      <w:r>
        <w:rPr>
          <w:spacing w:val="-8"/>
          <w:w w:val="100"/>
        </w:rPr>
        <w:t>公司已按照《中华人民共和国公司法》、《中华人民共和国证券法》及相关法规的要求和本公司章程</w:t>
      </w:r>
      <w:r>
        <w:rPr>
          <w:w w:val="100"/>
        </w:rPr>
        <w:t> </w:t>
      </w:r>
      <w:r>
        <w:rPr>
          <w:spacing w:val="-3"/>
        </w:rPr>
        <w:t>的规定，建立了规范的公司治理结构和议事规则，明确决策、执行、监督等方面的职责权限，形成科学有</w:t>
      </w:r>
      <w:r>
        <w:rPr>
          <w:spacing w:val="3"/>
        </w:rPr>
        <w:t> </w:t>
      </w:r>
      <w:r>
        <w:rPr>
          <w:spacing w:val="3"/>
        </w:rPr>
      </w:r>
      <w:r>
        <w:rPr>
          <w:spacing w:val="-3"/>
        </w:rPr>
        <w:t>效的职责分工和制衡机制。公司设置股东大会、董事会、监事会以及在董事会领导下的经理层。股东大会</w:t>
      </w:r>
      <w:r>
        <w:rPr>
          <w:spacing w:val="2"/>
        </w:rPr>
        <w:t> </w:t>
      </w:r>
      <w:r>
        <w:rPr>
          <w:spacing w:val="2"/>
        </w:rPr>
      </w:r>
      <w:r>
        <w:rPr>
          <w:spacing w:val="-3"/>
        </w:rPr>
        <w:t>是公司的决策机构，依法行使公司经营方针、筹资、投资、利润分配等重大事项的表决权。股东大会依法</w:t>
      </w:r>
      <w:r>
        <w:rPr>
          <w:spacing w:val="3"/>
        </w:rPr>
        <w:t> </w:t>
      </w:r>
      <w:r>
        <w:rPr>
          <w:spacing w:val="3"/>
        </w:rPr>
      </w:r>
      <w:r>
        <w:rPr/>
        <w:t>每年至少召开一次，在符合法规规定的情况下可召开临时股东会。</w:t>
      </w:r>
    </w:p>
    <w:p>
      <w:pPr>
        <w:pStyle w:val="BodyText"/>
        <w:spacing w:line="264" w:lineRule="auto" w:before="48"/>
        <w:ind w:right="179" w:firstLine="420"/>
        <w:jc w:val="both"/>
      </w:pPr>
      <w:r>
        <w:rPr/>
        <w:t>董事会对股东大会负责，依法行使公司的经营决策权。董事会由</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名董事组成，其中包括独立董事</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w w:val="100"/>
        </w:rPr>
        <w:t> </w:t>
      </w:r>
      <w:r>
        <w:rPr>
          <w:spacing w:val="-2"/>
        </w:rPr>
        <w:t>名。董事会负责公司内部控制的建立健全和有效实施，制定公司经营计划和投资方案、财务预决算方案，</w:t>
      </w:r>
      <w:r>
        <w:rPr>
          <w:spacing w:val="-20"/>
        </w:rPr>
        <w:t> </w:t>
      </w:r>
      <w:r>
        <w:rPr>
          <w:spacing w:val="-20"/>
        </w:rPr>
      </w:r>
      <w:r>
        <w:rPr>
          <w:spacing w:val="-3"/>
        </w:rPr>
        <w:t>制定基本管理制度等。董事会下设审计委员会，审计委员会是公司内部控制监督机构，审计委员会由 </w:t>
      </w:r>
      <w:r>
        <w:rPr>
          <w:rFonts w:ascii="Times New Roman" w:hAnsi="Times New Roman" w:cs="Times New Roman" w:eastAsia="Times New Roman" w:hint="default"/>
        </w:rPr>
        <w:t>3 </w:t>
      </w:r>
      <w:r>
        <w:rPr>
          <w:rFonts w:ascii="Times New Roman" w:hAnsi="Times New Roman" w:cs="Times New Roman" w:eastAsia="Times New Roman" w:hint="default"/>
          <w:spacing w:val="1"/>
        </w:rPr>
        <w:t> </w:t>
      </w:r>
      <w:r>
        <w:rPr/>
        <w:t>名</w:t>
      </w:r>
    </w:p>
    <w:p>
      <w:pPr>
        <w:pStyle w:val="BodyText"/>
        <w:spacing w:line="256" w:lineRule="auto"/>
        <w:ind w:right="96"/>
        <w:jc w:val="left"/>
      </w:pPr>
      <w:r>
        <w:rPr>
          <w:spacing w:val="-3"/>
        </w:rPr>
        <w:t>董事组成，其中独立董事</w:t>
      </w:r>
      <w:r>
        <w:rPr>
          <w:spacing w:val="-11"/>
        </w:rPr>
        <w:t> </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spacing w:val="-3"/>
        </w:rPr>
        <w:t>名，审计委员会负责审查企业内部控制，监督内部控制的有效实施和内部控制</w:t>
      </w:r>
      <w:r>
        <w:rPr>
          <w:spacing w:val="-90"/>
        </w:rPr>
        <w:t> </w:t>
      </w:r>
      <w:r>
        <w:rPr>
          <w:spacing w:val="-90"/>
        </w:rPr>
      </w:r>
      <w:r>
        <w:rPr/>
        <w:t>自我评价情况，协调内部控制审计及其他相关事宜等。</w:t>
      </w:r>
    </w:p>
    <w:p>
      <w:pPr>
        <w:pStyle w:val="BodyText"/>
        <w:spacing w:line="273" w:lineRule="auto" w:before="61"/>
        <w:ind w:right="201" w:firstLine="420"/>
        <w:jc w:val="both"/>
      </w:pPr>
      <w:r>
        <w:rPr>
          <w:spacing w:val="-3"/>
        </w:rPr>
        <w:t>监事会对股东大会负责，监督企业董事、经理和其他高级管理人员依法履行职责，对董事会建立与实</w:t>
      </w:r>
      <w:r>
        <w:rPr>
          <w:w w:val="100"/>
        </w:rPr>
        <w:t> </w:t>
      </w:r>
      <w:r>
        <w:rPr/>
        <w:t>施内部控制进行监督。监事会由</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名监事组成，其中包括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名职工监事。</w:t>
      </w:r>
    </w:p>
    <w:p>
      <w:pPr>
        <w:pStyle w:val="BodyText"/>
        <w:spacing w:line="273" w:lineRule="auto" w:before="29"/>
        <w:ind w:right="179" w:firstLine="420"/>
        <w:jc w:val="both"/>
      </w:pPr>
      <w:r>
        <w:rPr>
          <w:spacing w:val="-2"/>
        </w:rPr>
        <w:t>经理层负责实施股东大会、董事会决议事项，主持公司的生产经营管理工作，制定具体的工作计划，</w:t>
      </w:r>
      <w:r>
        <w:rPr>
          <w:w w:val="100"/>
        </w:rPr>
        <w:t> </w:t>
      </w:r>
      <w:r>
        <w:rPr>
          <w:spacing w:val="-3"/>
        </w:rPr>
        <w:t>并及时取得经营、财务信息，并根据实际执行结果对计划作出适当修订，经理层负责组织领导企业内部控</w:t>
      </w:r>
      <w:r>
        <w:rPr>
          <w:spacing w:val="4"/>
        </w:rPr>
        <w:t> </w:t>
      </w:r>
      <w:r>
        <w:rPr>
          <w:spacing w:val="4"/>
        </w:rPr>
      </w:r>
      <w:r>
        <w:rPr/>
        <w:t>制的日常运行。</w:t>
      </w:r>
    </w:p>
    <w:p>
      <w:pPr>
        <w:spacing w:line="240" w:lineRule="auto" w:before="8"/>
        <w:rPr>
          <w:rFonts w:ascii="宋体" w:hAnsi="宋体" w:cs="宋体" w:eastAsia="宋体" w:hint="default"/>
          <w:sz w:val="21"/>
          <w:szCs w:val="21"/>
        </w:rPr>
      </w:pPr>
    </w:p>
    <w:p>
      <w:pPr>
        <w:pStyle w:val="Heading2"/>
        <w:spacing w:line="240" w:lineRule="auto"/>
        <w:ind w:right="4490"/>
        <w:jc w:val="left"/>
      </w:pPr>
      <w:r>
        <w:rPr/>
        <w:t>二、董事会关于内部控制责任的声明</w:t>
      </w:r>
    </w:p>
    <w:p>
      <w:pPr>
        <w:spacing w:line="240" w:lineRule="auto" w:before="12"/>
        <w:rPr>
          <w:rFonts w:ascii="宋体" w:hAnsi="宋体" w:cs="宋体" w:eastAsia="宋体" w:hint="default"/>
          <w:sz w:val="24"/>
          <w:szCs w:val="24"/>
        </w:rPr>
      </w:pPr>
    </w:p>
    <w:p>
      <w:pPr>
        <w:pStyle w:val="BodyText"/>
        <w:spacing w:line="273" w:lineRule="auto"/>
        <w:ind w:right="179" w:firstLine="419"/>
        <w:jc w:val="both"/>
      </w:pPr>
      <w:r>
        <w:rPr>
          <w:spacing w:val="-2"/>
        </w:rPr>
        <w:t>建立健全并有效实施内部控制是公司董事会的责任；监事会对董事会建立与实施内部控制进行监督；</w:t>
      </w:r>
      <w:r>
        <w:rPr>
          <w:w w:val="100"/>
        </w:rPr>
        <w:t> </w:t>
      </w:r>
      <w:r>
        <w:rPr>
          <w:spacing w:val="-3"/>
        </w:rPr>
        <w:t>经理层负责组织领导公司内部控制的日常运行。公司内部控制的目标是：合理保证财务报告及相关信息真</w:t>
      </w:r>
      <w:r>
        <w:rPr>
          <w:spacing w:val="4"/>
        </w:rPr>
        <w:t> </w:t>
      </w:r>
      <w:r>
        <w:rPr>
          <w:spacing w:val="4"/>
        </w:rPr>
      </w:r>
      <w:r>
        <w:rPr>
          <w:spacing w:val="-3"/>
        </w:rPr>
        <w:t>实完整、经营合法合规、资产安全，提高经营效率和效果，促进实现公司发展战略。由于内部控制存在固</w:t>
      </w:r>
      <w:r>
        <w:rPr>
          <w:spacing w:val="3"/>
        </w:rPr>
        <w:t> </w:t>
      </w:r>
      <w:r>
        <w:rPr>
          <w:spacing w:val="3"/>
        </w:rPr>
      </w:r>
      <w:r>
        <w:rPr/>
        <w:t>有局限性，故仅能对实现上述目标提供合理保证。</w:t>
      </w:r>
    </w:p>
    <w:p>
      <w:pPr>
        <w:spacing w:line="240" w:lineRule="auto" w:before="8"/>
        <w:rPr>
          <w:rFonts w:ascii="宋体" w:hAnsi="宋体" w:cs="宋体" w:eastAsia="宋体" w:hint="default"/>
          <w:sz w:val="21"/>
          <w:szCs w:val="21"/>
        </w:rPr>
      </w:pPr>
    </w:p>
    <w:p>
      <w:pPr>
        <w:pStyle w:val="Heading2"/>
        <w:spacing w:line="240" w:lineRule="auto"/>
        <w:ind w:right="4490"/>
        <w:jc w:val="left"/>
      </w:pPr>
      <w:r>
        <w:rPr/>
        <w:t>三、建立财务报告内部控制的依据</w:t>
      </w:r>
    </w:p>
    <w:p>
      <w:pPr>
        <w:spacing w:line="240" w:lineRule="auto" w:before="9"/>
        <w:rPr>
          <w:rFonts w:ascii="宋体" w:hAnsi="宋体" w:cs="宋体" w:eastAsia="宋体" w:hint="default"/>
          <w:sz w:val="24"/>
          <w:szCs w:val="24"/>
        </w:rPr>
      </w:pPr>
    </w:p>
    <w:p>
      <w:pPr>
        <w:pStyle w:val="BodyText"/>
        <w:spacing w:line="273" w:lineRule="auto"/>
        <w:ind w:right="100" w:firstLine="451"/>
        <w:jc w:val="both"/>
      </w:pPr>
      <w:r>
        <w:rPr>
          <w:spacing w:val="-15"/>
          <w:w w:val="100"/>
        </w:rPr>
        <w:t>公司根据《会计法》、《企业会计准则》、《企业内部控制基本规范》及监管部门的相关规范性文件要求，</w:t>
      </w:r>
      <w:r>
        <w:rPr>
          <w:w w:val="100"/>
        </w:rPr>
        <w:t> </w:t>
      </w:r>
      <w:r>
        <w:rPr/>
        <w:t>建立了财务报告内部控制，本年度的财务报告内部控制不存在重大缺陷。</w:t>
      </w:r>
    </w:p>
    <w:p>
      <w:pPr>
        <w:spacing w:line="240" w:lineRule="auto" w:before="8"/>
        <w:rPr>
          <w:rFonts w:ascii="宋体" w:hAnsi="宋体" w:cs="宋体" w:eastAsia="宋体" w:hint="default"/>
          <w:sz w:val="21"/>
          <w:szCs w:val="21"/>
        </w:rPr>
      </w:pPr>
    </w:p>
    <w:p>
      <w:pPr>
        <w:pStyle w:val="Heading2"/>
        <w:spacing w:line="240" w:lineRule="auto"/>
        <w:ind w:right="4490"/>
        <w:jc w:val="left"/>
      </w:pPr>
      <w:r>
        <w:rPr/>
        <w:t>四、内部控制自我评价报告</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2650"/>
        <w:gridCol w:w="6907"/>
      </w:tblGrid>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77"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报告期内未发现重大内部控制缺陷</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2" w:right="105"/>
              <w:jc w:val="left"/>
              <w:rPr>
                <w:rFonts w:ascii="宋体" w:hAnsi="宋体" w:cs="宋体" w:eastAsia="宋体" w:hint="default"/>
                <w:sz w:val="18"/>
                <w:szCs w:val="18"/>
              </w:rPr>
            </w:pPr>
            <w:r>
              <w:rPr>
                <w:rFonts w:ascii="宋体" w:hAnsi="宋体" w:cs="宋体" w:eastAsia="宋体" w:hint="default"/>
                <w:spacing w:val="-1"/>
                <w:sz w:val="18"/>
                <w:szCs w:val="18"/>
              </w:rPr>
              <w:t>内部控制自我评价报告全文披露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pacing w:val="-1"/>
                <w:sz w:val="18"/>
                <w:szCs w:val="18"/>
              </w:rPr>
              <w:t>内部控制自我评价报告全文披露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63"/>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上的《江苏双星彩塑新材料股份有限公司</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年度内部控制自我评价报告》</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45"/>
        <w:jc w:val="left"/>
      </w:pPr>
      <w:r>
        <w:rPr/>
        <w:t>五、内部控制审计报告</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662"/>
        <w:gridCol w:w="6907"/>
      </w:tblGrid>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上海众华沪银会计师事务所有限公司认为，贵公司按照《企业内部控制基本规范》及相关规范于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日在所</w:t>
            </w:r>
            <w:r>
              <w:rPr>
                <w:rFonts w:ascii="宋体" w:hAnsi="宋体" w:cs="宋体" w:eastAsia="宋体" w:hint="default"/>
                <w:w w:val="100"/>
                <w:sz w:val="18"/>
                <w:szCs w:val="18"/>
              </w:rPr>
              <w:t> </w:t>
            </w:r>
            <w:r>
              <w:rPr>
                <w:rFonts w:ascii="宋体" w:hAnsi="宋体" w:cs="宋体" w:eastAsia="宋体" w:hint="default"/>
                <w:sz w:val="18"/>
                <w:szCs w:val="18"/>
              </w:rPr>
              <w:t>有重大方面保持了与财务报表编制相关有效的内部控制。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1"/>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8"/>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上的《江苏双星彩塑新材料股份有限公司关</w:t>
            </w:r>
            <w:r>
              <w:rPr>
                <w:rFonts w:ascii="宋体" w:hAnsi="宋体" w:cs="宋体" w:eastAsia="宋体" w:hint="default"/>
                <w:w w:val="100"/>
                <w:sz w:val="18"/>
                <w:szCs w:val="18"/>
              </w:rPr>
              <w:t> </w:t>
            </w:r>
            <w:r>
              <w:rPr>
                <w:rFonts w:ascii="宋体" w:hAnsi="宋体" w:cs="宋体" w:eastAsia="宋体" w:hint="default"/>
                <w:sz w:val="18"/>
                <w:szCs w:val="18"/>
              </w:rPr>
              <w:t>于公司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年度内部控制的审计报告》</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7"/>
        <w:ind w:left="152" w:right="32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w w:val="100"/>
          <w:sz w:val="18"/>
          <w:szCs w:val="18"/>
        </w:rPr>
        <w:t> </w:t>
      </w:r>
      <w:r>
        <w:rPr>
          <w:rFonts w:ascii="宋体" w:hAnsi="宋体" w:cs="宋体" w:eastAsia="宋体" w:hint="default"/>
          <w:spacing w:val="-1"/>
          <w:sz w:val="18"/>
          <w:szCs w:val="18"/>
        </w:rPr>
        <w:t>会计师事务所出具的内部控制审计报告与董事会的自我评价报告意见是否一致</w:t>
      </w:r>
    </w:p>
    <w:p>
      <w:pPr>
        <w:spacing w:before="4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45"/>
        <w:jc w:val="left"/>
      </w:pPr>
      <w:r>
        <w:rPr/>
        <w:t>六、年度报告重大差错责任追究制度的建立与执行情况</w:t>
      </w:r>
    </w:p>
    <w:p>
      <w:pPr>
        <w:spacing w:line="240" w:lineRule="auto" w:before="6"/>
        <w:rPr>
          <w:rFonts w:ascii="宋体" w:hAnsi="宋体" w:cs="宋体" w:eastAsia="宋体" w:hint="default"/>
          <w:sz w:val="26"/>
          <w:szCs w:val="26"/>
        </w:rPr>
      </w:pPr>
    </w:p>
    <w:p>
      <w:pPr>
        <w:spacing w:line="316" w:lineRule="auto" w:before="0"/>
        <w:ind w:left="152" w:right="148" w:firstLine="360"/>
        <w:jc w:val="both"/>
        <w:rPr>
          <w:rFonts w:ascii="宋体" w:hAnsi="宋体" w:cs="宋体" w:eastAsia="宋体" w:hint="default"/>
          <w:sz w:val="18"/>
          <w:szCs w:val="18"/>
        </w:rPr>
      </w:pPr>
      <w:r>
        <w:rPr>
          <w:rFonts w:ascii="宋体" w:hAnsi="宋体" w:cs="宋体" w:eastAsia="宋体" w:hint="default"/>
          <w:spacing w:val="-3"/>
          <w:sz w:val="18"/>
          <w:szCs w:val="18"/>
        </w:rPr>
        <w:t>为提高公司规范运作水平，增强信息披露的真实性、准确性、完整性和及时性，提高年报信息披露的质量和透明度，根</w:t>
      </w:r>
      <w:r>
        <w:rPr>
          <w:rFonts w:ascii="宋体" w:hAnsi="宋体" w:cs="宋体" w:eastAsia="宋体" w:hint="default"/>
          <w:w w:val="100"/>
          <w:sz w:val="18"/>
          <w:szCs w:val="18"/>
        </w:rPr>
        <w:t> </w:t>
      </w:r>
      <w:r>
        <w:rPr>
          <w:rFonts w:ascii="宋体" w:hAnsi="宋体" w:cs="宋体" w:eastAsia="宋体" w:hint="default"/>
          <w:spacing w:val="-3"/>
          <w:w w:val="100"/>
          <w:sz w:val="18"/>
          <w:szCs w:val="18"/>
        </w:rPr>
        <w:t>据有关法律法规的规定，公司制定了《年报信息披露重大责任追究制度》。报告期内，公司年报信息披露工作中未出现有关</w:t>
      </w:r>
      <w:r>
        <w:rPr>
          <w:rFonts w:ascii="宋体" w:hAnsi="宋体" w:cs="宋体" w:eastAsia="宋体" w:hint="default"/>
          <w:spacing w:val="-71"/>
          <w:w w:val="100"/>
          <w:sz w:val="18"/>
          <w:szCs w:val="18"/>
        </w:rPr>
        <w:t> </w:t>
      </w:r>
      <w:r>
        <w:rPr>
          <w:rFonts w:ascii="宋体" w:hAnsi="宋体" w:cs="宋体" w:eastAsia="宋体" w:hint="default"/>
          <w:spacing w:val="-71"/>
          <w:w w:val="100"/>
          <w:sz w:val="18"/>
          <w:szCs w:val="18"/>
        </w:rPr>
      </w:r>
      <w:r>
        <w:rPr>
          <w:rFonts w:ascii="宋体" w:hAnsi="宋体" w:cs="宋体" w:eastAsia="宋体" w:hint="default"/>
          <w:sz w:val="18"/>
          <w:szCs w:val="18"/>
        </w:rPr>
        <w:t>人员不履行或者未正确履行职责、义务而导致年报披露信息出现重大差错的情形。</w:t>
      </w:r>
    </w:p>
    <w:p>
      <w:pPr>
        <w:spacing w:after="0" w:line="316" w:lineRule="auto"/>
        <w:jc w:val="both"/>
        <w:rPr>
          <w:rFonts w:ascii="宋体" w:hAnsi="宋体" w:cs="宋体" w:eastAsia="宋体" w:hint="default"/>
          <w:sz w:val="18"/>
          <w:szCs w:val="1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812"/>
        <w:jc w:val="center"/>
      </w:pPr>
      <w:bookmarkStart w:name="_TOC_250001" w:id="10"/>
      <w:r>
        <w:rPr/>
        <w:t>第十节</w:t>
      </w:r>
      <w:r>
        <w:rPr>
          <w:spacing w:val="7"/>
        </w:rPr>
        <w:t> </w:t>
      </w:r>
      <w:bookmarkEnd w:id="10"/>
      <w:r>
        <w:rPr/>
        <w:t>财务报告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145"/>
        <w:jc w:val="left"/>
      </w:pPr>
      <w:r>
        <w:rPr/>
        <w:t>一、审计报告</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4771"/>
        <w:gridCol w:w="4786"/>
      </w:tblGrid>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before="49"/>
        <w:ind w:left="1816" w:right="181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31"/>
        <w:ind w:left="1814" w:right="1814" w:firstLine="0"/>
        <w:jc w:val="center"/>
        <w:rPr>
          <w:rFonts w:ascii="宋体" w:hAnsi="宋体" w:cs="宋体" w:eastAsia="宋体" w:hint="default"/>
          <w:sz w:val="48"/>
          <w:szCs w:val="48"/>
        </w:rPr>
      </w:pPr>
      <w:r>
        <w:rPr>
          <w:rFonts w:ascii="宋体" w:hAnsi="宋体" w:cs="宋体" w:eastAsia="宋体" w:hint="default"/>
          <w:sz w:val="48"/>
          <w:szCs w:val="48"/>
        </w:rPr>
        <w:t>审 计 报</w:t>
      </w:r>
      <w:r>
        <w:rPr>
          <w:rFonts w:ascii="宋体" w:hAnsi="宋体" w:cs="宋体" w:eastAsia="宋体" w:hint="default"/>
          <w:spacing w:val="-101"/>
          <w:sz w:val="48"/>
          <w:szCs w:val="48"/>
        </w:rPr>
        <w:t> </w:t>
      </w:r>
      <w:r>
        <w:rPr>
          <w:rFonts w:ascii="宋体" w:hAnsi="宋体" w:cs="宋体" w:eastAsia="宋体" w:hint="default"/>
          <w:sz w:val="48"/>
          <w:szCs w:val="48"/>
        </w:rPr>
        <w:t>告</w:t>
      </w:r>
    </w:p>
    <w:p>
      <w:pPr>
        <w:spacing w:line="240" w:lineRule="auto" w:before="10"/>
        <w:rPr>
          <w:rFonts w:ascii="宋体" w:hAnsi="宋体" w:cs="宋体" w:eastAsia="宋体" w:hint="default"/>
          <w:sz w:val="25"/>
          <w:szCs w:val="25"/>
        </w:rPr>
      </w:pPr>
    </w:p>
    <w:p>
      <w:pPr>
        <w:pStyle w:val="BodyText"/>
        <w:spacing w:line="240" w:lineRule="auto" w:before="36"/>
        <w:ind w:left="0" w:right="153"/>
        <w:jc w:val="right"/>
      </w:pPr>
      <w:r>
        <w:rPr>
          <w:spacing w:val="-2"/>
        </w:rPr>
        <w:t>沪众会字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0039</w:t>
      </w:r>
      <w:r>
        <w:rPr>
          <w:spacing w:val="-2"/>
        </w:rPr>
        <w:t>号</w:t>
      </w:r>
    </w:p>
    <w:p>
      <w:pPr>
        <w:spacing w:line="240" w:lineRule="auto" w:before="9"/>
        <w:rPr>
          <w:rFonts w:ascii="宋体" w:hAnsi="宋体" w:cs="宋体" w:eastAsia="宋体" w:hint="default"/>
          <w:sz w:val="22"/>
          <w:szCs w:val="22"/>
        </w:rPr>
      </w:pPr>
    </w:p>
    <w:p>
      <w:pPr>
        <w:pStyle w:val="BodyText"/>
        <w:spacing w:line="240" w:lineRule="auto" w:before="36"/>
        <w:ind w:right="145"/>
        <w:jc w:val="left"/>
      </w:pPr>
      <w:r>
        <w:rPr/>
        <w:t>江苏双星彩塑新材料股份有限公司全体股东：</w:t>
      </w:r>
    </w:p>
    <w:p>
      <w:pPr>
        <w:spacing w:line="240" w:lineRule="auto" w:before="9"/>
        <w:rPr>
          <w:rFonts w:ascii="宋体" w:hAnsi="宋体" w:cs="宋体" w:eastAsia="宋体" w:hint="default"/>
          <w:sz w:val="26"/>
          <w:szCs w:val="26"/>
        </w:rPr>
      </w:pPr>
    </w:p>
    <w:p>
      <w:pPr>
        <w:pStyle w:val="BodyText"/>
        <w:spacing w:line="256" w:lineRule="auto"/>
        <w:ind w:right="144" w:firstLine="420"/>
        <w:jc w:val="both"/>
      </w:pPr>
      <w:r>
        <w:rPr>
          <w:spacing w:val="-1"/>
        </w:rPr>
        <w:t>我们审计了后附的江苏双星彩塑新材料股份有限公司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双星新材</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w w:val="100"/>
        </w:rPr>
        <w:t> </w:t>
      </w:r>
      <w:r>
        <w:rPr>
          <w:spacing w:val="-2"/>
        </w:rPr>
        <w:t>月</w:t>
      </w:r>
      <w:r>
        <w:rPr>
          <w:rFonts w:ascii="Times New Roman" w:hAnsi="Times New Roman" w:cs="Times New Roman" w:eastAsia="Times New Roman" w:hint="default"/>
          <w:spacing w:val="-2"/>
        </w:rPr>
        <w:t>31</w:t>
      </w:r>
      <w:r>
        <w:rPr>
          <w:spacing w:val="-2"/>
        </w:rPr>
        <w:t>日的资产负债表，</w:t>
      </w:r>
      <w:r>
        <w:rPr>
          <w:spacing w:val="59"/>
        </w:rPr>
        <w:t> </w:t>
      </w:r>
      <w:r>
        <w:rPr>
          <w:rFonts w:ascii="Times New Roman" w:hAnsi="Times New Roman" w:cs="Times New Roman" w:eastAsia="Times New Roman" w:hint="default"/>
          <w:spacing w:val="-2"/>
        </w:rPr>
        <w:t>2012</w:t>
      </w:r>
      <w:r>
        <w:rPr>
          <w:spacing w:val="-2"/>
        </w:rPr>
        <w:t>年度的利润表、现金流量表和股东权益变动表以及财务报表附注。</w:t>
      </w:r>
    </w:p>
    <w:p>
      <w:pPr>
        <w:spacing w:line="240" w:lineRule="auto" w:before="3"/>
        <w:rPr>
          <w:rFonts w:ascii="宋体" w:hAnsi="宋体" w:cs="宋体" w:eastAsia="宋体" w:hint="default"/>
          <w:sz w:val="24"/>
          <w:szCs w:val="24"/>
        </w:rPr>
      </w:pPr>
    </w:p>
    <w:p>
      <w:pPr>
        <w:pStyle w:val="BodyText"/>
        <w:spacing w:line="273" w:lineRule="auto"/>
        <w:ind w:left="572" w:right="145" w:hanging="420"/>
        <w:jc w:val="left"/>
      </w:pPr>
      <w:r>
        <w:rPr/>
        <w:t>一、管理层对财务报表的责任</w:t>
      </w:r>
      <w:r>
        <w:rPr>
          <w:spacing w:val="-99"/>
        </w:rPr>
        <w:t> </w:t>
      </w:r>
      <w:r>
        <w:rPr>
          <w:spacing w:val="-99"/>
        </w:rPr>
      </w:r>
      <w:r>
        <w:rPr>
          <w:spacing w:val="-4"/>
        </w:rPr>
        <w:t>编制和公允列报财务报表是双星新材管理层的责任，这种责任包括：</w:t>
      </w:r>
      <w:r>
        <w:rPr>
          <w:rFonts w:ascii="Times New Roman" w:hAnsi="Times New Roman" w:cs="Times New Roman" w:eastAsia="Times New Roman" w:hint="default"/>
          <w:spacing w:val="-4"/>
        </w:rPr>
        <w:t>(1)</w:t>
      </w:r>
      <w:r>
        <w:rPr>
          <w:spacing w:val="-4"/>
        </w:rPr>
        <w:t>按照企业会计准则的规定编制</w:t>
      </w:r>
    </w:p>
    <w:p>
      <w:pPr>
        <w:pStyle w:val="BodyText"/>
        <w:spacing w:line="256" w:lineRule="auto"/>
        <w:ind w:right="145"/>
        <w:jc w:val="left"/>
      </w:pPr>
      <w:r>
        <w:rPr>
          <w:spacing w:val="-4"/>
        </w:rPr>
        <w:t>财务报表，并使其实现公允反映；</w:t>
      </w:r>
      <w:r>
        <w:rPr>
          <w:rFonts w:ascii="Times New Roman" w:hAnsi="Times New Roman" w:cs="Times New Roman" w:eastAsia="Times New Roman" w:hint="default"/>
          <w:spacing w:val="-4"/>
        </w:rPr>
        <w:t>(2)</w:t>
      </w:r>
      <w:r>
        <w:rPr>
          <w:spacing w:val="-4"/>
        </w:rPr>
        <w:t>设计、执行和维护必要的内部控制，以使财务报表不存在由于舞弊或</w:t>
      </w:r>
      <w:r>
        <w:rPr>
          <w:spacing w:val="22"/>
        </w:rPr>
        <w:t> </w:t>
      </w:r>
      <w:r>
        <w:rPr>
          <w:spacing w:val="22"/>
        </w:rPr>
      </w:r>
      <w:r>
        <w:rPr/>
        <w:t>错误导致的重大错报。</w:t>
      </w:r>
    </w:p>
    <w:p>
      <w:pPr>
        <w:spacing w:line="240" w:lineRule="auto" w:before="7"/>
        <w:rPr>
          <w:rFonts w:ascii="宋体" w:hAnsi="宋体" w:cs="宋体" w:eastAsia="宋体" w:hint="default"/>
          <w:sz w:val="25"/>
          <w:szCs w:val="25"/>
        </w:rPr>
      </w:pPr>
    </w:p>
    <w:p>
      <w:pPr>
        <w:pStyle w:val="BodyText"/>
        <w:spacing w:line="273" w:lineRule="auto"/>
        <w:ind w:left="572" w:right="145" w:hanging="420"/>
        <w:jc w:val="left"/>
      </w:pPr>
      <w:r>
        <w:rPr/>
        <w:t>二、注册会计师的责任</w:t>
      </w:r>
      <w:r>
        <w:rPr>
          <w:spacing w:val="-99"/>
        </w:rPr>
        <w:t> </w:t>
      </w:r>
      <w:r>
        <w:rPr>
          <w:spacing w:val="-99"/>
        </w:rPr>
      </w:r>
      <w:r>
        <w:rPr>
          <w:spacing w:val="-3"/>
        </w:rPr>
        <w:t>我们的责任是在执行审计工作的基础上对财务报表发表审计意见。我们按照中国注册会计师审计准则</w:t>
      </w:r>
    </w:p>
    <w:p>
      <w:pPr>
        <w:pStyle w:val="BodyText"/>
        <w:spacing w:line="273" w:lineRule="auto" w:before="7"/>
        <w:ind w:right="145"/>
        <w:jc w:val="left"/>
      </w:pPr>
      <w:r>
        <w:rPr>
          <w:spacing w:val="-3"/>
        </w:rPr>
        <w:t>的规定执行了审计工作。中国注册会计师审计准则要求我们遵守中国注册会计师职业道德守则，计划和执</w:t>
      </w:r>
      <w:r>
        <w:rPr>
          <w:spacing w:val="4"/>
        </w:rPr>
        <w:t> </w:t>
      </w:r>
      <w:r>
        <w:rPr>
          <w:spacing w:val="4"/>
        </w:rPr>
      </w:r>
      <w:r>
        <w:rPr/>
        <w:t>行审计工作以对财务报表是否不存在重大错报获取合理保证。</w:t>
      </w:r>
    </w:p>
    <w:p>
      <w:pPr>
        <w:pStyle w:val="BodyText"/>
        <w:spacing w:line="273" w:lineRule="auto" w:before="7"/>
        <w:ind w:right="141" w:firstLine="420"/>
        <w:jc w:val="both"/>
      </w:pPr>
      <w:r>
        <w:rPr>
          <w:spacing w:val="-3"/>
        </w:rPr>
        <w:t>审计工作涉及实施审计程序，以获取有关财务报表金额和披露的审计证据。选择的审计程序取决于注</w:t>
      </w:r>
      <w:r>
        <w:rPr>
          <w:w w:val="100"/>
        </w:rPr>
        <w:t> </w:t>
      </w:r>
      <w:r>
        <w:rPr>
          <w:spacing w:val="-3"/>
        </w:rPr>
        <w:t>册会计师的判断，包括对由于舞弊或错误导致的财务报表重大错报风险的评估。在进行风险评估时，注册</w:t>
      </w:r>
      <w:r>
        <w:rPr>
          <w:spacing w:val="3"/>
        </w:rPr>
        <w:t> </w:t>
      </w:r>
      <w:r>
        <w:rPr>
          <w:spacing w:val="3"/>
        </w:rPr>
      </w:r>
      <w:r>
        <w:rPr>
          <w:spacing w:val="-3"/>
        </w:rPr>
        <w:t>会计师考虑与财务报表编制和公允列报相关的内部控制，以设计恰当的审计程序，但目的并非对内部控制</w:t>
      </w:r>
      <w:r>
        <w:rPr>
          <w:spacing w:val="4"/>
        </w:rPr>
        <w:t> </w:t>
      </w:r>
      <w:r>
        <w:rPr>
          <w:spacing w:val="4"/>
        </w:rPr>
      </w:r>
      <w:r>
        <w:rPr>
          <w:spacing w:val="-3"/>
        </w:rPr>
        <w:t>的有效性发表意见。审计工作还包括评价管理层选用会计政策的恰当性和作出会计估计的合理性，以及评</w:t>
      </w:r>
      <w:r>
        <w:rPr>
          <w:spacing w:val="4"/>
        </w:rPr>
        <w:t> </w:t>
      </w:r>
      <w:r>
        <w:rPr>
          <w:spacing w:val="4"/>
        </w:rPr>
      </w:r>
      <w:r>
        <w:rPr/>
        <w:t>价财务报表的总体列报。</w:t>
      </w:r>
    </w:p>
    <w:p>
      <w:pPr>
        <w:pStyle w:val="BodyText"/>
        <w:spacing w:line="240" w:lineRule="auto" w:before="7"/>
        <w:ind w:left="572" w:right="145"/>
        <w:jc w:val="left"/>
      </w:pPr>
      <w:r>
        <w:rPr/>
        <w:t>我们相信，我们获取的审计证据是充分、适当的，为发表审计意见提供了基础。</w:t>
      </w:r>
    </w:p>
    <w:p>
      <w:pPr>
        <w:spacing w:line="240" w:lineRule="auto" w:before="9"/>
        <w:rPr>
          <w:rFonts w:ascii="宋体" w:hAnsi="宋体" w:cs="宋体" w:eastAsia="宋体" w:hint="default"/>
          <w:sz w:val="26"/>
          <w:szCs w:val="26"/>
        </w:rPr>
      </w:pPr>
    </w:p>
    <w:p>
      <w:pPr>
        <w:pStyle w:val="BodyText"/>
        <w:spacing w:line="240" w:lineRule="auto"/>
        <w:ind w:right="145"/>
        <w:jc w:val="left"/>
      </w:pPr>
      <w:r>
        <w:rPr/>
        <w:t>三、审计意见</w:t>
      </w:r>
    </w:p>
    <w:p>
      <w:pPr>
        <w:pStyle w:val="BodyText"/>
        <w:spacing w:line="240" w:lineRule="auto" w:before="37"/>
        <w:ind w:left="572" w:right="145"/>
        <w:jc w:val="left"/>
      </w:pPr>
      <w:r>
        <w:rPr/>
        <w:t>我们认为，双星新材财务报表在所有重大方面按照企业会计准则的规定编制，公允反映了双星新材</w:t>
      </w:r>
    </w:p>
    <w:p>
      <w:pPr>
        <w:pStyle w:val="BodyText"/>
        <w:spacing w:line="240" w:lineRule="auto" w:before="37"/>
        <w:ind w:right="145"/>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after="0" w:line="240" w:lineRule="auto"/>
        <w:jc w:val="left"/>
        <w:sectPr>
          <w:pgSz w:w="11900" w:h="16840"/>
          <w:pgMar w:header="746"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5"/>
        <w:jc w:val="left"/>
      </w:pPr>
      <w:r>
        <w:rPr/>
        <w:t>二、财务报表</w:t>
      </w:r>
    </w:p>
    <w:p>
      <w:pPr>
        <w:spacing w:line="240" w:lineRule="auto" w:before="6"/>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1</w:t>
      </w:r>
      <w:r>
        <w:rPr/>
        <w:t>、资产负债表</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757"/>
        <w:gridCol w:w="2905"/>
        <w:gridCol w:w="2894"/>
      </w:tblGrid>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8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427,700,674.24</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1,440,526,595.11</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199,788,935.68</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200,066,294.22</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75,598,665.71</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22,887,807.04</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906,998,592.33</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535,119,217.03</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2,847,500.00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18,388,228.33</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1,562,343.64</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873,002.18</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494,324,221.77</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337,983,184.82</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2,108,820,933.37</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2,555,844,328.73</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8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05" w:type="dxa"/>
            <w:tcBorders>
              <w:top w:val="single" w:sz="4" w:space="0" w:color="000000"/>
              <w:left w:val="single" w:sz="12" w:space="0" w:color="D3D3D3"/>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5,194,200.00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1,335,989,469.93</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1,264,093,828.52</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515,649,203.98</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245,785,847.55</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84,217,721.96</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86,504,018.36</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2"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3757"/>
        <w:gridCol w:w="2905"/>
        <w:gridCol w:w="2894"/>
      </w:tblGrid>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718,283.65</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506,473.30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1,941,768,879.52</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1,602,084,367.73</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4,050,589,812.89</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4,157,928,696.46</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8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26,144,552.96</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380,239,710.85</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314,525,500.00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38,684,436.54</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26,958,345.23</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27,812,746.81</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29,044,580.77</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7,118,575.33</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6,164,051.01</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-140,610,693.28</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-18,248,744.21</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86,814.76</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122,791.06</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73,298,500.69</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27,880,230.65</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44,500,208.92</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432,774,644.66</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430,946,963.43</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8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432,774,644.66</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450,946,963.43</w:t>
            </w: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pacing w:val="-1"/>
                <w:w w:val="100"/>
                <w:sz w:val="18"/>
                <w:szCs w:val="18"/>
              </w:rPr>
              <w:t>所有者权益（或股东权益</w:t>
            </w:r>
            <w:r>
              <w:rPr>
                <w:rFonts w:ascii="宋体" w:hAnsi="宋体" w:cs="宋体" w:eastAsia="宋体" w:hint="default"/>
                <w:spacing w:val="-92"/>
                <w:w w:val="100"/>
                <w:sz w:val="18"/>
                <w:szCs w:val="18"/>
              </w:rPr>
              <w:t>）</w:t>
            </w:r>
            <w:r>
              <w:rPr>
                <w:rFonts w:ascii="宋体" w:hAnsi="宋体" w:cs="宋体" w:eastAsia="宋体" w:hint="default"/>
                <w:w w:val="100"/>
                <w:sz w:val="18"/>
                <w:szCs w:val="18"/>
              </w:rPr>
              <w:t>：</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8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1"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416,000,000.00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208,000,000.00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2,570,126,816.24</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2,778,126,816.24</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2"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85,985,082.44</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74,101,738.92</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3768"/>
        <w:gridCol w:w="2894"/>
        <w:gridCol w:w="2894"/>
      </w:tblGrid>
      <w:tr>
        <w:trPr>
          <w:trHeight w:val="310"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545,703,269.55</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646,753,177.87</w:t>
            </w:r>
          </w:p>
        </w:tc>
      </w:tr>
      <w:tr>
        <w:trPr>
          <w:trHeight w:val="311"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1"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3,617,815,168.23</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3,706,981,733.03</w:t>
            </w:r>
          </w:p>
        </w:tc>
      </w:tr>
      <w:tr>
        <w:trPr>
          <w:trHeight w:val="310"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3,617,815,168.23</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3,706,981,733.03</w:t>
            </w:r>
          </w:p>
        </w:tc>
      </w:tr>
      <w:tr>
        <w:trPr>
          <w:trHeight w:val="310"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4,050,589,812.89</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4,157,928,696.46</w:t>
            </w:r>
          </w:p>
        </w:tc>
      </w:tr>
    </w:tbl>
    <w:p>
      <w:pPr>
        <w:spacing w:line="240" w:lineRule="auto" w:before="11"/>
        <w:rPr>
          <w:rFonts w:ascii="Times New Roman" w:hAnsi="Times New Roman" w:cs="Times New Roman" w:eastAsia="Times New Roman" w:hint="default"/>
          <w:sz w:val="22"/>
          <w:szCs w:val="22"/>
        </w:rPr>
      </w:pPr>
    </w:p>
    <w:p>
      <w:pPr>
        <w:tabs>
          <w:tab w:pos="3546" w:val="left" w:leader="none"/>
          <w:tab w:pos="7597"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法定代表人：吴培服</w:t>
        <w:tab/>
      </w:r>
      <w:r>
        <w:rPr>
          <w:rFonts w:ascii="宋体" w:hAnsi="宋体" w:cs="宋体" w:eastAsia="宋体" w:hint="default"/>
          <w:spacing w:val="-2"/>
          <w:sz w:val="18"/>
          <w:szCs w:val="18"/>
        </w:rPr>
        <w:t>主管会计工作负责人：周海燕</w:t>
        <w:tab/>
        <w:t>会计机构负责人：邹雪梅</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2</w:t>
      </w:r>
      <w:r>
        <w:rPr/>
        <w:t>、利润表</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117"/>
        <w:gridCol w:w="2711"/>
        <w:gridCol w:w="2520"/>
      </w:tblGrid>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2,104,770,874.97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1,955,922,613.32</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2,104,770,874.97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1,955,922,613.32</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1,990,348,126.79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1,561,033,291.17</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1,884,687,490.26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1,475,774,568.97</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679,207.96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3,509,574.34</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26,373,751.22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16,092,205.77</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88,483,006.27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82,744,825.51</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-12,637,993.37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-16,160,080.28</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2,762,664.45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-927,803.14</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其中：对联营企业和合营企业的投资收益</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115,346,913.18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394,889,322.15</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19,441,747.00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98,856,315.56</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250,000.00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4117"/>
        <w:gridCol w:w="2711"/>
        <w:gridCol w:w="2520"/>
      </w:tblGrid>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134,538,660.18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493,615,637.71</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15,705,224.98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2"/>
                <w:sz w:val="18"/>
              </w:rPr>
              <w:t>110,713,944.51</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0.29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1.05</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0.29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1.05</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546" w:val="left" w:leader="none"/>
          <w:tab w:pos="7597" w:val="left" w:leader="none"/>
        </w:tabs>
        <w:spacing w:before="138"/>
        <w:ind w:left="152" w:right="145"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法定代表人：吴培服</w:t>
        <w:tab/>
      </w:r>
      <w:r>
        <w:rPr>
          <w:rFonts w:ascii="宋体" w:hAnsi="宋体" w:cs="宋体" w:eastAsia="宋体" w:hint="default"/>
          <w:spacing w:val="-2"/>
          <w:sz w:val="18"/>
          <w:szCs w:val="18"/>
        </w:rPr>
        <w:t>主管会计工作负责人：周海燕</w:t>
        <w:tab/>
        <w:t>会计机构负责人：邹雪梅</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3</w:t>
      </w:r>
      <w:r>
        <w:rPr/>
        <w:t>、现金流量表</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before="88"/>
        <w:ind w:left="0" w:right="14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11"/>
        <w:rPr>
          <w:rFonts w:ascii="宋体" w:hAnsi="宋体" w:cs="宋体" w:eastAsia="宋体"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4117"/>
        <w:gridCol w:w="2711"/>
        <w:gridCol w:w="2520"/>
      </w:tblGrid>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2,290,286,857.89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1,736,434,613.22</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033"/>
              <w:jc w:val="right"/>
              <w:rPr>
                <w:rFonts w:ascii="宋体" w:hAnsi="宋体" w:cs="宋体" w:eastAsia="宋体" w:hint="default"/>
                <w:sz w:val="18"/>
                <w:szCs w:val="18"/>
              </w:rPr>
            </w:pPr>
            <w:r>
              <w:rPr>
                <w:rFonts w:ascii="宋体" w:hAnsi="宋体" w:cs="宋体" w:eastAsia="宋体" w:hint="default"/>
                <w:spacing w:val="-1"/>
                <w:sz w:val="18"/>
                <w:szCs w:val="18"/>
              </w:rPr>
              <w:t>客户存款和同业存放款项净增加额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033"/>
              <w:jc w:val="right"/>
              <w:rPr>
                <w:rFonts w:ascii="宋体" w:hAnsi="宋体" w:cs="宋体" w:eastAsia="宋体" w:hint="default"/>
                <w:sz w:val="18"/>
                <w:szCs w:val="18"/>
              </w:rPr>
            </w:pPr>
            <w:r>
              <w:rPr>
                <w:rFonts w:ascii="宋体" w:hAnsi="宋体" w:cs="宋体" w:eastAsia="宋体" w:hint="default"/>
                <w:spacing w:val="-1"/>
                <w:sz w:val="18"/>
                <w:szCs w:val="18"/>
              </w:rPr>
              <w:t>向其他金融机构拆入资金净增加额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8,146,307.72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18,723,645.49</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83,298,951.75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106,159,180.92</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2,381,732,117.36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1,861,317,439.63</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2,027,753,181.51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1,597,918,526.38</w:t>
            </w: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033"/>
              <w:jc w:val="right"/>
              <w:rPr>
                <w:rFonts w:ascii="宋体" w:hAnsi="宋体" w:cs="宋体" w:eastAsia="宋体" w:hint="default"/>
                <w:sz w:val="18"/>
                <w:szCs w:val="18"/>
              </w:rPr>
            </w:pPr>
            <w:r>
              <w:rPr>
                <w:rFonts w:ascii="宋体" w:hAnsi="宋体" w:cs="宋体" w:eastAsia="宋体" w:hint="default"/>
                <w:spacing w:val="-1"/>
                <w:sz w:val="18"/>
                <w:szCs w:val="18"/>
              </w:rPr>
              <w:t>存放中央银行和同业款项净增加额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00" w:h="16840"/>
          <w:pgMar w:footer="982" w:header="746" w:top="1060" w:bottom="1180" w:left="980" w:right="980"/>
          <w:pgNumType w:start="6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4117"/>
        <w:gridCol w:w="2711"/>
        <w:gridCol w:w="2520"/>
      </w:tblGrid>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42,060,766.68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2"/>
                <w:sz w:val="18"/>
              </w:rPr>
              <w:t>30,898,911.53</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85,164,605.50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107,550,565.05</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146,289,075.24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72,328,188.24</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2,301,267,628.93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1,808,696,191.20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80,464,488.43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52,621,248.43</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auto" w:before="21"/>
              <w:ind w:left="12" w:right="8" w:firstLine="36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处置固定资产、无形资产和其他长期资产收回的</w:t>
            </w:r>
            <w:r>
              <w:rPr>
                <w:rFonts w:ascii="宋体" w:hAnsi="宋体" w:cs="宋体" w:eastAsia="宋体" w:hint="default"/>
                <w:w w:val="100"/>
                <w:sz w:val="18"/>
                <w:szCs w:val="18"/>
              </w:rPr>
              <w:t> </w:t>
            </w:r>
            <w:r>
              <w:rPr>
                <w:rFonts w:ascii="宋体" w:hAnsi="宋体" w:cs="宋体" w:eastAsia="宋体" w:hint="default"/>
                <w:sz w:val="18"/>
                <w:szCs w:val="18"/>
              </w:rPr>
              <w:t>现金净额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313"/>
              <w:jc w:val="right"/>
              <w:rPr>
                <w:rFonts w:ascii="宋体" w:hAnsi="宋体" w:cs="宋体" w:eastAsia="宋体" w:hint="default"/>
                <w:sz w:val="18"/>
                <w:szCs w:val="18"/>
              </w:rPr>
            </w:pPr>
            <w:r>
              <w:rPr>
                <w:rFonts w:ascii="宋体" w:hAnsi="宋体" w:cs="宋体" w:eastAsia="宋体" w:hint="default"/>
                <w:spacing w:val="-1"/>
                <w:sz w:val="18"/>
                <w:szCs w:val="18"/>
              </w:rPr>
              <w:t>处置子公司及其他营业单位收到的现金净额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1,056,742,593.83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6,948,635.59</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1,057,666,758.83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6,948,635.59</w:t>
            </w:r>
          </w:p>
        </w:tc>
      </w:tr>
      <w:tr>
        <w:trPr>
          <w:trHeight w:val="57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auto" w:before="21"/>
              <w:ind w:left="12" w:right="8" w:firstLine="36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购建固定资产、无形资产和其他长期资产支付的</w:t>
            </w:r>
            <w:r>
              <w:rPr>
                <w:rFonts w:ascii="宋体" w:hAnsi="宋体" w:cs="宋体" w:eastAsia="宋体" w:hint="default"/>
                <w:w w:val="100"/>
                <w:sz w:val="18"/>
                <w:szCs w:val="18"/>
              </w:rPr>
              <w:t> </w:t>
            </w:r>
            <w:r>
              <w:rPr>
                <w:rFonts w:ascii="宋体" w:hAnsi="宋体" w:cs="宋体" w:eastAsia="宋体" w:hint="default"/>
                <w:sz w:val="18"/>
                <w:szCs w:val="18"/>
              </w:rPr>
              <w:t>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895,874,378.30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1,223,766,048.04</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313"/>
              <w:jc w:val="right"/>
              <w:rPr>
                <w:rFonts w:ascii="宋体" w:hAnsi="宋体" w:cs="宋体" w:eastAsia="宋体" w:hint="default"/>
                <w:sz w:val="18"/>
                <w:szCs w:val="18"/>
              </w:rPr>
            </w:pPr>
            <w:r>
              <w:rPr>
                <w:rFonts w:ascii="宋体" w:hAnsi="宋体" w:cs="宋体" w:eastAsia="宋体" w:hint="default"/>
                <w:spacing w:val="-1"/>
                <w:sz w:val="18"/>
                <w:szCs w:val="18"/>
              </w:rPr>
              <w:t>取得子公司及其他营业单位支付的现金净额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1,300,300,000.00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895,874,378.30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2,524,066,048.04</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161,792,380.53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2"/>
                <w:sz w:val="18"/>
              </w:rPr>
              <w:t>-2,517,117,412.45</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2,706,609,658.00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313"/>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2711" w:type="dxa"/>
            <w:tcBorders>
              <w:top w:val="single" w:sz="4" w:space="0" w:color="000000"/>
              <w:left w:val="single" w:sz="12"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45,234,091.39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151,882,937.78</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45,234,091.39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2,858,492,595.78</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63,404,649.48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337,932,538.98</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212,041,396.88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3"/>
                <w:sz w:val="18"/>
              </w:rPr>
              <w:t>11,899,111.09</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313"/>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275,446,046.36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349,831,650.07</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-230,211,954.97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2,508,660,945.71</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429,165.14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-554,833.05</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12,474,079.13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43,609,948.64</w:t>
            </w: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2"/>
                <w:sz w:val="18"/>
              </w:rPr>
              <w:t>140,226,595.11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96,616,646.47</w:t>
            </w:r>
          </w:p>
        </w:tc>
      </w:tr>
      <w:tr>
        <w:trPr>
          <w:trHeight w:val="33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152,700,674.24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140,226,595.11</w:t>
            </w:r>
          </w:p>
        </w:tc>
      </w:tr>
    </w:tbl>
    <w:p>
      <w:pPr>
        <w:spacing w:line="240" w:lineRule="auto" w:before="2"/>
        <w:rPr>
          <w:rFonts w:ascii="宋体" w:hAnsi="宋体" w:cs="宋体" w:eastAsia="宋体" w:hint="default"/>
          <w:sz w:val="20"/>
          <w:szCs w:val="20"/>
        </w:rPr>
      </w:pPr>
    </w:p>
    <w:p>
      <w:pPr>
        <w:tabs>
          <w:tab w:pos="3546" w:val="left" w:leader="none"/>
          <w:tab w:pos="7597"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法定代表人：吴培服</w:t>
        <w:tab/>
      </w:r>
      <w:r>
        <w:rPr>
          <w:rFonts w:ascii="宋体" w:hAnsi="宋体" w:cs="宋体" w:eastAsia="宋体" w:hint="default"/>
          <w:spacing w:val="-2"/>
          <w:sz w:val="18"/>
          <w:szCs w:val="18"/>
        </w:rPr>
        <w:t>主管会计工作负责人：周海燕</w:t>
        <w:tab/>
        <w:t>会计机构负责人：邹雪梅</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832" w:right="0"/>
        <w:jc w:val="left"/>
      </w:pPr>
      <w:r>
        <w:rPr>
          <w:rFonts w:ascii="Times New Roman" w:hAnsi="Times New Roman" w:cs="Times New Roman" w:eastAsia="Times New Roman" w:hint="default"/>
          <w:b/>
          <w:bCs/>
        </w:rPr>
        <w:t>4</w:t>
      </w:r>
      <w:r>
        <w:rPr/>
        <w:t>、所有者权益变动表</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746" w:footer="982" w:top="1060" w:bottom="1180" w:left="300" w:right="180"/>
        </w:sectPr>
      </w:pPr>
    </w:p>
    <w:p>
      <w:pPr>
        <w:spacing w:line="357" w:lineRule="auto" w:before="44"/>
        <w:ind w:left="832"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编制单位：江苏双星彩塑新材料股份有限公司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8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00" w:h="16840"/>
          <w:pgMar w:top="1060" w:bottom="1180" w:left="300" w:right="180"/>
          <w:cols w:num="2" w:equalWidth="0">
            <w:col w:w="4434" w:space="4485"/>
            <w:col w:w="2501"/>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57"/>
        <w:gridCol w:w="1271"/>
        <w:gridCol w:w="1337"/>
        <w:gridCol w:w="643"/>
        <w:gridCol w:w="540"/>
        <w:gridCol w:w="1260"/>
        <w:gridCol w:w="540"/>
        <w:gridCol w:w="1260"/>
        <w:gridCol w:w="360"/>
        <w:gridCol w:w="540"/>
        <w:gridCol w:w="1469"/>
      </w:tblGrid>
      <w:tr>
        <w:trPr>
          <w:trHeight w:val="319" w:hRule="exact"/>
        </w:trPr>
        <w:tc>
          <w:tcPr>
            <w:tcW w:w="1957" w:type="dxa"/>
            <w:vMerge w:val="restart"/>
            <w:tcBorders>
              <w:top w:val="single" w:sz="4" w:space="0" w:color="000000"/>
              <w:left w:val="single" w:sz="4" w:space="0" w:color="000000"/>
              <w:right w:val="single" w:sz="4" w:space="0" w:color="000000"/>
            </w:tcBorders>
            <w:shd w:val="clear" w:color="auto" w:fill="D3D3D3"/>
          </w:tcPr>
          <w:p>
            <w:pPr/>
          </w:p>
        </w:tc>
        <w:tc>
          <w:tcPr>
            <w:tcW w:w="922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95" w:hRule="exact"/>
        </w:trPr>
        <w:tc>
          <w:tcPr>
            <w:tcW w:w="1957" w:type="dxa"/>
            <w:vMerge/>
            <w:tcBorders>
              <w:left w:val="single" w:sz="4" w:space="0" w:color="000000"/>
              <w:bottom w:val="nil" w:sz="6" w:space="0" w:color="auto"/>
              <w:right w:val="single" w:sz="4" w:space="0" w:color="000000"/>
            </w:tcBorders>
            <w:shd w:val="clear" w:color="auto" w:fill="D3D3D3"/>
          </w:tcPr>
          <w:p>
            <w:pPr/>
          </w:p>
        </w:tc>
        <w:tc>
          <w:tcPr>
            <w:tcW w:w="7211"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9" w:type="dxa"/>
            <w:vMerge w:val="restart"/>
            <w:tcBorders>
              <w:top w:val="single" w:sz="4" w:space="0" w:color="000000"/>
              <w:left w:val="single" w:sz="4" w:space="0" w:color="000000"/>
              <w:right w:val="single" w:sz="4" w:space="0" w:color="000000"/>
            </w:tcBorders>
            <w:shd w:val="clear" w:color="auto" w:fill="D3D3D3"/>
          </w:tcPr>
          <w:p>
            <w:pPr/>
          </w:p>
        </w:tc>
      </w:tr>
      <w:tr>
        <w:trPr>
          <w:trHeight w:val="154" w:hRule="exact"/>
        </w:trPr>
        <w:tc>
          <w:tcPr>
            <w:tcW w:w="19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11" w:type="dxa"/>
            <w:gridSpan w:val="8"/>
            <w:vMerge/>
            <w:tcBorders>
              <w:left w:val="single" w:sz="4" w:space="0" w:color="000000"/>
              <w:bottom w:val="single" w:sz="4" w:space="0" w:color="000000"/>
              <w:right w:val="single" w:sz="4" w:space="0" w:color="000000"/>
            </w:tcBorders>
            <w:shd w:val="clear" w:color="auto" w:fill="D3D3D3"/>
          </w:tcPr>
          <w:p>
            <w:pPr/>
          </w:p>
        </w:tc>
        <w:tc>
          <w:tcPr>
            <w:tcW w:w="540" w:type="dxa"/>
            <w:vMerge w:val="restart"/>
            <w:tcBorders>
              <w:top w:val="nil" w:sz="6" w:space="0" w:color="auto"/>
              <w:left w:val="single" w:sz="4" w:space="0" w:color="000000"/>
              <w:right w:val="single" w:sz="4" w:space="0" w:color="000000"/>
            </w:tcBorders>
            <w:shd w:val="clear" w:color="auto" w:fill="D3D3D3"/>
          </w:tcPr>
          <w:p>
            <w:pPr>
              <w:pStyle w:val="TableParagraph"/>
              <w:spacing w:line="228" w:lineRule="exact" w:before="4"/>
              <w:ind w:left="86" w:right="81"/>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w w:val="100"/>
                <w:sz w:val="18"/>
                <w:szCs w:val="18"/>
              </w:rPr>
              <w:t> </w:t>
            </w:r>
            <w:r>
              <w:rPr>
                <w:rFonts w:ascii="宋体" w:hAnsi="宋体" w:cs="宋体" w:eastAsia="宋体" w:hint="default"/>
                <w:sz w:val="18"/>
                <w:szCs w:val="18"/>
              </w:rPr>
              <w:t>股东</w:t>
            </w:r>
          </w:p>
          <w:p>
            <w:pPr>
              <w:pStyle w:val="TableParagraph"/>
              <w:spacing w:line="210" w:lineRule="exact"/>
              <w:ind w:left="86"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469" w:type="dxa"/>
            <w:vMerge/>
            <w:tcBorders>
              <w:left w:val="single" w:sz="4" w:space="0" w:color="000000"/>
              <w:bottom w:val="nil" w:sz="6" w:space="0" w:color="auto"/>
              <w:right w:val="single" w:sz="4" w:space="0" w:color="000000"/>
            </w:tcBorders>
            <w:shd w:val="clear" w:color="auto" w:fill="D3D3D3"/>
          </w:tcPr>
          <w:p>
            <w:pPr/>
          </w:p>
        </w:tc>
      </w:tr>
      <w:tr>
        <w:trPr>
          <w:trHeight w:val="166" w:hRule="exact"/>
        </w:trPr>
        <w:tc>
          <w:tcPr>
            <w:tcW w:w="1957" w:type="dxa"/>
            <w:vMerge/>
            <w:tcBorders>
              <w:left w:val="single" w:sz="4" w:space="0" w:color="000000"/>
              <w:bottom w:val="nil" w:sz="6" w:space="0" w:color="auto"/>
              <w:right w:val="single" w:sz="4" w:space="0" w:color="000000"/>
            </w:tcBorders>
            <w:shd w:val="clear" w:color="auto" w:fill="D3D3D3"/>
          </w:tcPr>
          <w:p>
            <w:pPr/>
          </w:p>
        </w:tc>
        <w:tc>
          <w:tcPr>
            <w:tcW w:w="1271" w:type="dxa"/>
            <w:vMerge w:val="restart"/>
            <w:tcBorders>
              <w:top w:val="single" w:sz="4" w:space="0" w:color="000000"/>
              <w:left w:val="single" w:sz="4" w:space="0" w:color="000000"/>
              <w:right w:val="single" w:sz="4" w:space="0" w:color="000000"/>
            </w:tcBorders>
            <w:shd w:val="clear" w:color="auto" w:fill="D3D3D3"/>
          </w:tcPr>
          <w:p>
            <w:pPr>
              <w:pStyle w:val="TableParagraph"/>
              <w:spacing w:line="230" w:lineRule="exact" w:before="125"/>
              <w:ind w:left="457" w:right="19" w:hanging="423"/>
              <w:jc w:val="left"/>
              <w:rPr>
                <w:rFonts w:ascii="宋体" w:hAnsi="宋体" w:cs="宋体" w:eastAsia="宋体" w:hint="default"/>
                <w:sz w:val="18"/>
                <w:szCs w:val="18"/>
              </w:rPr>
            </w:pPr>
            <w:r>
              <w:rPr>
                <w:rFonts w:ascii="宋体" w:hAnsi="宋体" w:cs="宋体" w:eastAsia="宋体" w:hint="default"/>
                <w:spacing w:val="-9"/>
                <w:sz w:val="18"/>
                <w:szCs w:val="18"/>
              </w:rPr>
              <w:t>实收资本（或股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p>
        </w:tc>
        <w:tc>
          <w:tcPr>
            <w:tcW w:w="1337" w:type="dxa"/>
            <w:tcBorders>
              <w:top w:val="single" w:sz="4" w:space="0" w:color="000000"/>
              <w:left w:val="single" w:sz="4" w:space="0" w:color="000000"/>
              <w:bottom w:val="nil" w:sz="6" w:space="0" w:color="auto"/>
              <w:right w:val="single" w:sz="4" w:space="0" w:color="FFFFFF"/>
            </w:tcBorders>
            <w:shd w:val="clear" w:color="auto" w:fill="D3D3D3"/>
          </w:tcPr>
          <w:p>
            <w:pPr/>
          </w:p>
        </w:tc>
        <w:tc>
          <w:tcPr>
            <w:tcW w:w="643" w:type="dxa"/>
            <w:vMerge w:val="restart"/>
            <w:tcBorders>
              <w:top w:val="single" w:sz="4" w:space="0" w:color="000000"/>
              <w:left w:val="single" w:sz="4" w:space="0" w:color="FFFFFF"/>
              <w:right w:val="single" w:sz="4" w:space="0" w:color="000000"/>
            </w:tcBorders>
            <w:shd w:val="clear" w:color="auto" w:fill="D3D3D3"/>
          </w:tcPr>
          <w:p>
            <w:pPr>
              <w:pStyle w:val="TableParagraph"/>
              <w:spacing w:line="230" w:lineRule="exact" w:before="125"/>
              <w:ind w:left="134" w:right="45" w:hanging="89"/>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w w:val="100"/>
                <w:sz w:val="18"/>
                <w:szCs w:val="18"/>
              </w:rPr>
              <w:t> </w:t>
            </w:r>
            <w:r>
              <w:rPr>
                <w:rFonts w:ascii="宋体" w:hAnsi="宋体" w:cs="宋体" w:eastAsia="宋体" w:hint="default"/>
                <w:sz w:val="18"/>
                <w:szCs w:val="18"/>
              </w:rPr>
              <w:t>存股</w:t>
            </w: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230" w:lineRule="exact" w:before="125"/>
              <w:ind w:left="86" w:right="81"/>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w w:val="100"/>
                <w:sz w:val="18"/>
                <w:szCs w:val="18"/>
              </w:rPr>
              <w:t> </w:t>
            </w:r>
            <w:r>
              <w:rPr>
                <w:rFonts w:ascii="宋体" w:hAnsi="宋体" w:cs="宋体" w:eastAsia="宋体" w:hint="default"/>
                <w:sz w:val="18"/>
                <w:szCs w:val="18"/>
              </w:rPr>
              <w:t>储备</w:t>
            </w: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230" w:lineRule="exact" w:before="10"/>
              <w:ind w:left="86" w:right="81"/>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w w:val="100"/>
                <w:sz w:val="18"/>
                <w:szCs w:val="18"/>
              </w:rPr>
              <w:t> </w:t>
            </w:r>
            <w:r>
              <w:rPr>
                <w:rFonts w:ascii="宋体" w:hAnsi="宋体" w:cs="宋体" w:eastAsia="宋体" w:hint="default"/>
                <w:sz w:val="18"/>
                <w:szCs w:val="18"/>
              </w:rPr>
              <w:t>风险</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360" w:type="dxa"/>
            <w:vMerge w:val="restart"/>
            <w:tcBorders>
              <w:top w:val="single" w:sz="4" w:space="0" w:color="000000"/>
              <w:left w:val="single" w:sz="4" w:space="0" w:color="000000"/>
              <w:right w:val="single" w:sz="4" w:space="0" w:color="000000"/>
            </w:tcBorders>
            <w:shd w:val="clear" w:color="auto" w:fill="D3D3D3"/>
          </w:tcPr>
          <w:p>
            <w:pPr>
              <w:pStyle w:val="TableParagraph"/>
              <w:spacing w:line="230" w:lineRule="exact" w:before="125"/>
              <w:ind w:left="86" w:right="8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w w:val="100"/>
                <w:sz w:val="18"/>
                <w:szCs w:val="18"/>
              </w:rPr>
              <w:t> </w:t>
            </w:r>
            <w:r>
              <w:rPr>
                <w:rFonts w:ascii="宋体" w:hAnsi="宋体" w:cs="宋体" w:eastAsia="宋体" w:hint="default"/>
                <w:sz w:val="18"/>
                <w:szCs w:val="18"/>
              </w:rPr>
              <w:t>他</w:t>
            </w:r>
          </w:p>
        </w:tc>
        <w:tc>
          <w:tcPr>
            <w:tcW w:w="540" w:type="dxa"/>
            <w:vMerge/>
            <w:tcBorders>
              <w:left w:val="single" w:sz="4" w:space="0" w:color="000000"/>
              <w:right w:val="single" w:sz="4" w:space="0" w:color="000000"/>
            </w:tcBorders>
            <w:shd w:val="clear" w:color="auto" w:fill="D3D3D3"/>
          </w:tcPr>
          <w:p>
            <w:pPr/>
          </w:p>
        </w:tc>
        <w:tc>
          <w:tcPr>
            <w:tcW w:w="146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6" w:hRule="exact"/>
        </w:trPr>
        <w:tc>
          <w:tcPr>
            <w:tcW w:w="1957" w:type="dxa"/>
            <w:vMerge w:val="restart"/>
            <w:tcBorders>
              <w:top w:val="nil" w:sz="6" w:space="0" w:color="auto"/>
              <w:left w:val="single" w:sz="4" w:space="0" w:color="000000"/>
              <w:right w:val="single" w:sz="4" w:space="0" w:color="000000"/>
            </w:tcBorders>
            <w:shd w:val="clear" w:color="auto" w:fill="D3D3D3"/>
          </w:tcPr>
          <w:p>
            <w:pPr/>
          </w:p>
        </w:tc>
        <w:tc>
          <w:tcPr>
            <w:tcW w:w="1271" w:type="dxa"/>
            <w:vMerge/>
            <w:tcBorders>
              <w:left w:val="single" w:sz="4" w:space="0" w:color="000000"/>
              <w:right w:val="single" w:sz="4" w:space="0" w:color="000000"/>
            </w:tcBorders>
            <w:shd w:val="clear" w:color="auto" w:fill="D3D3D3"/>
          </w:tcPr>
          <w:p>
            <w:pPr/>
          </w:p>
        </w:tc>
        <w:tc>
          <w:tcPr>
            <w:tcW w:w="1337" w:type="dxa"/>
            <w:vMerge w:val="restart"/>
            <w:tcBorders>
              <w:top w:val="nil" w:sz="6" w:space="0" w:color="auto"/>
              <w:left w:val="single" w:sz="4" w:space="0" w:color="000000"/>
              <w:right w:val="single" w:sz="4" w:space="0" w:color="FFFFFF"/>
            </w:tcBorders>
            <w:shd w:val="clear" w:color="auto" w:fill="D3D3D3"/>
          </w:tcPr>
          <w:p>
            <w:pPr>
              <w:pStyle w:val="TableParagraph"/>
              <w:spacing w:line="240" w:lineRule="auto" w:before="16"/>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43" w:type="dxa"/>
            <w:vMerge/>
            <w:tcBorders>
              <w:left w:val="single" w:sz="4" w:space="0" w:color="FFFFFF"/>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4"/>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40" w:type="dxa"/>
            <w:vMerge/>
            <w:tcBorders>
              <w:left w:val="single" w:sz="4" w:space="0" w:color="000000"/>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4"/>
              <w:ind w:left="1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469" w:type="dxa"/>
            <w:vMerge/>
            <w:tcBorders>
              <w:left w:val="single" w:sz="4" w:space="0" w:color="000000"/>
              <w:bottom w:val="nil" w:sz="6" w:space="0" w:color="auto"/>
              <w:right w:val="single" w:sz="4" w:space="0" w:color="000000"/>
            </w:tcBorders>
            <w:shd w:val="clear" w:color="auto" w:fill="D3D3D3"/>
          </w:tcPr>
          <w:p>
            <w:pPr/>
          </w:p>
        </w:tc>
      </w:tr>
      <w:tr>
        <w:trPr>
          <w:trHeight w:val="166" w:hRule="exact"/>
        </w:trPr>
        <w:tc>
          <w:tcPr>
            <w:tcW w:w="1957" w:type="dxa"/>
            <w:vMerge/>
            <w:tcBorders>
              <w:left w:val="single" w:sz="4" w:space="0" w:color="000000"/>
              <w:right w:val="single" w:sz="4" w:space="0" w:color="000000"/>
            </w:tcBorders>
            <w:shd w:val="clear" w:color="auto" w:fill="D3D3D3"/>
          </w:tcPr>
          <w:p>
            <w:pPr/>
          </w:p>
        </w:tc>
        <w:tc>
          <w:tcPr>
            <w:tcW w:w="1271" w:type="dxa"/>
            <w:vMerge/>
            <w:tcBorders>
              <w:left w:val="single" w:sz="4" w:space="0" w:color="000000"/>
              <w:right w:val="single" w:sz="4" w:space="0" w:color="000000"/>
            </w:tcBorders>
            <w:shd w:val="clear" w:color="auto" w:fill="D3D3D3"/>
          </w:tcPr>
          <w:p>
            <w:pPr/>
          </w:p>
        </w:tc>
        <w:tc>
          <w:tcPr>
            <w:tcW w:w="1337" w:type="dxa"/>
            <w:vMerge/>
            <w:tcBorders>
              <w:left w:val="single" w:sz="4" w:space="0" w:color="000000"/>
              <w:bottom w:val="nil" w:sz="6" w:space="0" w:color="auto"/>
              <w:right w:val="single" w:sz="4" w:space="0" w:color="FFFFFF"/>
            </w:tcBorders>
            <w:shd w:val="clear" w:color="auto" w:fill="D3D3D3"/>
          </w:tcPr>
          <w:p>
            <w:pPr/>
          </w:p>
        </w:tc>
        <w:tc>
          <w:tcPr>
            <w:tcW w:w="643" w:type="dxa"/>
            <w:vMerge/>
            <w:tcBorders>
              <w:left w:val="single" w:sz="4" w:space="0" w:color="FFFFFF"/>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36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bottom w:val="nil" w:sz="6" w:space="0" w:color="auto"/>
              <w:right w:val="single" w:sz="4" w:space="0" w:color="000000"/>
            </w:tcBorders>
            <w:shd w:val="clear" w:color="auto" w:fill="D3D3D3"/>
          </w:tcPr>
          <w:p>
            <w:pPr/>
          </w:p>
        </w:tc>
        <w:tc>
          <w:tcPr>
            <w:tcW w:w="1469" w:type="dxa"/>
            <w:vMerge w:val="restart"/>
            <w:tcBorders>
              <w:top w:val="nil" w:sz="6" w:space="0" w:color="auto"/>
              <w:left w:val="single" w:sz="4" w:space="0" w:color="000000"/>
              <w:right w:val="single" w:sz="4" w:space="0" w:color="000000"/>
            </w:tcBorders>
            <w:shd w:val="clear" w:color="auto" w:fill="D3D3D3"/>
          </w:tcPr>
          <w:p>
            <w:pPr/>
          </w:p>
        </w:tc>
      </w:tr>
      <w:tr>
        <w:trPr>
          <w:trHeight w:val="203" w:hRule="exact"/>
        </w:trPr>
        <w:tc>
          <w:tcPr>
            <w:tcW w:w="1957" w:type="dxa"/>
            <w:vMerge/>
            <w:tcBorders>
              <w:left w:val="single" w:sz="4" w:space="0" w:color="000000"/>
              <w:bottom w:val="single" w:sz="4" w:space="0" w:color="000000"/>
              <w:right w:val="single" w:sz="4" w:space="0" w:color="000000"/>
            </w:tcBorders>
            <w:shd w:val="clear" w:color="auto" w:fill="D3D3D3"/>
          </w:tcPr>
          <w:p>
            <w:pPr/>
          </w:p>
        </w:tc>
        <w:tc>
          <w:tcPr>
            <w:tcW w:w="1271" w:type="dxa"/>
            <w:vMerge/>
            <w:tcBorders>
              <w:left w:val="single" w:sz="4" w:space="0" w:color="000000"/>
              <w:bottom w:val="single" w:sz="4" w:space="0" w:color="000000"/>
              <w:right w:val="single" w:sz="4" w:space="0" w:color="000000"/>
            </w:tcBorders>
            <w:shd w:val="clear" w:color="auto" w:fill="D3D3D3"/>
          </w:tcPr>
          <w:p>
            <w:pPr/>
          </w:p>
        </w:tc>
        <w:tc>
          <w:tcPr>
            <w:tcW w:w="1337" w:type="dxa"/>
            <w:tcBorders>
              <w:top w:val="nil" w:sz="6" w:space="0" w:color="auto"/>
              <w:left w:val="single" w:sz="4" w:space="0" w:color="000000"/>
              <w:bottom w:val="single" w:sz="4" w:space="0" w:color="000000"/>
              <w:right w:val="single" w:sz="4" w:space="0" w:color="FFFFFF"/>
            </w:tcBorders>
            <w:shd w:val="clear" w:color="auto" w:fill="D3D3D3"/>
          </w:tcPr>
          <w:p>
            <w:pPr/>
          </w:p>
        </w:tc>
        <w:tc>
          <w:tcPr>
            <w:tcW w:w="643" w:type="dxa"/>
            <w:vMerge/>
            <w:tcBorders>
              <w:left w:val="single" w:sz="4" w:space="0" w:color="FFFFFF"/>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360"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9"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1" w:type="dxa"/>
            <w:tcBorders>
              <w:top w:val="single" w:sz="46" w:space="0" w:color="D3D3D3"/>
              <w:left w:val="single" w:sz="12" w:space="0" w:color="D3D3D3"/>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2,778,126,816.24</w:t>
            </w:r>
          </w:p>
        </w:tc>
        <w:tc>
          <w:tcPr>
            <w:tcW w:w="643" w:type="dxa"/>
            <w:tcBorders>
              <w:top w:val="single" w:sz="46" w:space="0" w:color="D3D3D3"/>
              <w:left w:val="single" w:sz="4" w:space="0" w:color="FFFFFF"/>
              <w:bottom w:val="single" w:sz="4" w:space="0" w:color="000000"/>
              <w:right w:val="single" w:sz="4" w:space="0" w:color="000000"/>
            </w:tcBorders>
          </w:tcPr>
          <w:p>
            <w:pPr/>
          </w:p>
        </w:tc>
        <w:tc>
          <w:tcPr>
            <w:tcW w:w="540" w:type="dxa"/>
            <w:tcBorders>
              <w:top w:val="single" w:sz="46" w:space="0" w:color="D3D3D3"/>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74,101,738.92</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646,753,177.87</w:t>
            </w:r>
          </w:p>
        </w:tc>
        <w:tc>
          <w:tcPr>
            <w:tcW w:w="360" w:type="dxa"/>
            <w:tcBorders>
              <w:top w:val="single" w:sz="46" w:space="0" w:color="D3D3D3"/>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3,706,981,733.03</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12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2,778,126,816.24</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74,101,738.92</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646,753,177.87</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3,706,981,733.03</w:t>
            </w:r>
          </w:p>
        </w:tc>
      </w:tr>
      <w:tr>
        <w:trPr>
          <w:trHeight w:val="5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3"/>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5" w:lineRule="exact"/>
              <w:ind w:left="1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-208,000,000.00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11,883,343.52</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-101,049,908.32</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-89,166,564.80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2"/>
                <w:sz w:val="18"/>
              </w:rPr>
              <w:t>118,833,435.20</w:t>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pacing w:val="-6"/>
                <w:sz w:val="18"/>
                <w:szCs w:val="18"/>
              </w:rPr>
              <w:t>上述（一）和（二）小计</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2"/>
                <w:sz w:val="18"/>
              </w:rPr>
              <w:t>118,833,435.20</w:t>
            </w:r>
          </w:p>
        </w:tc>
      </w:tr>
      <w:tr>
        <w:trPr>
          <w:trHeight w:val="5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39"/>
              <w:ind w:left="12" w:right="8"/>
              <w:jc w:val="left"/>
              <w:rPr>
                <w:rFonts w:ascii="宋体" w:hAnsi="宋体" w:cs="宋体" w:eastAsia="宋体" w:hint="default"/>
                <w:sz w:val="18"/>
                <w:szCs w:val="18"/>
              </w:rPr>
            </w:pPr>
            <w:r>
              <w:rPr>
                <w:rFonts w:ascii="宋体" w:hAnsi="宋体" w:cs="宋体" w:eastAsia="宋体" w:hint="default"/>
                <w:spacing w:val="-6"/>
                <w:sz w:val="18"/>
                <w:szCs w:val="18"/>
              </w:rPr>
              <w:t>（三）所有者投入和减少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资本</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before="40"/>
              <w:ind w:left="1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w:t>
            </w:r>
            <w:r>
              <w:rPr>
                <w:rFonts w:ascii="宋体" w:hAnsi="宋体" w:cs="宋体" w:eastAsia="宋体" w:hint="default"/>
                <w:w w:val="100"/>
                <w:sz w:val="18"/>
                <w:szCs w:val="18"/>
              </w:rPr>
              <w:t> </w:t>
            </w:r>
            <w:r>
              <w:rPr>
                <w:rFonts w:ascii="宋体" w:hAnsi="宋体" w:cs="宋体" w:eastAsia="宋体" w:hint="default"/>
                <w:sz w:val="18"/>
                <w:szCs w:val="18"/>
              </w:rPr>
              <w:t>权益的金额</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2"/>
                <w:sz w:val="18"/>
              </w:rPr>
              <w:t>11,883,343.52</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-219,883,343.52</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-208,000,000.00</w:t>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2"/>
                <w:sz w:val="18"/>
              </w:rPr>
              <w:t>11,883,343.52</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2"/>
                <w:sz w:val="18"/>
              </w:rPr>
              <w:t>-11,883,343.52</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39"/>
              <w:ind w:left="1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r>
              <w:rPr>
                <w:rFonts w:ascii="宋体" w:hAnsi="宋体" w:cs="宋体" w:eastAsia="宋体" w:hint="default"/>
                <w:w w:val="100"/>
                <w:sz w:val="18"/>
                <w:szCs w:val="18"/>
              </w:rPr>
              <w:t> </w:t>
            </w:r>
            <w:r>
              <w:rPr>
                <w:rFonts w:ascii="宋体" w:hAnsi="宋体" w:cs="宋体" w:eastAsia="宋体" w:hint="default"/>
                <w:sz w:val="18"/>
                <w:szCs w:val="18"/>
              </w:rPr>
              <w:t>的分配</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-208,000,000.00</w:t>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before="40"/>
              <w:ind w:left="12" w:right="8"/>
              <w:jc w:val="left"/>
              <w:rPr>
                <w:rFonts w:ascii="宋体" w:hAnsi="宋体" w:cs="宋体" w:eastAsia="宋体" w:hint="default"/>
                <w:sz w:val="18"/>
                <w:szCs w:val="18"/>
              </w:rPr>
            </w:pPr>
            <w:r>
              <w:rPr>
                <w:rFonts w:ascii="宋体" w:hAnsi="宋体" w:cs="宋体" w:eastAsia="宋体" w:hint="default"/>
                <w:spacing w:val="-6"/>
                <w:sz w:val="18"/>
                <w:szCs w:val="18"/>
              </w:rPr>
              <w:t>（五）所有者权益内部结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-208,000,000.00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before="40"/>
              <w:ind w:left="12" w:right="5"/>
              <w:jc w:val="left"/>
              <w:rPr>
                <w:rFonts w:ascii="宋体" w:hAnsi="宋体" w:cs="宋体" w:eastAsia="宋体" w:hint="default"/>
                <w:sz w:val="18"/>
                <w:szCs w:val="18"/>
              </w:rPr>
            </w:pPr>
            <w:r>
              <w:rPr>
                <w:rFonts w:ascii="Times New Roman" w:hAnsi="Times New Roman" w:cs="Times New Roman" w:eastAsia="Times New Roman" w:hint="default"/>
                <w:spacing w:val="-13"/>
                <w:w w:val="100"/>
                <w:sz w:val="18"/>
                <w:szCs w:val="18"/>
              </w:rPr>
              <w:t>1</w:t>
            </w:r>
            <w:r>
              <w:rPr>
                <w:rFonts w:ascii="宋体" w:hAnsi="宋体" w:cs="宋体" w:eastAsia="宋体" w:hint="default"/>
                <w:spacing w:val="-13"/>
                <w:w w:val="100"/>
                <w:sz w:val="18"/>
                <w:szCs w:val="18"/>
              </w:rPr>
              <w:t>．资本公积转增资本（或</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股本）</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-208,000,000.00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before="40"/>
              <w:ind w:left="12" w:right="5"/>
              <w:jc w:val="left"/>
              <w:rPr>
                <w:rFonts w:ascii="宋体" w:hAnsi="宋体" w:cs="宋体" w:eastAsia="宋体" w:hint="default"/>
                <w:sz w:val="18"/>
                <w:szCs w:val="18"/>
              </w:rPr>
            </w:pPr>
            <w:r>
              <w:rPr>
                <w:rFonts w:ascii="Times New Roman" w:hAnsi="Times New Roman" w:cs="Times New Roman" w:eastAsia="Times New Roman" w:hint="default"/>
                <w:spacing w:val="-13"/>
                <w:w w:val="100"/>
                <w:sz w:val="18"/>
                <w:szCs w:val="18"/>
              </w:rPr>
              <w:t>2</w:t>
            </w:r>
            <w:r>
              <w:rPr>
                <w:rFonts w:ascii="宋体" w:hAnsi="宋体" w:cs="宋体" w:eastAsia="宋体" w:hint="default"/>
                <w:spacing w:val="-13"/>
                <w:w w:val="100"/>
                <w:sz w:val="18"/>
                <w:szCs w:val="18"/>
              </w:rPr>
              <w:t>．盈余公积转增资本（或</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股本）</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1" w:type="dxa"/>
            <w:tcBorders>
              <w:top w:val="single" w:sz="4" w:space="0" w:color="000000"/>
              <w:left w:val="single" w:sz="12" w:space="0" w:color="D3D3D3"/>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416,000,000.00</w:t>
            </w:r>
          </w:p>
        </w:tc>
        <w:tc>
          <w:tcPr>
            <w:tcW w:w="13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2,570,126,816.24</w:t>
            </w:r>
          </w:p>
        </w:tc>
        <w:tc>
          <w:tcPr>
            <w:tcW w:w="643" w:type="dxa"/>
            <w:tcBorders>
              <w:top w:val="single" w:sz="4" w:space="0" w:color="000000"/>
              <w:left w:val="single" w:sz="4" w:space="0" w:color="FFFFFF"/>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85,985,082.44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545,703,269.55</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3,617,815,168.23</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060" w:bottom="1180" w:left="300" w:right="180"/>
        </w:sectPr>
      </w:pPr>
    </w:p>
    <w:p>
      <w:pPr>
        <w:spacing w:line="240" w:lineRule="auto" w:before="9"/>
        <w:rPr>
          <w:rFonts w:ascii="宋体" w:hAnsi="宋体" w:cs="宋体" w:eastAsia="宋体" w:hint="default"/>
          <w:sz w:val="25"/>
          <w:szCs w:val="25"/>
        </w:rPr>
      </w:pPr>
    </w:p>
    <w:p>
      <w:pPr>
        <w:spacing w:before="44"/>
        <w:ind w:left="832" w:right="4361"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98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320" w:lineRule="atLeast" w:before="44"/>
        <w:ind w:left="4792" w:right="4361" w:firstLine="1567"/>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w w:val="100"/>
          <w:sz w:val="18"/>
          <w:szCs w:val="18"/>
        </w:rPr>
        <w:t> </w:t>
      </w:r>
      <w:r>
        <w:rPr>
          <w:rFonts w:ascii="宋体" w:hAnsi="宋体" w:cs="宋体" w:eastAsia="宋体" w:hint="default"/>
          <w:sz w:val="18"/>
          <w:szCs w:val="18"/>
        </w:rPr>
        <w:t>归属于母公司所有者权益</w:t>
      </w:r>
    </w:p>
    <w:p>
      <w:pPr>
        <w:tabs>
          <w:tab w:pos="7403" w:val="left" w:leader="none"/>
          <w:tab w:pos="9563" w:val="left" w:leader="none"/>
        </w:tabs>
        <w:spacing w:line="202" w:lineRule="exact" w:before="0"/>
        <w:ind w:left="923" w:right="0" w:firstLine="0"/>
        <w:jc w:val="left"/>
        <w:rPr>
          <w:rFonts w:ascii="宋体" w:hAnsi="宋体" w:cs="宋体" w:eastAsia="宋体" w:hint="default"/>
          <w:sz w:val="18"/>
          <w:szCs w:val="18"/>
        </w:rPr>
      </w:pPr>
      <w:r>
        <w:rPr>
          <w:rFonts w:ascii="宋体" w:hAnsi="宋体" w:cs="宋体" w:eastAsia="宋体" w:hint="default"/>
          <w:spacing w:val="-1"/>
          <w:position w:val="-6"/>
          <w:sz w:val="18"/>
          <w:szCs w:val="18"/>
        </w:rPr>
        <w:t>项目</w:t>
        <w:tab/>
      </w:r>
      <w:r>
        <w:rPr>
          <w:rFonts w:ascii="宋体" w:hAnsi="宋体" w:cs="宋体" w:eastAsia="宋体" w:hint="default"/>
          <w:spacing w:val="-1"/>
          <w:position w:val="-16"/>
          <w:sz w:val="18"/>
          <w:szCs w:val="18"/>
        </w:rPr>
        <w:t>一般</w:t>
        <w:tab/>
      </w:r>
      <w:r>
        <w:rPr>
          <w:rFonts w:ascii="宋体" w:hAnsi="宋体" w:cs="宋体" w:eastAsia="宋体" w:hint="default"/>
          <w:spacing w:val="-1"/>
          <w:sz w:val="18"/>
          <w:szCs w:val="18"/>
        </w:rPr>
        <w:t>少数</w:t>
      </w:r>
    </w:p>
    <w:p>
      <w:pPr>
        <w:spacing w:after="0" w:line="202" w:lineRule="exact"/>
        <w:jc w:val="left"/>
        <w:rPr>
          <w:rFonts w:ascii="宋体" w:hAnsi="宋体" w:cs="宋体" w:eastAsia="宋体" w:hint="default"/>
          <w:sz w:val="18"/>
          <w:szCs w:val="18"/>
        </w:rPr>
        <w:sectPr>
          <w:pgSz w:w="11900" w:h="16840"/>
          <w:pgMar w:header="746" w:footer="982" w:top="1060" w:bottom="1180" w:left="300" w:right="140"/>
        </w:sectPr>
      </w:pPr>
    </w:p>
    <w:p>
      <w:pPr>
        <w:spacing w:line="173" w:lineRule="exact" w:before="0"/>
        <w:ind w:left="2121" w:right="-15" w:firstLine="0"/>
        <w:jc w:val="left"/>
        <w:rPr>
          <w:rFonts w:ascii="宋体" w:hAnsi="宋体" w:cs="宋体" w:eastAsia="宋体" w:hint="default"/>
          <w:sz w:val="18"/>
          <w:szCs w:val="18"/>
        </w:rPr>
      </w:pPr>
      <w:r>
        <w:rPr>
          <w:rFonts w:ascii="宋体" w:hAnsi="宋体" w:cs="宋体" w:eastAsia="宋体" w:hint="default"/>
          <w:spacing w:val="-9"/>
          <w:sz w:val="18"/>
          <w:szCs w:val="18"/>
        </w:rPr>
        <w:t>实收资本（或股</w:t>
      </w:r>
    </w:p>
    <w:p>
      <w:pPr>
        <w:tabs>
          <w:tab w:pos="3712" w:val="left" w:leader="none"/>
        </w:tabs>
        <w:spacing w:line="285" w:lineRule="exact" w:before="0"/>
        <w:ind w:left="2543" w:right="-15" w:firstLine="0"/>
        <w:jc w:val="left"/>
        <w:rPr>
          <w:rFonts w:ascii="宋体" w:hAnsi="宋体" w:cs="宋体" w:eastAsia="宋体" w:hint="default"/>
          <w:sz w:val="18"/>
          <w:szCs w:val="18"/>
        </w:rPr>
      </w:pPr>
      <w:r>
        <w:rPr>
          <w:rFonts w:ascii="宋体" w:hAnsi="宋体" w:cs="宋体" w:eastAsia="宋体" w:hint="default"/>
          <w:spacing w:val="-1"/>
          <w:position w:val="-10"/>
          <w:sz w:val="18"/>
          <w:szCs w:val="18"/>
        </w:rPr>
        <w:t>本）</w:t>
        <w:tab/>
      </w:r>
      <w:r>
        <w:rPr>
          <w:rFonts w:ascii="宋体" w:hAnsi="宋体" w:cs="宋体" w:eastAsia="宋体" w:hint="default"/>
          <w:spacing w:val="-1"/>
          <w:sz w:val="18"/>
          <w:szCs w:val="18"/>
        </w:rPr>
        <w:t>资本公积</w:t>
      </w:r>
    </w:p>
    <w:p>
      <w:pPr>
        <w:spacing w:line="228" w:lineRule="exact" w:before="25"/>
        <w:ind w:left="410" w:right="-17" w:hanging="63"/>
        <w:jc w:val="left"/>
        <w:rPr>
          <w:rFonts w:ascii="宋体" w:hAnsi="宋体" w:cs="宋体" w:eastAsia="宋体" w:hint="default"/>
          <w:sz w:val="18"/>
          <w:szCs w:val="18"/>
        </w:rPr>
      </w:pPr>
      <w:r>
        <w:rPr>
          <w:spacing w:val="-19"/>
        </w:rPr>
        <w:br w:type="column"/>
      </w:r>
      <w:r>
        <w:rPr>
          <w:rFonts w:ascii="宋体" w:hAnsi="宋体" w:cs="宋体" w:eastAsia="宋体" w:hint="default"/>
          <w:spacing w:val="-19"/>
          <w:sz w:val="18"/>
          <w:szCs w:val="18"/>
        </w:rPr>
        <w:t>减：库</w:t>
      </w:r>
      <w:r>
        <w:rPr>
          <w:rFonts w:ascii="宋体" w:hAnsi="宋体" w:cs="宋体" w:eastAsia="宋体" w:hint="default"/>
          <w:w w:val="100"/>
          <w:sz w:val="18"/>
          <w:szCs w:val="18"/>
        </w:rPr>
        <w:t> </w:t>
      </w:r>
      <w:r>
        <w:rPr>
          <w:rFonts w:ascii="宋体" w:hAnsi="宋体" w:cs="宋体" w:eastAsia="宋体" w:hint="default"/>
          <w:sz w:val="18"/>
          <w:szCs w:val="18"/>
        </w:rPr>
        <w:t>存股</w:t>
      </w:r>
    </w:p>
    <w:p>
      <w:pPr>
        <w:spacing w:line="173" w:lineRule="exact" w:before="0"/>
        <w:ind w:left="60" w:right="-15" w:firstLine="0"/>
        <w:jc w:val="left"/>
        <w:rPr>
          <w:rFonts w:ascii="宋体" w:hAnsi="宋体" w:cs="宋体" w:eastAsia="宋体" w:hint="default"/>
          <w:sz w:val="18"/>
          <w:szCs w:val="18"/>
        </w:rPr>
      </w:pPr>
      <w:r>
        <w:rPr/>
        <w:br w:type="column"/>
      </w:r>
      <w:r>
        <w:rPr>
          <w:rFonts w:ascii="宋体" w:hAnsi="宋体" w:cs="宋体" w:eastAsia="宋体" w:hint="default"/>
          <w:sz w:val="18"/>
          <w:szCs w:val="18"/>
        </w:rPr>
        <w:t>专项储</w:t>
      </w:r>
    </w:p>
    <w:p>
      <w:pPr>
        <w:tabs>
          <w:tab w:pos="957" w:val="left" w:leader="none"/>
        </w:tabs>
        <w:spacing w:line="285" w:lineRule="exact" w:before="0"/>
        <w:ind w:left="240" w:right="-15" w:firstLine="0"/>
        <w:jc w:val="left"/>
        <w:rPr>
          <w:rFonts w:ascii="宋体" w:hAnsi="宋体" w:cs="宋体" w:eastAsia="宋体" w:hint="default"/>
          <w:sz w:val="18"/>
          <w:szCs w:val="18"/>
        </w:rPr>
      </w:pPr>
      <w:r>
        <w:rPr>
          <w:rFonts w:ascii="宋体" w:hAnsi="宋体" w:cs="宋体" w:eastAsia="宋体" w:hint="default"/>
          <w:position w:val="-10"/>
          <w:sz w:val="18"/>
          <w:szCs w:val="18"/>
        </w:rPr>
        <w:t>备</w:t>
        <w:tab/>
      </w:r>
      <w:r>
        <w:rPr>
          <w:rFonts w:ascii="宋体" w:hAnsi="宋体" w:cs="宋体" w:eastAsia="宋体" w:hint="default"/>
          <w:spacing w:val="-1"/>
          <w:sz w:val="18"/>
          <w:szCs w:val="18"/>
        </w:rPr>
        <w:t>盈余公积</w:t>
      </w:r>
    </w:p>
    <w:p>
      <w:pPr>
        <w:tabs>
          <w:tab w:pos="967" w:val="left" w:leader="none"/>
        </w:tabs>
        <w:spacing w:line="228" w:lineRule="exact" w:before="140"/>
        <w:ind w:left="338" w:right="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风险</w:t>
        <w:tab/>
        <w:t>未分配利润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w:t>
      </w:r>
    </w:p>
    <w:p>
      <w:pPr>
        <w:spacing w:line="202" w:lineRule="exact" w:before="0"/>
        <w:ind w:left="230" w:right="-18" w:firstLine="0"/>
        <w:jc w:val="left"/>
        <w:rPr>
          <w:rFonts w:ascii="宋体" w:hAnsi="宋体" w:cs="宋体" w:eastAsia="宋体" w:hint="default"/>
          <w:sz w:val="18"/>
          <w:szCs w:val="18"/>
        </w:rPr>
      </w:pPr>
      <w:r>
        <w:rPr/>
        <w:br w:type="column"/>
      </w:r>
      <w:r>
        <w:rPr>
          <w:rFonts w:ascii="宋体" w:hAnsi="宋体" w:cs="宋体" w:eastAsia="宋体" w:hint="default"/>
          <w:position w:val="-4"/>
          <w:sz w:val="18"/>
          <w:szCs w:val="18"/>
        </w:rPr>
        <w:t>其</w:t>
      </w:r>
      <w:r>
        <w:rPr>
          <w:rFonts w:ascii="宋体" w:hAnsi="宋体" w:cs="宋体" w:eastAsia="宋体" w:hint="default"/>
          <w:spacing w:val="89"/>
          <w:position w:val="-4"/>
          <w:sz w:val="18"/>
          <w:szCs w:val="18"/>
        </w:rPr>
        <w:t> </w:t>
      </w:r>
      <w:r>
        <w:rPr>
          <w:rFonts w:ascii="宋体" w:hAnsi="宋体" w:cs="宋体" w:eastAsia="宋体" w:hint="default"/>
          <w:sz w:val="18"/>
          <w:szCs w:val="18"/>
        </w:rPr>
        <w:t>股东</w:t>
      </w:r>
    </w:p>
    <w:p>
      <w:pPr>
        <w:spacing w:line="258" w:lineRule="exact" w:before="0"/>
        <w:ind w:left="230" w:right="-18" w:firstLine="0"/>
        <w:jc w:val="left"/>
        <w:rPr>
          <w:rFonts w:ascii="宋体" w:hAnsi="宋体" w:cs="宋体" w:eastAsia="宋体" w:hint="default"/>
          <w:sz w:val="18"/>
          <w:szCs w:val="18"/>
        </w:rPr>
      </w:pPr>
      <w:r>
        <w:rPr>
          <w:rFonts w:ascii="宋体" w:hAnsi="宋体" w:cs="宋体" w:eastAsia="宋体" w:hint="default"/>
          <w:position w:val="-4"/>
          <w:sz w:val="18"/>
          <w:szCs w:val="18"/>
        </w:rPr>
        <w:t>他</w:t>
      </w:r>
      <w:r>
        <w:rPr>
          <w:rFonts w:ascii="宋体" w:hAnsi="宋体" w:cs="宋体" w:eastAsia="宋体" w:hint="default"/>
          <w:spacing w:val="89"/>
          <w:position w:val="-4"/>
          <w:sz w:val="18"/>
          <w:szCs w:val="18"/>
        </w:rPr>
        <w:t> </w:t>
      </w:r>
      <w:r>
        <w:rPr>
          <w:rFonts w:ascii="宋体" w:hAnsi="宋体" w:cs="宋体" w:eastAsia="宋体" w:hint="default"/>
          <w:sz w:val="18"/>
          <w:szCs w:val="18"/>
        </w:rPr>
        <w:t>权益</w:t>
      </w:r>
    </w:p>
    <w:p>
      <w:pPr>
        <w:spacing w:line="182" w:lineRule="exact" w:before="0"/>
        <w:ind w:left="8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r>
      <w:r>
        <w:rPr>
          <w:rFonts w:ascii="宋体" w:hAnsi="宋体" w:cs="宋体" w:eastAsia="宋体" w:hint="default"/>
          <w:sz w:val="18"/>
          <w:szCs w:val="18"/>
        </w:rPr>
      </w:r>
    </w:p>
    <w:p>
      <w:pPr>
        <w:spacing w:after="0" w:line="182" w:lineRule="exact"/>
        <w:jc w:val="left"/>
        <w:rPr>
          <w:rFonts w:ascii="宋体" w:hAnsi="宋体" w:cs="宋体" w:eastAsia="宋体" w:hint="default"/>
          <w:sz w:val="18"/>
          <w:szCs w:val="18"/>
        </w:rPr>
        <w:sectPr>
          <w:type w:val="continuous"/>
          <w:pgSz w:w="11900" w:h="16840"/>
          <w:pgMar w:top="1060" w:bottom="1180" w:left="300" w:right="140"/>
          <w:cols w:num="6" w:equalWidth="0">
            <w:col w:w="4434" w:space="40"/>
            <w:col w:w="834" w:space="40"/>
            <w:col w:w="1679" w:space="40"/>
            <w:col w:w="1869" w:space="40"/>
            <w:col w:w="952" w:space="40"/>
            <w:col w:w="1492"/>
          </w:cols>
        </w:sectPr>
      </w:pPr>
    </w:p>
    <w:p>
      <w:pPr>
        <w:tabs>
          <w:tab w:pos="2198" w:val="left" w:leader="none"/>
          <w:tab w:pos="3638" w:val="left" w:leader="none"/>
          <w:tab w:pos="6251" w:val="left" w:leader="none"/>
          <w:tab w:pos="7958" w:val="left" w:leader="none"/>
          <w:tab w:pos="10192" w:val="left" w:leader="none"/>
        </w:tabs>
        <w:spacing w:before="65"/>
        <w:ind w:left="141" w:right="0" w:firstLine="0"/>
        <w:jc w:val="left"/>
        <w:rPr>
          <w:rFonts w:ascii="Times New Roman" w:hAnsi="Times New Roman" w:cs="Times New Roman" w:eastAsia="Times New Roman" w:hint="default"/>
          <w:sz w:val="18"/>
          <w:szCs w:val="18"/>
        </w:rPr>
      </w:pPr>
      <w:r>
        <w:rPr/>
        <w:pict>
          <v:group style="position:absolute;margin-left:20.39904pt;margin-top:106.959213pt;width:562.35pt;height:628pt;mso-position-horizontal-relative:page;mso-position-vertical-relative:page;z-index:-686320" coordorigin="408,2139" coordsize="11247,12560">
            <v:group style="position:absolute;left:2398;top:2465;width:9248;height:2" coordorigin="2398,2465" coordsize="9248,2">
              <v:shape style="position:absolute;left:2398;top:2465;width:9248;height:2" coordorigin="2398,2465" coordsize="9248,0" path="m2398,2465l11645,2465e" filled="false" stroked="true" strokeweight=".1pt" strokecolor="#d3d3d3">
                <v:path arrowok="t"/>
              </v:shape>
            </v:group>
            <v:group style="position:absolute;left:2410;top:2154;width:2;height:310" coordorigin="2410,2154" coordsize="2,310">
              <v:shape style="position:absolute;left:2410;top:2154;width:2;height:310" coordorigin="2410,2154" coordsize="0,310" path="m2410,2154l2410,2464e" filled="false" stroked="true" strokeweight="1.199753pt" strokecolor="#d3d3d3">
                <v:path arrowok="t"/>
              </v:shape>
            </v:group>
            <v:group style="position:absolute;left:11634;top:2154;width:2;height:310" coordorigin="11634,2154" coordsize="2,310">
              <v:shape style="position:absolute;left:11634;top:2154;width:2;height:310" coordorigin="11634,2154" coordsize="0,310" path="m11634,2154l11634,2463e" filled="false" stroked="true" strokeweight="1.08pt" strokecolor="#d3d3d3">
                <v:path arrowok="t"/>
              </v:shape>
            </v:group>
            <v:group style="position:absolute;left:2422;top:2154;width:9202;height:310" coordorigin="2422,2154" coordsize="9202,310">
              <v:shape style="position:absolute;left:2422;top:2154;width:9202;height:310" coordorigin="2422,2154" coordsize="9202,310" path="m2422,2463l11623,2463,11623,2154,2422,2154,2422,2463xe" filled="true" fillcolor="#d3d3d3" stroked="false">
                <v:path arrowok="t"/>
                <v:fill type="solid"/>
              </v:shape>
            </v:group>
            <v:group style="position:absolute;left:418;top:2149;width:1971;height:2" coordorigin="418,2149" coordsize="1971,2">
              <v:shape style="position:absolute;left:418;top:2149;width:1971;height:2" coordorigin="418,2149" coordsize="1971,0" path="m418,2149l2388,2149e" filled="false" stroked="true" strokeweight=".48pt" strokecolor="#000000">
                <v:path arrowok="t"/>
              </v:shape>
            </v:group>
            <v:group style="position:absolute;left:2398;top:2149;width:9248;height:2" coordorigin="2398,2149" coordsize="9248,2">
              <v:shape style="position:absolute;left:2398;top:2149;width:9248;height:2" coordorigin="2398,2149" coordsize="9248,0" path="m2398,2149l11645,2149e" filled="false" stroked="true" strokeweight=".48pt" strokecolor="#000000">
                <v:path arrowok="t"/>
              </v:shape>
            </v:group>
            <v:group style="position:absolute;left:2410;top:2475;width:2;height:310" coordorigin="2410,2475" coordsize="2,310">
              <v:shape style="position:absolute;left:2410;top:2475;width:2;height:310" coordorigin="2410,2475" coordsize="0,310" path="m2410,2475l2410,2785e" filled="false" stroked="true" strokeweight="1.199753pt" strokecolor="#d3d3d3">
                <v:path arrowok="t"/>
              </v:shape>
            </v:group>
            <v:group style="position:absolute;left:9757;top:2475;width:2;height:310" coordorigin="9757,2475" coordsize="2,310">
              <v:shape style="position:absolute;left:9757;top:2475;width:2;height:310" coordorigin="9757,2475" coordsize="0,310" path="m9757,2475l9757,2785e" filled="false" stroked="true" strokeweight="1.08pt" strokecolor="#d3d3d3">
                <v:path arrowok="t"/>
              </v:shape>
            </v:group>
            <v:group style="position:absolute;left:2422;top:2475;width:7325;height:310" coordorigin="2422,2475" coordsize="7325,310">
              <v:shape style="position:absolute;left:2422;top:2475;width:7325;height:310" coordorigin="2422,2475" coordsize="7325,310" path="m2422,2785l9746,2785,9746,2475,2422,2475,2422,2785xe" filled="true" fillcolor="#d3d3d3" stroked="false">
                <v:path arrowok="t"/>
                <v:fill type="solid"/>
              </v:shape>
            </v:group>
            <v:group style="position:absolute;left:2398;top:2470;width:7371;height:2" coordorigin="2398,2470" coordsize="7371,2">
              <v:shape style="position:absolute;left:2398;top:2470;width:7371;height:2" coordorigin="2398,2470" coordsize="7371,0" path="m2398,2470l9768,2470e" filled="false" stroked="true" strokeweight=".48pt" strokecolor="#000000">
                <v:path arrowok="t"/>
              </v:shape>
            </v:group>
            <v:group style="position:absolute;left:9778;top:2470;width:531;height:2" coordorigin="9778,2470" coordsize="531,2">
              <v:shape style="position:absolute;left:9778;top:2470;width:531;height:2" coordorigin="9778,2470" coordsize="531,0" path="m9778,2470l10308,2470e" filled="false" stroked="true" strokeweight=".48pt" strokecolor="#000000">
                <v:path arrowok="t"/>
              </v:shape>
            </v:group>
            <v:group style="position:absolute;left:10318;top:2470;width:1328;height:2" coordorigin="10318,2470" coordsize="1328,2">
              <v:shape style="position:absolute;left:10318;top:2470;width:1328;height:2" coordorigin="10318,2470" coordsize="1328,0" path="m10318,2470l11645,2470e" filled="false" stroked="true" strokeweight=".48pt" strokecolor="#000000">
                <v:path arrowok="t"/>
              </v:shape>
            </v:group>
            <v:group style="position:absolute;left:418;top:3008;width:1971;height:556" coordorigin="418,3008" coordsize="1971,556">
              <v:shape style="position:absolute;left:418;top:3008;width:1971;height:556" coordorigin="418,3008" coordsize="1971,556" path="m418,3564l2388,3564,2388,3008,418,3008,418,3564xe" filled="true" fillcolor="#d3d3d3" stroked="false">
                <v:path arrowok="t"/>
                <v:fill type="solid"/>
              </v:shape>
            </v:group>
            <v:group style="position:absolute;left:430;top:2698;width:2;height:310" coordorigin="430,2698" coordsize="2,310">
              <v:shape style="position:absolute;left:430;top:2698;width:2;height:310" coordorigin="430,2698" coordsize="0,310" path="m430,2698l430,3008e" filled="false" stroked="true" strokeweight="1.199999pt" strokecolor="#d3d3d3">
                <v:path arrowok="t"/>
              </v:shape>
            </v:group>
            <v:group style="position:absolute;left:418;top:2154;width:1971;height:544" coordorigin="418,2154" coordsize="1971,544">
              <v:shape style="position:absolute;left:418;top:2154;width:1971;height:544" coordorigin="418,2154" coordsize="1971,544" path="m418,2698l2388,2698,2388,2154,418,2154,418,2698xe" filled="true" fillcolor="#d3d3d3" stroked="false">
                <v:path arrowok="t"/>
                <v:fill type="solid"/>
              </v:shape>
            </v:group>
            <v:group style="position:absolute;left:2377;top:2698;width:2;height:310" coordorigin="2377,2698" coordsize="2,310">
              <v:shape style="position:absolute;left:2377;top:2698;width:2;height:310" coordorigin="2377,2698" coordsize="0,310" path="m2377,2698l2377,3008e" filled="false" stroked="true" strokeweight="1.08pt" strokecolor="#d3d3d3">
                <v:path arrowok="t"/>
              </v:shape>
            </v:group>
            <v:group style="position:absolute;left:442;top:2698;width:1925;height:310" coordorigin="442,2698" coordsize="1925,310">
              <v:shape style="position:absolute;left:442;top:2698;width:1925;height:310" coordorigin="442,2698" coordsize="1925,310" path="m442,3008l2366,3008,2366,2698,442,2698,442,3008xe" filled="true" fillcolor="#d3d3d3" stroked="false">
                <v:path arrowok="t"/>
                <v:fill type="solid"/>
              </v:shape>
            </v:group>
            <v:group style="position:absolute;left:2398;top:3450;width:1251;height:114" coordorigin="2398,3450" coordsize="1251,114">
              <v:shape style="position:absolute;left:2398;top:3450;width:1251;height:114" coordorigin="2398,3450" coordsize="1251,114" path="m2398,3564l3648,3564,3648,3450,2398,3450,2398,3564xe" filled="true" fillcolor="#d3d3d3" stroked="false">
                <v:path arrowok="t"/>
                <v:fill type="solid"/>
              </v:shape>
            </v:group>
            <v:group style="position:absolute;left:2410;top:2910;width:2;height:540" coordorigin="2410,2910" coordsize="2,540">
              <v:shape style="position:absolute;left:2410;top:2910;width:2;height:540" coordorigin="2410,2910" coordsize="0,540" path="m2410,2910l2410,3450e" filled="false" stroked="true" strokeweight="1.199753pt" strokecolor="#d3d3d3">
                <v:path arrowok="t"/>
              </v:shape>
            </v:group>
            <v:group style="position:absolute;left:2398;top:2794;width:1251;height:116" coordorigin="2398,2794" coordsize="1251,116">
              <v:shape style="position:absolute;left:2398;top:2794;width:1251;height:116" coordorigin="2398,2794" coordsize="1251,116" path="m2398,2910l3648,2910,3648,2794,2398,2794,2398,2910xe" filled="true" fillcolor="#d3d3d3" stroked="false">
                <v:path arrowok="t"/>
                <v:fill type="solid"/>
              </v:shape>
            </v:group>
            <v:group style="position:absolute;left:3637;top:2910;width:2;height:540" coordorigin="3637,2910" coordsize="2,540">
              <v:shape style="position:absolute;left:3637;top:2910;width:2;height:540" coordorigin="3637,2910" coordsize="0,540" path="m3637,2910l3637,3450e" filled="false" stroked="true" strokeweight="1.08pt" strokecolor="#d3d3d3">
                <v:path arrowok="t"/>
              </v:shape>
            </v:group>
            <v:group style="position:absolute;left:2422;top:2910;width:1205;height:269" coordorigin="2422,2910" coordsize="1205,269">
              <v:shape style="position:absolute;left:2422;top:2910;width:1205;height:269" coordorigin="2422,2910" coordsize="1205,269" path="m2422,3178l3626,3178,3626,2910,2422,2910,2422,3178xe" filled="true" fillcolor="#d3d3d3" stroked="false">
                <v:path arrowok="t"/>
                <v:fill type="solid"/>
              </v:shape>
            </v:group>
            <v:group style="position:absolute;left:2422;top:3178;width:1205;height:272" coordorigin="2422,3178" coordsize="1205,272">
              <v:shape style="position:absolute;left:2422;top:3178;width:1205;height:272" coordorigin="2422,3178" coordsize="1205,272" path="m2422,3450l3626,3450,3626,3178,2422,3178,2422,3450xe" filled="true" fillcolor="#d3d3d3" stroked="false">
                <v:path arrowok="t"/>
                <v:fill type="solid"/>
              </v:shape>
            </v:group>
            <v:group style="position:absolute;left:3658;top:3334;width:1431;height:230" coordorigin="3658,3334" coordsize="1431,230">
              <v:shape style="position:absolute;left:3658;top:3334;width:1431;height:230" coordorigin="3658,3334" coordsize="1431,230" path="m3658,3564l5088,3564,5088,3334,3658,3334,3658,3564xe" filled="true" fillcolor="#d3d3d3" stroked="false">
                <v:path arrowok="t"/>
                <v:fill type="solid"/>
              </v:shape>
            </v:group>
            <v:group style="position:absolute;left:3670;top:3024;width:2;height:310" coordorigin="3670,3024" coordsize="2,310">
              <v:shape style="position:absolute;left:3670;top:3024;width:2;height:310" coordorigin="3670,3024" coordsize="0,310" path="m3670,3024l3670,3334e" filled="false" stroked="true" strokeweight="1.199989pt" strokecolor="#d3d3d3">
                <v:path arrowok="t"/>
              </v:shape>
            </v:group>
            <v:group style="position:absolute;left:3658;top:2794;width:1431;height:230" coordorigin="3658,2794" coordsize="1431,230">
              <v:shape style="position:absolute;left:3658;top:2794;width:1431;height:230" coordorigin="3658,2794" coordsize="1431,230" path="m3658,3024l5088,3024,5088,2794,3658,2794,3658,3024xe" filled="true" fillcolor="#d3d3d3" stroked="false">
                <v:path arrowok="t"/>
                <v:fill type="solid"/>
              </v:shape>
            </v:group>
            <v:group style="position:absolute;left:5077;top:3025;width:2;height:310" coordorigin="5077,3025" coordsize="2,310">
              <v:shape style="position:absolute;left:5077;top:3025;width:2;height:310" coordorigin="5077,3025" coordsize="0,310" path="m5077,3025l5077,3334e" filled="false" stroked="true" strokeweight="1.08pt" strokecolor="#d3d3d3">
                <v:path arrowok="t"/>
              </v:shape>
            </v:group>
            <v:group style="position:absolute;left:3682;top:3025;width:1385;height:310" coordorigin="3682,3025" coordsize="1385,310">
              <v:shape style="position:absolute;left:3682;top:3025;width:1385;height:310" coordorigin="3682,3025" coordsize="1385,310" path="m3682,3334l5066,3334,5066,3025,3682,3025,3682,3334xe" filled="true" fillcolor="#d3d3d3" stroked="false">
                <v:path arrowok="t"/>
                <v:fill type="solid"/>
              </v:shape>
            </v:group>
            <v:group style="position:absolute;left:5098;top:3450;width:531;height:114" coordorigin="5098,3450" coordsize="531,114">
              <v:shape style="position:absolute;left:5098;top:3450;width:531;height:114" coordorigin="5098,3450" coordsize="531,114" path="m5098,3564l5628,3564,5628,3450,5098,3450,5098,3564xe" filled="true" fillcolor="#d3d3d3" stroked="false">
                <v:path arrowok="t"/>
                <v:fill type="solid"/>
              </v:shape>
            </v:group>
            <v:group style="position:absolute;left:5110;top:2910;width:2;height:540" coordorigin="5110,2910" coordsize="2,540">
              <v:shape style="position:absolute;left:5110;top:2910;width:2;height:540" coordorigin="5110,2910" coordsize="0,540" path="m5110,2910l5110,3450e" filled="false" stroked="true" strokeweight="1.199984pt" strokecolor="#d3d3d3">
                <v:path arrowok="t"/>
              </v:shape>
            </v:group>
            <v:group style="position:absolute;left:5098;top:2794;width:531;height:116" coordorigin="5098,2794" coordsize="531,116">
              <v:shape style="position:absolute;left:5098;top:2794;width:531;height:116" coordorigin="5098,2794" coordsize="531,116" path="m5098,2910l5628,2910,5628,2794,5098,2794,5098,2910xe" filled="true" fillcolor="#d3d3d3" stroked="false">
                <v:path arrowok="t"/>
                <v:fill type="solid"/>
              </v:shape>
            </v:group>
            <v:group style="position:absolute;left:5618;top:2910;width:2;height:540" coordorigin="5618,2910" coordsize="2,540">
              <v:shape style="position:absolute;left:5618;top:2910;width:2;height:540" coordorigin="5618,2910" coordsize="0,540" path="m5618,2910l5618,3450e" filled="false" stroked="true" strokeweight=".96pt" strokecolor="#d3d3d3">
                <v:path arrowok="t"/>
              </v:shape>
            </v:group>
            <v:group style="position:absolute;left:5122;top:2910;width:488;height:269" coordorigin="5122,2910" coordsize="488,269">
              <v:shape style="position:absolute;left:5122;top:2910;width:488;height:269" coordorigin="5122,2910" coordsize="488,269" path="m5122,3178l5609,3178,5609,2910,5122,2910,5122,3178xe" filled="true" fillcolor="#d3d3d3" stroked="false">
                <v:path arrowok="t"/>
                <v:fill type="solid"/>
              </v:shape>
            </v:group>
            <v:group style="position:absolute;left:5122;top:3178;width:488;height:272" coordorigin="5122,3178" coordsize="488,272">
              <v:shape style="position:absolute;left:5122;top:3178;width:488;height:272" coordorigin="5122,3178" coordsize="488,272" path="m5122,3450l5609,3450,5609,3178,5122,3178,5122,3450xe" filled="true" fillcolor="#d3d3d3" stroked="false">
                <v:path arrowok="t"/>
                <v:fill type="solid"/>
              </v:shape>
            </v:group>
            <v:group style="position:absolute;left:5638;top:3450;width:677;height:114" coordorigin="5638,3450" coordsize="677,114">
              <v:shape style="position:absolute;left:5638;top:3450;width:677;height:114" coordorigin="5638,3450" coordsize="677,114" path="m5638,3564l6314,3564,6314,3450,5638,3450,5638,3564xe" filled="true" fillcolor="#d3d3d3" stroked="false">
                <v:path arrowok="t"/>
                <v:fill type="solid"/>
              </v:shape>
            </v:group>
            <v:group style="position:absolute;left:5650;top:2910;width:2;height:540" coordorigin="5650,2910" coordsize="2,540">
              <v:shape style="position:absolute;left:5650;top:2910;width:2;height:540" coordorigin="5650,2910" coordsize="0,540" path="m5650,2910l5650,3450e" filled="false" stroked="true" strokeweight="1.199983pt" strokecolor="#d3d3d3">
                <v:path arrowok="t"/>
              </v:shape>
            </v:group>
            <v:group style="position:absolute;left:5638;top:2794;width:677;height:116" coordorigin="5638,2794" coordsize="677,116">
              <v:shape style="position:absolute;left:5638;top:2794;width:677;height:116" coordorigin="5638,2794" coordsize="677,116" path="m5638,2910l6314,2910,6314,2794,5638,2794,5638,2910xe" filled="true" fillcolor="#d3d3d3" stroked="false">
                <v:path arrowok="t"/>
                <v:fill type="solid"/>
              </v:shape>
            </v:group>
            <v:group style="position:absolute;left:6304;top:2910;width:2;height:540" coordorigin="6304,2910" coordsize="2,540">
              <v:shape style="position:absolute;left:6304;top:2910;width:2;height:540" coordorigin="6304,2910" coordsize="0,540" path="m6304,2910l6304,3450e" filled="false" stroked="true" strokeweight="1.08pt" strokecolor="#d3d3d3">
                <v:path arrowok="t"/>
              </v:shape>
            </v:group>
            <v:group style="position:absolute;left:5662;top:2910;width:632;height:269" coordorigin="5662,2910" coordsize="632,269">
              <v:shape style="position:absolute;left:5662;top:2910;width:632;height:269" coordorigin="5662,2910" coordsize="632,269" path="m5662,3178l6293,3178,6293,2910,5662,2910,5662,3178xe" filled="true" fillcolor="#d3d3d3" stroked="false">
                <v:path arrowok="t"/>
                <v:fill type="solid"/>
              </v:shape>
            </v:group>
            <v:group style="position:absolute;left:5662;top:3178;width:632;height:272" coordorigin="5662,3178" coordsize="632,272">
              <v:shape style="position:absolute;left:5662;top:3178;width:632;height:272" coordorigin="5662,3178" coordsize="632,272" path="m5662,3450l6293,3450,6293,3178,5662,3178,5662,3450xe" filled="true" fillcolor="#d3d3d3" stroked="false">
                <v:path arrowok="t"/>
                <v:fill type="solid"/>
              </v:shape>
            </v:group>
            <v:group style="position:absolute;left:6324;top:3334;width:1284;height:230" coordorigin="6324,3334" coordsize="1284,230">
              <v:shape style="position:absolute;left:6324;top:3334;width:1284;height:230" coordorigin="6324,3334" coordsize="1284,230" path="m6324,3564l7608,3564,7608,3334,6324,3334,6324,3564xe" filled="true" fillcolor="#d3d3d3" stroked="false">
                <v:path arrowok="t"/>
                <v:fill type="solid"/>
              </v:shape>
            </v:group>
            <v:group style="position:absolute;left:6336;top:3024;width:2;height:310" coordorigin="6336,3024" coordsize="2,310">
              <v:shape style="position:absolute;left:6336;top:3024;width:2;height:310" coordorigin="6336,3024" coordsize="0,310" path="m6336,3024l6336,3334e" filled="false" stroked="true" strokeweight="1.199981pt" strokecolor="#d3d3d3">
                <v:path arrowok="t"/>
              </v:shape>
            </v:group>
            <v:group style="position:absolute;left:6324;top:2794;width:1284;height:230" coordorigin="6324,2794" coordsize="1284,230">
              <v:shape style="position:absolute;left:6324;top:2794;width:1284;height:230" coordorigin="6324,2794" coordsize="1284,230" path="m6324,3024l7608,3024,7608,2794,6324,2794,6324,3024xe" filled="true" fillcolor="#d3d3d3" stroked="false">
                <v:path arrowok="t"/>
                <v:fill type="solid"/>
              </v:shape>
            </v:group>
            <v:group style="position:absolute;left:7597;top:3025;width:2;height:310" coordorigin="7597,3025" coordsize="2,310">
              <v:shape style="position:absolute;left:7597;top:3025;width:2;height:310" coordorigin="7597,3025" coordsize="0,310" path="m7597,3025l7597,3334e" filled="false" stroked="true" strokeweight="1.08pt" strokecolor="#d3d3d3">
                <v:path arrowok="t"/>
              </v:shape>
            </v:group>
            <v:group style="position:absolute;left:6348;top:3025;width:1239;height:310" coordorigin="6348,3025" coordsize="1239,310">
              <v:shape style="position:absolute;left:6348;top:3025;width:1239;height:310" coordorigin="6348,3025" coordsize="1239,310" path="m6348,3334l7586,3334,7586,3025,6348,3025,6348,3334xe" filled="true" fillcolor="#d3d3d3" stroked="false">
                <v:path arrowok="t"/>
                <v:fill type="solid"/>
              </v:shape>
            </v:group>
            <v:group style="position:absolute;left:7630;top:2794;width:2;height:771" coordorigin="7630,2794" coordsize="2,771">
              <v:shape style="position:absolute;left:7630;top:2794;width:2;height:771" coordorigin="7630,2794" coordsize="0,771" path="m7630,2794l7630,3565e" filled="false" stroked="true" strokeweight="1.199977pt" strokecolor="#d3d3d3">
                <v:path arrowok="t"/>
              </v:shape>
            </v:group>
            <v:group style="position:absolute;left:8137;top:2794;width:2;height:771" coordorigin="8137,2794" coordsize="2,771">
              <v:shape style="position:absolute;left:8137;top:2794;width:2;height:771" coordorigin="8137,2794" coordsize="0,771" path="m8137,2794l8137,3565e" filled="false" stroked="true" strokeweight="1.08pt" strokecolor="#d3d3d3">
                <v:path arrowok="t"/>
              </v:shape>
            </v:group>
            <v:group style="position:absolute;left:7642;top:2794;width:485;height:269" coordorigin="7642,2794" coordsize="485,269">
              <v:shape style="position:absolute;left:7642;top:2794;width:485;height:269" coordorigin="7642,2794" coordsize="485,269" path="m7642,3063l8126,3063,8126,2794,7642,2794,7642,3063xe" filled="true" fillcolor="#d3d3d3" stroked="false">
                <v:path arrowok="t"/>
                <v:fill type="solid"/>
              </v:shape>
            </v:group>
            <v:group style="position:absolute;left:7642;top:3063;width:485;height:231" coordorigin="7642,3063" coordsize="485,231">
              <v:shape style="position:absolute;left:7642;top:3063;width:485;height:231" coordorigin="7642,3063" coordsize="485,231" path="m7642,3294l8126,3294,8126,3063,7642,3063,7642,3294xe" filled="true" fillcolor="#d3d3d3" stroked="false">
                <v:path arrowok="t"/>
                <v:fill type="solid"/>
              </v:shape>
            </v:group>
            <v:group style="position:absolute;left:7642;top:3294;width:485;height:272" coordorigin="7642,3294" coordsize="485,272">
              <v:shape style="position:absolute;left:7642;top:3294;width:485;height:272" coordorigin="7642,3294" coordsize="485,272" path="m7642,3565l8126,3565,8126,3294,7642,3294,7642,3565xe" filled="true" fillcolor="#d3d3d3" stroked="false">
                <v:path arrowok="t"/>
                <v:fill type="solid"/>
              </v:shape>
            </v:group>
            <v:group style="position:absolute;left:8158;top:3334;width:1251;height:230" coordorigin="8158,3334" coordsize="1251,230">
              <v:shape style="position:absolute;left:8158;top:3334;width:1251;height:230" coordorigin="8158,3334" coordsize="1251,230" path="m8158,3564l9408,3564,9408,3334,8158,3334,8158,3564xe" filled="true" fillcolor="#d3d3d3" stroked="false">
                <v:path arrowok="t"/>
                <v:fill type="solid"/>
              </v:shape>
            </v:group>
            <v:group style="position:absolute;left:8170;top:3024;width:2;height:310" coordorigin="8170,3024" coordsize="2,310">
              <v:shape style="position:absolute;left:8170;top:3024;width:2;height:310" coordorigin="8170,3024" coordsize="0,310" path="m8170,3024l8170,3334e" filled="false" stroked="true" strokeweight="1.199975pt" strokecolor="#d3d3d3">
                <v:path arrowok="t"/>
              </v:shape>
            </v:group>
            <v:group style="position:absolute;left:8158;top:2794;width:1251;height:230" coordorigin="8158,2794" coordsize="1251,230">
              <v:shape style="position:absolute;left:8158;top:2794;width:1251;height:230" coordorigin="8158,2794" coordsize="1251,230" path="m8158,3024l9408,3024,9408,2794,8158,2794,8158,3024xe" filled="true" fillcolor="#d3d3d3" stroked="false">
                <v:path arrowok="t"/>
                <v:fill type="solid"/>
              </v:shape>
            </v:group>
            <v:group style="position:absolute;left:9397;top:3025;width:2;height:310" coordorigin="9397,3025" coordsize="2,310">
              <v:shape style="position:absolute;left:9397;top:3025;width:2;height:310" coordorigin="9397,3025" coordsize="0,310" path="m9397,3025l9397,3334e" filled="false" stroked="true" strokeweight="1.08pt" strokecolor="#d3d3d3">
                <v:path arrowok="t"/>
              </v:shape>
            </v:group>
            <v:group style="position:absolute;left:8182;top:3025;width:1205;height:310" coordorigin="8182,3025" coordsize="1205,310">
              <v:shape style="position:absolute;left:8182;top:3025;width:1205;height:310" coordorigin="8182,3025" coordsize="1205,310" path="m8182,3334l9386,3334,9386,3025,8182,3025,8182,3334xe" filled="true" fillcolor="#d3d3d3" stroked="false">
                <v:path arrowok="t"/>
                <v:fill type="solid"/>
              </v:shape>
            </v:group>
            <v:group style="position:absolute;left:9418;top:3450;width:351;height:114" coordorigin="9418,3450" coordsize="351,114">
              <v:shape style="position:absolute;left:9418;top:3450;width:351;height:114" coordorigin="9418,3450" coordsize="351,114" path="m9418,3564l9768,3564,9768,3450,9418,3450,9418,3564xe" filled="true" fillcolor="#d3d3d3" stroked="false">
                <v:path arrowok="t"/>
                <v:fill type="solid"/>
              </v:shape>
            </v:group>
            <v:group style="position:absolute;left:9430;top:2910;width:2;height:540" coordorigin="9430,2910" coordsize="2,540">
              <v:shape style="position:absolute;left:9430;top:2910;width:2;height:540" coordorigin="9430,2910" coordsize="0,540" path="m9430,2910l9430,3450e" filled="false" stroked="true" strokeweight="1.199971pt" strokecolor="#d3d3d3">
                <v:path arrowok="t"/>
              </v:shape>
            </v:group>
            <v:group style="position:absolute;left:9418;top:2794;width:351;height:116" coordorigin="9418,2794" coordsize="351,116">
              <v:shape style="position:absolute;left:9418;top:2794;width:351;height:116" coordorigin="9418,2794" coordsize="351,116" path="m9418,2910l9768,2910,9768,2794,9418,2794,9418,2910xe" filled="true" fillcolor="#d3d3d3" stroked="false">
                <v:path arrowok="t"/>
                <v:fill type="solid"/>
              </v:shape>
            </v:group>
            <v:group style="position:absolute;left:9757;top:2910;width:2;height:540" coordorigin="9757,2910" coordsize="2,540">
              <v:shape style="position:absolute;left:9757;top:2910;width:2;height:540" coordorigin="9757,2910" coordsize="0,540" path="m9757,2910l9757,3450e" filled="false" stroked="true" strokeweight="1.08pt" strokecolor="#d3d3d3">
                <v:path arrowok="t"/>
              </v:shape>
            </v:group>
            <v:group style="position:absolute;left:9442;top:2910;width:305;height:269" coordorigin="9442,2910" coordsize="305,269">
              <v:shape style="position:absolute;left:9442;top:2910;width:305;height:269" coordorigin="9442,2910" coordsize="305,269" path="m9442,3178l9746,3178,9746,2910,9442,2910,9442,3178xe" filled="true" fillcolor="#d3d3d3" stroked="false">
                <v:path arrowok="t"/>
                <v:fill type="solid"/>
              </v:shape>
            </v:group>
            <v:group style="position:absolute;left:9442;top:3178;width:305;height:272" coordorigin="9442,3178" coordsize="305,272">
              <v:shape style="position:absolute;left:9442;top:3178;width:305;height:272" coordorigin="9442,3178" coordsize="305,272" path="m9442,3450l9746,3450,9746,3178,9442,3178,9442,3450xe" filled="true" fillcolor="#d3d3d3" stroked="false">
                <v:path arrowok="t"/>
                <v:fill type="solid"/>
              </v:shape>
            </v:group>
            <v:group style="position:absolute;left:9778;top:3396;width:531;height:168" coordorigin="9778,3396" coordsize="531,168">
              <v:shape style="position:absolute;left:9778;top:3396;width:531;height:168" coordorigin="9778,3396" coordsize="531,168" path="m9778,3564l10308,3564,10308,3396,9778,3396,9778,3564xe" filled="true" fillcolor="#d3d3d3" stroked="false">
                <v:path arrowok="t"/>
                <v:fill type="solid"/>
              </v:shape>
            </v:group>
            <v:group style="position:absolute;left:9790;top:2628;width:2;height:768" coordorigin="9790,2628" coordsize="2,768">
              <v:shape style="position:absolute;left:9790;top:2628;width:2;height:768" coordorigin="9790,2628" coordsize="0,768" path="m9790,2628l9790,3396e" filled="false" stroked="true" strokeweight="1.19997pt" strokecolor="#d3d3d3">
                <v:path arrowok="t"/>
              </v:shape>
            </v:group>
            <v:group style="position:absolute;left:9778;top:2476;width:531;height:152" coordorigin="9778,2476" coordsize="531,152">
              <v:shape style="position:absolute;left:9778;top:2476;width:531;height:152" coordorigin="9778,2476" coordsize="531,152" path="m9778,2628l10308,2628,10308,2476,9778,2476,9778,2628xe" filled="true" fillcolor="#d3d3d3" stroked="false">
                <v:path arrowok="t"/>
                <v:fill type="solid"/>
              </v:shape>
            </v:group>
            <v:group style="position:absolute;left:10297;top:2629;width:2;height:768" coordorigin="10297,2629" coordsize="2,768">
              <v:shape style="position:absolute;left:10297;top:2629;width:2;height:768" coordorigin="10297,2629" coordsize="0,768" path="m10297,2629l10297,3397e" filled="false" stroked="true" strokeweight="1.08pt" strokecolor="#d3d3d3">
                <v:path arrowok="t"/>
              </v:shape>
            </v:group>
            <v:group style="position:absolute;left:9802;top:2629;width:485;height:269" coordorigin="9802,2629" coordsize="485,269">
              <v:shape style="position:absolute;left:9802;top:2629;width:485;height:269" coordorigin="9802,2629" coordsize="485,269" path="m9802,2898l10286,2898,10286,2629,9802,2629,9802,2898xe" filled="true" fillcolor="#d3d3d3" stroked="false">
                <v:path arrowok="t"/>
                <v:fill type="solid"/>
              </v:shape>
            </v:group>
            <v:group style="position:absolute;left:9802;top:2898;width:485;height:231" coordorigin="9802,2898" coordsize="485,231">
              <v:shape style="position:absolute;left:9802;top:2898;width:485;height:231" coordorigin="9802,2898" coordsize="485,231" path="m9802,3128l10286,3128,10286,2898,9802,2898,9802,3128xe" filled="true" fillcolor="#d3d3d3" stroked="false">
                <v:path arrowok="t"/>
                <v:fill type="solid"/>
              </v:shape>
            </v:group>
            <v:group style="position:absolute;left:9802;top:3128;width:485;height:269" coordorigin="9802,3128" coordsize="485,269">
              <v:shape style="position:absolute;left:9802;top:3128;width:485;height:269" coordorigin="9802,3128" coordsize="485,269" path="m9802,3397l10286,3397,10286,3128,9802,3128,9802,3397xe" filled="true" fillcolor="#d3d3d3" stroked="false">
                <v:path arrowok="t"/>
                <v:fill type="solid"/>
              </v:shape>
            </v:group>
            <v:group style="position:absolute;left:10318;top:3168;width:1328;height:396" coordorigin="10318,3168" coordsize="1328,396">
              <v:shape style="position:absolute;left:10318;top:3168;width:1328;height:396" coordorigin="10318,3168" coordsize="1328,396" path="m10318,3564l11645,3564,11645,3168,10318,3168,10318,3564xe" filled="true" fillcolor="#d3d3d3" stroked="false">
                <v:path arrowok="t"/>
                <v:fill type="solid"/>
              </v:shape>
            </v:group>
            <v:group style="position:absolute;left:10330;top:2860;width:2;height:308" coordorigin="10330,2860" coordsize="2,308">
              <v:shape style="position:absolute;left:10330;top:2860;width:2;height:308" coordorigin="10330,2860" coordsize="0,308" path="m10330,2860l10330,3168e" filled="false" stroked="true" strokeweight="1.199969pt" strokecolor="#d3d3d3">
                <v:path arrowok="t"/>
              </v:shape>
            </v:group>
            <v:group style="position:absolute;left:10318;top:2476;width:1328;height:384" coordorigin="10318,2476" coordsize="1328,384">
              <v:shape style="position:absolute;left:10318;top:2476;width:1328;height:384" coordorigin="10318,2476" coordsize="1328,384" path="m10318,2860l11645,2860,11645,2476,10318,2476,10318,2860xe" filled="true" fillcolor="#d3d3d3" stroked="false">
                <v:path arrowok="t"/>
                <v:fill type="solid"/>
              </v:shape>
            </v:group>
            <v:group style="position:absolute;left:11634;top:2859;width:2;height:310" coordorigin="11634,2859" coordsize="2,310">
              <v:shape style="position:absolute;left:11634;top:2859;width:2;height:310" coordorigin="11634,2859" coordsize="0,310" path="m11634,2859l11634,3169e" filled="false" stroked="true" strokeweight="1.08pt" strokecolor="#d3d3d3">
                <v:path arrowok="t"/>
              </v:shape>
            </v:group>
            <v:group style="position:absolute;left:2398;top:2790;width:1251;height:2" coordorigin="2398,2790" coordsize="1251,2">
              <v:shape style="position:absolute;left:2398;top:2790;width:1251;height:2" coordorigin="2398,2790" coordsize="1251,0" path="m2398,2790l3648,2790e" filled="false" stroked="true" strokeweight=".48pt" strokecolor="#000000">
                <v:path arrowok="t"/>
              </v:shape>
            </v:group>
            <v:group style="position:absolute;left:3658;top:2790;width:1431;height:2" coordorigin="3658,2790" coordsize="1431,2">
              <v:shape style="position:absolute;left:3658;top:2790;width:1431;height:2" coordorigin="3658,2790" coordsize="1431,0" path="m3658,2790l5088,2790e" filled="false" stroked="true" strokeweight=".48pt" strokecolor="#000000">
                <v:path arrowok="t"/>
              </v:shape>
            </v:group>
            <v:group style="position:absolute;left:5098;top:2790;width:531;height:2" coordorigin="5098,2790" coordsize="531,2">
              <v:shape style="position:absolute;left:5098;top:2790;width:531;height:2" coordorigin="5098,2790" coordsize="531,0" path="m5098,2790l5628,2790e" filled="false" stroked="true" strokeweight=".48pt" strokecolor="#000000">
                <v:path arrowok="t"/>
              </v:shape>
            </v:group>
            <v:group style="position:absolute;left:5638;top:2790;width:677;height:2" coordorigin="5638,2790" coordsize="677,2">
              <v:shape style="position:absolute;left:5638;top:2790;width:677;height:2" coordorigin="5638,2790" coordsize="677,0" path="m5638,2790l6314,2790e" filled="false" stroked="true" strokeweight=".48pt" strokecolor="#000000">
                <v:path arrowok="t"/>
              </v:shape>
            </v:group>
            <v:group style="position:absolute;left:6324;top:2790;width:1284;height:2" coordorigin="6324,2790" coordsize="1284,2">
              <v:shape style="position:absolute;left:6324;top:2790;width:1284;height:2" coordorigin="6324,2790" coordsize="1284,0" path="m6324,2790l7608,2790e" filled="false" stroked="true" strokeweight=".48pt" strokecolor="#000000">
                <v:path arrowok="t"/>
              </v:shape>
            </v:group>
            <v:group style="position:absolute;left:7618;top:2790;width:531;height:2" coordorigin="7618,2790" coordsize="531,2">
              <v:shape style="position:absolute;left:7618;top:2790;width:531;height:2" coordorigin="7618,2790" coordsize="531,0" path="m7618,2790l8148,2790e" filled="false" stroked="true" strokeweight=".48pt" strokecolor="#000000">
                <v:path arrowok="t"/>
              </v:shape>
            </v:group>
            <v:group style="position:absolute;left:8158;top:2790;width:1251;height:2" coordorigin="8158,2790" coordsize="1251,2">
              <v:shape style="position:absolute;left:8158;top:2790;width:1251;height:2" coordorigin="8158,2790" coordsize="1251,0" path="m8158,2790l9408,2790e" filled="false" stroked="true" strokeweight=".48pt" strokecolor="#000000">
                <v:path arrowok="t"/>
              </v:shape>
            </v:group>
            <v:group style="position:absolute;left:9418;top:2790;width:351;height:2" coordorigin="9418,2790" coordsize="351,2">
              <v:shape style="position:absolute;left:9418;top:2790;width:351;height:2" coordorigin="9418,2790" coordsize="351,0" path="m9418,2790l9768,2790e" filled="false" stroked="true" strokeweight=".48pt" strokecolor="#000000">
                <v:path arrowok="t"/>
              </v:shape>
            </v:group>
            <v:group style="position:absolute;left:430;top:3574;width:2;height:310" coordorigin="430,3574" coordsize="2,310">
              <v:shape style="position:absolute;left:430;top:3574;width:2;height:310" coordorigin="430,3574" coordsize="0,310" path="m430,3574l430,3884e" filled="false" stroked="true" strokeweight="1.199999pt" strokecolor="#d3d3d3">
                <v:path arrowok="t"/>
              </v:shape>
            </v:group>
            <v:group style="position:absolute;left:2377;top:3574;width:2;height:310" coordorigin="2377,3574" coordsize="2,310">
              <v:shape style="position:absolute;left:2377;top:3574;width:2;height:310" coordorigin="2377,3574" coordsize="0,310" path="m2377,3574l2377,3884e" filled="false" stroked="true" strokeweight="1.08pt" strokecolor="#d3d3d3">
                <v:path arrowok="t"/>
              </v:shape>
            </v:group>
            <v:group style="position:absolute;left:442;top:3574;width:1925;height:310" coordorigin="442,3574" coordsize="1925,310">
              <v:shape style="position:absolute;left:442;top:3574;width:1925;height:310" coordorigin="442,3574" coordsize="1925,310" path="m442,3884l2366,3884,2366,3574,442,3574,442,3884xe" filled="true" fillcolor="#d3d3d3" stroked="false">
                <v:path arrowok="t"/>
                <v:fill type="solid"/>
              </v:shape>
            </v:group>
            <v:group style="position:absolute;left:418;top:3570;width:1971;height:2" coordorigin="418,3570" coordsize="1971,2">
              <v:shape style="position:absolute;left:418;top:3570;width:1971;height:2" coordorigin="418,3570" coordsize="1971,0" path="m418,3570l2388,3570e" filled="false" stroked="true" strokeweight=".48pt" strokecolor="#000000">
                <v:path arrowok="t"/>
              </v:shape>
            </v:group>
            <v:group style="position:absolute;left:2398;top:3570;width:1251;height:2" coordorigin="2398,3570" coordsize="1251,2">
              <v:shape style="position:absolute;left:2398;top:3570;width:1251;height:2" coordorigin="2398,3570" coordsize="1251,0" path="m2398,3570l3648,3570e" filled="false" stroked="true" strokeweight=".48pt" strokecolor="#000000">
                <v:path arrowok="t"/>
              </v:shape>
            </v:group>
            <v:group style="position:absolute;left:3658;top:3570;width:1431;height:2" coordorigin="3658,3570" coordsize="1431,2">
              <v:shape style="position:absolute;left:3658;top:3570;width:1431;height:2" coordorigin="3658,3570" coordsize="1431,0" path="m3658,3570l5088,3570e" filled="false" stroked="true" strokeweight=".48pt" strokecolor="#000000">
                <v:path arrowok="t"/>
              </v:shape>
            </v:group>
            <v:group style="position:absolute;left:5098;top:3570;width:531;height:2" coordorigin="5098,3570" coordsize="531,2">
              <v:shape style="position:absolute;left:5098;top:3570;width:531;height:2" coordorigin="5098,3570" coordsize="531,0" path="m5098,3570l5628,3570e" filled="false" stroked="true" strokeweight=".48pt" strokecolor="#000000">
                <v:path arrowok="t"/>
              </v:shape>
            </v:group>
            <v:group style="position:absolute;left:5638;top:3570;width:677;height:2" coordorigin="5638,3570" coordsize="677,2">
              <v:shape style="position:absolute;left:5638;top:3570;width:677;height:2" coordorigin="5638,3570" coordsize="677,0" path="m5638,3570l6314,3570e" filled="false" stroked="true" strokeweight=".48pt" strokecolor="#000000">
                <v:path arrowok="t"/>
              </v:shape>
            </v:group>
            <v:group style="position:absolute;left:6324;top:3570;width:1284;height:2" coordorigin="6324,3570" coordsize="1284,2">
              <v:shape style="position:absolute;left:6324;top:3570;width:1284;height:2" coordorigin="6324,3570" coordsize="1284,0" path="m6324,3570l7608,3570e" filled="false" stroked="true" strokeweight=".48pt" strokecolor="#000000">
                <v:path arrowok="t"/>
              </v:shape>
            </v:group>
            <v:group style="position:absolute;left:7618;top:3570;width:531;height:2" coordorigin="7618,3570" coordsize="531,2">
              <v:shape style="position:absolute;left:7618;top:3570;width:531;height:2" coordorigin="7618,3570" coordsize="531,0" path="m7618,3570l8148,3570e" filled="false" stroked="true" strokeweight=".48pt" strokecolor="#000000">
                <v:path arrowok="t"/>
              </v:shape>
            </v:group>
            <v:group style="position:absolute;left:8158;top:3570;width:1251;height:2" coordorigin="8158,3570" coordsize="1251,2">
              <v:shape style="position:absolute;left:8158;top:3570;width:1251;height:2" coordorigin="8158,3570" coordsize="1251,0" path="m8158,3570l9408,3570e" filled="false" stroked="true" strokeweight=".48pt" strokecolor="#000000">
                <v:path arrowok="t"/>
              </v:shape>
            </v:group>
            <v:group style="position:absolute;left:9418;top:3570;width:351;height:2" coordorigin="9418,3570" coordsize="351,2">
              <v:shape style="position:absolute;left:9418;top:3570;width:351;height:2" coordorigin="9418,3570" coordsize="351,0" path="m9418,3570l9768,3570e" filled="false" stroked="true" strokeweight=".48pt" strokecolor="#000000">
                <v:path arrowok="t"/>
              </v:shape>
            </v:group>
            <v:group style="position:absolute;left:9778;top:3570;width:531;height:2" coordorigin="9778,3570" coordsize="531,2">
              <v:shape style="position:absolute;left:9778;top:3570;width:531;height:2" coordorigin="9778,3570" coordsize="531,0" path="m9778,3570l10308,3570e" filled="false" stroked="true" strokeweight=".48pt" strokecolor="#000000">
                <v:path arrowok="t"/>
              </v:shape>
            </v:group>
            <v:group style="position:absolute;left:10318;top:3570;width:1328;height:2" coordorigin="10318,3570" coordsize="1328,2">
              <v:shape style="position:absolute;left:10318;top:3570;width:1328;height:2" coordorigin="10318,3570" coordsize="1328,0" path="m10318,3570l11645,3570e" filled="false" stroked="true" strokeweight=".48pt" strokecolor="#000000">
                <v:path arrowok="t"/>
              </v:shape>
            </v:group>
            <v:group style="position:absolute;left:430;top:3894;width:2;height:540" coordorigin="430,3894" coordsize="2,540">
              <v:shape style="position:absolute;left:430;top:3894;width:2;height:540" coordorigin="430,3894" coordsize="0,540" path="m430,3894l430,4434e" filled="false" stroked="true" strokeweight="1.199999pt" strokecolor="#d3d3d3">
                <v:path arrowok="t"/>
              </v:shape>
            </v:group>
            <v:group style="position:absolute;left:2377;top:3894;width:2;height:540" coordorigin="2377,3894" coordsize="2,540">
              <v:shape style="position:absolute;left:2377;top:3894;width:2;height:540" coordorigin="2377,3894" coordsize="0,540" path="m2377,3894l2377,4434e" filled="false" stroked="true" strokeweight="1.08pt" strokecolor="#d3d3d3">
                <v:path arrowok="t"/>
              </v:shape>
            </v:group>
            <v:group style="position:absolute;left:442;top:3894;width:1925;height:272" coordorigin="442,3894" coordsize="1925,272">
              <v:shape style="position:absolute;left:442;top:3894;width:1925;height:272" coordorigin="442,3894" coordsize="1925,272" path="m442,4165l2366,4165,2366,3894,442,3894,442,4165xe" filled="true" fillcolor="#d3d3d3" stroked="false">
                <v:path arrowok="t"/>
                <v:fill type="solid"/>
              </v:shape>
            </v:group>
            <v:group style="position:absolute;left:442;top:4165;width:1925;height:269" coordorigin="442,4165" coordsize="1925,269">
              <v:shape style="position:absolute;left:442;top:4165;width:1925;height:269" coordorigin="442,4165" coordsize="1925,269" path="m442,4434l2366,4434,2366,4165,442,4165,442,4434xe" filled="true" fillcolor="#d3d3d3" stroked="false">
                <v:path arrowok="t"/>
                <v:fill type="solid"/>
              </v:shape>
            </v:group>
            <v:group style="position:absolute;left:418;top:3889;width:1971;height:2" coordorigin="418,3889" coordsize="1971,2">
              <v:shape style="position:absolute;left:418;top:3889;width:1971;height:2" coordorigin="418,3889" coordsize="1971,0" path="m418,3889l2388,3889e" filled="false" stroked="true" strokeweight=".48pt" strokecolor="#000000">
                <v:path arrowok="t"/>
              </v:shape>
            </v:group>
            <v:group style="position:absolute;left:2398;top:3889;width:1251;height:2" coordorigin="2398,3889" coordsize="1251,2">
              <v:shape style="position:absolute;left:2398;top:3889;width:1251;height:2" coordorigin="2398,3889" coordsize="1251,0" path="m2398,3889l3648,3889e" filled="false" stroked="true" strokeweight=".48pt" strokecolor="#000000">
                <v:path arrowok="t"/>
              </v:shape>
            </v:group>
            <v:group style="position:absolute;left:3658;top:3889;width:1431;height:2" coordorigin="3658,3889" coordsize="1431,2">
              <v:shape style="position:absolute;left:3658;top:3889;width:1431;height:2" coordorigin="3658,3889" coordsize="1431,0" path="m3658,3889l5088,3889e" filled="false" stroked="true" strokeweight=".48pt" strokecolor="#000000">
                <v:path arrowok="t"/>
              </v:shape>
            </v:group>
            <v:group style="position:absolute;left:5098;top:3889;width:531;height:2" coordorigin="5098,3889" coordsize="531,2">
              <v:shape style="position:absolute;left:5098;top:3889;width:531;height:2" coordorigin="5098,3889" coordsize="531,0" path="m5098,3889l5628,3889e" filled="false" stroked="true" strokeweight=".48pt" strokecolor="#000000">
                <v:path arrowok="t"/>
              </v:shape>
            </v:group>
            <v:group style="position:absolute;left:5638;top:3889;width:677;height:2" coordorigin="5638,3889" coordsize="677,2">
              <v:shape style="position:absolute;left:5638;top:3889;width:677;height:2" coordorigin="5638,3889" coordsize="677,0" path="m5638,3889l6314,3889e" filled="false" stroked="true" strokeweight=".48pt" strokecolor="#000000">
                <v:path arrowok="t"/>
              </v:shape>
            </v:group>
            <v:group style="position:absolute;left:6324;top:3889;width:1284;height:2" coordorigin="6324,3889" coordsize="1284,2">
              <v:shape style="position:absolute;left:6324;top:3889;width:1284;height:2" coordorigin="6324,3889" coordsize="1284,0" path="m6324,3889l7608,3889e" filled="false" stroked="true" strokeweight=".48pt" strokecolor="#000000">
                <v:path arrowok="t"/>
              </v:shape>
            </v:group>
            <v:group style="position:absolute;left:7618;top:3889;width:531;height:2" coordorigin="7618,3889" coordsize="531,2">
              <v:shape style="position:absolute;left:7618;top:3889;width:531;height:2" coordorigin="7618,3889" coordsize="531,0" path="m7618,3889l8148,3889e" filled="false" stroked="true" strokeweight=".48pt" strokecolor="#000000">
                <v:path arrowok="t"/>
              </v:shape>
            </v:group>
            <v:group style="position:absolute;left:8158;top:3889;width:1251;height:2" coordorigin="8158,3889" coordsize="1251,2">
              <v:shape style="position:absolute;left:8158;top:3889;width:1251;height:2" coordorigin="8158,3889" coordsize="1251,0" path="m8158,3889l9408,3889e" filled="false" stroked="true" strokeweight=".48pt" strokecolor="#000000">
                <v:path arrowok="t"/>
              </v:shape>
            </v:group>
            <v:group style="position:absolute;left:9418;top:3889;width:351;height:2" coordorigin="9418,3889" coordsize="351,2">
              <v:shape style="position:absolute;left:9418;top:3889;width:351;height:2" coordorigin="9418,3889" coordsize="351,0" path="m9418,3889l9768,3889e" filled="false" stroked="true" strokeweight=".48pt" strokecolor="#000000">
                <v:path arrowok="t"/>
              </v:shape>
            </v:group>
            <v:group style="position:absolute;left:9778;top:3889;width:531;height:2" coordorigin="9778,3889" coordsize="531,2">
              <v:shape style="position:absolute;left:9778;top:3889;width:531;height:2" coordorigin="9778,3889" coordsize="531,0" path="m9778,3889l10308,3889e" filled="false" stroked="true" strokeweight=".48pt" strokecolor="#000000">
                <v:path arrowok="t"/>
              </v:shape>
            </v:group>
            <v:group style="position:absolute;left:10318;top:3889;width:1328;height:2" coordorigin="10318,3889" coordsize="1328,2">
              <v:shape style="position:absolute;left:10318;top:3889;width:1328;height:2" coordorigin="10318,3889" coordsize="1328,0" path="m10318,3889l11645,3889e" filled="false" stroked="true" strokeweight=".48pt" strokecolor="#000000">
                <v:path arrowok="t"/>
              </v:shape>
            </v:group>
            <v:group style="position:absolute;left:430;top:4446;width:2;height:310" coordorigin="430,4446" coordsize="2,310">
              <v:shape style="position:absolute;left:430;top:4446;width:2;height:310" coordorigin="430,4446" coordsize="0,310" path="m430,4446l430,4755e" filled="false" stroked="true" strokeweight="1.199999pt" strokecolor="#d3d3d3">
                <v:path arrowok="t"/>
              </v:shape>
            </v:group>
            <v:group style="position:absolute;left:2377;top:4446;width:2;height:310" coordorigin="2377,4446" coordsize="2,310">
              <v:shape style="position:absolute;left:2377;top:4446;width:2;height:310" coordorigin="2377,4446" coordsize="0,310" path="m2377,4446l2377,4755e" filled="false" stroked="true" strokeweight="1.08pt" strokecolor="#d3d3d3">
                <v:path arrowok="t"/>
              </v:shape>
            </v:group>
            <v:group style="position:absolute;left:442;top:4443;width:1925;height:312" coordorigin="442,4443" coordsize="1925,312">
              <v:shape style="position:absolute;left:442;top:4443;width:1925;height:312" coordorigin="442,4443" coordsize="1925,312" path="m442,4755l2366,4755,2366,4443,442,4443,442,4755xe" filled="true" fillcolor="#d3d3d3" stroked="false">
                <v:path arrowok="t"/>
                <v:fill type="solid"/>
              </v:shape>
            </v:group>
            <v:group style="position:absolute;left:418;top:4438;width:1971;height:2" coordorigin="418,4438" coordsize="1971,2">
              <v:shape style="position:absolute;left:418;top:4438;width:1971;height:2" coordorigin="418,4438" coordsize="1971,0" path="m418,4438l2388,4438e" filled="false" stroked="true" strokeweight=".48pt" strokecolor="#000000">
                <v:path arrowok="t"/>
              </v:shape>
            </v:group>
            <v:group style="position:absolute;left:2398;top:4438;width:1251;height:2" coordorigin="2398,4438" coordsize="1251,2">
              <v:shape style="position:absolute;left:2398;top:4438;width:1251;height:2" coordorigin="2398,4438" coordsize="1251,0" path="m2398,4438l3648,4438e" filled="false" stroked="true" strokeweight=".48pt" strokecolor="#000000">
                <v:path arrowok="t"/>
              </v:shape>
            </v:group>
            <v:group style="position:absolute;left:3658;top:4438;width:1431;height:2" coordorigin="3658,4438" coordsize="1431,2">
              <v:shape style="position:absolute;left:3658;top:4438;width:1431;height:2" coordorigin="3658,4438" coordsize="1431,0" path="m3658,4438l5088,4438e" filled="false" stroked="true" strokeweight=".48pt" strokecolor="#000000">
                <v:path arrowok="t"/>
              </v:shape>
            </v:group>
            <v:group style="position:absolute;left:5098;top:4438;width:531;height:2" coordorigin="5098,4438" coordsize="531,2">
              <v:shape style="position:absolute;left:5098;top:4438;width:531;height:2" coordorigin="5098,4438" coordsize="531,0" path="m5098,4438l5628,4438e" filled="false" stroked="true" strokeweight=".48pt" strokecolor="#000000">
                <v:path arrowok="t"/>
              </v:shape>
            </v:group>
            <v:group style="position:absolute;left:5638;top:4438;width:677;height:2" coordorigin="5638,4438" coordsize="677,2">
              <v:shape style="position:absolute;left:5638;top:4438;width:677;height:2" coordorigin="5638,4438" coordsize="677,0" path="m5638,4438l6314,4438e" filled="false" stroked="true" strokeweight=".48pt" strokecolor="#000000">
                <v:path arrowok="t"/>
              </v:shape>
            </v:group>
            <v:group style="position:absolute;left:6324;top:4438;width:1284;height:2" coordorigin="6324,4438" coordsize="1284,2">
              <v:shape style="position:absolute;left:6324;top:4438;width:1284;height:2" coordorigin="6324,4438" coordsize="1284,0" path="m6324,4438l7608,4438e" filled="false" stroked="true" strokeweight=".48pt" strokecolor="#000000">
                <v:path arrowok="t"/>
              </v:shape>
            </v:group>
            <v:group style="position:absolute;left:7618;top:4438;width:531;height:2" coordorigin="7618,4438" coordsize="531,2">
              <v:shape style="position:absolute;left:7618;top:4438;width:531;height:2" coordorigin="7618,4438" coordsize="531,0" path="m7618,4438l8148,4438e" filled="false" stroked="true" strokeweight=".48pt" strokecolor="#000000">
                <v:path arrowok="t"/>
              </v:shape>
            </v:group>
            <v:group style="position:absolute;left:8158;top:4438;width:1251;height:2" coordorigin="8158,4438" coordsize="1251,2">
              <v:shape style="position:absolute;left:8158;top:4438;width:1251;height:2" coordorigin="8158,4438" coordsize="1251,0" path="m8158,4438l9408,4438e" filled="false" stroked="true" strokeweight=".48pt" strokecolor="#000000">
                <v:path arrowok="t"/>
              </v:shape>
            </v:group>
            <v:group style="position:absolute;left:9418;top:4438;width:351;height:2" coordorigin="9418,4438" coordsize="351,2">
              <v:shape style="position:absolute;left:9418;top:4438;width:351;height:2" coordorigin="9418,4438" coordsize="351,0" path="m9418,4438l9768,4438e" filled="false" stroked="true" strokeweight=".48pt" strokecolor="#000000">
                <v:path arrowok="t"/>
              </v:shape>
            </v:group>
            <v:group style="position:absolute;left:9778;top:4438;width:531;height:2" coordorigin="9778,4438" coordsize="531,2">
              <v:shape style="position:absolute;left:9778;top:4438;width:531;height:2" coordorigin="9778,4438" coordsize="531,0" path="m9778,4438l10308,4438e" filled="false" stroked="true" strokeweight=".48pt" strokecolor="#000000">
                <v:path arrowok="t"/>
              </v:shape>
            </v:group>
            <v:group style="position:absolute;left:10318;top:4438;width:1328;height:2" coordorigin="10318,4438" coordsize="1328,2">
              <v:shape style="position:absolute;left:10318;top:4438;width:1328;height:2" coordorigin="10318,4438" coordsize="1328,0" path="m10318,4438l11645,4438e" filled="false" stroked="true" strokeweight=".48pt" strokecolor="#000000">
                <v:path arrowok="t"/>
              </v:shape>
            </v:group>
            <v:group style="position:absolute;left:430;top:4765;width:2;height:310" coordorigin="430,4765" coordsize="2,310">
              <v:shape style="position:absolute;left:430;top:4765;width:2;height:310" coordorigin="430,4765" coordsize="0,310" path="m430,4765l430,5074e" filled="false" stroked="true" strokeweight="1.199999pt" strokecolor="#d3d3d3">
                <v:path arrowok="t"/>
              </v:shape>
            </v:group>
            <v:group style="position:absolute;left:2377;top:4765;width:2;height:310" coordorigin="2377,4765" coordsize="2,310">
              <v:shape style="position:absolute;left:2377;top:4765;width:2;height:310" coordorigin="2377,4765" coordsize="0,310" path="m2377,4765l2377,5074e" filled="false" stroked="true" strokeweight="1.08pt" strokecolor="#d3d3d3">
                <v:path arrowok="t"/>
              </v:shape>
            </v:group>
            <v:group style="position:absolute;left:442;top:4765;width:1925;height:310" coordorigin="442,4765" coordsize="1925,310">
              <v:shape style="position:absolute;left:442;top:4765;width:1925;height:310" coordorigin="442,4765" coordsize="1925,310" path="m442,5074l2366,5074,2366,4765,442,4765,442,5074xe" filled="true" fillcolor="#d3d3d3" stroked="false">
                <v:path arrowok="t"/>
                <v:fill type="solid"/>
              </v:shape>
            </v:group>
            <v:group style="position:absolute;left:418;top:4760;width:1971;height:2" coordorigin="418,4760" coordsize="1971,2">
              <v:shape style="position:absolute;left:418;top:4760;width:1971;height:2" coordorigin="418,4760" coordsize="1971,0" path="m418,4760l2388,4760e" filled="false" stroked="true" strokeweight=".48pt" strokecolor="#000000">
                <v:path arrowok="t"/>
              </v:shape>
            </v:group>
            <v:group style="position:absolute;left:2398;top:4760;width:1251;height:2" coordorigin="2398,4760" coordsize="1251,2">
              <v:shape style="position:absolute;left:2398;top:4760;width:1251;height:2" coordorigin="2398,4760" coordsize="1251,0" path="m2398,4760l3648,4760e" filled="false" stroked="true" strokeweight=".48pt" strokecolor="#000000">
                <v:path arrowok="t"/>
              </v:shape>
            </v:group>
            <v:group style="position:absolute;left:3658;top:4760;width:1431;height:2" coordorigin="3658,4760" coordsize="1431,2">
              <v:shape style="position:absolute;left:3658;top:4760;width:1431;height:2" coordorigin="3658,4760" coordsize="1431,0" path="m3658,4760l5088,4760e" filled="false" stroked="true" strokeweight=".48pt" strokecolor="#000000">
                <v:path arrowok="t"/>
              </v:shape>
            </v:group>
            <v:group style="position:absolute;left:5098;top:4760;width:531;height:2" coordorigin="5098,4760" coordsize="531,2">
              <v:shape style="position:absolute;left:5098;top:4760;width:531;height:2" coordorigin="5098,4760" coordsize="531,0" path="m5098,4760l5628,4760e" filled="false" stroked="true" strokeweight=".48pt" strokecolor="#000000">
                <v:path arrowok="t"/>
              </v:shape>
            </v:group>
            <v:group style="position:absolute;left:5638;top:4760;width:677;height:2" coordorigin="5638,4760" coordsize="677,2">
              <v:shape style="position:absolute;left:5638;top:4760;width:677;height:2" coordorigin="5638,4760" coordsize="677,0" path="m5638,4760l6314,4760e" filled="false" stroked="true" strokeweight=".48pt" strokecolor="#000000">
                <v:path arrowok="t"/>
              </v:shape>
            </v:group>
            <v:group style="position:absolute;left:6324;top:4760;width:1284;height:2" coordorigin="6324,4760" coordsize="1284,2">
              <v:shape style="position:absolute;left:6324;top:4760;width:1284;height:2" coordorigin="6324,4760" coordsize="1284,0" path="m6324,4760l7608,4760e" filled="false" stroked="true" strokeweight=".48pt" strokecolor="#000000">
                <v:path arrowok="t"/>
              </v:shape>
            </v:group>
            <v:group style="position:absolute;left:7618;top:4760;width:531;height:2" coordorigin="7618,4760" coordsize="531,2">
              <v:shape style="position:absolute;left:7618;top:4760;width:531;height:2" coordorigin="7618,4760" coordsize="531,0" path="m7618,4760l8148,4760e" filled="false" stroked="true" strokeweight=".48pt" strokecolor="#000000">
                <v:path arrowok="t"/>
              </v:shape>
            </v:group>
            <v:group style="position:absolute;left:8158;top:4760;width:1251;height:2" coordorigin="8158,4760" coordsize="1251,2">
              <v:shape style="position:absolute;left:8158;top:4760;width:1251;height:2" coordorigin="8158,4760" coordsize="1251,0" path="m8158,4760l9408,4760e" filled="false" stroked="true" strokeweight=".48pt" strokecolor="#000000">
                <v:path arrowok="t"/>
              </v:shape>
            </v:group>
            <v:group style="position:absolute;left:9418;top:4760;width:351;height:2" coordorigin="9418,4760" coordsize="351,2">
              <v:shape style="position:absolute;left:9418;top:4760;width:351;height:2" coordorigin="9418,4760" coordsize="351,0" path="m9418,4760l9768,4760e" filled="false" stroked="true" strokeweight=".48pt" strokecolor="#000000">
                <v:path arrowok="t"/>
              </v:shape>
            </v:group>
            <v:group style="position:absolute;left:9778;top:4760;width:531;height:2" coordorigin="9778,4760" coordsize="531,2">
              <v:shape style="position:absolute;left:9778;top:4760;width:531;height:2" coordorigin="9778,4760" coordsize="531,0" path="m9778,4760l10308,4760e" filled="false" stroked="true" strokeweight=".48pt" strokecolor="#000000">
                <v:path arrowok="t"/>
              </v:shape>
            </v:group>
            <v:group style="position:absolute;left:10318;top:4760;width:1328;height:2" coordorigin="10318,4760" coordsize="1328,2">
              <v:shape style="position:absolute;left:10318;top:4760;width:1328;height:2" coordorigin="10318,4760" coordsize="1328,0" path="m10318,4760l11645,4760e" filled="false" stroked="true" strokeweight=".48pt" strokecolor="#000000">
                <v:path arrowok="t"/>
              </v:shape>
            </v:group>
            <v:group style="position:absolute;left:430;top:5084;width:2;height:310" coordorigin="430,5084" coordsize="2,310">
              <v:shape style="position:absolute;left:430;top:5084;width:2;height:310" coordorigin="430,5084" coordsize="0,310" path="m430,5084l430,5394e" filled="false" stroked="true" strokeweight="1.199999pt" strokecolor="#d3d3d3">
                <v:path arrowok="t"/>
              </v:shape>
            </v:group>
            <v:group style="position:absolute;left:2377;top:5084;width:2;height:310" coordorigin="2377,5084" coordsize="2,310">
              <v:shape style="position:absolute;left:2377;top:5084;width:2;height:310" coordorigin="2377,5084" coordsize="0,310" path="m2377,5084l2377,5394e" filled="false" stroked="true" strokeweight="1.08pt" strokecolor="#d3d3d3">
                <v:path arrowok="t"/>
              </v:shape>
            </v:group>
            <v:group style="position:absolute;left:442;top:5084;width:1925;height:310" coordorigin="442,5084" coordsize="1925,310">
              <v:shape style="position:absolute;left:442;top:5084;width:1925;height:310" coordorigin="442,5084" coordsize="1925,310" path="m442,5394l2366,5394,2366,5084,442,5084,442,5394xe" filled="true" fillcolor="#d3d3d3" stroked="false">
                <v:path arrowok="t"/>
                <v:fill type="solid"/>
              </v:shape>
            </v:group>
            <v:group style="position:absolute;left:418;top:5079;width:1971;height:2" coordorigin="418,5079" coordsize="1971,2">
              <v:shape style="position:absolute;left:418;top:5079;width:1971;height:2" coordorigin="418,5079" coordsize="1971,0" path="m418,5079l2388,5079e" filled="false" stroked="true" strokeweight=".48pt" strokecolor="#000000">
                <v:path arrowok="t"/>
              </v:shape>
            </v:group>
            <v:group style="position:absolute;left:2398;top:5079;width:1251;height:2" coordorigin="2398,5079" coordsize="1251,2">
              <v:shape style="position:absolute;left:2398;top:5079;width:1251;height:2" coordorigin="2398,5079" coordsize="1251,0" path="m2398,5079l3648,5079e" filled="false" stroked="true" strokeweight=".48pt" strokecolor="#000000">
                <v:path arrowok="t"/>
              </v:shape>
            </v:group>
            <v:group style="position:absolute;left:3658;top:5079;width:1431;height:2" coordorigin="3658,5079" coordsize="1431,2">
              <v:shape style="position:absolute;left:3658;top:5079;width:1431;height:2" coordorigin="3658,5079" coordsize="1431,0" path="m3658,5079l5088,5079e" filled="false" stroked="true" strokeweight=".48pt" strokecolor="#000000">
                <v:path arrowok="t"/>
              </v:shape>
            </v:group>
            <v:group style="position:absolute;left:5098;top:5079;width:531;height:2" coordorigin="5098,5079" coordsize="531,2">
              <v:shape style="position:absolute;left:5098;top:5079;width:531;height:2" coordorigin="5098,5079" coordsize="531,0" path="m5098,5079l5628,5079e" filled="false" stroked="true" strokeweight=".48pt" strokecolor="#000000">
                <v:path arrowok="t"/>
              </v:shape>
            </v:group>
            <v:group style="position:absolute;left:5638;top:5079;width:677;height:2" coordorigin="5638,5079" coordsize="677,2">
              <v:shape style="position:absolute;left:5638;top:5079;width:677;height:2" coordorigin="5638,5079" coordsize="677,0" path="m5638,5079l6314,5079e" filled="false" stroked="true" strokeweight=".48pt" strokecolor="#000000">
                <v:path arrowok="t"/>
              </v:shape>
            </v:group>
            <v:group style="position:absolute;left:6324;top:5079;width:1284;height:2" coordorigin="6324,5079" coordsize="1284,2">
              <v:shape style="position:absolute;left:6324;top:5079;width:1284;height:2" coordorigin="6324,5079" coordsize="1284,0" path="m6324,5079l7608,5079e" filled="false" stroked="true" strokeweight=".48pt" strokecolor="#000000">
                <v:path arrowok="t"/>
              </v:shape>
            </v:group>
            <v:group style="position:absolute;left:7618;top:5079;width:531;height:2" coordorigin="7618,5079" coordsize="531,2">
              <v:shape style="position:absolute;left:7618;top:5079;width:531;height:2" coordorigin="7618,5079" coordsize="531,0" path="m7618,5079l8148,5079e" filled="false" stroked="true" strokeweight=".48pt" strokecolor="#000000">
                <v:path arrowok="t"/>
              </v:shape>
            </v:group>
            <v:group style="position:absolute;left:8158;top:5079;width:1251;height:2" coordorigin="8158,5079" coordsize="1251,2">
              <v:shape style="position:absolute;left:8158;top:5079;width:1251;height:2" coordorigin="8158,5079" coordsize="1251,0" path="m8158,5079l9408,5079e" filled="false" stroked="true" strokeweight=".48pt" strokecolor="#000000">
                <v:path arrowok="t"/>
              </v:shape>
            </v:group>
            <v:group style="position:absolute;left:9418;top:5079;width:351;height:2" coordorigin="9418,5079" coordsize="351,2">
              <v:shape style="position:absolute;left:9418;top:5079;width:351;height:2" coordorigin="9418,5079" coordsize="351,0" path="m9418,5079l9768,5079e" filled="false" stroked="true" strokeweight=".48pt" strokecolor="#000000">
                <v:path arrowok="t"/>
              </v:shape>
            </v:group>
            <v:group style="position:absolute;left:9778;top:5079;width:531;height:2" coordorigin="9778,5079" coordsize="531,2">
              <v:shape style="position:absolute;left:9778;top:5079;width:531;height:2" coordorigin="9778,5079" coordsize="531,0" path="m9778,5079l10308,5079e" filled="false" stroked="true" strokeweight=".48pt" strokecolor="#000000">
                <v:path arrowok="t"/>
              </v:shape>
            </v:group>
            <v:group style="position:absolute;left:10318;top:5079;width:1328;height:2" coordorigin="10318,5079" coordsize="1328,2">
              <v:shape style="position:absolute;left:10318;top:5079;width:1328;height:2" coordorigin="10318,5079" coordsize="1328,0" path="m10318,5079l11645,5079e" filled="false" stroked="true" strokeweight=".48pt" strokecolor="#000000">
                <v:path arrowok="t"/>
              </v:shape>
            </v:group>
            <v:group style="position:absolute;left:430;top:5406;width:2;height:310" coordorigin="430,5406" coordsize="2,310">
              <v:shape style="position:absolute;left:430;top:5406;width:2;height:310" coordorigin="430,5406" coordsize="0,310" path="m430,5406l430,5715e" filled="false" stroked="true" strokeweight="1.199999pt" strokecolor="#d3d3d3">
                <v:path arrowok="t"/>
              </v:shape>
            </v:group>
            <v:group style="position:absolute;left:2377;top:5406;width:2;height:310" coordorigin="2377,5406" coordsize="2,310">
              <v:shape style="position:absolute;left:2377;top:5406;width:2;height:310" coordorigin="2377,5406" coordsize="0,310" path="m2377,5406l2377,5715e" filled="false" stroked="true" strokeweight="1.08pt" strokecolor="#d3d3d3">
                <v:path arrowok="t"/>
              </v:shape>
            </v:group>
            <v:group style="position:absolute;left:442;top:5403;width:1925;height:312" coordorigin="442,5403" coordsize="1925,312">
              <v:shape style="position:absolute;left:442;top:5403;width:1925;height:312" coordorigin="442,5403" coordsize="1925,312" path="m442,5715l2366,5715,2366,5403,442,5403,442,5715xe" filled="true" fillcolor="#d3d3d3" stroked="false">
                <v:path arrowok="t"/>
                <v:fill type="solid"/>
              </v:shape>
            </v:group>
            <v:group style="position:absolute;left:418;top:5398;width:1971;height:2" coordorigin="418,5398" coordsize="1971,2">
              <v:shape style="position:absolute;left:418;top:5398;width:1971;height:2" coordorigin="418,5398" coordsize="1971,0" path="m418,5398l2388,5398e" filled="false" stroked="true" strokeweight=".48pt" strokecolor="#000000">
                <v:path arrowok="t"/>
              </v:shape>
            </v:group>
            <v:group style="position:absolute;left:2398;top:5398;width:1251;height:2" coordorigin="2398,5398" coordsize="1251,2">
              <v:shape style="position:absolute;left:2398;top:5398;width:1251;height:2" coordorigin="2398,5398" coordsize="1251,0" path="m2398,5398l3648,5398e" filled="false" stroked="true" strokeweight=".48pt" strokecolor="#000000">
                <v:path arrowok="t"/>
              </v:shape>
            </v:group>
            <v:group style="position:absolute;left:3658;top:5398;width:1431;height:2" coordorigin="3658,5398" coordsize="1431,2">
              <v:shape style="position:absolute;left:3658;top:5398;width:1431;height:2" coordorigin="3658,5398" coordsize="1431,0" path="m3658,5398l5088,5398e" filled="false" stroked="true" strokeweight=".48pt" strokecolor="#000000">
                <v:path arrowok="t"/>
              </v:shape>
            </v:group>
            <v:group style="position:absolute;left:5098;top:5398;width:531;height:2" coordorigin="5098,5398" coordsize="531,2">
              <v:shape style="position:absolute;left:5098;top:5398;width:531;height:2" coordorigin="5098,5398" coordsize="531,0" path="m5098,5398l5628,5398e" filled="false" stroked="true" strokeweight=".48pt" strokecolor="#000000">
                <v:path arrowok="t"/>
              </v:shape>
            </v:group>
            <v:group style="position:absolute;left:5638;top:5398;width:677;height:2" coordorigin="5638,5398" coordsize="677,2">
              <v:shape style="position:absolute;left:5638;top:5398;width:677;height:2" coordorigin="5638,5398" coordsize="677,0" path="m5638,5398l6314,5398e" filled="false" stroked="true" strokeweight=".48pt" strokecolor="#000000">
                <v:path arrowok="t"/>
              </v:shape>
            </v:group>
            <v:group style="position:absolute;left:6324;top:5398;width:1284;height:2" coordorigin="6324,5398" coordsize="1284,2">
              <v:shape style="position:absolute;left:6324;top:5398;width:1284;height:2" coordorigin="6324,5398" coordsize="1284,0" path="m6324,5398l7608,5398e" filled="false" stroked="true" strokeweight=".48pt" strokecolor="#000000">
                <v:path arrowok="t"/>
              </v:shape>
            </v:group>
            <v:group style="position:absolute;left:7618;top:5398;width:531;height:2" coordorigin="7618,5398" coordsize="531,2">
              <v:shape style="position:absolute;left:7618;top:5398;width:531;height:2" coordorigin="7618,5398" coordsize="531,0" path="m7618,5398l8148,5398e" filled="false" stroked="true" strokeweight=".48pt" strokecolor="#000000">
                <v:path arrowok="t"/>
              </v:shape>
            </v:group>
            <v:group style="position:absolute;left:8158;top:5398;width:1251;height:2" coordorigin="8158,5398" coordsize="1251,2">
              <v:shape style="position:absolute;left:8158;top:5398;width:1251;height:2" coordorigin="8158,5398" coordsize="1251,0" path="m8158,5398l9408,5398e" filled="false" stroked="true" strokeweight=".48pt" strokecolor="#000000">
                <v:path arrowok="t"/>
              </v:shape>
            </v:group>
            <v:group style="position:absolute;left:9418;top:5398;width:351;height:2" coordorigin="9418,5398" coordsize="351,2">
              <v:shape style="position:absolute;left:9418;top:5398;width:351;height:2" coordorigin="9418,5398" coordsize="351,0" path="m9418,5398l9768,5398e" filled="false" stroked="true" strokeweight=".48pt" strokecolor="#000000">
                <v:path arrowok="t"/>
              </v:shape>
            </v:group>
            <v:group style="position:absolute;left:9778;top:5398;width:531;height:2" coordorigin="9778,5398" coordsize="531,2">
              <v:shape style="position:absolute;left:9778;top:5398;width:531;height:2" coordorigin="9778,5398" coordsize="531,0" path="m9778,5398l10308,5398e" filled="false" stroked="true" strokeweight=".48pt" strokecolor="#000000">
                <v:path arrowok="t"/>
              </v:shape>
            </v:group>
            <v:group style="position:absolute;left:10318;top:5398;width:1328;height:2" coordorigin="10318,5398" coordsize="1328,2">
              <v:shape style="position:absolute;left:10318;top:5398;width:1328;height:2" coordorigin="10318,5398" coordsize="1328,0" path="m10318,5398l11645,5398e" filled="false" stroked="true" strokeweight=".48pt" strokecolor="#000000">
                <v:path arrowok="t"/>
              </v:shape>
            </v:group>
            <v:group style="position:absolute;left:430;top:5725;width:2;height:540" coordorigin="430,5725" coordsize="2,540">
              <v:shape style="position:absolute;left:430;top:5725;width:2;height:540" coordorigin="430,5725" coordsize="0,540" path="m430,5725l430,6265e" filled="false" stroked="true" strokeweight="1.199999pt" strokecolor="#d3d3d3">
                <v:path arrowok="t"/>
              </v:shape>
            </v:group>
            <v:group style="position:absolute;left:2377;top:5725;width:2;height:540" coordorigin="2377,5725" coordsize="2,540">
              <v:shape style="position:absolute;left:2377;top:5725;width:2;height:540" coordorigin="2377,5725" coordsize="0,540" path="m2377,5725l2377,6265e" filled="false" stroked="true" strokeweight="1.08pt" strokecolor="#d3d3d3">
                <v:path arrowok="t"/>
              </v:shape>
            </v:group>
            <v:group style="position:absolute;left:442;top:5725;width:1925;height:269" coordorigin="442,5725" coordsize="1925,269">
              <v:shape style="position:absolute;left:442;top:5725;width:1925;height:269" coordorigin="442,5725" coordsize="1925,269" path="m442,5994l2366,5994,2366,5725,442,5725,442,5994xe" filled="true" fillcolor="#d3d3d3" stroked="false">
                <v:path arrowok="t"/>
                <v:fill type="solid"/>
              </v:shape>
            </v:group>
            <v:group style="position:absolute;left:442;top:5994;width:1925;height:272" coordorigin="442,5994" coordsize="1925,272">
              <v:shape style="position:absolute;left:442;top:5994;width:1925;height:272" coordorigin="442,5994" coordsize="1925,272" path="m442,6265l2366,6265,2366,5994,442,5994,442,6265xe" filled="true" fillcolor="#d3d3d3" stroked="false">
                <v:path arrowok="t"/>
                <v:fill type="solid"/>
              </v:shape>
            </v:group>
            <v:group style="position:absolute;left:418;top:5720;width:1971;height:2" coordorigin="418,5720" coordsize="1971,2">
              <v:shape style="position:absolute;left:418;top:5720;width:1971;height:2" coordorigin="418,5720" coordsize="1971,0" path="m418,5720l2388,5720e" filled="false" stroked="true" strokeweight=".48pt" strokecolor="#000000">
                <v:path arrowok="t"/>
              </v:shape>
            </v:group>
            <v:group style="position:absolute;left:2398;top:5720;width:1251;height:2" coordorigin="2398,5720" coordsize="1251,2">
              <v:shape style="position:absolute;left:2398;top:5720;width:1251;height:2" coordorigin="2398,5720" coordsize="1251,0" path="m2398,5720l3648,5720e" filled="false" stroked="true" strokeweight=".48pt" strokecolor="#000000">
                <v:path arrowok="t"/>
              </v:shape>
            </v:group>
            <v:group style="position:absolute;left:3658;top:5720;width:1431;height:2" coordorigin="3658,5720" coordsize="1431,2">
              <v:shape style="position:absolute;left:3658;top:5720;width:1431;height:2" coordorigin="3658,5720" coordsize="1431,0" path="m3658,5720l5088,5720e" filled="false" stroked="true" strokeweight=".48pt" strokecolor="#000000">
                <v:path arrowok="t"/>
              </v:shape>
            </v:group>
            <v:group style="position:absolute;left:5098;top:5720;width:531;height:2" coordorigin="5098,5720" coordsize="531,2">
              <v:shape style="position:absolute;left:5098;top:5720;width:531;height:2" coordorigin="5098,5720" coordsize="531,0" path="m5098,5720l5628,5720e" filled="false" stroked="true" strokeweight=".48pt" strokecolor="#000000">
                <v:path arrowok="t"/>
              </v:shape>
            </v:group>
            <v:group style="position:absolute;left:5638;top:5720;width:677;height:2" coordorigin="5638,5720" coordsize="677,2">
              <v:shape style="position:absolute;left:5638;top:5720;width:677;height:2" coordorigin="5638,5720" coordsize="677,0" path="m5638,5720l6314,5720e" filled="false" stroked="true" strokeweight=".48pt" strokecolor="#000000">
                <v:path arrowok="t"/>
              </v:shape>
            </v:group>
            <v:group style="position:absolute;left:6324;top:5720;width:1284;height:2" coordorigin="6324,5720" coordsize="1284,2">
              <v:shape style="position:absolute;left:6324;top:5720;width:1284;height:2" coordorigin="6324,5720" coordsize="1284,0" path="m6324,5720l7608,5720e" filled="false" stroked="true" strokeweight=".48pt" strokecolor="#000000">
                <v:path arrowok="t"/>
              </v:shape>
            </v:group>
            <v:group style="position:absolute;left:7618;top:5720;width:531;height:2" coordorigin="7618,5720" coordsize="531,2">
              <v:shape style="position:absolute;left:7618;top:5720;width:531;height:2" coordorigin="7618,5720" coordsize="531,0" path="m7618,5720l8148,5720e" filled="false" stroked="true" strokeweight=".48pt" strokecolor="#000000">
                <v:path arrowok="t"/>
              </v:shape>
            </v:group>
            <v:group style="position:absolute;left:8158;top:5720;width:1251;height:2" coordorigin="8158,5720" coordsize="1251,2">
              <v:shape style="position:absolute;left:8158;top:5720;width:1251;height:2" coordorigin="8158,5720" coordsize="1251,0" path="m8158,5720l9408,5720e" filled="false" stroked="true" strokeweight=".48pt" strokecolor="#000000">
                <v:path arrowok="t"/>
              </v:shape>
            </v:group>
            <v:group style="position:absolute;left:9418;top:5720;width:351;height:2" coordorigin="9418,5720" coordsize="351,2">
              <v:shape style="position:absolute;left:9418;top:5720;width:351;height:2" coordorigin="9418,5720" coordsize="351,0" path="m9418,5720l9768,5720e" filled="false" stroked="true" strokeweight=".48pt" strokecolor="#000000">
                <v:path arrowok="t"/>
              </v:shape>
            </v:group>
            <v:group style="position:absolute;left:9778;top:5720;width:531;height:2" coordorigin="9778,5720" coordsize="531,2">
              <v:shape style="position:absolute;left:9778;top:5720;width:531;height:2" coordorigin="9778,5720" coordsize="531,0" path="m9778,5720l10308,5720e" filled="false" stroked="true" strokeweight=".48pt" strokecolor="#000000">
                <v:path arrowok="t"/>
              </v:shape>
            </v:group>
            <v:group style="position:absolute;left:10318;top:5720;width:1328;height:2" coordorigin="10318,5720" coordsize="1328,2">
              <v:shape style="position:absolute;left:10318;top:5720;width:1328;height:2" coordorigin="10318,5720" coordsize="1328,0" path="m10318,5720l11645,5720e" filled="false" stroked="true" strokeweight=".48pt" strokecolor="#000000">
                <v:path arrowok="t"/>
              </v:shape>
            </v:group>
            <v:group style="position:absolute;left:430;top:6274;width:2;height:310" coordorigin="430,6274" coordsize="2,310">
              <v:shape style="position:absolute;left:430;top:6274;width:2;height:310" coordorigin="430,6274" coordsize="0,310" path="m430,6274l430,6584e" filled="false" stroked="true" strokeweight="1.199999pt" strokecolor="#d3d3d3">
                <v:path arrowok="t"/>
              </v:shape>
            </v:group>
            <v:group style="position:absolute;left:2377;top:6274;width:2;height:310" coordorigin="2377,6274" coordsize="2,310">
              <v:shape style="position:absolute;left:2377;top:6274;width:2;height:310" coordorigin="2377,6274" coordsize="0,310" path="m2377,6274l2377,6584e" filled="false" stroked="true" strokeweight="1.08pt" strokecolor="#d3d3d3">
                <v:path arrowok="t"/>
              </v:shape>
            </v:group>
            <v:group style="position:absolute;left:442;top:6274;width:1925;height:310" coordorigin="442,6274" coordsize="1925,310">
              <v:shape style="position:absolute;left:442;top:6274;width:1925;height:310" coordorigin="442,6274" coordsize="1925,310" path="m442,6584l2366,6584,2366,6274,442,6274,442,6584xe" filled="true" fillcolor="#d3d3d3" stroked="false">
                <v:path arrowok="t"/>
                <v:fill type="solid"/>
              </v:shape>
            </v:group>
            <v:group style="position:absolute;left:418;top:6270;width:1971;height:2" coordorigin="418,6270" coordsize="1971,2">
              <v:shape style="position:absolute;left:418;top:6270;width:1971;height:2" coordorigin="418,6270" coordsize="1971,0" path="m418,6270l2388,6270e" filled="false" stroked="true" strokeweight=".48pt" strokecolor="#000000">
                <v:path arrowok="t"/>
              </v:shape>
            </v:group>
            <v:group style="position:absolute;left:2398;top:6270;width:1251;height:2" coordorigin="2398,6270" coordsize="1251,2">
              <v:shape style="position:absolute;left:2398;top:6270;width:1251;height:2" coordorigin="2398,6270" coordsize="1251,0" path="m2398,6270l3648,6270e" filled="false" stroked="true" strokeweight=".48pt" strokecolor="#000000">
                <v:path arrowok="t"/>
              </v:shape>
            </v:group>
            <v:group style="position:absolute;left:3658;top:6270;width:1431;height:2" coordorigin="3658,6270" coordsize="1431,2">
              <v:shape style="position:absolute;left:3658;top:6270;width:1431;height:2" coordorigin="3658,6270" coordsize="1431,0" path="m3658,6270l5088,6270e" filled="false" stroked="true" strokeweight=".48pt" strokecolor="#000000">
                <v:path arrowok="t"/>
              </v:shape>
            </v:group>
            <v:group style="position:absolute;left:5098;top:6270;width:531;height:2" coordorigin="5098,6270" coordsize="531,2">
              <v:shape style="position:absolute;left:5098;top:6270;width:531;height:2" coordorigin="5098,6270" coordsize="531,0" path="m5098,6270l5628,6270e" filled="false" stroked="true" strokeweight=".48pt" strokecolor="#000000">
                <v:path arrowok="t"/>
              </v:shape>
            </v:group>
            <v:group style="position:absolute;left:5638;top:6270;width:677;height:2" coordorigin="5638,6270" coordsize="677,2">
              <v:shape style="position:absolute;left:5638;top:6270;width:677;height:2" coordorigin="5638,6270" coordsize="677,0" path="m5638,6270l6314,6270e" filled="false" stroked="true" strokeweight=".48pt" strokecolor="#000000">
                <v:path arrowok="t"/>
              </v:shape>
            </v:group>
            <v:group style="position:absolute;left:6324;top:6270;width:1284;height:2" coordorigin="6324,6270" coordsize="1284,2">
              <v:shape style="position:absolute;left:6324;top:6270;width:1284;height:2" coordorigin="6324,6270" coordsize="1284,0" path="m6324,6270l7608,6270e" filled="false" stroked="true" strokeweight=".48pt" strokecolor="#000000">
                <v:path arrowok="t"/>
              </v:shape>
            </v:group>
            <v:group style="position:absolute;left:7618;top:6270;width:531;height:2" coordorigin="7618,6270" coordsize="531,2">
              <v:shape style="position:absolute;left:7618;top:6270;width:531;height:2" coordorigin="7618,6270" coordsize="531,0" path="m7618,6270l8148,6270e" filled="false" stroked="true" strokeweight=".48pt" strokecolor="#000000">
                <v:path arrowok="t"/>
              </v:shape>
            </v:group>
            <v:group style="position:absolute;left:8158;top:6270;width:1251;height:2" coordorigin="8158,6270" coordsize="1251,2">
              <v:shape style="position:absolute;left:8158;top:6270;width:1251;height:2" coordorigin="8158,6270" coordsize="1251,0" path="m8158,6270l9408,6270e" filled="false" stroked="true" strokeweight=".48pt" strokecolor="#000000">
                <v:path arrowok="t"/>
              </v:shape>
            </v:group>
            <v:group style="position:absolute;left:9418;top:6270;width:351;height:2" coordorigin="9418,6270" coordsize="351,2">
              <v:shape style="position:absolute;left:9418;top:6270;width:351;height:2" coordorigin="9418,6270" coordsize="351,0" path="m9418,6270l9768,6270e" filled="false" stroked="true" strokeweight=".48pt" strokecolor="#000000">
                <v:path arrowok="t"/>
              </v:shape>
            </v:group>
            <v:group style="position:absolute;left:9778;top:6270;width:531;height:2" coordorigin="9778,6270" coordsize="531,2">
              <v:shape style="position:absolute;left:9778;top:6270;width:531;height:2" coordorigin="9778,6270" coordsize="531,0" path="m9778,6270l10308,6270e" filled="false" stroked="true" strokeweight=".48pt" strokecolor="#000000">
                <v:path arrowok="t"/>
              </v:shape>
            </v:group>
            <v:group style="position:absolute;left:10318;top:6270;width:1328;height:2" coordorigin="10318,6270" coordsize="1328,2">
              <v:shape style="position:absolute;left:10318;top:6270;width:1328;height:2" coordorigin="10318,6270" coordsize="1328,0" path="m10318,6270l11645,6270e" filled="false" stroked="true" strokeweight=".48pt" strokecolor="#000000">
                <v:path arrowok="t"/>
              </v:shape>
            </v:group>
            <v:group style="position:absolute;left:418;top:6905;width:1971;height:2" coordorigin="418,6905" coordsize="1971,2">
              <v:shape style="position:absolute;left:418;top:6905;width:1971;height:2" coordorigin="418,6905" coordsize="1971,0" path="m418,6905l2388,6905e" filled="false" stroked="true" strokeweight=".1pt" strokecolor="#d3d3d3">
                <v:path arrowok="t"/>
              </v:shape>
            </v:group>
            <v:group style="position:absolute;left:430;top:6594;width:2;height:310" coordorigin="430,6594" coordsize="2,310">
              <v:shape style="position:absolute;left:430;top:6594;width:2;height:310" coordorigin="430,6594" coordsize="0,310" path="m430,6594l430,6904e" filled="false" stroked="true" strokeweight="1.199999pt" strokecolor="#d3d3d3">
                <v:path arrowok="t"/>
              </v:shape>
            </v:group>
            <v:group style="position:absolute;left:2377;top:6594;width:2;height:310" coordorigin="2377,6594" coordsize="2,310">
              <v:shape style="position:absolute;left:2377;top:6594;width:2;height:310" coordorigin="2377,6594" coordsize="0,310" path="m2377,6594l2377,6903e" filled="false" stroked="true" strokeweight="1.08pt" strokecolor="#d3d3d3">
                <v:path arrowok="t"/>
              </v:shape>
            </v:group>
            <v:group style="position:absolute;left:442;top:6594;width:1925;height:310" coordorigin="442,6594" coordsize="1925,310">
              <v:shape style="position:absolute;left:442;top:6594;width:1925;height:310" coordorigin="442,6594" coordsize="1925,310" path="m442,6903l2366,6903,2366,6594,442,6594,442,6903xe" filled="true" fillcolor="#d3d3d3" stroked="false">
                <v:path arrowok="t"/>
                <v:fill type="solid"/>
              </v:shape>
            </v:group>
            <v:group style="position:absolute;left:418;top:6589;width:1971;height:2" coordorigin="418,6589" coordsize="1971,2">
              <v:shape style="position:absolute;left:418;top:6589;width:1971;height:2" coordorigin="418,6589" coordsize="1971,0" path="m418,6589l2388,6589e" filled="false" stroked="true" strokeweight=".48pt" strokecolor="#000000">
                <v:path arrowok="t"/>
              </v:shape>
            </v:group>
            <v:group style="position:absolute;left:2398;top:6589;width:1251;height:2" coordorigin="2398,6589" coordsize="1251,2">
              <v:shape style="position:absolute;left:2398;top:6589;width:1251;height:2" coordorigin="2398,6589" coordsize="1251,0" path="m2398,6589l3648,6589e" filled="false" stroked="true" strokeweight=".48pt" strokecolor="#000000">
                <v:path arrowok="t"/>
              </v:shape>
            </v:group>
            <v:group style="position:absolute;left:3658;top:6589;width:1431;height:2" coordorigin="3658,6589" coordsize="1431,2">
              <v:shape style="position:absolute;left:3658;top:6589;width:1431;height:2" coordorigin="3658,6589" coordsize="1431,0" path="m3658,6589l5088,6589e" filled="false" stroked="true" strokeweight=".48pt" strokecolor="#000000">
                <v:path arrowok="t"/>
              </v:shape>
            </v:group>
            <v:group style="position:absolute;left:5098;top:6589;width:531;height:2" coordorigin="5098,6589" coordsize="531,2">
              <v:shape style="position:absolute;left:5098;top:6589;width:531;height:2" coordorigin="5098,6589" coordsize="531,0" path="m5098,6589l5628,6589e" filled="false" stroked="true" strokeweight=".48pt" strokecolor="#000000">
                <v:path arrowok="t"/>
              </v:shape>
            </v:group>
            <v:group style="position:absolute;left:5638;top:6589;width:677;height:2" coordorigin="5638,6589" coordsize="677,2">
              <v:shape style="position:absolute;left:5638;top:6589;width:677;height:2" coordorigin="5638,6589" coordsize="677,0" path="m5638,6589l6314,6589e" filled="false" stroked="true" strokeweight=".48pt" strokecolor="#000000">
                <v:path arrowok="t"/>
              </v:shape>
            </v:group>
            <v:group style="position:absolute;left:6324;top:6589;width:1284;height:2" coordorigin="6324,6589" coordsize="1284,2">
              <v:shape style="position:absolute;left:6324;top:6589;width:1284;height:2" coordorigin="6324,6589" coordsize="1284,0" path="m6324,6589l7608,6589e" filled="false" stroked="true" strokeweight=".48pt" strokecolor="#000000">
                <v:path arrowok="t"/>
              </v:shape>
            </v:group>
            <v:group style="position:absolute;left:7618;top:6589;width:531;height:2" coordorigin="7618,6589" coordsize="531,2">
              <v:shape style="position:absolute;left:7618;top:6589;width:531;height:2" coordorigin="7618,6589" coordsize="531,0" path="m7618,6589l8148,6589e" filled="false" stroked="true" strokeweight=".48pt" strokecolor="#000000">
                <v:path arrowok="t"/>
              </v:shape>
            </v:group>
            <v:group style="position:absolute;left:8158;top:6589;width:1251;height:2" coordorigin="8158,6589" coordsize="1251,2">
              <v:shape style="position:absolute;left:8158;top:6589;width:1251;height:2" coordorigin="8158,6589" coordsize="1251,0" path="m8158,6589l9408,6589e" filled="false" stroked="true" strokeweight=".48pt" strokecolor="#000000">
                <v:path arrowok="t"/>
              </v:shape>
            </v:group>
            <v:group style="position:absolute;left:9418;top:6589;width:351;height:2" coordorigin="9418,6589" coordsize="351,2">
              <v:shape style="position:absolute;left:9418;top:6589;width:351;height:2" coordorigin="9418,6589" coordsize="351,0" path="m9418,6589l9768,6589e" filled="false" stroked="true" strokeweight=".48pt" strokecolor="#000000">
                <v:path arrowok="t"/>
              </v:shape>
            </v:group>
            <v:group style="position:absolute;left:9778;top:6589;width:531;height:2" coordorigin="9778,6589" coordsize="531,2">
              <v:shape style="position:absolute;left:9778;top:6589;width:531;height:2" coordorigin="9778,6589" coordsize="531,0" path="m9778,6589l10308,6589e" filled="false" stroked="true" strokeweight=".48pt" strokecolor="#000000">
                <v:path arrowok="t"/>
              </v:shape>
            </v:group>
            <v:group style="position:absolute;left:10318;top:6589;width:1328;height:2" coordorigin="10318,6589" coordsize="1328,2">
              <v:shape style="position:absolute;left:10318;top:6589;width:1328;height:2" coordorigin="10318,6589" coordsize="1328,0" path="m10318,6589l11645,6589e" filled="false" stroked="true" strokeweight=".48pt" strokecolor="#000000">
                <v:path arrowok="t"/>
              </v:shape>
            </v:group>
            <v:group style="position:absolute;left:430;top:6915;width:2;height:310" coordorigin="430,6915" coordsize="2,310">
              <v:shape style="position:absolute;left:430;top:6915;width:2;height:310" coordorigin="430,6915" coordsize="0,310" path="m430,6915l430,7225e" filled="false" stroked="true" strokeweight="1.199999pt" strokecolor="#d3d3d3">
                <v:path arrowok="t"/>
              </v:shape>
            </v:group>
            <v:group style="position:absolute;left:2377;top:6915;width:2;height:310" coordorigin="2377,6915" coordsize="2,310">
              <v:shape style="position:absolute;left:2377;top:6915;width:2;height:310" coordorigin="2377,6915" coordsize="0,310" path="m2377,6915l2377,7225e" filled="false" stroked="true" strokeweight="1.08pt" strokecolor="#d3d3d3">
                <v:path arrowok="t"/>
              </v:shape>
            </v:group>
            <v:group style="position:absolute;left:442;top:6915;width:1925;height:310" coordorigin="442,6915" coordsize="1925,310">
              <v:shape style="position:absolute;left:442;top:6915;width:1925;height:310" coordorigin="442,6915" coordsize="1925,310" path="m442,7225l2366,7225,2366,6915,442,6915,442,7225xe" filled="true" fillcolor="#d3d3d3" stroked="false">
                <v:path arrowok="t"/>
                <v:fill type="solid"/>
              </v:shape>
            </v:group>
            <v:group style="position:absolute;left:418;top:6910;width:1971;height:2" coordorigin="418,6910" coordsize="1971,2">
              <v:shape style="position:absolute;left:418;top:6910;width:1971;height:2" coordorigin="418,6910" coordsize="1971,0" path="m418,6910l2388,6910e" filled="false" stroked="true" strokeweight=".48pt" strokecolor="#000000">
                <v:path arrowok="t"/>
              </v:shape>
            </v:group>
            <v:group style="position:absolute;left:2398;top:6910;width:1251;height:2" coordorigin="2398,6910" coordsize="1251,2">
              <v:shape style="position:absolute;left:2398;top:6910;width:1251;height:2" coordorigin="2398,6910" coordsize="1251,0" path="m2398,6910l3648,6910e" filled="false" stroked="true" strokeweight=".48pt" strokecolor="#000000">
                <v:path arrowok="t"/>
              </v:shape>
            </v:group>
            <v:group style="position:absolute;left:3658;top:6910;width:1431;height:2" coordorigin="3658,6910" coordsize="1431,2">
              <v:shape style="position:absolute;left:3658;top:6910;width:1431;height:2" coordorigin="3658,6910" coordsize="1431,0" path="m3658,6910l5088,6910e" filled="false" stroked="true" strokeweight=".48pt" strokecolor="#000000">
                <v:path arrowok="t"/>
              </v:shape>
            </v:group>
            <v:group style="position:absolute;left:5098;top:6910;width:531;height:2" coordorigin="5098,6910" coordsize="531,2">
              <v:shape style="position:absolute;left:5098;top:6910;width:531;height:2" coordorigin="5098,6910" coordsize="531,0" path="m5098,6910l5628,6910e" filled="false" stroked="true" strokeweight=".48pt" strokecolor="#000000">
                <v:path arrowok="t"/>
              </v:shape>
            </v:group>
            <v:group style="position:absolute;left:5638;top:6910;width:677;height:2" coordorigin="5638,6910" coordsize="677,2">
              <v:shape style="position:absolute;left:5638;top:6910;width:677;height:2" coordorigin="5638,6910" coordsize="677,0" path="m5638,6910l6314,6910e" filled="false" stroked="true" strokeweight=".48pt" strokecolor="#000000">
                <v:path arrowok="t"/>
              </v:shape>
            </v:group>
            <v:group style="position:absolute;left:6324;top:6910;width:1284;height:2" coordorigin="6324,6910" coordsize="1284,2">
              <v:shape style="position:absolute;left:6324;top:6910;width:1284;height:2" coordorigin="6324,6910" coordsize="1284,0" path="m6324,6910l7608,6910e" filled="false" stroked="true" strokeweight=".48pt" strokecolor="#000000">
                <v:path arrowok="t"/>
              </v:shape>
            </v:group>
            <v:group style="position:absolute;left:7618;top:6910;width:531;height:2" coordorigin="7618,6910" coordsize="531,2">
              <v:shape style="position:absolute;left:7618;top:6910;width:531;height:2" coordorigin="7618,6910" coordsize="531,0" path="m7618,6910l8148,6910e" filled="false" stroked="true" strokeweight=".48pt" strokecolor="#000000">
                <v:path arrowok="t"/>
              </v:shape>
            </v:group>
            <v:group style="position:absolute;left:8158;top:6910;width:1251;height:2" coordorigin="8158,6910" coordsize="1251,2">
              <v:shape style="position:absolute;left:8158;top:6910;width:1251;height:2" coordorigin="8158,6910" coordsize="1251,0" path="m8158,6910l9408,6910e" filled="false" stroked="true" strokeweight=".48pt" strokecolor="#000000">
                <v:path arrowok="t"/>
              </v:shape>
            </v:group>
            <v:group style="position:absolute;left:9418;top:6910;width:351;height:2" coordorigin="9418,6910" coordsize="351,2">
              <v:shape style="position:absolute;left:9418;top:6910;width:351;height:2" coordorigin="9418,6910" coordsize="351,0" path="m9418,6910l9768,6910e" filled="false" stroked="true" strokeweight=".48pt" strokecolor="#000000">
                <v:path arrowok="t"/>
              </v:shape>
            </v:group>
            <v:group style="position:absolute;left:9778;top:6910;width:531;height:2" coordorigin="9778,6910" coordsize="531,2">
              <v:shape style="position:absolute;left:9778;top:6910;width:531;height:2" coordorigin="9778,6910" coordsize="531,0" path="m9778,6910l10308,6910e" filled="false" stroked="true" strokeweight=".48pt" strokecolor="#000000">
                <v:path arrowok="t"/>
              </v:shape>
            </v:group>
            <v:group style="position:absolute;left:10318;top:6910;width:1328;height:2" coordorigin="10318,6910" coordsize="1328,2">
              <v:shape style="position:absolute;left:10318;top:6910;width:1328;height:2" coordorigin="10318,6910" coordsize="1328,0" path="m10318,6910l11645,6910e" filled="false" stroked="true" strokeweight=".48pt" strokecolor="#000000">
                <v:path arrowok="t"/>
              </v:shape>
            </v:group>
            <v:group style="position:absolute;left:430;top:7234;width:2;height:540" coordorigin="430,7234" coordsize="2,540">
              <v:shape style="position:absolute;left:430;top:7234;width:2;height:540" coordorigin="430,7234" coordsize="0,540" path="m430,7234l430,7774e" filled="false" stroked="true" strokeweight="1.199999pt" strokecolor="#d3d3d3">
                <v:path arrowok="t"/>
              </v:shape>
            </v:group>
            <v:group style="position:absolute;left:2377;top:7234;width:2;height:540" coordorigin="2377,7234" coordsize="2,540">
              <v:shape style="position:absolute;left:2377;top:7234;width:2;height:540" coordorigin="2377,7234" coordsize="0,540" path="m2377,7234l2377,7774e" filled="false" stroked="true" strokeweight="1.08pt" strokecolor="#d3d3d3">
                <v:path arrowok="t"/>
              </v:shape>
            </v:group>
            <v:group style="position:absolute;left:442;top:7234;width:1925;height:269" coordorigin="442,7234" coordsize="1925,269">
              <v:shape style="position:absolute;left:442;top:7234;width:1925;height:269" coordorigin="442,7234" coordsize="1925,269" path="m442,7503l2366,7503,2366,7234,442,7234,442,7503xe" filled="true" fillcolor="#d3d3d3" stroked="false">
                <v:path arrowok="t"/>
                <v:fill type="solid"/>
              </v:shape>
            </v:group>
            <v:group style="position:absolute;left:442;top:7503;width:1925;height:272" coordorigin="442,7503" coordsize="1925,272">
              <v:shape style="position:absolute;left:442;top:7503;width:1925;height:272" coordorigin="442,7503" coordsize="1925,272" path="m442,7774l2366,7774,2366,7503,442,7503,442,7774xe" filled="true" fillcolor="#d3d3d3" stroked="false">
                <v:path arrowok="t"/>
                <v:fill type="solid"/>
              </v:shape>
            </v:group>
            <v:group style="position:absolute;left:418;top:7230;width:1971;height:2" coordorigin="418,7230" coordsize="1971,2">
              <v:shape style="position:absolute;left:418;top:7230;width:1971;height:2" coordorigin="418,7230" coordsize="1971,0" path="m418,7230l2388,7230e" filled="false" stroked="true" strokeweight=".48pt" strokecolor="#000000">
                <v:path arrowok="t"/>
              </v:shape>
            </v:group>
            <v:group style="position:absolute;left:2398;top:7230;width:1251;height:2" coordorigin="2398,7230" coordsize="1251,2">
              <v:shape style="position:absolute;left:2398;top:7230;width:1251;height:2" coordorigin="2398,7230" coordsize="1251,0" path="m2398,7230l3648,7230e" filled="false" stroked="true" strokeweight=".48pt" strokecolor="#000000">
                <v:path arrowok="t"/>
              </v:shape>
            </v:group>
            <v:group style="position:absolute;left:3658;top:7230;width:1431;height:2" coordorigin="3658,7230" coordsize="1431,2">
              <v:shape style="position:absolute;left:3658;top:7230;width:1431;height:2" coordorigin="3658,7230" coordsize="1431,0" path="m3658,7230l5088,7230e" filled="false" stroked="true" strokeweight=".48pt" strokecolor="#000000">
                <v:path arrowok="t"/>
              </v:shape>
            </v:group>
            <v:group style="position:absolute;left:5098;top:7230;width:531;height:2" coordorigin="5098,7230" coordsize="531,2">
              <v:shape style="position:absolute;left:5098;top:7230;width:531;height:2" coordorigin="5098,7230" coordsize="531,0" path="m5098,7230l5628,7230e" filled="false" stroked="true" strokeweight=".48pt" strokecolor="#000000">
                <v:path arrowok="t"/>
              </v:shape>
            </v:group>
            <v:group style="position:absolute;left:5638;top:7230;width:677;height:2" coordorigin="5638,7230" coordsize="677,2">
              <v:shape style="position:absolute;left:5638;top:7230;width:677;height:2" coordorigin="5638,7230" coordsize="677,0" path="m5638,7230l6314,7230e" filled="false" stroked="true" strokeweight=".48pt" strokecolor="#000000">
                <v:path arrowok="t"/>
              </v:shape>
            </v:group>
            <v:group style="position:absolute;left:6324;top:7230;width:1284;height:2" coordorigin="6324,7230" coordsize="1284,2">
              <v:shape style="position:absolute;left:6324;top:7230;width:1284;height:2" coordorigin="6324,7230" coordsize="1284,0" path="m6324,7230l7608,7230e" filled="false" stroked="true" strokeweight=".48pt" strokecolor="#000000">
                <v:path arrowok="t"/>
              </v:shape>
            </v:group>
            <v:group style="position:absolute;left:7618;top:7230;width:531;height:2" coordorigin="7618,7230" coordsize="531,2">
              <v:shape style="position:absolute;left:7618;top:7230;width:531;height:2" coordorigin="7618,7230" coordsize="531,0" path="m7618,7230l8148,7230e" filled="false" stroked="true" strokeweight=".48pt" strokecolor="#000000">
                <v:path arrowok="t"/>
              </v:shape>
            </v:group>
            <v:group style="position:absolute;left:8158;top:7230;width:1251;height:2" coordorigin="8158,7230" coordsize="1251,2">
              <v:shape style="position:absolute;left:8158;top:7230;width:1251;height:2" coordorigin="8158,7230" coordsize="1251,0" path="m8158,7230l9408,7230e" filled="false" stroked="true" strokeweight=".48pt" strokecolor="#000000">
                <v:path arrowok="t"/>
              </v:shape>
            </v:group>
            <v:group style="position:absolute;left:9418;top:7230;width:351;height:2" coordorigin="9418,7230" coordsize="351,2">
              <v:shape style="position:absolute;left:9418;top:7230;width:351;height:2" coordorigin="9418,7230" coordsize="351,0" path="m9418,7230l9768,7230e" filled="false" stroked="true" strokeweight=".48pt" strokecolor="#000000">
                <v:path arrowok="t"/>
              </v:shape>
            </v:group>
            <v:group style="position:absolute;left:9778;top:7230;width:531;height:2" coordorigin="9778,7230" coordsize="531,2">
              <v:shape style="position:absolute;left:9778;top:7230;width:531;height:2" coordorigin="9778,7230" coordsize="531,0" path="m9778,7230l10308,7230e" filled="false" stroked="true" strokeweight=".48pt" strokecolor="#000000">
                <v:path arrowok="t"/>
              </v:shape>
            </v:group>
            <v:group style="position:absolute;left:10318;top:7230;width:1328;height:2" coordorigin="10318,7230" coordsize="1328,2">
              <v:shape style="position:absolute;left:10318;top:7230;width:1328;height:2" coordorigin="10318,7230" coordsize="1328,0" path="m10318,7230l11645,7230e" filled="false" stroked="true" strokeweight=".48pt" strokecolor="#000000">
                <v:path arrowok="t"/>
              </v:shape>
            </v:group>
            <v:group style="position:absolute;left:430;top:7784;width:2;height:310" coordorigin="430,7784" coordsize="2,310">
              <v:shape style="position:absolute;left:430;top:7784;width:2;height:310" coordorigin="430,7784" coordsize="0,310" path="m430,7784l430,8094e" filled="false" stroked="true" strokeweight="1.199999pt" strokecolor="#d3d3d3">
                <v:path arrowok="t"/>
              </v:shape>
            </v:group>
            <v:group style="position:absolute;left:2377;top:7784;width:2;height:310" coordorigin="2377,7784" coordsize="2,310">
              <v:shape style="position:absolute;left:2377;top:7784;width:2;height:310" coordorigin="2377,7784" coordsize="0,310" path="m2377,7784l2377,8094e" filled="false" stroked="true" strokeweight="1.08pt" strokecolor="#d3d3d3">
                <v:path arrowok="t"/>
              </v:shape>
            </v:group>
            <v:group style="position:absolute;left:442;top:7784;width:1925;height:310" coordorigin="442,7784" coordsize="1925,310">
              <v:shape style="position:absolute;left:442;top:7784;width:1925;height:310" coordorigin="442,7784" coordsize="1925,310" path="m442,8094l2366,8094,2366,7784,442,7784,442,8094xe" filled="true" fillcolor="#d3d3d3" stroked="false">
                <v:path arrowok="t"/>
                <v:fill type="solid"/>
              </v:shape>
            </v:group>
            <v:group style="position:absolute;left:418;top:7779;width:1971;height:2" coordorigin="418,7779" coordsize="1971,2">
              <v:shape style="position:absolute;left:418;top:7779;width:1971;height:2" coordorigin="418,7779" coordsize="1971,0" path="m418,7779l2388,7779e" filled="false" stroked="true" strokeweight=".48pt" strokecolor="#000000">
                <v:path arrowok="t"/>
              </v:shape>
            </v:group>
            <v:group style="position:absolute;left:2398;top:7779;width:1251;height:2" coordorigin="2398,7779" coordsize="1251,2">
              <v:shape style="position:absolute;left:2398;top:7779;width:1251;height:2" coordorigin="2398,7779" coordsize="1251,0" path="m2398,7779l3648,7779e" filled="false" stroked="true" strokeweight=".48pt" strokecolor="#000000">
                <v:path arrowok="t"/>
              </v:shape>
            </v:group>
            <v:group style="position:absolute;left:3658;top:7779;width:1431;height:2" coordorigin="3658,7779" coordsize="1431,2">
              <v:shape style="position:absolute;left:3658;top:7779;width:1431;height:2" coordorigin="3658,7779" coordsize="1431,0" path="m3658,7779l5088,7779e" filled="false" stroked="true" strokeweight=".48pt" strokecolor="#000000">
                <v:path arrowok="t"/>
              </v:shape>
            </v:group>
            <v:group style="position:absolute;left:5098;top:7779;width:531;height:2" coordorigin="5098,7779" coordsize="531,2">
              <v:shape style="position:absolute;left:5098;top:7779;width:531;height:2" coordorigin="5098,7779" coordsize="531,0" path="m5098,7779l5628,7779e" filled="false" stroked="true" strokeweight=".48pt" strokecolor="#000000">
                <v:path arrowok="t"/>
              </v:shape>
            </v:group>
            <v:group style="position:absolute;left:5638;top:7779;width:677;height:2" coordorigin="5638,7779" coordsize="677,2">
              <v:shape style="position:absolute;left:5638;top:7779;width:677;height:2" coordorigin="5638,7779" coordsize="677,0" path="m5638,7779l6314,7779e" filled="false" stroked="true" strokeweight=".48pt" strokecolor="#000000">
                <v:path arrowok="t"/>
              </v:shape>
            </v:group>
            <v:group style="position:absolute;left:6324;top:7779;width:1284;height:2" coordorigin="6324,7779" coordsize="1284,2">
              <v:shape style="position:absolute;left:6324;top:7779;width:1284;height:2" coordorigin="6324,7779" coordsize="1284,0" path="m6324,7779l7608,7779e" filled="false" stroked="true" strokeweight=".48pt" strokecolor="#000000">
                <v:path arrowok="t"/>
              </v:shape>
            </v:group>
            <v:group style="position:absolute;left:7618;top:7779;width:531;height:2" coordorigin="7618,7779" coordsize="531,2">
              <v:shape style="position:absolute;left:7618;top:7779;width:531;height:2" coordorigin="7618,7779" coordsize="531,0" path="m7618,7779l8148,7779e" filled="false" stroked="true" strokeweight=".48pt" strokecolor="#000000">
                <v:path arrowok="t"/>
              </v:shape>
            </v:group>
            <v:group style="position:absolute;left:8158;top:7779;width:1251;height:2" coordorigin="8158,7779" coordsize="1251,2">
              <v:shape style="position:absolute;left:8158;top:7779;width:1251;height:2" coordorigin="8158,7779" coordsize="1251,0" path="m8158,7779l9408,7779e" filled="false" stroked="true" strokeweight=".48pt" strokecolor="#000000">
                <v:path arrowok="t"/>
              </v:shape>
            </v:group>
            <v:group style="position:absolute;left:9418;top:7779;width:351;height:2" coordorigin="9418,7779" coordsize="351,2">
              <v:shape style="position:absolute;left:9418;top:7779;width:351;height:2" coordorigin="9418,7779" coordsize="351,0" path="m9418,7779l9768,7779e" filled="false" stroked="true" strokeweight=".48pt" strokecolor="#000000">
                <v:path arrowok="t"/>
              </v:shape>
            </v:group>
            <v:group style="position:absolute;left:9778;top:7779;width:531;height:2" coordorigin="9778,7779" coordsize="531,2">
              <v:shape style="position:absolute;left:9778;top:7779;width:531;height:2" coordorigin="9778,7779" coordsize="531,0" path="m9778,7779l10308,7779e" filled="false" stroked="true" strokeweight=".48pt" strokecolor="#000000">
                <v:path arrowok="t"/>
              </v:shape>
            </v:group>
            <v:group style="position:absolute;left:10318;top:7779;width:1328;height:2" coordorigin="10318,7779" coordsize="1328,2">
              <v:shape style="position:absolute;left:10318;top:7779;width:1328;height:2" coordorigin="10318,7779" coordsize="1328,0" path="m10318,7779l11645,7779e" filled="false" stroked="true" strokeweight=".48pt" strokecolor="#000000">
                <v:path arrowok="t"/>
              </v:shape>
            </v:group>
            <v:group style="position:absolute;left:418;top:8645;width:1971;height:2" coordorigin="418,8645" coordsize="1971,2">
              <v:shape style="position:absolute;left:418;top:8645;width:1971;height:2" coordorigin="418,8645" coordsize="1971,0" path="m418,8645l2388,8645e" filled="false" stroked="true" strokeweight=".1pt" strokecolor="#d3d3d3">
                <v:path arrowok="t"/>
              </v:shape>
            </v:group>
            <v:group style="position:absolute;left:430;top:8106;width:2;height:538" coordorigin="430,8106" coordsize="2,538">
              <v:shape style="position:absolute;left:430;top:8106;width:2;height:538" coordorigin="430,8106" coordsize="0,538" path="m430,8106l430,8644e" filled="false" stroked="true" strokeweight="1.199999pt" strokecolor="#d3d3d3">
                <v:path arrowok="t"/>
              </v:shape>
            </v:group>
            <v:group style="position:absolute;left:2377;top:8106;width:2;height:538" coordorigin="2377,8106" coordsize="2,538">
              <v:shape style="position:absolute;left:2377;top:8106;width:2;height:538" coordorigin="2377,8106" coordsize="0,538" path="m2377,8106l2377,8643e" filled="false" stroked="true" strokeweight="1.08pt" strokecolor="#d3d3d3">
                <v:path arrowok="t"/>
              </v:shape>
            </v:group>
            <v:group style="position:absolute;left:442;top:8103;width:1925;height:272" coordorigin="442,8103" coordsize="1925,272">
              <v:shape style="position:absolute;left:442;top:8103;width:1925;height:272" coordorigin="442,8103" coordsize="1925,272" path="m442,8374l2366,8374,2366,8103,442,8103,442,8374xe" filled="true" fillcolor="#d3d3d3" stroked="false">
                <v:path arrowok="t"/>
                <v:fill type="solid"/>
              </v:shape>
            </v:group>
            <v:group style="position:absolute;left:442;top:8374;width:1925;height:269" coordorigin="442,8374" coordsize="1925,269">
              <v:shape style="position:absolute;left:442;top:8374;width:1925;height:269" coordorigin="442,8374" coordsize="1925,269" path="m442,8643l2366,8643,2366,8374,442,8374,442,8643xe" filled="true" fillcolor="#d3d3d3" stroked="false">
                <v:path arrowok="t"/>
                <v:fill type="solid"/>
              </v:shape>
            </v:group>
            <v:group style="position:absolute;left:418;top:8098;width:1971;height:2" coordorigin="418,8098" coordsize="1971,2">
              <v:shape style="position:absolute;left:418;top:8098;width:1971;height:2" coordorigin="418,8098" coordsize="1971,0" path="m418,8098l2388,8098e" filled="false" stroked="true" strokeweight=".48pt" strokecolor="#000000">
                <v:path arrowok="t"/>
              </v:shape>
            </v:group>
            <v:group style="position:absolute;left:2398;top:8098;width:1251;height:2" coordorigin="2398,8098" coordsize="1251,2">
              <v:shape style="position:absolute;left:2398;top:8098;width:1251;height:2" coordorigin="2398,8098" coordsize="1251,0" path="m2398,8098l3648,8098e" filled="false" stroked="true" strokeweight=".48pt" strokecolor="#000000">
                <v:path arrowok="t"/>
              </v:shape>
            </v:group>
            <v:group style="position:absolute;left:3658;top:8098;width:1431;height:2" coordorigin="3658,8098" coordsize="1431,2">
              <v:shape style="position:absolute;left:3658;top:8098;width:1431;height:2" coordorigin="3658,8098" coordsize="1431,0" path="m3658,8098l5088,8098e" filled="false" stroked="true" strokeweight=".48pt" strokecolor="#000000">
                <v:path arrowok="t"/>
              </v:shape>
            </v:group>
            <v:group style="position:absolute;left:5098;top:8098;width:531;height:2" coordorigin="5098,8098" coordsize="531,2">
              <v:shape style="position:absolute;left:5098;top:8098;width:531;height:2" coordorigin="5098,8098" coordsize="531,0" path="m5098,8098l5628,8098e" filled="false" stroked="true" strokeweight=".48pt" strokecolor="#000000">
                <v:path arrowok="t"/>
              </v:shape>
            </v:group>
            <v:group style="position:absolute;left:5638;top:8098;width:677;height:2" coordorigin="5638,8098" coordsize="677,2">
              <v:shape style="position:absolute;left:5638;top:8098;width:677;height:2" coordorigin="5638,8098" coordsize="677,0" path="m5638,8098l6314,8098e" filled="false" stroked="true" strokeweight=".48pt" strokecolor="#000000">
                <v:path arrowok="t"/>
              </v:shape>
            </v:group>
            <v:group style="position:absolute;left:6324;top:8098;width:1284;height:2" coordorigin="6324,8098" coordsize="1284,2">
              <v:shape style="position:absolute;left:6324;top:8098;width:1284;height:2" coordorigin="6324,8098" coordsize="1284,0" path="m6324,8098l7608,8098e" filled="false" stroked="true" strokeweight=".48pt" strokecolor="#000000">
                <v:path arrowok="t"/>
              </v:shape>
            </v:group>
            <v:group style="position:absolute;left:7618;top:8098;width:531;height:2" coordorigin="7618,8098" coordsize="531,2">
              <v:shape style="position:absolute;left:7618;top:8098;width:531;height:2" coordorigin="7618,8098" coordsize="531,0" path="m7618,8098l8148,8098e" filled="false" stroked="true" strokeweight=".48pt" strokecolor="#000000">
                <v:path arrowok="t"/>
              </v:shape>
            </v:group>
            <v:group style="position:absolute;left:8158;top:8098;width:1251;height:2" coordorigin="8158,8098" coordsize="1251,2">
              <v:shape style="position:absolute;left:8158;top:8098;width:1251;height:2" coordorigin="8158,8098" coordsize="1251,0" path="m8158,8098l9408,8098e" filled="false" stroked="true" strokeweight=".48pt" strokecolor="#000000">
                <v:path arrowok="t"/>
              </v:shape>
            </v:group>
            <v:group style="position:absolute;left:9418;top:8098;width:351;height:2" coordorigin="9418,8098" coordsize="351,2">
              <v:shape style="position:absolute;left:9418;top:8098;width:351;height:2" coordorigin="9418,8098" coordsize="351,0" path="m9418,8098l9768,8098e" filled="false" stroked="true" strokeweight=".48pt" strokecolor="#000000">
                <v:path arrowok="t"/>
              </v:shape>
            </v:group>
            <v:group style="position:absolute;left:9778;top:8098;width:531;height:2" coordorigin="9778,8098" coordsize="531,2">
              <v:shape style="position:absolute;left:9778;top:8098;width:531;height:2" coordorigin="9778,8098" coordsize="531,0" path="m9778,8098l10308,8098e" filled="false" stroked="true" strokeweight=".48pt" strokecolor="#000000">
                <v:path arrowok="t"/>
              </v:shape>
            </v:group>
            <v:group style="position:absolute;left:10318;top:8098;width:1328;height:2" coordorigin="10318,8098" coordsize="1328,2">
              <v:shape style="position:absolute;left:10318;top:8098;width:1328;height:2" coordorigin="10318,8098" coordsize="1328,0" path="m10318,8098l11645,8098e" filled="false" stroked="true" strokeweight=".48pt" strokecolor="#000000">
                <v:path arrowok="t"/>
              </v:shape>
            </v:group>
            <v:group style="position:absolute;left:430;top:8655;width:2;height:310" coordorigin="430,8655" coordsize="2,310">
              <v:shape style="position:absolute;left:430;top:8655;width:2;height:310" coordorigin="430,8655" coordsize="0,310" path="m430,8655l430,8965e" filled="false" stroked="true" strokeweight="1.199999pt" strokecolor="#d3d3d3">
                <v:path arrowok="t"/>
              </v:shape>
            </v:group>
            <v:group style="position:absolute;left:2377;top:8655;width:2;height:310" coordorigin="2377,8655" coordsize="2,310">
              <v:shape style="position:absolute;left:2377;top:8655;width:2;height:310" coordorigin="2377,8655" coordsize="0,310" path="m2377,8655l2377,8965e" filled="false" stroked="true" strokeweight="1.08pt" strokecolor="#d3d3d3">
                <v:path arrowok="t"/>
              </v:shape>
            </v:group>
            <v:group style="position:absolute;left:442;top:8655;width:1925;height:310" coordorigin="442,8655" coordsize="1925,310">
              <v:shape style="position:absolute;left:442;top:8655;width:1925;height:310" coordorigin="442,8655" coordsize="1925,310" path="m442,8965l2366,8965,2366,8655,442,8655,442,8965xe" filled="true" fillcolor="#d3d3d3" stroked="false">
                <v:path arrowok="t"/>
                <v:fill type="solid"/>
              </v:shape>
            </v:group>
            <v:group style="position:absolute;left:418;top:8650;width:1971;height:2" coordorigin="418,8650" coordsize="1971,2">
              <v:shape style="position:absolute;left:418;top:8650;width:1971;height:2" coordorigin="418,8650" coordsize="1971,0" path="m418,8650l2388,8650e" filled="false" stroked="true" strokeweight=".48pt" strokecolor="#000000">
                <v:path arrowok="t"/>
              </v:shape>
            </v:group>
            <v:group style="position:absolute;left:2398;top:8650;width:1251;height:2" coordorigin="2398,8650" coordsize="1251,2">
              <v:shape style="position:absolute;left:2398;top:8650;width:1251;height:2" coordorigin="2398,8650" coordsize="1251,0" path="m2398,8650l3648,8650e" filled="false" stroked="true" strokeweight=".48pt" strokecolor="#000000">
                <v:path arrowok="t"/>
              </v:shape>
            </v:group>
            <v:group style="position:absolute;left:3658;top:8650;width:1431;height:2" coordorigin="3658,8650" coordsize="1431,2">
              <v:shape style="position:absolute;left:3658;top:8650;width:1431;height:2" coordorigin="3658,8650" coordsize="1431,0" path="m3658,8650l5088,8650e" filled="false" stroked="true" strokeweight=".48pt" strokecolor="#000000">
                <v:path arrowok="t"/>
              </v:shape>
            </v:group>
            <v:group style="position:absolute;left:5098;top:8650;width:531;height:2" coordorigin="5098,8650" coordsize="531,2">
              <v:shape style="position:absolute;left:5098;top:8650;width:531;height:2" coordorigin="5098,8650" coordsize="531,0" path="m5098,8650l5628,8650e" filled="false" stroked="true" strokeweight=".48pt" strokecolor="#000000">
                <v:path arrowok="t"/>
              </v:shape>
            </v:group>
            <v:group style="position:absolute;left:5638;top:8650;width:677;height:2" coordorigin="5638,8650" coordsize="677,2">
              <v:shape style="position:absolute;left:5638;top:8650;width:677;height:2" coordorigin="5638,8650" coordsize="677,0" path="m5638,8650l6314,8650e" filled="false" stroked="true" strokeweight=".48pt" strokecolor="#000000">
                <v:path arrowok="t"/>
              </v:shape>
            </v:group>
            <v:group style="position:absolute;left:6324;top:8650;width:1284;height:2" coordorigin="6324,8650" coordsize="1284,2">
              <v:shape style="position:absolute;left:6324;top:8650;width:1284;height:2" coordorigin="6324,8650" coordsize="1284,0" path="m6324,8650l7608,8650e" filled="false" stroked="true" strokeweight=".48pt" strokecolor="#000000">
                <v:path arrowok="t"/>
              </v:shape>
            </v:group>
            <v:group style="position:absolute;left:7618;top:8650;width:531;height:2" coordorigin="7618,8650" coordsize="531,2">
              <v:shape style="position:absolute;left:7618;top:8650;width:531;height:2" coordorigin="7618,8650" coordsize="531,0" path="m7618,8650l8148,8650e" filled="false" stroked="true" strokeweight=".48pt" strokecolor="#000000">
                <v:path arrowok="t"/>
              </v:shape>
            </v:group>
            <v:group style="position:absolute;left:8158;top:8650;width:1251;height:2" coordorigin="8158,8650" coordsize="1251,2">
              <v:shape style="position:absolute;left:8158;top:8650;width:1251;height:2" coordorigin="8158,8650" coordsize="1251,0" path="m8158,8650l9408,8650e" filled="false" stroked="true" strokeweight=".48pt" strokecolor="#000000">
                <v:path arrowok="t"/>
              </v:shape>
            </v:group>
            <v:group style="position:absolute;left:9418;top:8650;width:351;height:2" coordorigin="9418,8650" coordsize="351,2">
              <v:shape style="position:absolute;left:9418;top:8650;width:351;height:2" coordorigin="9418,8650" coordsize="351,0" path="m9418,8650l9768,8650e" filled="false" stroked="true" strokeweight=".48pt" strokecolor="#000000">
                <v:path arrowok="t"/>
              </v:shape>
            </v:group>
            <v:group style="position:absolute;left:9778;top:8650;width:531;height:2" coordorigin="9778,8650" coordsize="531,2">
              <v:shape style="position:absolute;left:9778;top:8650;width:531;height:2" coordorigin="9778,8650" coordsize="531,0" path="m9778,8650l10308,8650e" filled="false" stroked="true" strokeweight=".48pt" strokecolor="#000000">
                <v:path arrowok="t"/>
              </v:shape>
            </v:group>
            <v:group style="position:absolute;left:10318;top:8650;width:1328;height:2" coordorigin="10318,8650" coordsize="1328,2">
              <v:shape style="position:absolute;left:10318;top:8650;width:1328;height:2" coordorigin="10318,8650" coordsize="1328,0" path="m10318,8650l11645,8650e" filled="false" stroked="true" strokeweight=".48pt" strokecolor="#000000">
                <v:path arrowok="t"/>
              </v:shape>
            </v:group>
            <v:group style="position:absolute;left:430;top:8974;width:2;height:310" coordorigin="430,8974" coordsize="2,310">
              <v:shape style="position:absolute;left:430;top:8974;width:2;height:310" coordorigin="430,8974" coordsize="0,310" path="m430,8974l430,9284e" filled="false" stroked="true" strokeweight="1.199999pt" strokecolor="#d3d3d3">
                <v:path arrowok="t"/>
              </v:shape>
            </v:group>
            <v:group style="position:absolute;left:2377;top:8974;width:2;height:310" coordorigin="2377,8974" coordsize="2,310">
              <v:shape style="position:absolute;left:2377;top:8974;width:2;height:310" coordorigin="2377,8974" coordsize="0,310" path="m2377,8974l2377,9284e" filled="false" stroked="true" strokeweight="1.08pt" strokecolor="#d3d3d3">
                <v:path arrowok="t"/>
              </v:shape>
            </v:group>
            <v:group style="position:absolute;left:442;top:8974;width:1925;height:310" coordorigin="442,8974" coordsize="1925,310">
              <v:shape style="position:absolute;left:442;top:8974;width:1925;height:310" coordorigin="442,8974" coordsize="1925,310" path="m442,9284l2366,9284,2366,8974,442,8974,442,9284xe" filled="true" fillcolor="#d3d3d3" stroked="false">
                <v:path arrowok="t"/>
                <v:fill type="solid"/>
              </v:shape>
            </v:group>
            <v:group style="position:absolute;left:418;top:8970;width:1971;height:2" coordorigin="418,8970" coordsize="1971,2">
              <v:shape style="position:absolute;left:418;top:8970;width:1971;height:2" coordorigin="418,8970" coordsize="1971,0" path="m418,8970l2388,8970e" filled="false" stroked="true" strokeweight=".48pt" strokecolor="#000000">
                <v:path arrowok="t"/>
              </v:shape>
            </v:group>
            <v:group style="position:absolute;left:2398;top:8970;width:1251;height:2" coordorigin="2398,8970" coordsize="1251,2">
              <v:shape style="position:absolute;left:2398;top:8970;width:1251;height:2" coordorigin="2398,8970" coordsize="1251,0" path="m2398,8970l3648,8970e" filled="false" stroked="true" strokeweight=".48pt" strokecolor="#000000">
                <v:path arrowok="t"/>
              </v:shape>
            </v:group>
            <v:group style="position:absolute;left:3658;top:8970;width:1431;height:2" coordorigin="3658,8970" coordsize="1431,2">
              <v:shape style="position:absolute;left:3658;top:8970;width:1431;height:2" coordorigin="3658,8970" coordsize="1431,0" path="m3658,8970l5088,8970e" filled="false" stroked="true" strokeweight=".48pt" strokecolor="#000000">
                <v:path arrowok="t"/>
              </v:shape>
            </v:group>
            <v:group style="position:absolute;left:5098;top:8970;width:531;height:2" coordorigin="5098,8970" coordsize="531,2">
              <v:shape style="position:absolute;left:5098;top:8970;width:531;height:2" coordorigin="5098,8970" coordsize="531,0" path="m5098,8970l5628,8970e" filled="false" stroked="true" strokeweight=".48pt" strokecolor="#000000">
                <v:path arrowok="t"/>
              </v:shape>
            </v:group>
            <v:group style="position:absolute;left:5638;top:8970;width:677;height:2" coordorigin="5638,8970" coordsize="677,2">
              <v:shape style="position:absolute;left:5638;top:8970;width:677;height:2" coordorigin="5638,8970" coordsize="677,0" path="m5638,8970l6314,8970e" filled="false" stroked="true" strokeweight=".48pt" strokecolor="#000000">
                <v:path arrowok="t"/>
              </v:shape>
            </v:group>
            <v:group style="position:absolute;left:6324;top:8970;width:1284;height:2" coordorigin="6324,8970" coordsize="1284,2">
              <v:shape style="position:absolute;left:6324;top:8970;width:1284;height:2" coordorigin="6324,8970" coordsize="1284,0" path="m6324,8970l7608,8970e" filled="false" stroked="true" strokeweight=".48pt" strokecolor="#000000">
                <v:path arrowok="t"/>
              </v:shape>
            </v:group>
            <v:group style="position:absolute;left:7618;top:8970;width:531;height:2" coordorigin="7618,8970" coordsize="531,2">
              <v:shape style="position:absolute;left:7618;top:8970;width:531;height:2" coordorigin="7618,8970" coordsize="531,0" path="m7618,8970l8148,8970e" filled="false" stroked="true" strokeweight=".48pt" strokecolor="#000000">
                <v:path arrowok="t"/>
              </v:shape>
            </v:group>
            <v:group style="position:absolute;left:8158;top:8970;width:1251;height:2" coordorigin="8158,8970" coordsize="1251,2">
              <v:shape style="position:absolute;left:8158;top:8970;width:1251;height:2" coordorigin="8158,8970" coordsize="1251,0" path="m8158,8970l9408,8970e" filled="false" stroked="true" strokeweight=".48pt" strokecolor="#000000">
                <v:path arrowok="t"/>
              </v:shape>
            </v:group>
            <v:group style="position:absolute;left:9418;top:8970;width:351;height:2" coordorigin="9418,8970" coordsize="351,2">
              <v:shape style="position:absolute;left:9418;top:8970;width:351;height:2" coordorigin="9418,8970" coordsize="351,0" path="m9418,8970l9768,8970e" filled="false" stroked="true" strokeweight=".48pt" strokecolor="#000000">
                <v:path arrowok="t"/>
              </v:shape>
            </v:group>
            <v:group style="position:absolute;left:9778;top:8970;width:531;height:2" coordorigin="9778,8970" coordsize="531,2">
              <v:shape style="position:absolute;left:9778;top:8970;width:531;height:2" coordorigin="9778,8970" coordsize="531,0" path="m9778,8970l10308,8970e" filled="false" stroked="true" strokeweight=".48pt" strokecolor="#000000">
                <v:path arrowok="t"/>
              </v:shape>
            </v:group>
            <v:group style="position:absolute;left:10318;top:8970;width:1328;height:2" coordorigin="10318,8970" coordsize="1328,2">
              <v:shape style="position:absolute;left:10318;top:8970;width:1328;height:2" coordorigin="10318,8970" coordsize="1328,0" path="m10318,8970l11645,8970e" filled="false" stroked="true" strokeweight=".48pt" strokecolor="#000000">
                <v:path arrowok="t"/>
              </v:shape>
            </v:group>
            <v:group style="position:absolute;left:418;top:9605;width:1971;height:2" coordorigin="418,9605" coordsize="1971,2">
              <v:shape style="position:absolute;left:418;top:9605;width:1971;height:2" coordorigin="418,9605" coordsize="1971,0" path="m418,9605l2388,9605e" filled="false" stroked="true" strokeweight=".1pt" strokecolor="#d3d3d3">
                <v:path arrowok="t"/>
              </v:shape>
            </v:group>
            <v:group style="position:absolute;left:430;top:9294;width:2;height:310" coordorigin="430,9294" coordsize="2,310">
              <v:shape style="position:absolute;left:430;top:9294;width:2;height:310" coordorigin="430,9294" coordsize="0,310" path="m430,9294l430,9604e" filled="false" stroked="true" strokeweight="1.199999pt" strokecolor="#d3d3d3">
                <v:path arrowok="t"/>
              </v:shape>
            </v:group>
            <v:group style="position:absolute;left:2377;top:9294;width:2;height:310" coordorigin="2377,9294" coordsize="2,310">
              <v:shape style="position:absolute;left:2377;top:9294;width:2;height:310" coordorigin="2377,9294" coordsize="0,310" path="m2377,9294l2377,9603e" filled="false" stroked="true" strokeweight="1.08pt" strokecolor="#d3d3d3">
                <v:path arrowok="t"/>
              </v:shape>
            </v:group>
            <v:group style="position:absolute;left:442;top:9294;width:1925;height:310" coordorigin="442,9294" coordsize="1925,310">
              <v:shape style="position:absolute;left:442;top:9294;width:1925;height:310" coordorigin="442,9294" coordsize="1925,310" path="m442,9603l2366,9603,2366,9294,442,9294,442,9603xe" filled="true" fillcolor="#d3d3d3" stroked="false">
                <v:path arrowok="t"/>
                <v:fill type="solid"/>
              </v:shape>
            </v:group>
            <v:group style="position:absolute;left:418;top:9289;width:1971;height:2" coordorigin="418,9289" coordsize="1971,2">
              <v:shape style="position:absolute;left:418;top:9289;width:1971;height:2" coordorigin="418,9289" coordsize="1971,0" path="m418,9289l2388,9289e" filled="false" stroked="true" strokeweight=".48pt" strokecolor="#000000">
                <v:path arrowok="t"/>
              </v:shape>
            </v:group>
            <v:group style="position:absolute;left:2398;top:9289;width:1251;height:2" coordorigin="2398,9289" coordsize="1251,2">
              <v:shape style="position:absolute;left:2398;top:9289;width:1251;height:2" coordorigin="2398,9289" coordsize="1251,0" path="m2398,9289l3648,9289e" filled="false" stroked="true" strokeweight=".48pt" strokecolor="#000000">
                <v:path arrowok="t"/>
              </v:shape>
            </v:group>
            <v:group style="position:absolute;left:3658;top:9289;width:1431;height:2" coordorigin="3658,9289" coordsize="1431,2">
              <v:shape style="position:absolute;left:3658;top:9289;width:1431;height:2" coordorigin="3658,9289" coordsize="1431,0" path="m3658,9289l5088,9289e" filled="false" stroked="true" strokeweight=".48pt" strokecolor="#000000">
                <v:path arrowok="t"/>
              </v:shape>
            </v:group>
            <v:group style="position:absolute;left:5098;top:9289;width:531;height:2" coordorigin="5098,9289" coordsize="531,2">
              <v:shape style="position:absolute;left:5098;top:9289;width:531;height:2" coordorigin="5098,9289" coordsize="531,0" path="m5098,9289l5628,9289e" filled="false" stroked="true" strokeweight=".48pt" strokecolor="#000000">
                <v:path arrowok="t"/>
              </v:shape>
            </v:group>
            <v:group style="position:absolute;left:5638;top:9289;width:677;height:2" coordorigin="5638,9289" coordsize="677,2">
              <v:shape style="position:absolute;left:5638;top:9289;width:677;height:2" coordorigin="5638,9289" coordsize="677,0" path="m5638,9289l6314,9289e" filled="false" stroked="true" strokeweight=".48pt" strokecolor="#000000">
                <v:path arrowok="t"/>
              </v:shape>
            </v:group>
            <v:group style="position:absolute;left:6324;top:9289;width:1284;height:2" coordorigin="6324,9289" coordsize="1284,2">
              <v:shape style="position:absolute;left:6324;top:9289;width:1284;height:2" coordorigin="6324,9289" coordsize="1284,0" path="m6324,9289l7608,9289e" filled="false" stroked="true" strokeweight=".48pt" strokecolor="#000000">
                <v:path arrowok="t"/>
              </v:shape>
            </v:group>
            <v:group style="position:absolute;left:7618;top:9289;width:531;height:2" coordorigin="7618,9289" coordsize="531,2">
              <v:shape style="position:absolute;left:7618;top:9289;width:531;height:2" coordorigin="7618,9289" coordsize="531,0" path="m7618,9289l8148,9289e" filled="false" stroked="true" strokeweight=".48pt" strokecolor="#000000">
                <v:path arrowok="t"/>
              </v:shape>
            </v:group>
            <v:group style="position:absolute;left:8158;top:9289;width:1251;height:2" coordorigin="8158,9289" coordsize="1251,2">
              <v:shape style="position:absolute;left:8158;top:9289;width:1251;height:2" coordorigin="8158,9289" coordsize="1251,0" path="m8158,9289l9408,9289e" filled="false" stroked="true" strokeweight=".48pt" strokecolor="#000000">
                <v:path arrowok="t"/>
              </v:shape>
            </v:group>
            <v:group style="position:absolute;left:9418;top:9289;width:351;height:2" coordorigin="9418,9289" coordsize="351,2">
              <v:shape style="position:absolute;left:9418;top:9289;width:351;height:2" coordorigin="9418,9289" coordsize="351,0" path="m9418,9289l9768,9289e" filled="false" stroked="true" strokeweight=".48pt" strokecolor="#000000">
                <v:path arrowok="t"/>
              </v:shape>
            </v:group>
            <v:group style="position:absolute;left:9778;top:9289;width:531;height:2" coordorigin="9778,9289" coordsize="531,2">
              <v:shape style="position:absolute;left:9778;top:9289;width:531;height:2" coordorigin="9778,9289" coordsize="531,0" path="m9778,9289l10308,9289e" filled="false" stroked="true" strokeweight=".48pt" strokecolor="#000000">
                <v:path arrowok="t"/>
              </v:shape>
            </v:group>
            <v:group style="position:absolute;left:10318;top:9289;width:1328;height:2" coordorigin="10318,9289" coordsize="1328,2">
              <v:shape style="position:absolute;left:10318;top:9289;width:1328;height:2" coordorigin="10318,9289" coordsize="1328,0" path="m10318,9289l11645,9289e" filled="false" stroked="true" strokeweight=".48pt" strokecolor="#000000">
                <v:path arrowok="t"/>
              </v:shape>
            </v:group>
            <v:group style="position:absolute;left:430;top:9615;width:2;height:310" coordorigin="430,9615" coordsize="2,310">
              <v:shape style="position:absolute;left:430;top:9615;width:2;height:310" coordorigin="430,9615" coordsize="0,310" path="m430,9615l430,9925e" filled="false" stroked="true" strokeweight="1.199999pt" strokecolor="#d3d3d3">
                <v:path arrowok="t"/>
              </v:shape>
            </v:group>
            <v:group style="position:absolute;left:2377;top:9615;width:2;height:310" coordorigin="2377,9615" coordsize="2,310">
              <v:shape style="position:absolute;left:2377;top:9615;width:2;height:310" coordorigin="2377,9615" coordsize="0,310" path="m2377,9615l2377,9925e" filled="false" stroked="true" strokeweight="1.08pt" strokecolor="#d3d3d3">
                <v:path arrowok="t"/>
              </v:shape>
            </v:group>
            <v:group style="position:absolute;left:442;top:9615;width:1925;height:310" coordorigin="442,9615" coordsize="1925,310">
              <v:shape style="position:absolute;left:442;top:9615;width:1925;height:310" coordorigin="442,9615" coordsize="1925,310" path="m442,9925l2366,9925,2366,9615,442,9615,442,9925xe" filled="true" fillcolor="#d3d3d3" stroked="false">
                <v:path arrowok="t"/>
                <v:fill type="solid"/>
              </v:shape>
            </v:group>
            <v:group style="position:absolute;left:418;top:9610;width:1971;height:2" coordorigin="418,9610" coordsize="1971,2">
              <v:shape style="position:absolute;left:418;top:9610;width:1971;height:2" coordorigin="418,9610" coordsize="1971,0" path="m418,9610l2388,9610e" filled="false" stroked="true" strokeweight=".48pt" strokecolor="#000000">
                <v:path arrowok="t"/>
              </v:shape>
            </v:group>
            <v:group style="position:absolute;left:2398;top:9610;width:1251;height:2" coordorigin="2398,9610" coordsize="1251,2">
              <v:shape style="position:absolute;left:2398;top:9610;width:1251;height:2" coordorigin="2398,9610" coordsize="1251,0" path="m2398,9610l3648,9610e" filled="false" stroked="true" strokeweight=".48pt" strokecolor="#000000">
                <v:path arrowok="t"/>
              </v:shape>
            </v:group>
            <v:group style="position:absolute;left:3658;top:9610;width:1431;height:2" coordorigin="3658,9610" coordsize="1431,2">
              <v:shape style="position:absolute;left:3658;top:9610;width:1431;height:2" coordorigin="3658,9610" coordsize="1431,0" path="m3658,9610l5088,9610e" filled="false" stroked="true" strokeweight=".48pt" strokecolor="#000000">
                <v:path arrowok="t"/>
              </v:shape>
            </v:group>
            <v:group style="position:absolute;left:5098;top:9610;width:531;height:2" coordorigin="5098,9610" coordsize="531,2">
              <v:shape style="position:absolute;left:5098;top:9610;width:531;height:2" coordorigin="5098,9610" coordsize="531,0" path="m5098,9610l5628,9610e" filled="false" stroked="true" strokeweight=".48pt" strokecolor="#000000">
                <v:path arrowok="t"/>
              </v:shape>
            </v:group>
            <v:group style="position:absolute;left:5638;top:9610;width:677;height:2" coordorigin="5638,9610" coordsize="677,2">
              <v:shape style="position:absolute;left:5638;top:9610;width:677;height:2" coordorigin="5638,9610" coordsize="677,0" path="m5638,9610l6314,9610e" filled="false" stroked="true" strokeweight=".48pt" strokecolor="#000000">
                <v:path arrowok="t"/>
              </v:shape>
            </v:group>
            <v:group style="position:absolute;left:6324;top:9610;width:1284;height:2" coordorigin="6324,9610" coordsize="1284,2">
              <v:shape style="position:absolute;left:6324;top:9610;width:1284;height:2" coordorigin="6324,9610" coordsize="1284,0" path="m6324,9610l7608,9610e" filled="false" stroked="true" strokeweight=".48pt" strokecolor="#000000">
                <v:path arrowok="t"/>
              </v:shape>
            </v:group>
            <v:group style="position:absolute;left:7618;top:9610;width:531;height:2" coordorigin="7618,9610" coordsize="531,2">
              <v:shape style="position:absolute;left:7618;top:9610;width:531;height:2" coordorigin="7618,9610" coordsize="531,0" path="m7618,9610l8148,9610e" filled="false" stroked="true" strokeweight=".48pt" strokecolor="#000000">
                <v:path arrowok="t"/>
              </v:shape>
            </v:group>
            <v:group style="position:absolute;left:8158;top:9610;width:1251;height:2" coordorigin="8158,9610" coordsize="1251,2">
              <v:shape style="position:absolute;left:8158;top:9610;width:1251;height:2" coordorigin="8158,9610" coordsize="1251,0" path="m8158,9610l9408,9610e" filled="false" stroked="true" strokeweight=".48pt" strokecolor="#000000">
                <v:path arrowok="t"/>
              </v:shape>
            </v:group>
            <v:group style="position:absolute;left:9418;top:9610;width:351;height:2" coordorigin="9418,9610" coordsize="351,2">
              <v:shape style="position:absolute;left:9418;top:9610;width:351;height:2" coordorigin="9418,9610" coordsize="351,0" path="m9418,9610l9768,9610e" filled="false" stroked="true" strokeweight=".48pt" strokecolor="#000000">
                <v:path arrowok="t"/>
              </v:shape>
            </v:group>
            <v:group style="position:absolute;left:9778;top:9610;width:531;height:2" coordorigin="9778,9610" coordsize="531,2">
              <v:shape style="position:absolute;left:9778;top:9610;width:531;height:2" coordorigin="9778,9610" coordsize="531,0" path="m9778,9610l10308,9610e" filled="false" stroked="true" strokeweight=".48pt" strokecolor="#000000">
                <v:path arrowok="t"/>
              </v:shape>
            </v:group>
            <v:group style="position:absolute;left:10318;top:9610;width:1328;height:2" coordorigin="10318,9610" coordsize="1328,2">
              <v:shape style="position:absolute;left:10318;top:9610;width:1328;height:2" coordorigin="10318,9610" coordsize="1328,0" path="m10318,9610l11645,9610e" filled="false" stroked="true" strokeweight=".48pt" strokecolor="#000000">
                <v:path arrowok="t"/>
              </v:shape>
            </v:group>
            <v:group style="position:absolute;left:430;top:9934;width:2;height:540" coordorigin="430,9934" coordsize="2,540">
              <v:shape style="position:absolute;left:430;top:9934;width:2;height:540" coordorigin="430,9934" coordsize="0,540" path="m430,9934l430,10474e" filled="false" stroked="true" strokeweight="1.199999pt" strokecolor="#d3d3d3">
                <v:path arrowok="t"/>
              </v:shape>
            </v:group>
            <v:group style="position:absolute;left:2377;top:9934;width:2;height:540" coordorigin="2377,9934" coordsize="2,540">
              <v:shape style="position:absolute;left:2377;top:9934;width:2;height:540" coordorigin="2377,9934" coordsize="0,540" path="m2377,9934l2377,10474e" filled="false" stroked="true" strokeweight="1.08pt" strokecolor="#d3d3d3">
                <v:path arrowok="t"/>
              </v:shape>
            </v:group>
            <v:group style="position:absolute;left:442;top:9934;width:1925;height:269" coordorigin="442,9934" coordsize="1925,269">
              <v:shape style="position:absolute;left:442;top:9934;width:1925;height:269" coordorigin="442,9934" coordsize="1925,269" path="m442,10203l2366,10203,2366,9934,442,9934,442,10203xe" filled="true" fillcolor="#d3d3d3" stroked="false">
                <v:path arrowok="t"/>
                <v:fill type="solid"/>
              </v:shape>
            </v:group>
            <v:group style="position:absolute;left:442;top:10203;width:1925;height:272" coordorigin="442,10203" coordsize="1925,272">
              <v:shape style="position:absolute;left:442;top:10203;width:1925;height:272" coordorigin="442,10203" coordsize="1925,272" path="m442,10474l2366,10474,2366,10203,442,10203,442,10474xe" filled="true" fillcolor="#d3d3d3" stroked="false">
                <v:path arrowok="t"/>
                <v:fill type="solid"/>
              </v:shape>
            </v:group>
            <v:group style="position:absolute;left:418;top:9930;width:1971;height:2" coordorigin="418,9930" coordsize="1971,2">
              <v:shape style="position:absolute;left:418;top:9930;width:1971;height:2" coordorigin="418,9930" coordsize="1971,0" path="m418,9930l2388,9930e" filled="false" stroked="true" strokeweight=".48pt" strokecolor="#000000">
                <v:path arrowok="t"/>
              </v:shape>
            </v:group>
            <v:group style="position:absolute;left:2398;top:9930;width:1251;height:2" coordorigin="2398,9930" coordsize="1251,2">
              <v:shape style="position:absolute;left:2398;top:9930;width:1251;height:2" coordorigin="2398,9930" coordsize="1251,0" path="m2398,9930l3648,9930e" filled="false" stroked="true" strokeweight=".48pt" strokecolor="#000000">
                <v:path arrowok="t"/>
              </v:shape>
            </v:group>
            <v:group style="position:absolute;left:3658;top:9930;width:1431;height:2" coordorigin="3658,9930" coordsize="1431,2">
              <v:shape style="position:absolute;left:3658;top:9930;width:1431;height:2" coordorigin="3658,9930" coordsize="1431,0" path="m3658,9930l5088,9930e" filled="false" stroked="true" strokeweight=".48pt" strokecolor="#000000">
                <v:path arrowok="t"/>
              </v:shape>
            </v:group>
            <v:group style="position:absolute;left:5098;top:9930;width:531;height:2" coordorigin="5098,9930" coordsize="531,2">
              <v:shape style="position:absolute;left:5098;top:9930;width:531;height:2" coordorigin="5098,9930" coordsize="531,0" path="m5098,9930l5628,9930e" filled="false" stroked="true" strokeweight=".48pt" strokecolor="#000000">
                <v:path arrowok="t"/>
              </v:shape>
            </v:group>
            <v:group style="position:absolute;left:5638;top:9930;width:677;height:2" coordorigin="5638,9930" coordsize="677,2">
              <v:shape style="position:absolute;left:5638;top:9930;width:677;height:2" coordorigin="5638,9930" coordsize="677,0" path="m5638,9930l6314,9930e" filled="false" stroked="true" strokeweight=".48pt" strokecolor="#000000">
                <v:path arrowok="t"/>
              </v:shape>
            </v:group>
            <v:group style="position:absolute;left:6324;top:9930;width:1284;height:2" coordorigin="6324,9930" coordsize="1284,2">
              <v:shape style="position:absolute;left:6324;top:9930;width:1284;height:2" coordorigin="6324,9930" coordsize="1284,0" path="m6324,9930l7608,9930e" filled="false" stroked="true" strokeweight=".48pt" strokecolor="#000000">
                <v:path arrowok="t"/>
              </v:shape>
            </v:group>
            <v:group style="position:absolute;left:7618;top:9930;width:531;height:2" coordorigin="7618,9930" coordsize="531,2">
              <v:shape style="position:absolute;left:7618;top:9930;width:531;height:2" coordorigin="7618,9930" coordsize="531,0" path="m7618,9930l8148,9930e" filled="false" stroked="true" strokeweight=".48pt" strokecolor="#000000">
                <v:path arrowok="t"/>
              </v:shape>
            </v:group>
            <v:group style="position:absolute;left:8158;top:9930;width:1251;height:2" coordorigin="8158,9930" coordsize="1251,2">
              <v:shape style="position:absolute;left:8158;top:9930;width:1251;height:2" coordorigin="8158,9930" coordsize="1251,0" path="m8158,9930l9408,9930e" filled="false" stroked="true" strokeweight=".48pt" strokecolor="#000000">
                <v:path arrowok="t"/>
              </v:shape>
            </v:group>
            <v:group style="position:absolute;left:9418;top:9930;width:351;height:2" coordorigin="9418,9930" coordsize="351,2">
              <v:shape style="position:absolute;left:9418;top:9930;width:351;height:2" coordorigin="9418,9930" coordsize="351,0" path="m9418,9930l9768,9930e" filled="false" stroked="true" strokeweight=".48pt" strokecolor="#000000">
                <v:path arrowok="t"/>
              </v:shape>
            </v:group>
            <v:group style="position:absolute;left:9778;top:9930;width:531;height:2" coordorigin="9778,9930" coordsize="531,2">
              <v:shape style="position:absolute;left:9778;top:9930;width:531;height:2" coordorigin="9778,9930" coordsize="531,0" path="m9778,9930l10308,9930e" filled="false" stroked="true" strokeweight=".48pt" strokecolor="#000000">
                <v:path arrowok="t"/>
              </v:shape>
            </v:group>
            <v:group style="position:absolute;left:10318;top:9930;width:1328;height:2" coordorigin="10318,9930" coordsize="1328,2">
              <v:shape style="position:absolute;left:10318;top:9930;width:1328;height:2" coordorigin="10318,9930" coordsize="1328,0" path="m10318,9930l11645,9930e" filled="false" stroked="true" strokeweight=".48pt" strokecolor="#000000">
                <v:path arrowok="t"/>
              </v:shape>
            </v:group>
            <v:group style="position:absolute;left:430;top:10484;width:2;height:310" coordorigin="430,10484" coordsize="2,310">
              <v:shape style="position:absolute;left:430;top:10484;width:2;height:310" coordorigin="430,10484" coordsize="0,310" path="m430,10484l430,10794e" filled="false" stroked="true" strokeweight="1.199999pt" strokecolor="#d3d3d3">
                <v:path arrowok="t"/>
              </v:shape>
            </v:group>
            <v:group style="position:absolute;left:2377;top:10484;width:2;height:310" coordorigin="2377,10484" coordsize="2,310">
              <v:shape style="position:absolute;left:2377;top:10484;width:2;height:310" coordorigin="2377,10484" coordsize="0,310" path="m2377,10484l2377,10794e" filled="false" stroked="true" strokeweight="1.08pt" strokecolor="#d3d3d3">
                <v:path arrowok="t"/>
              </v:shape>
            </v:group>
            <v:group style="position:absolute;left:442;top:10484;width:1925;height:310" coordorigin="442,10484" coordsize="1925,310">
              <v:shape style="position:absolute;left:442;top:10484;width:1925;height:310" coordorigin="442,10484" coordsize="1925,310" path="m442,10794l2366,10794,2366,10484,442,10484,442,10794xe" filled="true" fillcolor="#d3d3d3" stroked="false">
                <v:path arrowok="t"/>
                <v:fill type="solid"/>
              </v:shape>
            </v:group>
            <v:group style="position:absolute;left:418;top:10479;width:1971;height:2" coordorigin="418,10479" coordsize="1971,2">
              <v:shape style="position:absolute;left:418;top:10479;width:1971;height:2" coordorigin="418,10479" coordsize="1971,0" path="m418,10479l2388,10479e" filled="false" stroked="true" strokeweight=".48pt" strokecolor="#000000">
                <v:path arrowok="t"/>
              </v:shape>
            </v:group>
            <v:group style="position:absolute;left:2398;top:10479;width:1251;height:2" coordorigin="2398,10479" coordsize="1251,2">
              <v:shape style="position:absolute;left:2398;top:10479;width:1251;height:2" coordorigin="2398,10479" coordsize="1251,0" path="m2398,10479l3648,10479e" filled="false" stroked="true" strokeweight=".48pt" strokecolor="#000000">
                <v:path arrowok="t"/>
              </v:shape>
            </v:group>
            <v:group style="position:absolute;left:3658;top:10479;width:1431;height:2" coordorigin="3658,10479" coordsize="1431,2">
              <v:shape style="position:absolute;left:3658;top:10479;width:1431;height:2" coordorigin="3658,10479" coordsize="1431,0" path="m3658,10479l5088,10479e" filled="false" stroked="true" strokeweight=".48pt" strokecolor="#000000">
                <v:path arrowok="t"/>
              </v:shape>
            </v:group>
            <v:group style="position:absolute;left:5098;top:10479;width:531;height:2" coordorigin="5098,10479" coordsize="531,2">
              <v:shape style="position:absolute;left:5098;top:10479;width:531;height:2" coordorigin="5098,10479" coordsize="531,0" path="m5098,10479l5628,10479e" filled="false" stroked="true" strokeweight=".48pt" strokecolor="#000000">
                <v:path arrowok="t"/>
              </v:shape>
            </v:group>
            <v:group style="position:absolute;left:5638;top:10479;width:677;height:2" coordorigin="5638,10479" coordsize="677,2">
              <v:shape style="position:absolute;left:5638;top:10479;width:677;height:2" coordorigin="5638,10479" coordsize="677,0" path="m5638,10479l6314,10479e" filled="false" stroked="true" strokeweight=".48pt" strokecolor="#000000">
                <v:path arrowok="t"/>
              </v:shape>
            </v:group>
            <v:group style="position:absolute;left:6324;top:10479;width:1284;height:2" coordorigin="6324,10479" coordsize="1284,2">
              <v:shape style="position:absolute;left:6324;top:10479;width:1284;height:2" coordorigin="6324,10479" coordsize="1284,0" path="m6324,10479l7608,10479e" filled="false" stroked="true" strokeweight=".48pt" strokecolor="#000000">
                <v:path arrowok="t"/>
              </v:shape>
            </v:group>
            <v:group style="position:absolute;left:7618;top:10479;width:531;height:2" coordorigin="7618,10479" coordsize="531,2">
              <v:shape style="position:absolute;left:7618;top:10479;width:531;height:2" coordorigin="7618,10479" coordsize="531,0" path="m7618,10479l8148,10479e" filled="false" stroked="true" strokeweight=".48pt" strokecolor="#000000">
                <v:path arrowok="t"/>
              </v:shape>
            </v:group>
            <v:group style="position:absolute;left:8158;top:10479;width:1251;height:2" coordorigin="8158,10479" coordsize="1251,2">
              <v:shape style="position:absolute;left:8158;top:10479;width:1251;height:2" coordorigin="8158,10479" coordsize="1251,0" path="m8158,10479l9408,10479e" filled="false" stroked="true" strokeweight=".48pt" strokecolor="#000000">
                <v:path arrowok="t"/>
              </v:shape>
            </v:group>
            <v:group style="position:absolute;left:9418;top:10479;width:351;height:2" coordorigin="9418,10479" coordsize="351,2">
              <v:shape style="position:absolute;left:9418;top:10479;width:351;height:2" coordorigin="9418,10479" coordsize="351,0" path="m9418,10479l9768,10479e" filled="false" stroked="true" strokeweight=".48pt" strokecolor="#000000">
                <v:path arrowok="t"/>
              </v:shape>
            </v:group>
            <v:group style="position:absolute;left:9778;top:10479;width:531;height:2" coordorigin="9778,10479" coordsize="531,2">
              <v:shape style="position:absolute;left:9778;top:10479;width:531;height:2" coordorigin="9778,10479" coordsize="531,0" path="m9778,10479l10308,10479e" filled="false" stroked="true" strokeweight=".48pt" strokecolor="#000000">
                <v:path arrowok="t"/>
              </v:shape>
            </v:group>
            <v:group style="position:absolute;left:10318;top:10479;width:1328;height:2" coordorigin="10318,10479" coordsize="1328,2">
              <v:shape style="position:absolute;left:10318;top:10479;width:1328;height:2" coordorigin="10318,10479" coordsize="1328,0" path="m10318,10479l11645,10479e" filled="false" stroked="true" strokeweight=".48pt" strokecolor="#000000">
                <v:path arrowok="t"/>
              </v:shape>
            </v:group>
            <v:group style="position:absolute;left:418;top:11345;width:1971;height:2" coordorigin="418,11345" coordsize="1971,2">
              <v:shape style="position:absolute;left:418;top:11345;width:1971;height:2" coordorigin="418,11345" coordsize="1971,0" path="m418,11345l2388,11345e" filled="false" stroked="true" strokeweight=".1pt" strokecolor="#d3d3d3">
                <v:path arrowok="t"/>
              </v:shape>
            </v:group>
            <v:group style="position:absolute;left:430;top:10806;width:2;height:538" coordorigin="430,10806" coordsize="2,538">
              <v:shape style="position:absolute;left:430;top:10806;width:2;height:538" coordorigin="430,10806" coordsize="0,538" path="m430,10806l430,11344e" filled="false" stroked="true" strokeweight="1.199999pt" strokecolor="#d3d3d3">
                <v:path arrowok="t"/>
              </v:shape>
            </v:group>
            <v:group style="position:absolute;left:2377;top:10806;width:2;height:538" coordorigin="2377,10806" coordsize="2,538">
              <v:shape style="position:absolute;left:2377;top:10806;width:2;height:538" coordorigin="2377,10806" coordsize="0,538" path="m2377,10806l2377,11343e" filled="false" stroked="true" strokeweight="1.08pt" strokecolor="#d3d3d3">
                <v:path arrowok="t"/>
              </v:shape>
            </v:group>
            <v:group style="position:absolute;left:442;top:10803;width:1925;height:272" coordorigin="442,10803" coordsize="1925,272">
              <v:shape style="position:absolute;left:442;top:10803;width:1925;height:272" coordorigin="442,10803" coordsize="1925,272" path="m442,11074l2366,11074,2366,10803,442,10803,442,11074xe" filled="true" fillcolor="#d3d3d3" stroked="false">
                <v:path arrowok="t"/>
                <v:fill type="solid"/>
              </v:shape>
            </v:group>
            <v:group style="position:absolute;left:442;top:11074;width:1925;height:269" coordorigin="442,11074" coordsize="1925,269">
              <v:shape style="position:absolute;left:442;top:11074;width:1925;height:269" coordorigin="442,11074" coordsize="1925,269" path="m442,11343l2366,11343,2366,11074,442,11074,442,11343xe" filled="true" fillcolor="#d3d3d3" stroked="false">
                <v:path arrowok="t"/>
                <v:fill type="solid"/>
              </v:shape>
            </v:group>
            <v:group style="position:absolute;left:418;top:10798;width:1971;height:2" coordorigin="418,10798" coordsize="1971,2">
              <v:shape style="position:absolute;left:418;top:10798;width:1971;height:2" coordorigin="418,10798" coordsize="1971,0" path="m418,10798l2388,10798e" filled="false" stroked="true" strokeweight=".48pt" strokecolor="#000000">
                <v:path arrowok="t"/>
              </v:shape>
            </v:group>
            <v:group style="position:absolute;left:2398;top:10798;width:1251;height:2" coordorigin="2398,10798" coordsize="1251,2">
              <v:shape style="position:absolute;left:2398;top:10798;width:1251;height:2" coordorigin="2398,10798" coordsize="1251,0" path="m2398,10798l3648,10798e" filled="false" stroked="true" strokeweight=".48pt" strokecolor="#000000">
                <v:path arrowok="t"/>
              </v:shape>
            </v:group>
            <v:group style="position:absolute;left:3658;top:10798;width:1431;height:2" coordorigin="3658,10798" coordsize="1431,2">
              <v:shape style="position:absolute;left:3658;top:10798;width:1431;height:2" coordorigin="3658,10798" coordsize="1431,0" path="m3658,10798l5088,10798e" filled="false" stroked="true" strokeweight=".48pt" strokecolor="#000000">
                <v:path arrowok="t"/>
              </v:shape>
            </v:group>
            <v:group style="position:absolute;left:5098;top:10798;width:531;height:2" coordorigin="5098,10798" coordsize="531,2">
              <v:shape style="position:absolute;left:5098;top:10798;width:531;height:2" coordorigin="5098,10798" coordsize="531,0" path="m5098,10798l5628,10798e" filled="false" stroked="true" strokeweight=".48pt" strokecolor="#000000">
                <v:path arrowok="t"/>
              </v:shape>
            </v:group>
            <v:group style="position:absolute;left:5638;top:10798;width:677;height:2" coordorigin="5638,10798" coordsize="677,2">
              <v:shape style="position:absolute;left:5638;top:10798;width:677;height:2" coordorigin="5638,10798" coordsize="677,0" path="m5638,10798l6314,10798e" filled="false" stroked="true" strokeweight=".48pt" strokecolor="#000000">
                <v:path arrowok="t"/>
              </v:shape>
            </v:group>
            <v:group style="position:absolute;left:6324;top:10798;width:1284;height:2" coordorigin="6324,10798" coordsize="1284,2">
              <v:shape style="position:absolute;left:6324;top:10798;width:1284;height:2" coordorigin="6324,10798" coordsize="1284,0" path="m6324,10798l7608,10798e" filled="false" stroked="true" strokeweight=".48pt" strokecolor="#000000">
                <v:path arrowok="t"/>
              </v:shape>
            </v:group>
            <v:group style="position:absolute;left:7618;top:10798;width:531;height:2" coordorigin="7618,10798" coordsize="531,2">
              <v:shape style="position:absolute;left:7618;top:10798;width:531;height:2" coordorigin="7618,10798" coordsize="531,0" path="m7618,10798l8148,10798e" filled="false" stroked="true" strokeweight=".48pt" strokecolor="#000000">
                <v:path arrowok="t"/>
              </v:shape>
            </v:group>
            <v:group style="position:absolute;left:8158;top:10798;width:1251;height:2" coordorigin="8158,10798" coordsize="1251,2">
              <v:shape style="position:absolute;left:8158;top:10798;width:1251;height:2" coordorigin="8158,10798" coordsize="1251,0" path="m8158,10798l9408,10798e" filled="false" stroked="true" strokeweight=".48pt" strokecolor="#000000">
                <v:path arrowok="t"/>
              </v:shape>
            </v:group>
            <v:group style="position:absolute;left:9418;top:10798;width:351;height:2" coordorigin="9418,10798" coordsize="351,2">
              <v:shape style="position:absolute;left:9418;top:10798;width:351;height:2" coordorigin="9418,10798" coordsize="351,0" path="m9418,10798l9768,10798e" filled="false" stroked="true" strokeweight=".48pt" strokecolor="#000000">
                <v:path arrowok="t"/>
              </v:shape>
            </v:group>
            <v:group style="position:absolute;left:9778;top:10798;width:531;height:2" coordorigin="9778,10798" coordsize="531,2">
              <v:shape style="position:absolute;left:9778;top:10798;width:531;height:2" coordorigin="9778,10798" coordsize="531,0" path="m9778,10798l10308,10798e" filled="false" stroked="true" strokeweight=".48pt" strokecolor="#000000">
                <v:path arrowok="t"/>
              </v:shape>
            </v:group>
            <v:group style="position:absolute;left:10318;top:10798;width:1328;height:2" coordorigin="10318,10798" coordsize="1328,2">
              <v:shape style="position:absolute;left:10318;top:10798;width:1328;height:2" coordorigin="10318,10798" coordsize="1328,0" path="m10318,10798l11645,10798e" filled="false" stroked="true" strokeweight=".48pt" strokecolor="#000000">
                <v:path arrowok="t"/>
              </v:shape>
            </v:group>
            <v:group style="position:absolute;left:430;top:11355;width:2;height:540" coordorigin="430,11355" coordsize="2,540">
              <v:shape style="position:absolute;left:430;top:11355;width:2;height:540" coordorigin="430,11355" coordsize="0,540" path="m430,11355l430,11895e" filled="false" stroked="true" strokeweight="1.199999pt" strokecolor="#d3d3d3">
                <v:path arrowok="t"/>
              </v:shape>
            </v:group>
            <v:group style="position:absolute;left:2377;top:11355;width:2;height:540" coordorigin="2377,11355" coordsize="2,540">
              <v:shape style="position:absolute;left:2377;top:11355;width:2;height:540" coordorigin="2377,11355" coordsize="0,540" path="m2377,11355l2377,11895e" filled="false" stroked="true" strokeweight="1.08pt" strokecolor="#d3d3d3">
                <v:path arrowok="t"/>
              </v:shape>
            </v:group>
            <v:group style="position:absolute;left:442;top:11355;width:1925;height:269" coordorigin="442,11355" coordsize="1925,269">
              <v:shape style="position:absolute;left:442;top:11355;width:1925;height:269" coordorigin="442,11355" coordsize="1925,269" path="m442,11624l2366,11624,2366,11355,442,11355,442,11624xe" filled="true" fillcolor="#d3d3d3" stroked="false">
                <v:path arrowok="t"/>
                <v:fill type="solid"/>
              </v:shape>
            </v:group>
            <v:group style="position:absolute;left:442;top:11624;width:1925;height:272" coordorigin="442,11624" coordsize="1925,272">
              <v:shape style="position:absolute;left:442;top:11624;width:1925;height:272" coordorigin="442,11624" coordsize="1925,272" path="m442,11895l2366,11895,2366,11624,442,11624,442,11895xe" filled="true" fillcolor="#d3d3d3" stroked="false">
                <v:path arrowok="t"/>
                <v:fill type="solid"/>
              </v:shape>
            </v:group>
            <v:group style="position:absolute;left:418;top:11350;width:1971;height:2" coordorigin="418,11350" coordsize="1971,2">
              <v:shape style="position:absolute;left:418;top:11350;width:1971;height:2" coordorigin="418,11350" coordsize="1971,0" path="m418,11350l2388,11350e" filled="false" stroked="true" strokeweight=".48pt" strokecolor="#000000">
                <v:path arrowok="t"/>
              </v:shape>
            </v:group>
            <v:group style="position:absolute;left:2398;top:11350;width:1251;height:2" coordorigin="2398,11350" coordsize="1251,2">
              <v:shape style="position:absolute;left:2398;top:11350;width:1251;height:2" coordorigin="2398,11350" coordsize="1251,0" path="m2398,11350l3648,11350e" filled="false" stroked="true" strokeweight=".48pt" strokecolor="#000000">
                <v:path arrowok="t"/>
              </v:shape>
            </v:group>
            <v:group style="position:absolute;left:3658;top:11350;width:1431;height:2" coordorigin="3658,11350" coordsize="1431,2">
              <v:shape style="position:absolute;left:3658;top:11350;width:1431;height:2" coordorigin="3658,11350" coordsize="1431,0" path="m3658,11350l5088,11350e" filled="false" stroked="true" strokeweight=".48pt" strokecolor="#000000">
                <v:path arrowok="t"/>
              </v:shape>
            </v:group>
            <v:group style="position:absolute;left:5098;top:11350;width:531;height:2" coordorigin="5098,11350" coordsize="531,2">
              <v:shape style="position:absolute;left:5098;top:11350;width:531;height:2" coordorigin="5098,11350" coordsize="531,0" path="m5098,11350l5628,11350e" filled="false" stroked="true" strokeweight=".48pt" strokecolor="#000000">
                <v:path arrowok="t"/>
              </v:shape>
            </v:group>
            <v:group style="position:absolute;left:5638;top:11350;width:677;height:2" coordorigin="5638,11350" coordsize="677,2">
              <v:shape style="position:absolute;left:5638;top:11350;width:677;height:2" coordorigin="5638,11350" coordsize="677,0" path="m5638,11350l6314,11350e" filled="false" stroked="true" strokeweight=".48pt" strokecolor="#000000">
                <v:path arrowok="t"/>
              </v:shape>
            </v:group>
            <v:group style="position:absolute;left:6324;top:11350;width:1284;height:2" coordorigin="6324,11350" coordsize="1284,2">
              <v:shape style="position:absolute;left:6324;top:11350;width:1284;height:2" coordorigin="6324,11350" coordsize="1284,0" path="m6324,11350l7608,11350e" filled="false" stroked="true" strokeweight=".48pt" strokecolor="#000000">
                <v:path arrowok="t"/>
              </v:shape>
            </v:group>
            <v:group style="position:absolute;left:7618;top:11350;width:531;height:2" coordorigin="7618,11350" coordsize="531,2">
              <v:shape style="position:absolute;left:7618;top:11350;width:531;height:2" coordorigin="7618,11350" coordsize="531,0" path="m7618,11350l8148,11350e" filled="false" stroked="true" strokeweight=".48pt" strokecolor="#000000">
                <v:path arrowok="t"/>
              </v:shape>
            </v:group>
            <v:group style="position:absolute;left:8158;top:11350;width:1251;height:2" coordorigin="8158,11350" coordsize="1251,2">
              <v:shape style="position:absolute;left:8158;top:11350;width:1251;height:2" coordorigin="8158,11350" coordsize="1251,0" path="m8158,11350l9408,11350e" filled="false" stroked="true" strokeweight=".48pt" strokecolor="#000000">
                <v:path arrowok="t"/>
              </v:shape>
            </v:group>
            <v:group style="position:absolute;left:9418;top:11350;width:351;height:2" coordorigin="9418,11350" coordsize="351,2">
              <v:shape style="position:absolute;left:9418;top:11350;width:351;height:2" coordorigin="9418,11350" coordsize="351,0" path="m9418,11350l9768,11350e" filled="false" stroked="true" strokeweight=".48pt" strokecolor="#000000">
                <v:path arrowok="t"/>
              </v:shape>
            </v:group>
            <v:group style="position:absolute;left:9778;top:11350;width:531;height:2" coordorigin="9778,11350" coordsize="531,2">
              <v:shape style="position:absolute;left:9778;top:11350;width:531;height:2" coordorigin="9778,11350" coordsize="531,0" path="m9778,11350l10308,11350e" filled="false" stroked="true" strokeweight=".48pt" strokecolor="#000000">
                <v:path arrowok="t"/>
              </v:shape>
            </v:group>
            <v:group style="position:absolute;left:10318;top:11350;width:1328;height:2" coordorigin="10318,11350" coordsize="1328,2">
              <v:shape style="position:absolute;left:10318;top:11350;width:1328;height:2" coordorigin="10318,11350" coordsize="1328,0" path="m10318,11350l11645,11350e" filled="false" stroked="true" strokeweight=".48pt" strokecolor="#000000">
                <v:path arrowok="t"/>
              </v:shape>
            </v:group>
            <v:group style="position:absolute;left:430;top:11905;width:2;height:540" coordorigin="430,11905" coordsize="2,540">
              <v:shape style="position:absolute;left:430;top:11905;width:2;height:540" coordorigin="430,11905" coordsize="0,540" path="m430,11905l430,12445e" filled="false" stroked="true" strokeweight="1.199999pt" strokecolor="#d3d3d3">
                <v:path arrowok="t"/>
              </v:shape>
            </v:group>
            <v:group style="position:absolute;left:2377;top:11905;width:2;height:540" coordorigin="2377,11905" coordsize="2,540">
              <v:shape style="position:absolute;left:2377;top:11905;width:2;height:540" coordorigin="2377,11905" coordsize="0,540" path="m2377,11905l2377,12445e" filled="false" stroked="true" strokeweight="1.08pt" strokecolor="#d3d3d3">
                <v:path arrowok="t"/>
              </v:shape>
            </v:group>
            <v:group style="position:absolute;left:442;top:11905;width:1925;height:269" coordorigin="442,11905" coordsize="1925,269">
              <v:shape style="position:absolute;left:442;top:11905;width:1925;height:269" coordorigin="442,11905" coordsize="1925,269" path="m442,12174l2366,12174,2366,11905,442,11905,442,12174xe" filled="true" fillcolor="#d3d3d3" stroked="false">
                <v:path arrowok="t"/>
                <v:fill type="solid"/>
              </v:shape>
            </v:group>
            <v:group style="position:absolute;left:442;top:12174;width:1925;height:272" coordorigin="442,12174" coordsize="1925,272">
              <v:shape style="position:absolute;left:442;top:12174;width:1925;height:272" coordorigin="442,12174" coordsize="1925,272" path="m442,12445l2366,12445,2366,12174,442,12174,442,12445xe" filled="true" fillcolor="#d3d3d3" stroked="false">
                <v:path arrowok="t"/>
                <v:fill type="solid"/>
              </v:shape>
            </v:group>
            <v:group style="position:absolute;left:418;top:11900;width:1971;height:2" coordorigin="418,11900" coordsize="1971,2">
              <v:shape style="position:absolute;left:418;top:11900;width:1971;height:2" coordorigin="418,11900" coordsize="1971,0" path="m418,11900l2388,11900e" filled="false" stroked="true" strokeweight=".48pt" strokecolor="#000000">
                <v:path arrowok="t"/>
              </v:shape>
            </v:group>
            <v:group style="position:absolute;left:2398;top:11900;width:1251;height:2" coordorigin="2398,11900" coordsize="1251,2">
              <v:shape style="position:absolute;left:2398;top:11900;width:1251;height:2" coordorigin="2398,11900" coordsize="1251,0" path="m2398,11900l3648,11900e" filled="false" stroked="true" strokeweight=".48pt" strokecolor="#000000">
                <v:path arrowok="t"/>
              </v:shape>
            </v:group>
            <v:group style="position:absolute;left:3658;top:11900;width:1431;height:2" coordorigin="3658,11900" coordsize="1431,2">
              <v:shape style="position:absolute;left:3658;top:11900;width:1431;height:2" coordorigin="3658,11900" coordsize="1431,0" path="m3658,11900l5088,11900e" filled="false" stroked="true" strokeweight=".48pt" strokecolor="#000000">
                <v:path arrowok="t"/>
              </v:shape>
            </v:group>
            <v:group style="position:absolute;left:5098;top:11900;width:531;height:2" coordorigin="5098,11900" coordsize="531,2">
              <v:shape style="position:absolute;left:5098;top:11900;width:531;height:2" coordorigin="5098,11900" coordsize="531,0" path="m5098,11900l5628,11900e" filled="false" stroked="true" strokeweight=".48pt" strokecolor="#000000">
                <v:path arrowok="t"/>
              </v:shape>
            </v:group>
            <v:group style="position:absolute;left:5638;top:11900;width:677;height:2" coordorigin="5638,11900" coordsize="677,2">
              <v:shape style="position:absolute;left:5638;top:11900;width:677;height:2" coordorigin="5638,11900" coordsize="677,0" path="m5638,11900l6314,11900e" filled="false" stroked="true" strokeweight=".48pt" strokecolor="#000000">
                <v:path arrowok="t"/>
              </v:shape>
            </v:group>
            <v:group style="position:absolute;left:6324;top:11900;width:1284;height:2" coordorigin="6324,11900" coordsize="1284,2">
              <v:shape style="position:absolute;left:6324;top:11900;width:1284;height:2" coordorigin="6324,11900" coordsize="1284,0" path="m6324,11900l7608,11900e" filled="false" stroked="true" strokeweight=".48pt" strokecolor="#000000">
                <v:path arrowok="t"/>
              </v:shape>
            </v:group>
            <v:group style="position:absolute;left:7618;top:11900;width:531;height:2" coordorigin="7618,11900" coordsize="531,2">
              <v:shape style="position:absolute;left:7618;top:11900;width:531;height:2" coordorigin="7618,11900" coordsize="531,0" path="m7618,11900l8148,11900e" filled="false" stroked="true" strokeweight=".48pt" strokecolor="#000000">
                <v:path arrowok="t"/>
              </v:shape>
            </v:group>
            <v:group style="position:absolute;left:8158;top:11900;width:1251;height:2" coordorigin="8158,11900" coordsize="1251,2">
              <v:shape style="position:absolute;left:8158;top:11900;width:1251;height:2" coordorigin="8158,11900" coordsize="1251,0" path="m8158,11900l9408,11900e" filled="false" stroked="true" strokeweight=".48pt" strokecolor="#000000">
                <v:path arrowok="t"/>
              </v:shape>
            </v:group>
            <v:group style="position:absolute;left:9418;top:11900;width:351;height:2" coordorigin="9418,11900" coordsize="351,2">
              <v:shape style="position:absolute;left:9418;top:11900;width:351;height:2" coordorigin="9418,11900" coordsize="351,0" path="m9418,11900l9768,11900e" filled="false" stroked="true" strokeweight=".48pt" strokecolor="#000000">
                <v:path arrowok="t"/>
              </v:shape>
            </v:group>
            <v:group style="position:absolute;left:9778;top:11900;width:531;height:2" coordorigin="9778,11900" coordsize="531,2">
              <v:shape style="position:absolute;left:9778;top:11900;width:531;height:2" coordorigin="9778,11900" coordsize="531,0" path="m9778,11900l10308,11900e" filled="false" stroked="true" strokeweight=".48pt" strokecolor="#000000">
                <v:path arrowok="t"/>
              </v:shape>
            </v:group>
            <v:group style="position:absolute;left:10318;top:11900;width:1328;height:2" coordorigin="10318,11900" coordsize="1328,2">
              <v:shape style="position:absolute;left:10318;top:11900;width:1328;height:2" coordorigin="10318,11900" coordsize="1328,0" path="m10318,11900l11645,11900e" filled="false" stroked="true" strokeweight=".48pt" strokecolor="#000000">
                <v:path arrowok="t"/>
              </v:shape>
            </v:group>
            <v:group style="position:absolute;left:430;top:12454;width:2;height:310" coordorigin="430,12454" coordsize="2,310">
              <v:shape style="position:absolute;left:430;top:12454;width:2;height:310" coordorigin="430,12454" coordsize="0,310" path="m430,12454l430,12764e" filled="false" stroked="true" strokeweight="1.199999pt" strokecolor="#d3d3d3">
                <v:path arrowok="t"/>
              </v:shape>
            </v:group>
            <v:group style="position:absolute;left:2377;top:12454;width:2;height:310" coordorigin="2377,12454" coordsize="2,310">
              <v:shape style="position:absolute;left:2377;top:12454;width:2;height:310" coordorigin="2377,12454" coordsize="0,310" path="m2377,12454l2377,12764e" filled="false" stroked="true" strokeweight="1.08pt" strokecolor="#d3d3d3">
                <v:path arrowok="t"/>
              </v:shape>
            </v:group>
            <v:group style="position:absolute;left:442;top:12454;width:1925;height:310" coordorigin="442,12454" coordsize="1925,310">
              <v:shape style="position:absolute;left:442;top:12454;width:1925;height:310" coordorigin="442,12454" coordsize="1925,310" path="m442,12764l2366,12764,2366,12454,442,12454,442,12764xe" filled="true" fillcolor="#d3d3d3" stroked="false">
                <v:path arrowok="t"/>
                <v:fill type="solid"/>
              </v:shape>
            </v:group>
            <v:group style="position:absolute;left:418;top:12450;width:1971;height:2" coordorigin="418,12450" coordsize="1971,2">
              <v:shape style="position:absolute;left:418;top:12450;width:1971;height:2" coordorigin="418,12450" coordsize="1971,0" path="m418,12450l2388,12450e" filled="false" stroked="true" strokeweight=".48pt" strokecolor="#000000">
                <v:path arrowok="t"/>
              </v:shape>
            </v:group>
            <v:group style="position:absolute;left:2398;top:12450;width:1251;height:2" coordorigin="2398,12450" coordsize="1251,2">
              <v:shape style="position:absolute;left:2398;top:12450;width:1251;height:2" coordorigin="2398,12450" coordsize="1251,0" path="m2398,12450l3648,12450e" filled="false" stroked="true" strokeweight=".48pt" strokecolor="#000000">
                <v:path arrowok="t"/>
              </v:shape>
            </v:group>
            <v:group style="position:absolute;left:3658;top:12450;width:1431;height:2" coordorigin="3658,12450" coordsize="1431,2">
              <v:shape style="position:absolute;left:3658;top:12450;width:1431;height:2" coordorigin="3658,12450" coordsize="1431,0" path="m3658,12450l5088,12450e" filled="false" stroked="true" strokeweight=".48pt" strokecolor="#000000">
                <v:path arrowok="t"/>
              </v:shape>
            </v:group>
            <v:group style="position:absolute;left:5098;top:12450;width:531;height:2" coordorigin="5098,12450" coordsize="531,2">
              <v:shape style="position:absolute;left:5098;top:12450;width:531;height:2" coordorigin="5098,12450" coordsize="531,0" path="m5098,12450l5628,12450e" filled="false" stroked="true" strokeweight=".48pt" strokecolor="#000000">
                <v:path arrowok="t"/>
              </v:shape>
            </v:group>
            <v:group style="position:absolute;left:5638;top:12450;width:677;height:2" coordorigin="5638,12450" coordsize="677,2">
              <v:shape style="position:absolute;left:5638;top:12450;width:677;height:2" coordorigin="5638,12450" coordsize="677,0" path="m5638,12450l6314,12450e" filled="false" stroked="true" strokeweight=".48pt" strokecolor="#000000">
                <v:path arrowok="t"/>
              </v:shape>
            </v:group>
            <v:group style="position:absolute;left:6324;top:12450;width:1284;height:2" coordorigin="6324,12450" coordsize="1284,2">
              <v:shape style="position:absolute;left:6324;top:12450;width:1284;height:2" coordorigin="6324,12450" coordsize="1284,0" path="m6324,12450l7608,12450e" filled="false" stroked="true" strokeweight=".48pt" strokecolor="#000000">
                <v:path arrowok="t"/>
              </v:shape>
            </v:group>
            <v:group style="position:absolute;left:7618;top:12450;width:531;height:2" coordorigin="7618,12450" coordsize="531,2">
              <v:shape style="position:absolute;left:7618;top:12450;width:531;height:2" coordorigin="7618,12450" coordsize="531,0" path="m7618,12450l8148,12450e" filled="false" stroked="true" strokeweight=".48pt" strokecolor="#000000">
                <v:path arrowok="t"/>
              </v:shape>
            </v:group>
            <v:group style="position:absolute;left:8158;top:12450;width:1251;height:2" coordorigin="8158,12450" coordsize="1251,2">
              <v:shape style="position:absolute;left:8158;top:12450;width:1251;height:2" coordorigin="8158,12450" coordsize="1251,0" path="m8158,12450l9408,12450e" filled="false" stroked="true" strokeweight=".48pt" strokecolor="#000000">
                <v:path arrowok="t"/>
              </v:shape>
            </v:group>
            <v:group style="position:absolute;left:9418;top:12450;width:351;height:2" coordorigin="9418,12450" coordsize="351,2">
              <v:shape style="position:absolute;left:9418;top:12450;width:351;height:2" coordorigin="9418,12450" coordsize="351,0" path="m9418,12450l9768,12450e" filled="false" stroked="true" strokeweight=".48pt" strokecolor="#000000">
                <v:path arrowok="t"/>
              </v:shape>
            </v:group>
            <v:group style="position:absolute;left:9778;top:12450;width:531;height:2" coordorigin="9778,12450" coordsize="531,2">
              <v:shape style="position:absolute;left:9778;top:12450;width:531;height:2" coordorigin="9778,12450" coordsize="531,0" path="m9778,12450l10308,12450e" filled="false" stroked="true" strokeweight=".48pt" strokecolor="#000000">
                <v:path arrowok="t"/>
              </v:shape>
            </v:group>
            <v:group style="position:absolute;left:10318;top:12450;width:1328;height:2" coordorigin="10318,12450" coordsize="1328,2">
              <v:shape style="position:absolute;left:10318;top:12450;width:1328;height:2" coordorigin="10318,12450" coordsize="1328,0" path="m10318,12450l11645,12450e" filled="false" stroked="true" strokeweight=".48pt" strokecolor="#000000">
                <v:path arrowok="t"/>
              </v:shape>
            </v:group>
            <v:group style="position:absolute;left:418;top:13085;width:1971;height:2" coordorigin="418,13085" coordsize="1971,2">
              <v:shape style="position:absolute;left:418;top:13085;width:1971;height:2" coordorigin="418,13085" coordsize="1971,0" path="m418,13085l2388,13085e" filled="false" stroked="true" strokeweight=".1pt" strokecolor="#d3d3d3">
                <v:path arrowok="t"/>
              </v:shape>
            </v:group>
            <v:group style="position:absolute;left:430;top:12774;width:2;height:310" coordorigin="430,12774" coordsize="2,310">
              <v:shape style="position:absolute;left:430;top:12774;width:2;height:310" coordorigin="430,12774" coordsize="0,310" path="m430,12774l430,13084e" filled="false" stroked="true" strokeweight="1.199999pt" strokecolor="#d3d3d3">
                <v:path arrowok="t"/>
              </v:shape>
            </v:group>
            <v:group style="position:absolute;left:2377;top:12774;width:2;height:310" coordorigin="2377,12774" coordsize="2,310">
              <v:shape style="position:absolute;left:2377;top:12774;width:2;height:310" coordorigin="2377,12774" coordsize="0,310" path="m2377,12774l2377,13083e" filled="false" stroked="true" strokeweight="1.08pt" strokecolor="#d3d3d3">
                <v:path arrowok="t"/>
              </v:shape>
            </v:group>
            <v:group style="position:absolute;left:442;top:12774;width:1925;height:310" coordorigin="442,12774" coordsize="1925,310">
              <v:shape style="position:absolute;left:442;top:12774;width:1925;height:310" coordorigin="442,12774" coordsize="1925,310" path="m442,13083l2366,13083,2366,12774,442,12774,442,13083xe" filled="true" fillcolor="#d3d3d3" stroked="false">
                <v:path arrowok="t"/>
                <v:fill type="solid"/>
              </v:shape>
            </v:group>
            <v:group style="position:absolute;left:418;top:12769;width:1971;height:2" coordorigin="418,12769" coordsize="1971,2">
              <v:shape style="position:absolute;left:418;top:12769;width:1971;height:2" coordorigin="418,12769" coordsize="1971,0" path="m418,12769l2388,12769e" filled="false" stroked="true" strokeweight=".48pt" strokecolor="#000000">
                <v:path arrowok="t"/>
              </v:shape>
            </v:group>
            <v:group style="position:absolute;left:2398;top:12769;width:1251;height:2" coordorigin="2398,12769" coordsize="1251,2">
              <v:shape style="position:absolute;left:2398;top:12769;width:1251;height:2" coordorigin="2398,12769" coordsize="1251,0" path="m2398,12769l3648,12769e" filled="false" stroked="true" strokeweight=".48pt" strokecolor="#000000">
                <v:path arrowok="t"/>
              </v:shape>
            </v:group>
            <v:group style="position:absolute;left:3658;top:12769;width:1431;height:2" coordorigin="3658,12769" coordsize="1431,2">
              <v:shape style="position:absolute;left:3658;top:12769;width:1431;height:2" coordorigin="3658,12769" coordsize="1431,0" path="m3658,12769l5088,12769e" filled="false" stroked="true" strokeweight=".48pt" strokecolor="#000000">
                <v:path arrowok="t"/>
              </v:shape>
            </v:group>
            <v:group style="position:absolute;left:5098;top:12769;width:531;height:2" coordorigin="5098,12769" coordsize="531,2">
              <v:shape style="position:absolute;left:5098;top:12769;width:531;height:2" coordorigin="5098,12769" coordsize="531,0" path="m5098,12769l5628,12769e" filled="false" stroked="true" strokeweight=".48pt" strokecolor="#000000">
                <v:path arrowok="t"/>
              </v:shape>
            </v:group>
            <v:group style="position:absolute;left:5638;top:12769;width:677;height:2" coordorigin="5638,12769" coordsize="677,2">
              <v:shape style="position:absolute;left:5638;top:12769;width:677;height:2" coordorigin="5638,12769" coordsize="677,0" path="m5638,12769l6314,12769e" filled="false" stroked="true" strokeweight=".48pt" strokecolor="#000000">
                <v:path arrowok="t"/>
              </v:shape>
            </v:group>
            <v:group style="position:absolute;left:6324;top:12769;width:1284;height:2" coordorigin="6324,12769" coordsize="1284,2">
              <v:shape style="position:absolute;left:6324;top:12769;width:1284;height:2" coordorigin="6324,12769" coordsize="1284,0" path="m6324,12769l7608,12769e" filled="false" stroked="true" strokeweight=".48pt" strokecolor="#000000">
                <v:path arrowok="t"/>
              </v:shape>
            </v:group>
            <v:group style="position:absolute;left:7618;top:12769;width:531;height:2" coordorigin="7618,12769" coordsize="531,2">
              <v:shape style="position:absolute;left:7618;top:12769;width:531;height:2" coordorigin="7618,12769" coordsize="531,0" path="m7618,12769l8148,12769e" filled="false" stroked="true" strokeweight=".48pt" strokecolor="#000000">
                <v:path arrowok="t"/>
              </v:shape>
            </v:group>
            <v:group style="position:absolute;left:8158;top:12769;width:1251;height:2" coordorigin="8158,12769" coordsize="1251,2">
              <v:shape style="position:absolute;left:8158;top:12769;width:1251;height:2" coordorigin="8158,12769" coordsize="1251,0" path="m8158,12769l9408,12769e" filled="false" stroked="true" strokeweight=".48pt" strokecolor="#000000">
                <v:path arrowok="t"/>
              </v:shape>
            </v:group>
            <v:group style="position:absolute;left:9418;top:12769;width:351;height:2" coordorigin="9418,12769" coordsize="351,2">
              <v:shape style="position:absolute;left:9418;top:12769;width:351;height:2" coordorigin="9418,12769" coordsize="351,0" path="m9418,12769l9768,12769e" filled="false" stroked="true" strokeweight=".48pt" strokecolor="#000000">
                <v:path arrowok="t"/>
              </v:shape>
            </v:group>
            <v:group style="position:absolute;left:9778;top:12769;width:531;height:2" coordorigin="9778,12769" coordsize="531,2">
              <v:shape style="position:absolute;left:9778;top:12769;width:531;height:2" coordorigin="9778,12769" coordsize="531,0" path="m9778,12769l10308,12769e" filled="false" stroked="true" strokeweight=".48pt" strokecolor="#000000">
                <v:path arrowok="t"/>
              </v:shape>
            </v:group>
            <v:group style="position:absolute;left:10318;top:12769;width:1328;height:2" coordorigin="10318,12769" coordsize="1328,2">
              <v:shape style="position:absolute;left:10318;top:12769;width:1328;height:2" coordorigin="10318,12769" coordsize="1328,0" path="m10318,12769l11645,12769e" filled="false" stroked="true" strokeweight=".48pt" strokecolor="#000000">
                <v:path arrowok="t"/>
              </v:shape>
            </v:group>
            <v:group style="position:absolute;left:430;top:13095;width:2;height:310" coordorigin="430,13095" coordsize="2,310">
              <v:shape style="position:absolute;left:430;top:13095;width:2;height:310" coordorigin="430,13095" coordsize="0,310" path="m430,13095l430,13405e" filled="false" stroked="true" strokeweight="1.199999pt" strokecolor="#d3d3d3">
                <v:path arrowok="t"/>
              </v:shape>
            </v:group>
            <v:group style="position:absolute;left:2377;top:13095;width:2;height:310" coordorigin="2377,13095" coordsize="2,310">
              <v:shape style="position:absolute;left:2377;top:13095;width:2;height:310" coordorigin="2377,13095" coordsize="0,310" path="m2377,13095l2377,13405e" filled="false" stroked="true" strokeweight="1.08pt" strokecolor="#d3d3d3">
                <v:path arrowok="t"/>
              </v:shape>
            </v:group>
            <v:group style="position:absolute;left:442;top:13095;width:1925;height:310" coordorigin="442,13095" coordsize="1925,310">
              <v:shape style="position:absolute;left:442;top:13095;width:1925;height:310" coordorigin="442,13095" coordsize="1925,310" path="m442,13405l2366,13405,2366,13095,442,13095,442,13405xe" filled="true" fillcolor="#d3d3d3" stroked="false">
                <v:path arrowok="t"/>
                <v:fill type="solid"/>
              </v:shape>
            </v:group>
            <v:group style="position:absolute;left:418;top:13090;width:1971;height:2" coordorigin="418,13090" coordsize="1971,2">
              <v:shape style="position:absolute;left:418;top:13090;width:1971;height:2" coordorigin="418,13090" coordsize="1971,0" path="m418,13090l2388,13090e" filled="false" stroked="true" strokeweight=".48pt" strokecolor="#000000">
                <v:path arrowok="t"/>
              </v:shape>
            </v:group>
            <v:group style="position:absolute;left:2398;top:13090;width:1251;height:2" coordorigin="2398,13090" coordsize="1251,2">
              <v:shape style="position:absolute;left:2398;top:13090;width:1251;height:2" coordorigin="2398,13090" coordsize="1251,0" path="m2398,13090l3648,13090e" filled="false" stroked="true" strokeweight=".48pt" strokecolor="#000000">
                <v:path arrowok="t"/>
              </v:shape>
            </v:group>
            <v:group style="position:absolute;left:3658;top:13090;width:1431;height:2" coordorigin="3658,13090" coordsize="1431,2">
              <v:shape style="position:absolute;left:3658;top:13090;width:1431;height:2" coordorigin="3658,13090" coordsize="1431,0" path="m3658,13090l5088,13090e" filled="false" stroked="true" strokeweight=".48pt" strokecolor="#000000">
                <v:path arrowok="t"/>
              </v:shape>
            </v:group>
            <v:group style="position:absolute;left:5098;top:13090;width:531;height:2" coordorigin="5098,13090" coordsize="531,2">
              <v:shape style="position:absolute;left:5098;top:13090;width:531;height:2" coordorigin="5098,13090" coordsize="531,0" path="m5098,13090l5628,13090e" filled="false" stroked="true" strokeweight=".48pt" strokecolor="#000000">
                <v:path arrowok="t"/>
              </v:shape>
            </v:group>
            <v:group style="position:absolute;left:5638;top:13090;width:677;height:2" coordorigin="5638,13090" coordsize="677,2">
              <v:shape style="position:absolute;left:5638;top:13090;width:677;height:2" coordorigin="5638,13090" coordsize="677,0" path="m5638,13090l6314,13090e" filled="false" stroked="true" strokeweight=".48pt" strokecolor="#000000">
                <v:path arrowok="t"/>
              </v:shape>
            </v:group>
            <v:group style="position:absolute;left:6324;top:13090;width:1284;height:2" coordorigin="6324,13090" coordsize="1284,2">
              <v:shape style="position:absolute;left:6324;top:13090;width:1284;height:2" coordorigin="6324,13090" coordsize="1284,0" path="m6324,13090l7608,13090e" filled="false" stroked="true" strokeweight=".48pt" strokecolor="#000000">
                <v:path arrowok="t"/>
              </v:shape>
            </v:group>
            <v:group style="position:absolute;left:7618;top:13090;width:531;height:2" coordorigin="7618,13090" coordsize="531,2">
              <v:shape style="position:absolute;left:7618;top:13090;width:531;height:2" coordorigin="7618,13090" coordsize="531,0" path="m7618,13090l8148,13090e" filled="false" stroked="true" strokeweight=".48pt" strokecolor="#000000">
                <v:path arrowok="t"/>
              </v:shape>
            </v:group>
            <v:group style="position:absolute;left:8158;top:13090;width:1251;height:2" coordorigin="8158,13090" coordsize="1251,2">
              <v:shape style="position:absolute;left:8158;top:13090;width:1251;height:2" coordorigin="8158,13090" coordsize="1251,0" path="m8158,13090l9408,13090e" filled="false" stroked="true" strokeweight=".48pt" strokecolor="#000000">
                <v:path arrowok="t"/>
              </v:shape>
            </v:group>
            <v:group style="position:absolute;left:9418;top:13090;width:351;height:2" coordorigin="9418,13090" coordsize="351,2">
              <v:shape style="position:absolute;left:9418;top:13090;width:351;height:2" coordorigin="9418,13090" coordsize="351,0" path="m9418,13090l9768,13090e" filled="false" stroked="true" strokeweight=".48pt" strokecolor="#000000">
                <v:path arrowok="t"/>
              </v:shape>
            </v:group>
            <v:group style="position:absolute;left:9778;top:13090;width:531;height:2" coordorigin="9778,13090" coordsize="531,2">
              <v:shape style="position:absolute;left:9778;top:13090;width:531;height:2" coordorigin="9778,13090" coordsize="531,0" path="m9778,13090l10308,13090e" filled="false" stroked="true" strokeweight=".48pt" strokecolor="#000000">
                <v:path arrowok="t"/>
              </v:shape>
            </v:group>
            <v:group style="position:absolute;left:10318;top:13090;width:1328;height:2" coordorigin="10318,13090" coordsize="1328,2">
              <v:shape style="position:absolute;left:10318;top:13090;width:1328;height:2" coordorigin="10318,13090" coordsize="1328,0" path="m10318,13090l11645,13090e" filled="false" stroked="true" strokeweight=".48pt" strokecolor="#000000">
                <v:path arrowok="t"/>
              </v:shape>
            </v:group>
            <v:group style="position:absolute;left:430;top:13414;width:2;height:310" coordorigin="430,13414" coordsize="2,310">
              <v:shape style="position:absolute;left:430;top:13414;width:2;height:310" coordorigin="430,13414" coordsize="0,310" path="m430,13414l430,13724e" filled="false" stroked="true" strokeweight="1.199999pt" strokecolor="#d3d3d3">
                <v:path arrowok="t"/>
              </v:shape>
            </v:group>
            <v:group style="position:absolute;left:2377;top:13414;width:2;height:310" coordorigin="2377,13414" coordsize="2,310">
              <v:shape style="position:absolute;left:2377;top:13414;width:2;height:310" coordorigin="2377,13414" coordsize="0,310" path="m2377,13414l2377,13724e" filled="false" stroked="true" strokeweight="1.08pt" strokecolor="#d3d3d3">
                <v:path arrowok="t"/>
              </v:shape>
            </v:group>
            <v:group style="position:absolute;left:442;top:13414;width:1925;height:310" coordorigin="442,13414" coordsize="1925,310">
              <v:shape style="position:absolute;left:442;top:13414;width:1925;height:310" coordorigin="442,13414" coordsize="1925,310" path="m442,13724l2366,13724,2366,13414,442,13414,442,13724xe" filled="true" fillcolor="#d3d3d3" stroked="false">
                <v:path arrowok="t"/>
                <v:fill type="solid"/>
              </v:shape>
            </v:group>
            <v:group style="position:absolute;left:418;top:13410;width:1971;height:2" coordorigin="418,13410" coordsize="1971,2">
              <v:shape style="position:absolute;left:418;top:13410;width:1971;height:2" coordorigin="418,13410" coordsize="1971,0" path="m418,13410l2388,13410e" filled="false" stroked="true" strokeweight=".48pt" strokecolor="#000000">
                <v:path arrowok="t"/>
              </v:shape>
            </v:group>
            <v:group style="position:absolute;left:2398;top:13410;width:1251;height:2" coordorigin="2398,13410" coordsize="1251,2">
              <v:shape style="position:absolute;left:2398;top:13410;width:1251;height:2" coordorigin="2398,13410" coordsize="1251,0" path="m2398,13410l3648,13410e" filled="false" stroked="true" strokeweight=".48pt" strokecolor="#000000">
                <v:path arrowok="t"/>
              </v:shape>
            </v:group>
            <v:group style="position:absolute;left:3658;top:13410;width:1431;height:2" coordorigin="3658,13410" coordsize="1431,2">
              <v:shape style="position:absolute;left:3658;top:13410;width:1431;height:2" coordorigin="3658,13410" coordsize="1431,0" path="m3658,13410l5088,13410e" filled="false" stroked="true" strokeweight=".48pt" strokecolor="#000000">
                <v:path arrowok="t"/>
              </v:shape>
            </v:group>
            <v:group style="position:absolute;left:5098;top:13410;width:531;height:2" coordorigin="5098,13410" coordsize="531,2">
              <v:shape style="position:absolute;left:5098;top:13410;width:531;height:2" coordorigin="5098,13410" coordsize="531,0" path="m5098,13410l5628,13410e" filled="false" stroked="true" strokeweight=".48pt" strokecolor="#000000">
                <v:path arrowok="t"/>
              </v:shape>
            </v:group>
            <v:group style="position:absolute;left:5638;top:13410;width:677;height:2" coordorigin="5638,13410" coordsize="677,2">
              <v:shape style="position:absolute;left:5638;top:13410;width:677;height:2" coordorigin="5638,13410" coordsize="677,0" path="m5638,13410l6314,13410e" filled="false" stroked="true" strokeweight=".48pt" strokecolor="#000000">
                <v:path arrowok="t"/>
              </v:shape>
            </v:group>
            <v:group style="position:absolute;left:6324;top:13410;width:1284;height:2" coordorigin="6324,13410" coordsize="1284,2">
              <v:shape style="position:absolute;left:6324;top:13410;width:1284;height:2" coordorigin="6324,13410" coordsize="1284,0" path="m6324,13410l7608,13410e" filled="false" stroked="true" strokeweight=".48pt" strokecolor="#000000">
                <v:path arrowok="t"/>
              </v:shape>
            </v:group>
            <v:group style="position:absolute;left:7618;top:13410;width:531;height:2" coordorigin="7618,13410" coordsize="531,2">
              <v:shape style="position:absolute;left:7618;top:13410;width:531;height:2" coordorigin="7618,13410" coordsize="531,0" path="m7618,13410l8148,13410e" filled="false" stroked="true" strokeweight=".48pt" strokecolor="#000000">
                <v:path arrowok="t"/>
              </v:shape>
            </v:group>
            <v:group style="position:absolute;left:8158;top:13410;width:1251;height:2" coordorigin="8158,13410" coordsize="1251,2">
              <v:shape style="position:absolute;left:8158;top:13410;width:1251;height:2" coordorigin="8158,13410" coordsize="1251,0" path="m8158,13410l9408,13410e" filled="false" stroked="true" strokeweight=".48pt" strokecolor="#000000">
                <v:path arrowok="t"/>
              </v:shape>
            </v:group>
            <v:group style="position:absolute;left:9418;top:13410;width:351;height:2" coordorigin="9418,13410" coordsize="351,2">
              <v:shape style="position:absolute;left:9418;top:13410;width:351;height:2" coordorigin="9418,13410" coordsize="351,0" path="m9418,13410l9768,13410e" filled="false" stroked="true" strokeweight=".48pt" strokecolor="#000000">
                <v:path arrowok="t"/>
              </v:shape>
            </v:group>
            <v:group style="position:absolute;left:9778;top:13410;width:531;height:2" coordorigin="9778,13410" coordsize="531,2">
              <v:shape style="position:absolute;left:9778;top:13410;width:531;height:2" coordorigin="9778,13410" coordsize="531,0" path="m9778,13410l10308,13410e" filled="false" stroked="true" strokeweight=".48pt" strokecolor="#000000">
                <v:path arrowok="t"/>
              </v:shape>
            </v:group>
            <v:group style="position:absolute;left:10318;top:13410;width:1328;height:2" coordorigin="10318,13410" coordsize="1328,2">
              <v:shape style="position:absolute;left:10318;top:13410;width:1328;height:2" coordorigin="10318,13410" coordsize="1328,0" path="m10318,13410l11645,13410e" filled="false" stroked="true" strokeweight=".48pt" strokecolor="#000000">
                <v:path arrowok="t"/>
              </v:shape>
            </v:group>
            <v:group style="position:absolute;left:418;top:14045;width:1971;height:2" coordorigin="418,14045" coordsize="1971,2">
              <v:shape style="position:absolute;left:418;top:14045;width:1971;height:2" coordorigin="418,14045" coordsize="1971,0" path="m418,14045l2388,14045e" filled="false" stroked="true" strokeweight=".1pt" strokecolor="#d3d3d3">
                <v:path arrowok="t"/>
              </v:shape>
            </v:group>
            <v:group style="position:absolute;left:430;top:13734;width:2;height:310" coordorigin="430,13734" coordsize="2,310">
              <v:shape style="position:absolute;left:430;top:13734;width:2;height:310" coordorigin="430,13734" coordsize="0,310" path="m430,13734l430,14044e" filled="false" stroked="true" strokeweight="1.199999pt" strokecolor="#d3d3d3">
                <v:path arrowok="t"/>
              </v:shape>
            </v:group>
            <v:group style="position:absolute;left:2377;top:13734;width:2;height:310" coordorigin="2377,13734" coordsize="2,310">
              <v:shape style="position:absolute;left:2377;top:13734;width:2;height:310" coordorigin="2377,13734" coordsize="0,310" path="m2377,13734l2377,14043e" filled="false" stroked="true" strokeweight="1.08pt" strokecolor="#d3d3d3">
                <v:path arrowok="t"/>
              </v:shape>
            </v:group>
            <v:group style="position:absolute;left:442;top:13734;width:1925;height:310" coordorigin="442,13734" coordsize="1925,310">
              <v:shape style="position:absolute;left:442;top:13734;width:1925;height:310" coordorigin="442,13734" coordsize="1925,310" path="m442,14043l2366,14043,2366,13734,442,13734,442,14043xe" filled="true" fillcolor="#d3d3d3" stroked="false">
                <v:path arrowok="t"/>
                <v:fill type="solid"/>
              </v:shape>
            </v:group>
            <v:group style="position:absolute;left:418;top:13729;width:1971;height:2" coordorigin="418,13729" coordsize="1971,2">
              <v:shape style="position:absolute;left:418;top:13729;width:1971;height:2" coordorigin="418,13729" coordsize="1971,0" path="m418,13729l2388,13729e" filled="false" stroked="true" strokeweight=".48pt" strokecolor="#000000">
                <v:path arrowok="t"/>
              </v:shape>
            </v:group>
            <v:group style="position:absolute;left:2398;top:13729;width:1251;height:2" coordorigin="2398,13729" coordsize="1251,2">
              <v:shape style="position:absolute;left:2398;top:13729;width:1251;height:2" coordorigin="2398,13729" coordsize="1251,0" path="m2398,13729l3648,13729e" filled="false" stroked="true" strokeweight=".48pt" strokecolor="#000000">
                <v:path arrowok="t"/>
              </v:shape>
            </v:group>
            <v:group style="position:absolute;left:3658;top:13729;width:1431;height:2" coordorigin="3658,13729" coordsize="1431,2">
              <v:shape style="position:absolute;left:3658;top:13729;width:1431;height:2" coordorigin="3658,13729" coordsize="1431,0" path="m3658,13729l5088,13729e" filled="false" stroked="true" strokeweight=".48pt" strokecolor="#000000">
                <v:path arrowok="t"/>
              </v:shape>
            </v:group>
            <v:group style="position:absolute;left:5098;top:13729;width:531;height:2" coordorigin="5098,13729" coordsize="531,2">
              <v:shape style="position:absolute;left:5098;top:13729;width:531;height:2" coordorigin="5098,13729" coordsize="531,0" path="m5098,13729l5628,13729e" filled="false" stroked="true" strokeweight=".48pt" strokecolor="#000000">
                <v:path arrowok="t"/>
              </v:shape>
            </v:group>
            <v:group style="position:absolute;left:5638;top:13729;width:677;height:2" coordorigin="5638,13729" coordsize="677,2">
              <v:shape style="position:absolute;left:5638;top:13729;width:677;height:2" coordorigin="5638,13729" coordsize="677,0" path="m5638,13729l6314,13729e" filled="false" stroked="true" strokeweight=".48pt" strokecolor="#000000">
                <v:path arrowok="t"/>
              </v:shape>
            </v:group>
            <v:group style="position:absolute;left:6324;top:13729;width:1284;height:2" coordorigin="6324,13729" coordsize="1284,2">
              <v:shape style="position:absolute;left:6324;top:13729;width:1284;height:2" coordorigin="6324,13729" coordsize="1284,0" path="m6324,13729l7608,13729e" filled="false" stroked="true" strokeweight=".48pt" strokecolor="#000000">
                <v:path arrowok="t"/>
              </v:shape>
            </v:group>
            <v:group style="position:absolute;left:7618;top:13729;width:531;height:2" coordorigin="7618,13729" coordsize="531,2">
              <v:shape style="position:absolute;left:7618;top:13729;width:531;height:2" coordorigin="7618,13729" coordsize="531,0" path="m7618,13729l8148,13729e" filled="false" stroked="true" strokeweight=".48pt" strokecolor="#000000">
                <v:path arrowok="t"/>
              </v:shape>
            </v:group>
            <v:group style="position:absolute;left:8158;top:13729;width:1251;height:2" coordorigin="8158,13729" coordsize="1251,2">
              <v:shape style="position:absolute;left:8158;top:13729;width:1251;height:2" coordorigin="8158,13729" coordsize="1251,0" path="m8158,13729l9408,13729e" filled="false" stroked="true" strokeweight=".48pt" strokecolor="#000000">
                <v:path arrowok="t"/>
              </v:shape>
            </v:group>
            <v:group style="position:absolute;left:9418;top:13729;width:351;height:2" coordorigin="9418,13729" coordsize="351,2">
              <v:shape style="position:absolute;left:9418;top:13729;width:351;height:2" coordorigin="9418,13729" coordsize="351,0" path="m9418,13729l9768,13729e" filled="false" stroked="true" strokeweight=".48pt" strokecolor="#000000">
                <v:path arrowok="t"/>
              </v:shape>
            </v:group>
            <v:group style="position:absolute;left:9778;top:13729;width:531;height:2" coordorigin="9778,13729" coordsize="531,2">
              <v:shape style="position:absolute;left:9778;top:13729;width:531;height:2" coordorigin="9778,13729" coordsize="531,0" path="m9778,13729l10308,13729e" filled="false" stroked="true" strokeweight=".48pt" strokecolor="#000000">
                <v:path arrowok="t"/>
              </v:shape>
            </v:group>
            <v:group style="position:absolute;left:10318;top:13729;width:1328;height:2" coordorigin="10318,13729" coordsize="1328,2">
              <v:shape style="position:absolute;left:10318;top:13729;width:1328;height:2" coordorigin="10318,13729" coordsize="1328,0" path="m10318,13729l11645,13729e" filled="false" stroked="true" strokeweight=".48pt" strokecolor="#000000">
                <v:path arrowok="t"/>
              </v:shape>
            </v:group>
            <v:group style="position:absolute;left:430;top:14055;width:2;height:310" coordorigin="430,14055" coordsize="2,310">
              <v:shape style="position:absolute;left:430;top:14055;width:2;height:310" coordorigin="430,14055" coordsize="0,310" path="m430,14055l430,14365e" filled="false" stroked="true" strokeweight="1.199999pt" strokecolor="#d3d3d3">
                <v:path arrowok="t"/>
              </v:shape>
            </v:group>
            <v:group style="position:absolute;left:2377;top:14055;width:2;height:310" coordorigin="2377,14055" coordsize="2,310">
              <v:shape style="position:absolute;left:2377;top:14055;width:2;height:310" coordorigin="2377,14055" coordsize="0,310" path="m2377,14055l2377,14365e" filled="false" stroked="true" strokeweight="1.08pt" strokecolor="#d3d3d3">
                <v:path arrowok="t"/>
              </v:shape>
            </v:group>
            <v:group style="position:absolute;left:442;top:14055;width:1925;height:310" coordorigin="442,14055" coordsize="1925,310">
              <v:shape style="position:absolute;left:442;top:14055;width:1925;height:310" coordorigin="442,14055" coordsize="1925,310" path="m442,14365l2366,14365,2366,14055,442,14055,442,14365xe" filled="true" fillcolor="#d3d3d3" stroked="false">
                <v:path arrowok="t"/>
                <v:fill type="solid"/>
              </v:shape>
            </v:group>
            <v:group style="position:absolute;left:418;top:14050;width:1971;height:2" coordorigin="418,14050" coordsize="1971,2">
              <v:shape style="position:absolute;left:418;top:14050;width:1971;height:2" coordorigin="418,14050" coordsize="1971,0" path="m418,14050l2388,14050e" filled="false" stroked="true" strokeweight=".48pt" strokecolor="#000000">
                <v:path arrowok="t"/>
              </v:shape>
            </v:group>
            <v:group style="position:absolute;left:2398;top:14050;width:1251;height:2" coordorigin="2398,14050" coordsize="1251,2">
              <v:shape style="position:absolute;left:2398;top:14050;width:1251;height:2" coordorigin="2398,14050" coordsize="1251,0" path="m2398,14050l3648,14050e" filled="false" stroked="true" strokeweight=".48pt" strokecolor="#000000">
                <v:path arrowok="t"/>
              </v:shape>
            </v:group>
            <v:group style="position:absolute;left:3658;top:14050;width:1431;height:2" coordorigin="3658,14050" coordsize="1431,2">
              <v:shape style="position:absolute;left:3658;top:14050;width:1431;height:2" coordorigin="3658,14050" coordsize="1431,0" path="m3658,14050l5088,14050e" filled="false" stroked="true" strokeweight=".48pt" strokecolor="#000000">
                <v:path arrowok="t"/>
              </v:shape>
            </v:group>
            <v:group style="position:absolute;left:5098;top:14050;width:531;height:2" coordorigin="5098,14050" coordsize="531,2">
              <v:shape style="position:absolute;left:5098;top:14050;width:531;height:2" coordorigin="5098,14050" coordsize="531,0" path="m5098,14050l5628,14050e" filled="false" stroked="true" strokeweight=".48pt" strokecolor="#000000">
                <v:path arrowok="t"/>
              </v:shape>
            </v:group>
            <v:group style="position:absolute;left:5638;top:14050;width:677;height:2" coordorigin="5638,14050" coordsize="677,2">
              <v:shape style="position:absolute;left:5638;top:14050;width:677;height:2" coordorigin="5638,14050" coordsize="677,0" path="m5638,14050l6314,14050e" filled="false" stroked="true" strokeweight=".48pt" strokecolor="#000000">
                <v:path arrowok="t"/>
              </v:shape>
            </v:group>
            <v:group style="position:absolute;left:6324;top:14050;width:1284;height:2" coordorigin="6324,14050" coordsize="1284,2">
              <v:shape style="position:absolute;left:6324;top:14050;width:1284;height:2" coordorigin="6324,14050" coordsize="1284,0" path="m6324,14050l7608,14050e" filled="false" stroked="true" strokeweight=".48pt" strokecolor="#000000">
                <v:path arrowok="t"/>
              </v:shape>
            </v:group>
            <v:group style="position:absolute;left:7618;top:14050;width:531;height:2" coordorigin="7618,14050" coordsize="531,2">
              <v:shape style="position:absolute;left:7618;top:14050;width:531;height:2" coordorigin="7618,14050" coordsize="531,0" path="m7618,14050l8148,14050e" filled="false" stroked="true" strokeweight=".48pt" strokecolor="#000000">
                <v:path arrowok="t"/>
              </v:shape>
            </v:group>
            <v:group style="position:absolute;left:8158;top:14050;width:1251;height:2" coordorigin="8158,14050" coordsize="1251,2">
              <v:shape style="position:absolute;left:8158;top:14050;width:1251;height:2" coordorigin="8158,14050" coordsize="1251,0" path="m8158,14050l9408,14050e" filled="false" stroked="true" strokeweight=".48pt" strokecolor="#000000">
                <v:path arrowok="t"/>
              </v:shape>
            </v:group>
            <v:group style="position:absolute;left:9418;top:14050;width:351;height:2" coordorigin="9418,14050" coordsize="351,2">
              <v:shape style="position:absolute;left:9418;top:14050;width:351;height:2" coordorigin="9418,14050" coordsize="351,0" path="m9418,14050l9768,14050e" filled="false" stroked="true" strokeweight=".48pt" strokecolor="#000000">
                <v:path arrowok="t"/>
              </v:shape>
            </v:group>
            <v:group style="position:absolute;left:9778;top:14050;width:531;height:2" coordorigin="9778,14050" coordsize="531,2">
              <v:shape style="position:absolute;left:9778;top:14050;width:531;height:2" coordorigin="9778,14050" coordsize="531,0" path="m9778,14050l10308,14050e" filled="false" stroked="true" strokeweight=".48pt" strokecolor="#000000">
                <v:path arrowok="t"/>
              </v:shape>
            </v:group>
            <v:group style="position:absolute;left:10318;top:14050;width:1328;height:2" coordorigin="10318,14050" coordsize="1328,2">
              <v:shape style="position:absolute;left:10318;top:14050;width:1328;height:2" coordorigin="10318,14050" coordsize="1328,0" path="m10318,14050l11645,14050e" filled="false" stroked="true" strokeweight=".48pt" strokecolor="#000000">
                <v:path arrowok="t"/>
              </v:shape>
            </v:group>
            <v:group style="position:absolute;left:430;top:14374;width:2;height:310" coordorigin="430,14374" coordsize="2,310">
              <v:shape style="position:absolute;left:430;top:14374;width:2;height:310" coordorigin="430,14374" coordsize="0,310" path="m430,14374l430,14684e" filled="false" stroked="true" strokeweight="1.199999pt" strokecolor="#d3d3d3">
                <v:path arrowok="t"/>
              </v:shape>
            </v:group>
            <v:group style="position:absolute;left:2377;top:14374;width:2;height:310" coordorigin="2377,14374" coordsize="2,310">
              <v:shape style="position:absolute;left:2377;top:14374;width:2;height:310" coordorigin="2377,14374" coordsize="0,310" path="m2377,14374l2377,14684e" filled="false" stroked="true" strokeweight="1.08pt" strokecolor="#d3d3d3">
                <v:path arrowok="t"/>
              </v:shape>
            </v:group>
            <v:group style="position:absolute;left:442;top:14374;width:1925;height:310" coordorigin="442,14374" coordsize="1925,310">
              <v:shape style="position:absolute;left:442;top:14374;width:1925;height:310" coordorigin="442,14374" coordsize="1925,310" path="m442,14684l2366,14684,2366,14374,442,14374,442,14684xe" filled="true" fillcolor="#d3d3d3" stroked="false">
                <v:path arrowok="t"/>
                <v:fill type="solid"/>
              </v:shape>
            </v:group>
            <v:group style="position:absolute;left:418;top:14370;width:1971;height:2" coordorigin="418,14370" coordsize="1971,2">
              <v:shape style="position:absolute;left:418;top:14370;width:1971;height:2" coordorigin="418,14370" coordsize="1971,0" path="m418,14370l2388,14370e" filled="false" stroked="true" strokeweight=".48pt" strokecolor="#000000">
                <v:path arrowok="t"/>
              </v:shape>
            </v:group>
            <v:group style="position:absolute;left:2398;top:14370;width:1251;height:2" coordorigin="2398,14370" coordsize="1251,2">
              <v:shape style="position:absolute;left:2398;top:14370;width:1251;height:2" coordorigin="2398,14370" coordsize="1251,0" path="m2398,14370l3648,14370e" filled="false" stroked="true" strokeweight=".48pt" strokecolor="#000000">
                <v:path arrowok="t"/>
              </v:shape>
            </v:group>
            <v:group style="position:absolute;left:3658;top:14370;width:1431;height:2" coordorigin="3658,14370" coordsize="1431,2">
              <v:shape style="position:absolute;left:3658;top:14370;width:1431;height:2" coordorigin="3658,14370" coordsize="1431,0" path="m3658,14370l5088,14370e" filled="false" stroked="true" strokeweight=".48pt" strokecolor="#000000">
                <v:path arrowok="t"/>
              </v:shape>
            </v:group>
            <v:group style="position:absolute;left:5098;top:14370;width:531;height:2" coordorigin="5098,14370" coordsize="531,2">
              <v:shape style="position:absolute;left:5098;top:14370;width:531;height:2" coordorigin="5098,14370" coordsize="531,0" path="m5098,14370l5628,14370e" filled="false" stroked="true" strokeweight=".48pt" strokecolor="#000000">
                <v:path arrowok="t"/>
              </v:shape>
            </v:group>
            <v:group style="position:absolute;left:5638;top:14370;width:677;height:2" coordorigin="5638,14370" coordsize="677,2">
              <v:shape style="position:absolute;left:5638;top:14370;width:677;height:2" coordorigin="5638,14370" coordsize="677,0" path="m5638,14370l6314,14370e" filled="false" stroked="true" strokeweight=".48pt" strokecolor="#000000">
                <v:path arrowok="t"/>
              </v:shape>
            </v:group>
            <v:group style="position:absolute;left:6324;top:14370;width:1284;height:2" coordorigin="6324,14370" coordsize="1284,2">
              <v:shape style="position:absolute;left:6324;top:14370;width:1284;height:2" coordorigin="6324,14370" coordsize="1284,0" path="m6324,14370l7608,14370e" filled="false" stroked="true" strokeweight=".48pt" strokecolor="#000000">
                <v:path arrowok="t"/>
              </v:shape>
            </v:group>
            <v:group style="position:absolute;left:7618;top:14370;width:531;height:2" coordorigin="7618,14370" coordsize="531,2">
              <v:shape style="position:absolute;left:7618;top:14370;width:531;height:2" coordorigin="7618,14370" coordsize="531,0" path="m7618,14370l8148,14370e" filled="false" stroked="true" strokeweight=".48pt" strokecolor="#000000">
                <v:path arrowok="t"/>
              </v:shape>
            </v:group>
            <v:group style="position:absolute;left:8158;top:14370;width:1251;height:2" coordorigin="8158,14370" coordsize="1251,2">
              <v:shape style="position:absolute;left:8158;top:14370;width:1251;height:2" coordorigin="8158,14370" coordsize="1251,0" path="m8158,14370l9408,14370e" filled="false" stroked="true" strokeweight=".48pt" strokecolor="#000000">
                <v:path arrowok="t"/>
              </v:shape>
            </v:group>
            <v:group style="position:absolute;left:9418;top:14370;width:351;height:2" coordorigin="9418,14370" coordsize="351,2">
              <v:shape style="position:absolute;left:9418;top:14370;width:351;height:2" coordorigin="9418,14370" coordsize="351,0" path="m9418,14370l9768,14370e" filled="false" stroked="true" strokeweight=".48pt" strokecolor="#000000">
                <v:path arrowok="t"/>
              </v:shape>
            </v:group>
            <v:group style="position:absolute;left:9778;top:14370;width:531;height:2" coordorigin="9778,14370" coordsize="531,2">
              <v:shape style="position:absolute;left:9778;top:14370;width:531;height:2" coordorigin="9778,14370" coordsize="531,0" path="m9778,14370l10308,14370e" filled="false" stroked="true" strokeweight=".48pt" strokecolor="#000000">
                <v:path arrowok="t"/>
              </v:shape>
            </v:group>
            <v:group style="position:absolute;left:10318;top:14370;width:1328;height:2" coordorigin="10318,14370" coordsize="1328,2">
              <v:shape style="position:absolute;left:10318;top:14370;width:1328;height:2" coordorigin="10318,14370" coordsize="1328,0" path="m10318,14370l11645,14370e" filled="false" stroked="true" strokeweight=".48pt" strokecolor="#000000">
                <v:path arrowok="t"/>
              </v:shape>
            </v:group>
            <v:group style="position:absolute;left:413;top:2144;width:2;height:12550" coordorigin="413,2144" coordsize="2,12550">
              <v:shape style="position:absolute;left:413;top:2144;width:2;height:12550" coordorigin="413,2144" coordsize="0,12550" path="m413,2144l413,14694e" filled="false" stroked="true" strokeweight=".48pt" strokecolor="#000000">
                <v:path arrowok="t"/>
              </v:shape>
            </v:group>
            <v:group style="position:absolute;left:418;top:14689;width:1971;height:2" coordorigin="418,14689" coordsize="1971,2">
              <v:shape style="position:absolute;left:418;top:14689;width:1971;height:2" coordorigin="418,14689" coordsize="1971,0" path="m418,14689l2388,14689e" filled="false" stroked="true" strokeweight=".48pt" strokecolor="#000000">
                <v:path arrowok="t"/>
              </v:shape>
            </v:group>
            <v:group style="position:absolute;left:2393;top:2144;width:2;height:12550" coordorigin="2393,2144" coordsize="2,12550">
              <v:shape style="position:absolute;left:2393;top:2144;width:2;height:12550" coordorigin="2393,2144" coordsize="0,12550" path="m2393,2144l2393,14694e" filled="false" stroked="true" strokeweight=".48pt" strokecolor="#000000">
                <v:path arrowok="t"/>
              </v:shape>
            </v:group>
            <v:group style="position:absolute;left:2398;top:14689;width:1251;height:2" coordorigin="2398,14689" coordsize="1251,2">
              <v:shape style="position:absolute;left:2398;top:14689;width:1251;height:2" coordorigin="2398,14689" coordsize="1251,0" path="m2398,14689l3648,14689e" filled="false" stroked="true" strokeweight=".48pt" strokecolor="#000000">
                <v:path arrowok="t"/>
              </v:shape>
            </v:group>
            <v:group style="position:absolute;left:3653;top:2785;width:2;height:11909" coordorigin="3653,2785" coordsize="2,11909">
              <v:shape style="position:absolute;left:3653;top:2785;width:2;height:11909" coordorigin="3653,2785" coordsize="0,11909" path="m3653,2785l3653,14694e" filled="false" stroked="true" strokeweight=".48pt" strokecolor="#000000">
                <v:path arrowok="t"/>
              </v:shape>
            </v:group>
            <v:group style="position:absolute;left:3658;top:14689;width:1431;height:2" coordorigin="3658,14689" coordsize="1431,2">
              <v:shape style="position:absolute;left:3658;top:14689;width:1431;height:2" coordorigin="3658,14689" coordsize="1431,0" path="m3658,14689l5088,14689e" filled="false" stroked="true" strokeweight=".48pt" strokecolor="#000000">
                <v:path arrowok="t"/>
              </v:shape>
            </v:group>
            <v:group style="position:absolute;left:5093;top:2785;width:2;height:11909" coordorigin="5093,2785" coordsize="2,11909">
              <v:shape style="position:absolute;left:5093;top:2785;width:2;height:11909" coordorigin="5093,2785" coordsize="0,11909" path="m5093,2785l5093,14694e" filled="false" stroked="true" strokeweight=".48pt" strokecolor="#000000">
                <v:path arrowok="t"/>
              </v:shape>
            </v:group>
            <v:group style="position:absolute;left:5098;top:14689;width:531;height:2" coordorigin="5098,14689" coordsize="531,2">
              <v:shape style="position:absolute;left:5098;top:14689;width:531;height:2" coordorigin="5098,14689" coordsize="531,0" path="m5098,14689l5628,14689e" filled="false" stroked="true" strokeweight=".48pt" strokecolor="#000000">
                <v:path arrowok="t"/>
              </v:shape>
            </v:group>
            <v:group style="position:absolute;left:5633;top:2785;width:2;height:11909" coordorigin="5633,2785" coordsize="2,11909">
              <v:shape style="position:absolute;left:5633;top:2785;width:2;height:11909" coordorigin="5633,2785" coordsize="0,11909" path="m5633,2785l5633,14694e" filled="false" stroked="true" strokeweight=".48pt" strokecolor="#000000">
                <v:path arrowok="t"/>
              </v:shape>
            </v:group>
            <v:group style="position:absolute;left:5638;top:14689;width:677;height:2" coordorigin="5638,14689" coordsize="677,2">
              <v:shape style="position:absolute;left:5638;top:14689;width:677;height:2" coordorigin="5638,14689" coordsize="677,0" path="m5638,14689l6314,14689e" filled="false" stroked="true" strokeweight=".48pt" strokecolor="#000000">
                <v:path arrowok="t"/>
              </v:shape>
            </v:group>
            <v:group style="position:absolute;left:6319;top:2785;width:2;height:11909" coordorigin="6319,2785" coordsize="2,11909">
              <v:shape style="position:absolute;left:6319;top:2785;width:2;height:11909" coordorigin="6319,2785" coordsize="0,11909" path="m6319,2785l6319,14694e" filled="false" stroked="true" strokeweight=".48pt" strokecolor="#000000">
                <v:path arrowok="t"/>
              </v:shape>
            </v:group>
            <v:group style="position:absolute;left:6324;top:14689;width:1284;height:2" coordorigin="6324,14689" coordsize="1284,2">
              <v:shape style="position:absolute;left:6324;top:14689;width:1284;height:2" coordorigin="6324,14689" coordsize="1284,0" path="m6324,14689l7608,14689e" filled="false" stroked="true" strokeweight=".48pt" strokecolor="#000000">
                <v:path arrowok="t"/>
              </v:shape>
            </v:group>
            <v:group style="position:absolute;left:7613;top:2785;width:2;height:11909" coordorigin="7613,2785" coordsize="2,11909">
              <v:shape style="position:absolute;left:7613;top:2785;width:2;height:11909" coordorigin="7613,2785" coordsize="0,11909" path="m7613,2785l7613,14694e" filled="false" stroked="true" strokeweight=".48pt" strokecolor="#000000">
                <v:path arrowok="t"/>
              </v:shape>
            </v:group>
            <v:group style="position:absolute;left:7618;top:14689;width:531;height:2" coordorigin="7618,14689" coordsize="531,2">
              <v:shape style="position:absolute;left:7618;top:14689;width:531;height:2" coordorigin="7618,14689" coordsize="531,0" path="m7618,14689l8148,14689e" filled="false" stroked="true" strokeweight=".48pt" strokecolor="#000000">
                <v:path arrowok="t"/>
              </v:shape>
            </v:group>
            <v:group style="position:absolute;left:8153;top:2785;width:2;height:11909" coordorigin="8153,2785" coordsize="2,11909">
              <v:shape style="position:absolute;left:8153;top:2785;width:2;height:11909" coordorigin="8153,2785" coordsize="0,11909" path="m8153,2785l8153,14694e" filled="false" stroked="true" strokeweight=".48pt" strokecolor="#000000">
                <v:path arrowok="t"/>
              </v:shape>
            </v:group>
            <v:group style="position:absolute;left:8158;top:14689;width:1251;height:2" coordorigin="8158,14689" coordsize="1251,2">
              <v:shape style="position:absolute;left:8158;top:14689;width:1251;height:2" coordorigin="8158,14689" coordsize="1251,0" path="m8158,14689l9408,14689e" filled="false" stroked="true" strokeweight=".48pt" strokecolor="#000000">
                <v:path arrowok="t"/>
              </v:shape>
            </v:group>
            <v:group style="position:absolute;left:9413;top:2785;width:2;height:11909" coordorigin="9413,2785" coordsize="2,11909">
              <v:shape style="position:absolute;left:9413;top:2785;width:2;height:11909" coordorigin="9413,2785" coordsize="0,11909" path="m9413,2785l9413,14694e" filled="false" stroked="true" strokeweight=".48pt" strokecolor="#000000">
                <v:path arrowok="t"/>
              </v:shape>
            </v:group>
            <v:group style="position:absolute;left:9418;top:14689;width:351;height:2" coordorigin="9418,14689" coordsize="351,2">
              <v:shape style="position:absolute;left:9418;top:14689;width:351;height:2" coordorigin="9418,14689" coordsize="351,0" path="m9418,14689l9768,14689e" filled="false" stroked="true" strokeweight=".48pt" strokecolor="#000000">
                <v:path arrowok="t"/>
              </v:shape>
            </v:group>
            <v:group style="position:absolute;left:9773;top:2466;width:2;height:12228" coordorigin="9773,2466" coordsize="2,12228">
              <v:shape style="position:absolute;left:9773;top:2466;width:2;height:12228" coordorigin="9773,2466" coordsize="0,12228" path="m9773,2466l9773,14694e" filled="false" stroked="true" strokeweight=".48pt" strokecolor="#000000">
                <v:path arrowok="t"/>
              </v:shape>
            </v:group>
            <v:group style="position:absolute;left:9778;top:14689;width:531;height:2" coordorigin="9778,14689" coordsize="531,2">
              <v:shape style="position:absolute;left:9778;top:14689;width:531;height:2" coordorigin="9778,14689" coordsize="531,0" path="m9778,14689l10308,14689e" filled="false" stroked="true" strokeweight=".48pt" strokecolor="#000000">
                <v:path arrowok="t"/>
              </v:shape>
            </v:group>
            <v:group style="position:absolute;left:10313;top:2466;width:2;height:12228" coordorigin="10313,2466" coordsize="2,12228">
              <v:shape style="position:absolute;left:10313;top:2466;width:2;height:12228" coordorigin="10313,2466" coordsize="0,12228" path="m10313,2466l10313,14694e" filled="false" stroked="true" strokeweight=".48pt" strokecolor="#000000">
                <v:path arrowok="t"/>
              </v:shape>
            </v:group>
            <v:group style="position:absolute;left:10318;top:14689;width:1328;height:2" coordorigin="10318,14689" coordsize="1328,2">
              <v:shape style="position:absolute;left:10318;top:14689;width:1328;height:2" coordorigin="10318,14689" coordsize="1328,0" path="m10318,14689l11645,14689e" filled="false" stroked="true" strokeweight=".48pt" strokecolor="#000000">
                <v:path arrowok="t"/>
              </v:shape>
            </v:group>
            <v:group style="position:absolute;left:11650;top:2144;width:2;height:12550" coordorigin="11650,2144" coordsize="2,12550">
              <v:shape style="position:absolute;left:11650;top:2144;width:2;height:12550" coordorigin="11650,2144" coordsize="0,12550" path="m11650,2144l11650,14694e" filled="false" stroked="true" strokeweight=".48pt" strokecolor="#000000">
                <v:path arrowok="t"/>
              </v:shape>
            </v:group>
            <w10:wrap type="none"/>
          </v:group>
        </w:pict>
      </w:r>
      <w:r>
        <w:rPr>
          <w:rFonts w:ascii="宋体" w:hAnsi="宋体" w:cs="宋体" w:eastAsia="宋体" w:hint="default"/>
          <w:spacing w:val="-1"/>
          <w:sz w:val="18"/>
          <w:szCs w:val="18"/>
        </w:rPr>
        <w:t>一、上年年末余额</w:t>
        <w:tab/>
      </w:r>
      <w:r>
        <w:rPr>
          <w:rFonts w:ascii="Times New Roman" w:hAnsi="Times New Roman" w:cs="Times New Roman" w:eastAsia="Times New Roman" w:hint="default"/>
          <w:spacing w:val="-1"/>
          <w:sz w:val="18"/>
          <w:szCs w:val="18"/>
        </w:rPr>
        <w:t>156,000,000.00</w:t>
        <w:tab/>
        <w:t>123,517,158.24</w:t>
        <w:tab/>
      </w:r>
      <w:r>
        <w:rPr>
          <w:rFonts w:ascii="Times New Roman" w:hAnsi="Times New Roman" w:cs="Times New Roman" w:eastAsia="Times New Roman" w:hint="default"/>
          <w:spacing w:val="-2"/>
          <w:sz w:val="18"/>
          <w:szCs w:val="18"/>
        </w:rPr>
        <w:t>35,811,569.60</w:t>
        <w:tab/>
      </w:r>
      <w:r>
        <w:rPr>
          <w:rFonts w:ascii="Times New Roman" w:hAnsi="Times New Roman" w:cs="Times New Roman" w:eastAsia="Times New Roman" w:hint="default"/>
          <w:spacing w:val="-1"/>
          <w:sz w:val="18"/>
          <w:szCs w:val="18"/>
        </w:rPr>
        <w:t>302,141,653.99</w:t>
        <w:tab/>
        <w:t>617,470,381.83</w:t>
      </w:r>
    </w:p>
    <w:p>
      <w:pPr>
        <w:spacing w:line="230" w:lineRule="exact" w:before="96"/>
        <w:ind w:left="141" w:right="9382" w:firstLine="360"/>
        <w:jc w:val="left"/>
        <w:rPr>
          <w:rFonts w:ascii="宋体" w:hAnsi="宋体" w:cs="宋体" w:eastAsia="宋体" w:hint="default"/>
          <w:sz w:val="18"/>
          <w:szCs w:val="18"/>
        </w:rPr>
      </w:pPr>
      <w:r>
        <w:rPr>
          <w:rFonts w:ascii="宋体" w:hAnsi="宋体" w:cs="宋体" w:eastAsia="宋体" w:hint="default"/>
          <w:spacing w:val="-7"/>
          <w:sz w:val="18"/>
          <w:szCs w:val="18"/>
        </w:rPr>
        <w:t>加：同一控制下企业</w:t>
      </w:r>
      <w:r>
        <w:rPr>
          <w:rFonts w:ascii="宋体" w:hAnsi="宋体" w:cs="宋体" w:eastAsia="宋体" w:hint="default"/>
          <w:w w:val="100"/>
          <w:sz w:val="18"/>
          <w:szCs w:val="18"/>
        </w:rPr>
        <w:t> </w:t>
      </w:r>
      <w:r>
        <w:rPr>
          <w:rFonts w:ascii="宋体" w:hAnsi="宋体" w:cs="宋体" w:eastAsia="宋体" w:hint="default"/>
          <w:sz w:val="18"/>
          <w:szCs w:val="18"/>
        </w:rPr>
        <w:t>合并产生的追溯调整</w:t>
      </w:r>
    </w:p>
    <w:p>
      <w:pPr>
        <w:spacing w:line="326" w:lineRule="auto" w:before="63"/>
        <w:ind w:left="861" w:right="9515" w:hanging="360"/>
        <w:jc w:val="both"/>
        <w:rPr>
          <w:rFonts w:ascii="宋体" w:hAnsi="宋体" w:cs="宋体" w:eastAsia="宋体" w:hint="default"/>
          <w:sz w:val="18"/>
          <w:szCs w:val="18"/>
        </w:rPr>
      </w:pPr>
      <w:r>
        <w:rPr>
          <w:rFonts w:ascii="宋体" w:hAnsi="宋体" w:cs="宋体" w:eastAsia="宋体" w:hint="default"/>
          <w:spacing w:val="-1"/>
          <w:sz w:val="18"/>
          <w:szCs w:val="18"/>
        </w:rPr>
        <w:t>加：会计政策变更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前期差错更正</w:t>
      </w:r>
      <w:r>
        <w:rPr>
          <w:rFonts w:ascii="宋体" w:hAnsi="宋体" w:cs="宋体" w:eastAsia="宋体" w:hint="default"/>
          <w:w w:val="100"/>
          <w:sz w:val="18"/>
          <w:szCs w:val="18"/>
        </w:rPr>
        <w:t> </w:t>
      </w:r>
      <w:r>
        <w:rPr>
          <w:rFonts w:ascii="宋体" w:hAnsi="宋体" w:cs="宋体" w:eastAsia="宋体" w:hint="default"/>
          <w:sz w:val="18"/>
          <w:szCs w:val="18"/>
        </w:rPr>
        <w:t>其他</w:t>
      </w:r>
    </w:p>
    <w:p>
      <w:pPr>
        <w:tabs>
          <w:tab w:pos="2198" w:val="left" w:leader="none"/>
          <w:tab w:pos="3638" w:val="left" w:leader="none"/>
          <w:tab w:pos="6251" w:val="left" w:leader="none"/>
          <w:tab w:pos="7958" w:val="left" w:leader="none"/>
          <w:tab w:pos="10192" w:val="left" w:leader="none"/>
        </w:tabs>
        <w:spacing w:before="19"/>
        <w:ind w:left="141"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二、本年年初余额</w:t>
        <w:tab/>
      </w:r>
      <w:r>
        <w:rPr>
          <w:rFonts w:ascii="Times New Roman" w:hAnsi="Times New Roman" w:cs="Times New Roman" w:eastAsia="Times New Roman" w:hint="default"/>
          <w:spacing w:val="-1"/>
          <w:sz w:val="18"/>
          <w:szCs w:val="18"/>
        </w:rPr>
        <w:t>156,000,000.00</w:t>
        <w:tab/>
        <w:t>123,517,158.24</w:t>
        <w:tab/>
      </w:r>
      <w:r>
        <w:rPr>
          <w:rFonts w:ascii="Times New Roman" w:hAnsi="Times New Roman" w:cs="Times New Roman" w:eastAsia="Times New Roman" w:hint="default"/>
          <w:spacing w:val="-2"/>
          <w:sz w:val="18"/>
          <w:szCs w:val="18"/>
        </w:rPr>
        <w:t>35,811,569.60</w:t>
        <w:tab/>
      </w:r>
      <w:r>
        <w:rPr>
          <w:rFonts w:ascii="Times New Roman" w:hAnsi="Times New Roman" w:cs="Times New Roman" w:eastAsia="Times New Roman" w:hint="default"/>
          <w:spacing w:val="-1"/>
          <w:sz w:val="18"/>
          <w:szCs w:val="18"/>
        </w:rPr>
        <w:t>302,141,653.99</w:t>
        <w:tab/>
        <w:t>617,470,381.83</w:t>
      </w:r>
    </w:p>
    <w:p>
      <w:pPr>
        <w:spacing w:line="240" w:lineRule="auto" w:before="2"/>
        <w:rPr>
          <w:rFonts w:ascii="Times New Roman" w:hAnsi="Times New Roman" w:cs="Times New Roman" w:eastAsia="Times New Roman"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957"/>
        <w:gridCol w:w="1333"/>
        <w:gridCol w:w="2092"/>
        <w:gridCol w:w="2114"/>
        <w:gridCol w:w="1951"/>
        <w:gridCol w:w="1778"/>
      </w:tblGrid>
      <w:tr>
        <w:trPr>
          <w:trHeight w:val="320"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36"/>
              <w:ind w:left="16"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166" w:lineRule="exact"/>
              <w:ind w:left="118" w:right="0"/>
              <w:jc w:val="center"/>
              <w:rPr>
                <w:rFonts w:ascii="Times New Roman" w:hAnsi="Times New Roman" w:cs="Times New Roman" w:eastAsia="Times New Roman" w:hint="default"/>
                <w:sz w:val="18"/>
                <w:szCs w:val="18"/>
              </w:rPr>
            </w:pPr>
            <w:r>
              <w:rPr>
                <w:rFonts w:ascii="Times New Roman"/>
                <w:sz w:val="18"/>
              </w:rPr>
              <w:t>52,000,000.00</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166" w:lineRule="exact"/>
              <w:ind w:left="89" w:right="0"/>
              <w:jc w:val="left"/>
              <w:rPr>
                <w:rFonts w:ascii="Times New Roman" w:hAnsi="Times New Roman" w:cs="Times New Roman" w:eastAsia="Times New Roman" w:hint="default"/>
                <w:sz w:val="18"/>
                <w:szCs w:val="18"/>
              </w:rPr>
            </w:pPr>
            <w:r>
              <w:rPr>
                <w:rFonts w:ascii="Times New Roman"/>
                <w:sz w:val="18"/>
              </w:rPr>
              <w:t>2,654,609,658.00</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166" w:lineRule="exact"/>
              <w:ind w:right="335"/>
              <w:jc w:val="right"/>
              <w:rPr>
                <w:rFonts w:ascii="Times New Roman" w:hAnsi="Times New Roman" w:cs="Times New Roman" w:eastAsia="Times New Roman" w:hint="default"/>
                <w:sz w:val="18"/>
                <w:szCs w:val="18"/>
              </w:rPr>
            </w:pPr>
            <w:r>
              <w:rPr>
                <w:rFonts w:ascii="Times New Roman"/>
                <w:spacing w:val="-1"/>
                <w:sz w:val="18"/>
              </w:rPr>
              <w:t>38,290,169.32</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166" w:lineRule="exact"/>
              <w:ind w:left="344" w:right="0"/>
              <w:jc w:val="left"/>
              <w:rPr>
                <w:rFonts w:ascii="Times New Roman" w:hAnsi="Times New Roman" w:cs="Times New Roman" w:eastAsia="Times New Roman" w:hint="default"/>
                <w:sz w:val="18"/>
                <w:szCs w:val="18"/>
              </w:rPr>
            </w:pPr>
            <w:r>
              <w:rPr>
                <w:rFonts w:ascii="Times New Roman"/>
                <w:sz w:val="18"/>
              </w:rPr>
              <w:t>344,611,523.88</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166" w:lineRule="exact"/>
              <w:ind w:right="27"/>
              <w:jc w:val="right"/>
              <w:rPr>
                <w:rFonts w:ascii="Times New Roman" w:hAnsi="Times New Roman" w:cs="Times New Roman" w:eastAsia="Times New Roman" w:hint="default"/>
                <w:sz w:val="18"/>
                <w:szCs w:val="18"/>
              </w:rPr>
            </w:pPr>
            <w:r>
              <w:rPr>
                <w:rFonts w:ascii="Times New Roman"/>
                <w:spacing w:val="-2"/>
                <w:sz w:val="18"/>
              </w:rPr>
              <w:t>3,089,511,351.20</w:t>
            </w:r>
          </w:p>
        </w:tc>
      </w:tr>
      <w:tr>
        <w:trPr>
          <w:trHeight w:val="248"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194" w:lineRule="exact"/>
              <w:ind w:left="16"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490" w:type="dxa"/>
            <w:gridSpan w:val="4"/>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4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0"/>
              <w:ind w:right="484"/>
              <w:jc w:val="right"/>
              <w:rPr>
                <w:rFonts w:ascii="Times New Roman" w:hAnsi="Times New Roman" w:cs="Times New Roman" w:eastAsia="Times New Roman" w:hint="default"/>
                <w:sz w:val="18"/>
                <w:szCs w:val="18"/>
              </w:rPr>
            </w:pPr>
            <w:r>
              <w:rPr>
                <w:rFonts w:ascii="Times New Roman"/>
                <w:spacing w:val="-1"/>
                <w:sz w:val="18"/>
              </w:rPr>
              <w:t>382,901,693.20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322"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490" w:type="dxa"/>
            <w:gridSpan w:val="4"/>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pacing w:val="-6"/>
                <w:sz w:val="18"/>
                <w:szCs w:val="18"/>
              </w:rPr>
              <w:t>上述（一）和（二）小计</w:t>
            </w:r>
          </w:p>
        </w:tc>
        <w:tc>
          <w:tcPr>
            <w:tcW w:w="74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0"/>
              <w:ind w:right="484"/>
              <w:jc w:val="right"/>
              <w:rPr>
                <w:rFonts w:ascii="Times New Roman" w:hAnsi="Times New Roman" w:cs="Times New Roman" w:eastAsia="Times New Roman" w:hint="default"/>
                <w:sz w:val="18"/>
                <w:szCs w:val="18"/>
              </w:rPr>
            </w:pPr>
            <w:r>
              <w:rPr>
                <w:rFonts w:ascii="Times New Roman"/>
                <w:spacing w:val="-1"/>
                <w:sz w:val="18"/>
              </w:rPr>
              <w:t>382,901,693.20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277"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pacing w:val="-6"/>
                <w:sz w:val="18"/>
                <w:szCs w:val="18"/>
              </w:rPr>
              <w:t>（三）所有者投入和减少</w:t>
            </w:r>
          </w:p>
        </w:tc>
        <w:tc>
          <w:tcPr>
            <w:tcW w:w="7490" w:type="dxa"/>
            <w:gridSpan w:val="4"/>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72"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33" w:type="dxa"/>
            <w:tcBorders>
              <w:top w:val="nil" w:sz="6" w:space="0" w:color="auto"/>
              <w:left w:val="nil" w:sz="6" w:space="0" w:color="auto"/>
              <w:bottom w:val="nil" w:sz="6" w:space="0" w:color="auto"/>
              <w:right w:val="nil" w:sz="6" w:space="0" w:color="auto"/>
            </w:tcBorders>
          </w:tcPr>
          <w:p>
            <w:pPr>
              <w:pStyle w:val="TableParagraph"/>
              <w:spacing w:line="105" w:lineRule="exact"/>
              <w:ind w:left="118" w:right="0"/>
              <w:jc w:val="center"/>
              <w:rPr>
                <w:rFonts w:ascii="Times New Roman" w:hAnsi="Times New Roman" w:cs="Times New Roman" w:eastAsia="Times New Roman" w:hint="default"/>
                <w:sz w:val="18"/>
                <w:szCs w:val="18"/>
              </w:rPr>
            </w:pPr>
            <w:r>
              <w:rPr>
                <w:rFonts w:ascii="Times New Roman"/>
                <w:sz w:val="18"/>
              </w:rPr>
              <w:t>52,000,000.00</w:t>
            </w:r>
          </w:p>
        </w:tc>
        <w:tc>
          <w:tcPr>
            <w:tcW w:w="2092" w:type="dxa"/>
            <w:tcBorders>
              <w:top w:val="nil" w:sz="6" w:space="0" w:color="auto"/>
              <w:left w:val="nil" w:sz="6" w:space="0" w:color="auto"/>
              <w:bottom w:val="nil" w:sz="6" w:space="0" w:color="auto"/>
              <w:right w:val="nil" w:sz="6" w:space="0" w:color="auto"/>
            </w:tcBorders>
          </w:tcPr>
          <w:p>
            <w:pPr>
              <w:pStyle w:val="TableParagraph"/>
              <w:spacing w:line="105" w:lineRule="exact"/>
              <w:ind w:left="89" w:right="0"/>
              <w:jc w:val="left"/>
              <w:rPr>
                <w:rFonts w:ascii="Times New Roman" w:hAnsi="Times New Roman" w:cs="Times New Roman" w:eastAsia="Times New Roman" w:hint="default"/>
                <w:sz w:val="18"/>
                <w:szCs w:val="18"/>
              </w:rPr>
            </w:pPr>
            <w:r>
              <w:rPr>
                <w:rFonts w:ascii="Times New Roman"/>
                <w:sz w:val="18"/>
              </w:rPr>
              <w:t>2,654,609,658.00</w:t>
            </w: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105" w:lineRule="exact"/>
              <w:ind w:right="27"/>
              <w:jc w:val="right"/>
              <w:rPr>
                <w:rFonts w:ascii="Times New Roman" w:hAnsi="Times New Roman" w:cs="Times New Roman" w:eastAsia="Times New Roman" w:hint="default"/>
                <w:sz w:val="18"/>
                <w:szCs w:val="18"/>
              </w:rPr>
            </w:pPr>
            <w:r>
              <w:rPr>
                <w:rFonts w:ascii="Times New Roman"/>
                <w:spacing w:val="-1"/>
                <w:sz w:val="18"/>
              </w:rPr>
              <w:t>2,706,609,658.00</w:t>
            </w: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8" w:right="0"/>
              <w:jc w:val="center"/>
              <w:rPr>
                <w:rFonts w:ascii="Times New Roman" w:hAnsi="Times New Roman" w:cs="Times New Roman" w:eastAsia="Times New Roman" w:hint="default"/>
                <w:sz w:val="18"/>
                <w:szCs w:val="18"/>
              </w:rPr>
            </w:pPr>
            <w:r>
              <w:rPr>
                <w:rFonts w:ascii="Times New Roman"/>
                <w:sz w:val="18"/>
              </w:rPr>
              <w:t>52,000,000.00</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9" w:right="0"/>
              <w:jc w:val="left"/>
              <w:rPr>
                <w:rFonts w:ascii="Times New Roman" w:hAnsi="Times New Roman" w:cs="Times New Roman" w:eastAsia="Times New Roman" w:hint="default"/>
                <w:sz w:val="18"/>
                <w:szCs w:val="18"/>
              </w:rPr>
            </w:pPr>
            <w:r>
              <w:rPr>
                <w:rFonts w:ascii="Times New Roman"/>
                <w:sz w:val="18"/>
              </w:rPr>
              <w:t>2,654,609,658.00</w:t>
            </w: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18"/>
                <w:szCs w:val="18"/>
              </w:rPr>
            </w:pPr>
            <w:r>
              <w:rPr>
                <w:rFonts w:ascii="Times New Roman"/>
                <w:spacing w:val="-1"/>
                <w:sz w:val="18"/>
              </w:rPr>
              <w:t>2,706,609,658.00</w:t>
            </w:r>
          </w:p>
        </w:tc>
      </w:tr>
      <w:tr>
        <w:trPr>
          <w:trHeight w:val="552"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30" w:lineRule="exact" w:before="44"/>
              <w:ind w:left="16" w:right="4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权益的金额</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5"/>
              <w:jc w:val="right"/>
              <w:rPr>
                <w:rFonts w:ascii="Times New Roman" w:hAnsi="Times New Roman" w:cs="Times New Roman" w:eastAsia="Times New Roman" w:hint="default"/>
                <w:sz w:val="18"/>
                <w:szCs w:val="18"/>
              </w:rPr>
            </w:pPr>
            <w:r>
              <w:rPr>
                <w:rFonts w:ascii="Times New Roman"/>
                <w:spacing w:val="-1"/>
                <w:sz w:val="18"/>
              </w:rPr>
              <w:t>38,290,169.32</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8" w:right="0"/>
              <w:jc w:val="left"/>
              <w:rPr>
                <w:rFonts w:ascii="Times New Roman" w:hAnsi="Times New Roman" w:cs="Times New Roman" w:eastAsia="Times New Roman" w:hint="default"/>
                <w:sz w:val="18"/>
                <w:szCs w:val="18"/>
              </w:rPr>
            </w:pPr>
            <w:r>
              <w:rPr>
                <w:rFonts w:ascii="Times New Roman"/>
                <w:sz w:val="18"/>
              </w:rPr>
              <w:t>-38,290,169.32</w:t>
            </w:r>
          </w:p>
        </w:tc>
        <w:tc>
          <w:tcPr>
            <w:tcW w:w="1778" w:type="dxa"/>
            <w:tcBorders>
              <w:top w:val="nil" w:sz="6" w:space="0" w:color="auto"/>
              <w:left w:val="nil" w:sz="6" w:space="0" w:color="auto"/>
              <w:bottom w:val="nil" w:sz="6" w:space="0" w:color="auto"/>
              <w:right w:val="nil" w:sz="6" w:space="0" w:color="auto"/>
            </w:tcBorders>
          </w:tcPr>
          <w:p>
            <w:pPr/>
          </w:p>
        </w:tc>
      </w:tr>
      <w:tr>
        <w:trPr>
          <w:trHeight w:val="322"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5"/>
              <w:jc w:val="right"/>
              <w:rPr>
                <w:rFonts w:ascii="Times New Roman" w:hAnsi="Times New Roman" w:cs="Times New Roman" w:eastAsia="Times New Roman" w:hint="default"/>
                <w:sz w:val="18"/>
                <w:szCs w:val="18"/>
              </w:rPr>
            </w:pPr>
            <w:r>
              <w:rPr>
                <w:rFonts w:ascii="Times New Roman"/>
                <w:spacing w:val="-1"/>
                <w:sz w:val="18"/>
              </w:rPr>
              <w:t>38,290,169.32</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8" w:right="0"/>
              <w:jc w:val="left"/>
              <w:rPr>
                <w:rFonts w:ascii="Times New Roman" w:hAnsi="Times New Roman" w:cs="Times New Roman" w:eastAsia="Times New Roman" w:hint="default"/>
                <w:sz w:val="18"/>
                <w:szCs w:val="18"/>
              </w:rPr>
            </w:pPr>
            <w:r>
              <w:rPr>
                <w:rFonts w:ascii="Times New Roman"/>
                <w:sz w:val="18"/>
              </w:rPr>
              <w:t>-38,290,169.32</w:t>
            </w: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550"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28" w:lineRule="exact" w:before="45"/>
              <w:ind w:left="16" w:right="4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．对所有者（或股东）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的分配</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7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pacing w:val="-6"/>
                <w:sz w:val="18"/>
                <w:szCs w:val="18"/>
              </w:rPr>
              <w:t>（五）所有者权益内部结</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73"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w w:val="100"/>
                <w:sz w:val="18"/>
                <w:szCs w:val="18"/>
              </w:rPr>
              <w:t>转</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550"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28" w:lineRule="exact" w:before="45"/>
              <w:ind w:left="16" w:right="10"/>
              <w:jc w:val="left"/>
              <w:rPr>
                <w:rFonts w:ascii="宋体" w:hAnsi="宋体" w:cs="宋体" w:eastAsia="宋体" w:hint="default"/>
                <w:sz w:val="18"/>
                <w:szCs w:val="18"/>
              </w:rPr>
            </w:pPr>
            <w:r>
              <w:rPr>
                <w:rFonts w:ascii="Times New Roman" w:hAnsi="Times New Roman" w:cs="Times New Roman" w:eastAsia="Times New Roman" w:hint="default"/>
                <w:spacing w:val="-13"/>
                <w:w w:val="100"/>
                <w:sz w:val="18"/>
                <w:szCs w:val="18"/>
              </w:rPr>
              <w:t>1</w:t>
            </w:r>
            <w:r>
              <w:rPr>
                <w:rFonts w:ascii="宋体" w:hAnsi="宋体" w:cs="宋体" w:eastAsia="宋体" w:hint="default"/>
                <w:spacing w:val="-13"/>
                <w:w w:val="100"/>
                <w:sz w:val="18"/>
                <w:szCs w:val="18"/>
              </w:rPr>
              <w:t>．资本公积转增资本（或</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股本）</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550"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28" w:lineRule="exact" w:before="45"/>
              <w:ind w:left="16" w:right="10"/>
              <w:jc w:val="left"/>
              <w:rPr>
                <w:rFonts w:ascii="宋体" w:hAnsi="宋体" w:cs="宋体" w:eastAsia="宋体" w:hint="default"/>
                <w:sz w:val="18"/>
                <w:szCs w:val="18"/>
              </w:rPr>
            </w:pPr>
            <w:r>
              <w:rPr>
                <w:rFonts w:ascii="Times New Roman" w:hAnsi="Times New Roman" w:cs="Times New Roman" w:eastAsia="Times New Roman" w:hint="default"/>
                <w:spacing w:val="-13"/>
                <w:w w:val="100"/>
                <w:sz w:val="18"/>
                <w:szCs w:val="18"/>
              </w:rPr>
              <w:t>2</w:t>
            </w:r>
            <w:r>
              <w:rPr>
                <w:rFonts w:ascii="宋体" w:hAnsi="宋体" w:cs="宋体" w:eastAsia="宋体" w:hint="default"/>
                <w:spacing w:val="-13"/>
                <w:w w:val="100"/>
                <w:sz w:val="18"/>
                <w:szCs w:val="18"/>
              </w:rPr>
              <w:t>．盈余公积转增资本（或</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股本）</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22"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22"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33"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19" w:hRule="exact"/>
        </w:trPr>
        <w:tc>
          <w:tcPr>
            <w:tcW w:w="1957"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7" w:right="0"/>
              <w:jc w:val="center"/>
              <w:rPr>
                <w:rFonts w:ascii="Times New Roman" w:hAnsi="Times New Roman" w:cs="Times New Roman" w:eastAsia="Times New Roman" w:hint="default"/>
                <w:sz w:val="18"/>
                <w:szCs w:val="18"/>
              </w:rPr>
            </w:pPr>
            <w:r>
              <w:rPr>
                <w:rFonts w:ascii="Times New Roman"/>
                <w:sz w:val="18"/>
              </w:rPr>
              <w:t>208,000,000.00</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9" w:right="0"/>
              <w:jc w:val="left"/>
              <w:rPr>
                <w:rFonts w:ascii="Times New Roman" w:hAnsi="Times New Roman" w:cs="Times New Roman" w:eastAsia="Times New Roman" w:hint="default"/>
                <w:sz w:val="18"/>
                <w:szCs w:val="18"/>
              </w:rPr>
            </w:pPr>
            <w:r>
              <w:rPr>
                <w:rFonts w:ascii="Times New Roman"/>
                <w:sz w:val="18"/>
              </w:rPr>
              <w:t>2,778,126,816.24</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5"/>
              <w:jc w:val="right"/>
              <w:rPr>
                <w:rFonts w:ascii="Times New Roman" w:hAnsi="Times New Roman" w:cs="Times New Roman" w:eastAsia="Times New Roman" w:hint="default"/>
                <w:sz w:val="18"/>
                <w:szCs w:val="18"/>
              </w:rPr>
            </w:pPr>
            <w:r>
              <w:rPr>
                <w:rFonts w:ascii="Times New Roman"/>
                <w:spacing w:val="-1"/>
                <w:sz w:val="18"/>
              </w:rPr>
              <w:t>74,101,738.92</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37" w:right="0"/>
              <w:jc w:val="left"/>
              <w:rPr>
                <w:rFonts w:ascii="Times New Roman" w:hAnsi="Times New Roman" w:cs="Times New Roman" w:eastAsia="Times New Roman" w:hint="default"/>
                <w:sz w:val="18"/>
                <w:szCs w:val="18"/>
              </w:rPr>
            </w:pPr>
            <w:r>
              <w:rPr>
                <w:rFonts w:ascii="Times New Roman"/>
                <w:sz w:val="18"/>
              </w:rPr>
              <w:t>646,753,177.87</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18"/>
                <w:szCs w:val="18"/>
              </w:rPr>
            </w:pPr>
            <w:r>
              <w:rPr>
                <w:rFonts w:ascii="Times New Roman"/>
                <w:spacing w:val="-1"/>
                <w:sz w:val="18"/>
              </w:rPr>
              <w:t>3,706,981,733.03</w:t>
            </w:r>
          </w:p>
        </w:tc>
      </w:tr>
    </w:tbl>
    <w:p>
      <w:pPr>
        <w:spacing w:line="240" w:lineRule="auto" w:before="4"/>
        <w:rPr>
          <w:rFonts w:ascii="Times New Roman" w:hAnsi="Times New Roman" w:cs="Times New Roman" w:eastAsia="Times New Roman" w:hint="default"/>
          <w:sz w:val="23"/>
          <w:szCs w:val="23"/>
        </w:rPr>
      </w:pPr>
    </w:p>
    <w:p>
      <w:pPr>
        <w:tabs>
          <w:tab w:pos="4226" w:val="left" w:leader="none"/>
          <w:tab w:pos="8277" w:val="left" w:leader="none"/>
        </w:tabs>
        <w:spacing w:before="44"/>
        <w:ind w:left="832"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法定代表人：吴培服</w:t>
        <w:tab/>
      </w:r>
      <w:r>
        <w:rPr>
          <w:rFonts w:ascii="宋体" w:hAnsi="宋体" w:cs="宋体" w:eastAsia="宋体" w:hint="default"/>
          <w:spacing w:val="-2"/>
          <w:sz w:val="18"/>
          <w:szCs w:val="18"/>
        </w:rPr>
        <w:t>主管会计工作负责人：周海燕</w:t>
        <w:tab/>
        <w:t>会计机构负责人：邹雪梅</w:t>
      </w:r>
    </w:p>
    <w:p>
      <w:pPr>
        <w:spacing w:after="0"/>
        <w:jc w:val="left"/>
        <w:rPr>
          <w:rFonts w:ascii="宋体" w:hAnsi="宋体" w:cs="宋体" w:eastAsia="宋体" w:hint="default"/>
          <w:sz w:val="18"/>
          <w:szCs w:val="18"/>
        </w:rPr>
        <w:sectPr>
          <w:type w:val="continuous"/>
          <w:pgSz w:w="11900" w:h="16840"/>
          <w:pgMar w:top="1060" w:bottom="1180" w:left="300" w:right="140"/>
        </w:sectPr>
      </w:pPr>
    </w:p>
    <w:p>
      <w:pPr>
        <w:spacing w:line="240" w:lineRule="auto" w:before="8"/>
        <w:rPr>
          <w:rFonts w:ascii="宋体" w:hAnsi="宋体" w:cs="宋体" w:eastAsia="宋体" w:hint="default"/>
          <w:sz w:val="23"/>
          <w:szCs w:val="23"/>
        </w:rPr>
      </w:pPr>
    </w:p>
    <w:p>
      <w:pPr>
        <w:pStyle w:val="Heading2"/>
        <w:spacing w:line="240" w:lineRule="auto" w:before="26"/>
        <w:ind w:right="4490"/>
        <w:jc w:val="left"/>
      </w:pPr>
      <w:r>
        <w:rPr/>
        <w:t>三、公司基本情况</w:t>
      </w:r>
    </w:p>
    <w:p>
      <w:pPr>
        <w:spacing w:line="240" w:lineRule="auto" w:before="12"/>
        <w:rPr>
          <w:rFonts w:ascii="宋体" w:hAnsi="宋体" w:cs="宋体" w:eastAsia="宋体" w:hint="default"/>
          <w:sz w:val="24"/>
          <w:szCs w:val="24"/>
        </w:rPr>
      </w:pPr>
    </w:p>
    <w:p>
      <w:pPr>
        <w:pStyle w:val="BodyText"/>
        <w:spacing w:line="398" w:lineRule="auto"/>
        <w:ind w:left="908" w:right="2687" w:hanging="651"/>
        <w:jc w:val="left"/>
      </w:pPr>
      <w:r>
        <w:rPr/>
        <w:t>（一）公司注册地址、组织形式、总部地址及注册资本</w:t>
      </w:r>
      <w:r>
        <w:rPr>
          <w:w w:val="100"/>
        </w:rPr>
        <w:t> </w:t>
      </w:r>
      <w:r>
        <w:rPr>
          <w:spacing w:val="-2"/>
        </w:rPr>
        <w:t>注册地址：江苏省宿迁市宿豫区彩塑工业园区井头街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组织形式：股份有限公司（上市公司）</w:t>
      </w:r>
      <w:r>
        <w:rPr>
          <w:w w:val="100"/>
        </w:rPr>
        <w:t> </w:t>
      </w:r>
      <w:r>
        <w:rPr>
          <w:spacing w:val="-2"/>
        </w:rPr>
        <w:t>总部地址：江苏省宿迁市宿豫区彩塑工业园区井头街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注册资本：</w:t>
      </w:r>
      <w:r>
        <w:rPr>
          <w:rFonts w:ascii="Times New Roman" w:hAnsi="Times New Roman" w:cs="Times New Roman" w:eastAsia="Times New Roman" w:hint="default"/>
        </w:rPr>
        <w:t>41,600</w:t>
      </w:r>
      <w:r>
        <w:rPr/>
        <w:t>万元</w:t>
      </w:r>
    </w:p>
    <w:p>
      <w:pPr>
        <w:pStyle w:val="BodyText"/>
        <w:spacing w:line="240" w:lineRule="auto" w:before="24"/>
        <w:ind w:right="4490"/>
        <w:jc w:val="left"/>
      </w:pPr>
      <w:r>
        <w:rPr/>
        <w:t>（二）公司设立情况</w:t>
      </w:r>
    </w:p>
    <w:p>
      <w:pPr>
        <w:spacing w:line="240" w:lineRule="auto" w:before="10"/>
        <w:rPr>
          <w:rFonts w:ascii="宋体" w:hAnsi="宋体" w:cs="宋体" w:eastAsia="宋体" w:hint="default"/>
          <w:sz w:val="14"/>
          <w:szCs w:val="14"/>
        </w:rPr>
      </w:pPr>
    </w:p>
    <w:p>
      <w:pPr>
        <w:pStyle w:val="BodyText"/>
        <w:spacing w:line="256" w:lineRule="auto"/>
        <w:ind w:right="96" w:firstLine="504"/>
        <w:jc w:val="left"/>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月，根据</w:t>
      </w:r>
      <w:r>
        <w:rPr>
          <w:rFonts w:ascii="Times New Roman" w:hAnsi="Times New Roman" w:cs="Times New Roman" w:eastAsia="Times New Roman" w:hint="default"/>
          <w:spacing w:val="-2"/>
        </w:rPr>
        <w:t>2010</w:t>
      </w:r>
      <w:r>
        <w:rPr>
          <w:spacing w:val="-2"/>
        </w:rPr>
        <w:t>年度第三次临时股东大会决议和中国证券监督管理委员会《关于核准江苏双星</w:t>
      </w:r>
      <w:r>
        <w:rPr>
          <w:w w:val="100"/>
        </w:rPr>
        <w:t> </w:t>
      </w:r>
      <w:r>
        <w:rPr/>
        <w:t>彩塑新材料股份有限公司首次公开发行股票的批复》（证监许可［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713</w:t>
      </w:r>
      <w:r>
        <w:rPr/>
        <w:t>号</w:t>
      </w:r>
      <w:r>
        <w:rPr>
          <w:rFonts w:ascii="Times New Roman" w:hAnsi="Times New Roman" w:cs="Times New Roman" w:eastAsia="Times New Roman" w:hint="default"/>
        </w:rPr>
        <w:t>)</w:t>
      </w:r>
      <w:r>
        <w:rPr/>
        <w:t>的核准，并经深圳证券交</w:t>
      </w:r>
      <w:r>
        <w:rPr>
          <w:w w:val="100"/>
        </w:rPr>
        <w:t> </w:t>
      </w:r>
      <w:r>
        <w:rPr>
          <w:spacing w:val="-4"/>
        </w:rPr>
        <w:t>易所同意，双星新材向社会公开发行人民币普通股股票</w:t>
      </w:r>
      <w:r>
        <w:rPr>
          <w:rFonts w:ascii="Times New Roman" w:hAnsi="Times New Roman" w:cs="Times New Roman" w:eastAsia="Times New Roman" w:hint="default"/>
          <w:spacing w:val="-4"/>
        </w:rPr>
        <w:t>5,200</w:t>
      </w:r>
      <w:r>
        <w:rPr>
          <w:spacing w:val="-4"/>
        </w:rPr>
        <w:t>万股，每股面值壹元（</w:t>
      </w:r>
      <w:r>
        <w:rPr>
          <w:rFonts w:ascii="Times New Roman" w:hAnsi="Times New Roman" w:cs="Times New Roman" w:eastAsia="Times New Roman" w:hint="default"/>
          <w:spacing w:val="-4"/>
        </w:rPr>
        <w:t>CNY </w:t>
      </w:r>
      <w:r>
        <w:rPr>
          <w:rFonts w:ascii="Times New Roman" w:hAnsi="Times New Roman" w:cs="Times New Roman" w:eastAsia="Times New Roman" w:hint="default"/>
          <w:spacing w:val="-6"/>
        </w:rPr>
        <w:t>1.00</w:t>
      </w:r>
      <w:r>
        <w:rPr>
          <w:spacing w:val="-6"/>
        </w:rPr>
        <w:t>），每股发行</w:t>
      </w:r>
      <w:r>
        <w:rPr>
          <w:spacing w:val="13"/>
        </w:rPr>
        <w:t> </w:t>
      </w:r>
      <w:r>
        <w:rPr>
          <w:spacing w:val="13"/>
        </w:rPr>
      </w:r>
      <w:r>
        <w:rPr>
          <w:spacing w:val="-10"/>
          <w:w w:val="100"/>
        </w:rPr>
        <w:t>价为人民币伍拾伍元（</w:t>
      </w:r>
      <w:r>
        <w:rPr>
          <w:rFonts w:ascii="Times New Roman" w:hAnsi="Times New Roman" w:cs="Times New Roman" w:eastAsia="Times New Roman" w:hint="default"/>
          <w:spacing w:val="-10"/>
          <w:w w:val="100"/>
        </w:rPr>
        <w:t>CNY</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2"/>
          <w:w w:val="100"/>
        </w:rPr>
        <w:t>55.00</w:t>
      </w:r>
      <w:r>
        <w:rPr>
          <w:spacing w:val="-12"/>
          <w:w w:val="100"/>
        </w:rPr>
        <w:t>），可募集资金总额为人民币贰拾捌亿陆仟万元整（</w:t>
      </w:r>
      <w:r>
        <w:rPr>
          <w:rFonts w:ascii="Times New Roman" w:hAnsi="Times New Roman" w:cs="Times New Roman" w:eastAsia="Times New Roman" w:hint="default"/>
          <w:spacing w:val="-12"/>
          <w:w w:val="100"/>
        </w:rPr>
        <w:t>CNY</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8"/>
          <w:w w:val="100"/>
        </w:rPr>
        <w:t>2,860,000,000.00</w:t>
      </w:r>
      <w:r>
        <w:rPr>
          <w:spacing w:val="-8"/>
          <w:w w:val="100"/>
        </w:rPr>
        <w:t>）。</w:t>
      </w:r>
      <w:r>
        <w:rPr>
          <w:spacing w:val="-102"/>
          <w:w w:val="100"/>
        </w:rPr>
        <w:t> </w:t>
      </w:r>
      <w:r>
        <w:rPr>
          <w:spacing w:val="-102"/>
          <w:w w:val="100"/>
        </w:rPr>
      </w:r>
      <w:r>
        <w:rPr/>
        <w:t>双星新材于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日取得宿迁市工商行政管理局核发的</w:t>
      </w:r>
      <w:r>
        <w:rPr>
          <w:rFonts w:ascii="Times New Roman" w:hAnsi="Times New Roman" w:cs="Times New Roman" w:eastAsia="Times New Roman" w:hint="default"/>
        </w:rPr>
        <w:t>321300000005816</w:t>
      </w:r>
      <w:r>
        <w:rPr/>
        <w:t>号《企业法人营业执照》。</w:t>
      </w:r>
    </w:p>
    <w:p>
      <w:pPr>
        <w:pStyle w:val="BodyText"/>
        <w:spacing w:line="240" w:lineRule="auto" w:before="161"/>
        <w:ind w:left="656" w:right="9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2011</w:t>
      </w:r>
      <w:r>
        <w:rPr/>
        <w:t>年度股东大会决议和修改后章程的规定，公司申请转增注册资本人民币</w:t>
      </w:r>
    </w:p>
    <w:p>
      <w:pPr>
        <w:pStyle w:val="BodyText"/>
        <w:spacing w:line="240" w:lineRule="auto" w:before="21"/>
        <w:ind w:right="96"/>
        <w:jc w:val="left"/>
      </w:pPr>
      <w:r>
        <w:rPr>
          <w:rFonts w:ascii="Times New Roman" w:hAnsi="Times New Roman" w:cs="Times New Roman" w:eastAsia="Times New Roman" w:hint="default"/>
        </w:rPr>
        <w:t>208,000,000</w:t>
      </w:r>
      <w:r>
        <w:rPr/>
        <w:t>元，公司以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日的总股本</w:t>
      </w:r>
      <w:r>
        <w:rPr>
          <w:rFonts w:ascii="Times New Roman" w:hAnsi="Times New Roman" w:cs="Times New Roman" w:eastAsia="Times New Roman" w:hint="default"/>
        </w:rPr>
        <w:t>208,000,000</w:t>
      </w:r>
      <w:r>
        <w:rPr/>
        <w:t>股为基数，以资本公积向全体股东每</w:t>
      </w:r>
      <w:r>
        <w:rPr>
          <w:rFonts w:ascii="Times New Roman" w:hAnsi="Times New Roman" w:cs="Times New Roman" w:eastAsia="Times New Roman" w:hint="default"/>
        </w:rPr>
        <w:t>10</w:t>
      </w:r>
      <w:r>
        <w:rPr/>
        <w:t>股转增</w:t>
      </w:r>
    </w:p>
    <w:p>
      <w:pPr>
        <w:pStyle w:val="BodyText"/>
        <w:spacing w:line="240" w:lineRule="auto" w:before="21"/>
        <w:ind w:right="96"/>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208,000,000</w:t>
      </w:r>
      <w:r>
        <w:rPr/>
        <w:t>股。资本公积金转增股本实施后，公司股本总数为</w:t>
      </w:r>
      <w:r>
        <w:rPr>
          <w:rFonts w:ascii="Times New Roman" w:hAnsi="Times New Roman" w:cs="Times New Roman" w:eastAsia="Times New Roman" w:hint="default"/>
        </w:rPr>
        <w:t>416,000,000</w:t>
      </w:r>
      <w:r>
        <w:rPr/>
        <w:t>股，每股面值</w:t>
      </w:r>
      <w:r>
        <w:rPr>
          <w:rFonts w:ascii="Times New Roman" w:hAnsi="Times New Roman" w:cs="Times New Roman" w:eastAsia="Times New Roman" w:hint="default"/>
        </w:rPr>
        <w:t>1</w:t>
      </w:r>
    </w:p>
    <w:p>
      <w:pPr>
        <w:pStyle w:val="BodyText"/>
        <w:spacing w:line="240" w:lineRule="auto" w:before="21"/>
        <w:ind w:right="96"/>
        <w:jc w:val="left"/>
      </w:pPr>
      <w:r>
        <w:rPr>
          <w:spacing w:val="-3"/>
        </w:rPr>
        <w:t>元，共计</w:t>
      </w:r>
      <w:r>
        <w:rPr>
          <w:rFonts w:ascii="Times New Roman" w:hAnsi="Times New Roman" w:cs="Times New Roman" w:eastAsia="Times New Roman" w:hint="default"/>
          <w:spacing w:val="-3"/>
        </w:rPr>
        <w:t>416,000,000</w:t>
      </w:r>
      <w:r>
        <w:rPr>
          <w:spacing w:val="-3"/>
        </w:rPr>
        <w:t>元。双星新材于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日取得宿迁市工商行政管理局核发的</w:t>
      </w:r>
      <w:r>
        <w:rPr>
          <w:rFonts w:ascii="Times New Roman" w:hAnsi="Times New Roman" w:cs="Times New Roman" w:eastAsia="Times New Roman" w:hint="default"/>
          <w:spacing w:val="-3"/>
        </w:rPr>
        <w:t>321300000005816</w:t>
      </w:r>
      <w:r>
        <w:rPr>
          <w:spacing w:val="-3"/>
        </w:rPr>
        <w:t>号</w:t>
      </w:r>
    </w:p>
    <w:p>
      <w:pPr>
        <w:pStyle w:val="BodyText"/>
        <w:spacing w:line="240" w:lineRule="auto" w:before="21"/>
        <w:ind w:right="4490"/>
        <w:jc w:val="left"/>
      </w:pPr>
      <w:r>
        <w:rPr/>
        <w:t>《企业法人营业执照》。</w:t>
      </w:r>
    </w:p>
    <w:p>
      <w:pPr>
        <w:spacing w:line="240" w:lineRule="auto" w:before="10"/>
        <w:rPr>
          <w:rFonts w:ascii="宋体" w:hAnsi="宋体" w:cs="宋体" w:eastAsia="宋体" w:hint="default"/>
          <w:sz w:val="14"/>
          <w:szCs w:val="14"/>
        </w:rPr>
      </w:pPr>
    </w:p>
    <w:p>
      <w:pPr>
        <w:pStyle w:val="BodyText"/>
        <w:spacing w:line="240" w:lineRule="auto"/>
        <w:ind w:right="4490"/>
        <w:jc w:val="left"/>
      </w:pPr>
      <w:r>
        <w:rPr/>
        <w:t>（三）公司的业务性质和主要经营活动</w:t>
      </w:r>
    </w:p>
    <w:p>
      <w:pPr>
        <w:spacing w:line="240" w:lineRule="auto" w:before="13"/>
        <w:rPr>
          <w:rFonts w:ascii="宋体" w:hAnsi="宋体" w:cs="宋体" w:eastAsia="宋体" w:hint="default"/>
          <w:sz w:val="11"/>
          <w:szCs w:val="11"/>
        </w:rPr>
      </w:pPr>
    </w:p>
    <w:p>
      <w:pPr>
        <w:pStyle w:val="BodyText"/>
        <w:spacing w:line="240" w:lineRule="auto" w:before="36"/>
        <w:ind w:left="656" w:right="96"/>
        <w:jc w:val="left"/>
      </w:pPr>
      <w:r>
        <w:rPr/>
        <w:t>业务性质：本公司从事新型塑料包装薄膜的研发、生产和销售，主要产品为聚酯薄膜等新型塑料薄</w:t>
      </w:r>
    </w:p>
    <w:p>
      <w:pPr>
        <w:pStyle w:val="BodyText"/>
        <w:spacing w:line="240" w:lineRule="auto" w:before="37"/>
        <w:ind w:right="4490"/>
        <w:jc w:val="left"/>
      </w:pPr>
      <w:r>
        <w:rPr/>
        <w:t>膜。</w:t>
      </w:r>
    </w:p>
    <w:p>
      <w:pPr>
        <w:spacing w:line="240" w:lineRule="auto" w:before="13"/>
        <w:rPr>
          <w:rFonts w:ascii="宋体" w:hAnsi="宋体" w:cs="宋体" w:eastAsia="宋体" w:hint="default"/>
          <w:sz w:val="11"/>
          <w:szCs w:val="11"/>
        </w:rPr>
      </w:pPr>
    </w:p>
    <w:p>
      <w:pPr>
        <w:pStyle w:val="BodyText"/>
        <w:spacing w:line="273" w:lineRule="auto" w:before="36"/>
        <w:ind w:right="96" w:firstLine="504"/>
        <w:jc w:val="left"/>
      </w:pPr>
      <w:r>
        <w:rPr>
          <w:spacing w:val="-2"/>
        </w:rPr>
        <w:t>经营范围：本公司经营范围为：包装装潢印刷品印刷、其他印刷品印刷。（印刷经营许可证有效期</w:t>
      </w:r>
      <w:r>
        <w:rPr>
          <w:w w:val="100"/>
        </w:rPr>
        <w:t> </w:t>
      </w:r>
      <w:r>
        <w:rPr/>
        <w:t>有效期至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日）包装材料生产，化工材料（除化学危险品）销售；聚酯新材料技术研发。</w:t>
      </w:r>
    </w:p>
    <w:p>
      <w:pPr>
        <w:pStyle w:val="BodyText"/>
        <w:spacing w:line="240" w:lineRule="auto" w:before="144"/>
        <w:ind w:left="656" w:right="1318"/>
        <w:jc w:val="left"/>
      </w:pPr>
      <w:r>
        <w:rPr/>
        <w:t>主要经营活动：本公司主要产品包括聚酯薄膜、真空镀铝膜、</w:t>
      </w:r>
      <w:r>
        <w:rPr>
          <w:rFonts w:ascii="Times New Roman" w:hAnsi="Times New Roman" w:cs="Times New Roman" w:eastAsia="Times New Roman" w:hint="default"/>
        </w:rPr>
        <w:t>PVC</w:t>
      </w:r>
      <w:r>
        <w:rPr/>
        <w:t>功能薄膜等。</w:t>
      </w:r>
    </w:p>
    <w:p>
      <w:pPr>
        <w:spacing w:line="240" w:lineRule="auto" w:before="8"/>
        <w:rPr>
          <w:rFonts w:ascii="宋体" w:hAnsi="宋体" w:cs="宋体" w:eastAsia="宋体" w:hint="default"/>
          <w:sz w:val="22"/>
          <w:szCs w:val="22"/>
        </w:rPr>
      </w:pPr>
    </w:p>
    <w:p>
      <w:pPr>
        <w:pStyle w:val="Heading2"/>
        <w:spacing w:line="240" w:lineRule="auto"/>
        <w:ind w:right="4490"/>
        <w:jc w:val="left"/>
      </w:pPr>
      <w:r>
        <w:rPr/>
        <w:t>四、公司主要会计政策、会计估计和前期差错</w:t>
      </w:r>
    </w:p>
    <w:p>
      <w:pPr>
        <w:pStyle w:val="BodyText"/>
        <w:spacing w:line="614" w:lineRule="exact" w:before="77"/>
        <w:ind w:left="572" w:right="96" w:hanging="420"/>
        <w:jc w:val="left"/>
      </w:pPr>
      <w:r>
        <w:rPr>
          <w:rFonts w:ascii="Times New Roman" w:hAnsi="Times New Roman" w:cs="Times New Roman" w:eastAsia="Times New Roman" w:hint="default"/>
          <w:b/>
          <w:bCs/>
        </w:rPr>
        <w:t>1</w:t>
      </w:r>
      <w:r>
        <w:rPr/>
        <w:t>、财务报表的编制基础</w:t>
      </w:r>
      <w:r>
        <w:rPr>
          <w:spacing w:val="-99"/>
        </w:rPr>
        <w:t> </w:t>
      </w:r>
      <w:r>
        <w:rPr>
          <w:spacing w:val="-99"/>
        </w:rPr>
      </w:r>
      <w:r>
        <w:rPr>
          <w:spacing w:val="-3"/>
        </w:rPr>
        <w:t>本公司以持续经营为基础，根据实际发生的交易和事项，按照《企业会计准则</w:t>
      </w:r>
      <w:r>
        <w:rPr>
          <w:rFonts w:ascii="Times New Roman" w:hAnsi="Times New Roman" w:cs="Times New Roman" w:eastAsia="Times New Roman" w:hint="default"/>
          <w:spacing w:val="-3"/>
        </w:rPr>
        <w:t>—</w:t>
      </w:r>
      <w:r>
        <w:rPr>
          <w:spacing w:val="-3"/>
        </w:rPr>
        <w:t>基本准则》和其他各</w:t>
      </w:r>
    </w:p>
    <w:p>
      <w:pPr>
        <w:pStyle w:val="BodyText"/>
        <w:spacing w:line="219" w:lineRule="exact"/>
        <w:ind w:right="1318"/>
        <w:jc w:val="left"/>
      </w:pPr>
      <w:r>
        <w:rPr/>
        <w:t>项会计准则的规定进行确认和计量，在此基础上编制财务报表。</w:t>
      </w:r>
    </w:p>
    <w:p>
      <w:pPr>
        <w:pStyle w:val="BodyText"/>
        <w:spacing w:line="590" w:lineRule="atLeast" w:before="38"/>
        <w:ind w:left="572" w:right="96" w:hanging="420"/>
        <w:jc w:val="left"/>
      </w:pPr>
      <w:r>
        <w:rPr>
          <w:rFonts w:ascii="Times New Roman" w:hAnsi="Times New Roman" w:cs="Times New Roman" w:eastAsia="Times New Roman" w:hint="default"/>
          <w:b/>
          <w:bCs/>
        </w:rPr>
        <w:t>2</w:t>
      </w:r>
      <w:r>
        <w:rPr/>
        <w:t>、遵循企业会计准则的声明</w:t>
      </w:r>
      <w:r>
        <w:rPr>
          <w:spacing w:val="-100"/>
        </w:rPr>
        <w:t> </w:t>
      </w:r>
      <w:r>
        <w:rPr>
          <w:spacing w:val="-100"/>
        </w:rPr>
      </w:r>
      <w:r>
        <w:rPr>
          <w:spacing w:val="-3"/>
        </w:rPr>
        <w:t>本公司所编制的财务报表符合企业会计准则的要求，真实、完整地反映了本公司的财务状况、经营成</w:t>
      </w:r>
    </w:p>
    <w:p>
      <w:pPr>
        <w:pStyle w:val="BodyText"/>
        <w:spacing w:line="240" w:lineRule="auto" w:before="37"/>
        <w:ind w:right="96"/>
        <w:jc w:val="left"/>
      </w:pPr>
      <w:r>
        <w:rPr>
          <w:spacing w:val="-5"/>
        </w:rPr>
        <w:t>果、现金流量和股东权益变动等有关信息，本公司管理层对财务报表的真实性、合法性和完整性承担责任。</w:t>
      </w:r>
    </w:p>
    <w:p>
      <w:pPr>
        <w:spacing w:after="0" w:line="240" w:lineRule="auto"/>
        <w:jc w:val="left"/>
        <w:sectPr>
          <w:pgSz w:w="11900" w:h="16840"/>
          <w:pgMar w:header="746" w:footer="982" w:top="1060" w:bottom="118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3</w:t>
      </w:r>
      <w:r>
        <w:rPr/>
        <w:t>、会计期间</w:t>
      </w:r>
    </w:p>
    <w:p>
      <w:pPr>
        <w:spacing w:line="240" w:lineRule="auto" w:before="10"/>
        <w:rPr>
          <w:rFonts w:ascii="宋体" w:hAnsi="宋体" w:cs="宋体" w:eastAsia="宋体" w:hint="default"/>
          <w:sz w:val="24"/>
          <w:szCs w:val="24"/>
        </w:rPr>
      </w:pPr>
    </w:p>
    <w:p>
      <w:pPr>
        <w:pStyle w:val="BodyText"/>
        <w:spacing w:line="240" w:lineRule="auto"/>
        <w:ind w:left="572" w:right="145"/>
        <w:jc w:val="left"/>
      </w:pPr>
      <w:r>
        <w:rPr/>
        <w:t>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4</w:t>
      </w:r>
      <w:r>
        <w:rPr/>
        <w:t>、记账本位币</w:t>
      </w:r>
    </w:p>
    <w:p>
      <w:pPr>
        <w:spacing w:line="240" w:lineRule="auto" w:before="7"/>
        <w:rPr>
          <w:rFonts w:ascii="宋体" w:hAnsi="宋体" w:cs="宋体" w:eastAsia="宋体" w:hint="default"/>
          <w:sz w:val="24"/>
          <w:szCs w:val="24"/>
        </w:rPr>
      </w:pPr>
    </w:p>
    <w:p>
      <w:pPr>
        <w:pStyle w:val="BodyText"/>
        <w:spacing w:line="240" w:lineRule="auto"/>
        <w:ind w:left="572" w:right="145"/>
        <w:jc w:val="left"/>
      </w:pPr>
      <w:r>
        <w:rPr/>
        <w:t>记账本位币为人民币。</w:t>
      </w:r>
    </w:p>
    <w:p>
      <w:pPr>
        <w:spacing w:line="240" w:lineRule="auto" w:before="10"/>
        <w:rPr>
          <w:rFonts w:ascii="宋体" w:hAnsi="宋体" w:cs="宋体" w:eastAsia="宋体" w:hint="default"/>
          <w:sz w:val="25"/>
          <w:szCs w:val="25"/>
        </w:rPr>
      </w:pPr>
    </w:p>
    <w:p>
      <w:pPr>
        <w:pStyle w:val="BodyText"/>
        <w:spacing w:line="240" w:lineRule="auto"/>
        <w:ind w:right="145"/>
        <w:jc w:val="left"/>
      </w:pPr>
      <w:r>
        <w:rPr>
          <w:rFonts w:ascii="Times New Roman" w:hAnsi="Times New Roman" w:cs="Times New Roman" w:eastAsia="Times New Roman" w:hint="default"/>
          <w:b/>
          <w:bCs/>
        </w:rPr>
        <w:t>5</w:t>
      </w:r>
      <w:r>
        <w:rPr/>
        <w:t>、同一控制下和非同一控制下企业合并的会计处理方法</w:t>
      </w:r>
    </w:p>
    <w:p>
      <w:pPr>
        <w:pStyle w:val="BodyText"/>
        <w:spacing w:line="450" w:lineRule="atLeast" w:before="164"/>
        <w:ind w:left="824" w:right="145" w:hanging="672"/>
        <w:jc w:val="left"/>
      </w:pPr>
      <w:r>
        <w:rPr/>
        <w:t>（</w:t>
      </w:r>
      <w:r>
        <w:rPr>
          <w:rFonts w:ascii="Times New Roman" w:hAnsi="Times New Roman" w:cs="Times New Roman" w:eastAsia="Times New Roman" w:hint="default"/>
          <w:b/>
          <w:bCs/>
        </w:rPr>
        <w:t>1</w:t>
      </w:r>
      <w:r>
        <w:rPr/>
        <w:t>）同一控制下企业合并</w:t>
      </w:r>
      <w:r>
        <w:rPr>
          <w:spacing w:val="-99"/>
        </w:rPr>
        <w:t> </w:t>
      </w:r>
      <w:r>
        <w:rPr>
          <w:spacing w:val="-99"/>
        </w:rPr>
      </w:r>
      <w:r>
        <w:rPr>
          <w:spacing w:val="-4"/>
        </w:rPr>
        <w:t>参与合并的企业在合并前后均受同一方或相同的多方最终控制且该控制并非暂时性的，认定为同一</w:t>
      </w:r>
    </w:p>
    <w:p>
      <w:pPr>
        <w:pStyle w:val="BodyText"/>
        <w:spacing w:line="240" w:lineRule="auto" w:before="37"/>
        <w:ind w:right="145"/>
        <w:jc w:val="left"/>
      </w:pPr>
      <w:r>
        <w:rPr/>
        <w:t>控制下的企业合并。</w:t>
      </w:r>
    </w:p>
    <w:p>
      <w:pPr>
        <w:spacing w:line="240" w:lineRule="auto" w:before="10"/>
        <w:rPr>
          <w:rFonts w:ascii="宋体" w:hAnsi="宋体" w:cs="宋体" w:eastAsia="宋体" w:hint="default"/>
          <w:sz w:val="14"/>
          <w:szCs w:val="14"/>
        </w:rPr>
      </w:pPr>
    </w:p>
    <w:p>
      <w:pPr>
        <w:pStyle w:val="BodyText"/>
        <w:spacing w:line="273" w:lineRule="auto"/>
        <w:ind w:right="119" w:firstLine="672"/>
        <w:jc w:val="both"/>
      </w:pPr>
      <w:r>
        <w:rPr>
          <w:spacing w:val="-4"/>
        </w:rPr>
        <w:t>合并方以支付现金、转让非现金资产或承担债务方式作为合并对价的，在合并日按照取得被合并方</w:t>
      </w:r>
      <w:r>
        <w:rPr>
          <w:w w:val="100"/>
        </w:rPr>
        <w:t> </w:t>
      </w:r>
      <w:r>
        <w:rPr>
          <w:spacing w:val="-2"/>
        </w:rPr>
        <w:t>股东权益账面价值的份额作为长期股权投资的初始投资成本。长期股权投资初始投资成本与支付的现金、</w:t>
      </w:r>
      <w:r>
        <w:rPr>
          <w:spacing w:val="-20"/>
        </w:rPr>
        <w:t> </w:t>
      </w:r>
      <w:r>
        <w:rPr>
          <w:spacing w:val="-20"/>
        </w:rPr>
      </w:r>
      <w:r>
        <w:rPr>
          <w:spacing w:val="-3"/>
        </w:rPr>
        <w:t>转让的非现金资产以及所承担债务账面价值之间的差额，调整资本公积；资本公积不足冲减的，调整留存</w:t>
      </w:r>
      <w:r>
        <w:rPr>
          <w:spacing w:val="3"/>
        </w:rPr>
        <w:t> </w:t>
      </w:r>
      <w:r>
        <w:rPr>
          <w:spacing w:val="3"/>
        </w:rPr>
      </w:r>
      <w:r>
        <w:rPr/>
        <w:t>收益。</w:t>
      </w:r>
    </w:p>
    <w:p>
      <w:pPr>
        <w:pStyle w:val="BodyText"/>
        <w:spacing w:line="240" w:lineRule="auto" w:before="163"/>
        <w:ind w:left="824" w:right="145"/>
        <w:jc w:val="left"/>
      </w:pPr>
      <w:r>
        <w:rPr/>
        <w:t>为进行企业合并发生的各项直接相关费用于发生时计入当期损益。</w:t>
      </w:r>
    </w:p>
    <w:p>
      <w:pPr>
        <w:spacing w:line="240" w:lineRule="auto" w:before="10"/>
        <w:rPr>
          <w:rFonts w:ascii="宋体" w:hAnsi="宋体" w:cs="宋体" w:eastAsia="宋体" w:hint="default"/>
          <w:sz w:val="25"/>
          <w:szCs w:val="25"/>
        </w:rPr>
      </w:pPr>
    </w:p>
    <w:p>
      <w:pPr>
        <w:pStyle w:val="BodyText"/>
        <w:spacing w:line="240" w:lineRule="auto"/>
        <w:ind w:right="145"/>
        <w:jc w:val="left"/>
      </w:pPr>
      <w:r>
        <w:rPr/>
        <w:t>（</w:t>
      </w:r>
      <w:r>
        <w:rPr>
          <w:rFonts w:ascii="Times New Roman" w:hAnsi="Times New Roman" w:cs="Times New Roman" w:eastAsia="Times New Roman" w:hint="default"/>
          <w:b/>
          <w:bCs/>
        </w:rPr>
        <w:t>2</w:t>
      </w:r>
      <w:r>
        <w:rPr/>
        <w:t>）非同一控制下的企业合并</w:t>
      </w:r>
    </w:p>
    <w:p>
      <w:pPr>
        <w:spacing w:line="240" w:lineRule="auto" w:before="10"/>
        <w:rPr>
          <w:rFonts w:ascii="宋体" w:hAnsi="宋体" w:cs="宋体" w:eastAsia="宋体" w:hint="default"/>
          <w:sz w:val="21"/>
          <w:szCs w:val="21"/>
        </w:rPr>
      </w:pPr>
    </w:p>
    <w:p>
      <w:pPr>
        <w:pStyle w:val="BodyText"/>
        <w:spacing w:line="240" w:lineRule="auto" w:before="36"/>
        <w:ind w:left="824" w:right="145"/>
        <w:jc w:val="left"/>
      </w:pPr>
      <w:r>
        <w:rPr/>
        <w:t>参与合并的各方在合并前后不受同一方或相同的多方最终控制的，认定为非同一控制下的企业合</w:t>
      </w:r>
    </w:p>
    <w:p>
      <w:pPr>
        <w:pStyle w:val="BodyText"/>
        <w:spacing w:line="240" w:lineRule="auto" w:before="37"/>
        <w:ind w:right="145"/>
        <w:jc w:val="left"/>
      </w:pPr>
      <w:r>
        <w:rPr/>
        <w:t>并。</w:t>
      </w:r>
    </w:p>
    <w:p>
      <w:pPr>
        <w:spacing w:line="240" w:lineRule="auto" w:before="13"/>
        <w:rPr>
          <w:rFonts w:ascii="宋体" w:hAnsi="宋体" w:cs="宋体" w:eastAsia="宋体" w:hint="default"/>
          <w:sz w:val="11"/>
          <w:szCs w:val="11"/>
        </w:rPr>
      </w:pPr>
    </w:p>
    <w:p>
      <w:pPr>
        <w:pStyle w:val="BodyText"/>
        <w:spacing w:line="273" w:lineRule="auto" w:before="36"/>
        <w:ind w:right="141" w:firstLine="672"/>
        <w:jc w:val="both"/>
      </w:pPr>
      <w:r>
        <w:rPr>
          <w:spacing w:val="-4"/>
        </w:rPr>
        <w:t>购买方通过一次交换交易实现的企业合并，合并成本为购买方在购买日为取得对被购买方的控制权</w:t>
      </w:r>
      <w:r>
        <w:rPr>
          <w:w w:val="100"/>
        </w:rPr>
        <w:t> </w:t>
      </w:r>
      <w:r>
        <w:rPr>
          <w:spacing w:val="-3"/>
        </w:rPr>
        <w:t>而付出的资产、发生或承担的负债以及发行的权益性证券的公允价值。通过多次交换交易分步实现的企业</w:t>
      </w:r>
      <w:r>
        <w:rPr>
          <w:spacing w:val="4"/>
        </w:rPr>
        <w:t> </w:t>
      </w:r>
      <w:r>
        <w:rPr>
          <w:spacing w:val="4"/>
        </w:rPr>
      </w:r>
      <w:r>
        <w:rPr>
          <w:spacing w:val="-3"/>
        </w:rPr>
        <w:t>合并，合并成本为每一单项交易成本之和。购买方为企业合并发生的审计、法律服务、评估咨询等中介费</w:t>
      </w:r>
      <w:r>
        <w:rPr/>
        <w:t> </w:t>
      </w:r>
      <w:r>
        <w:rPr/>
      </w:r>
      <w:r>
        <w:rPr>
          <w:spacing w:val="-3"/>
        </w:rPr>
        <w:t>用以及其他相关管理费用，于发生时计入当期损益；购买方作为合并对价发行的权益性证券或债务性证券</w:t>
      </w:r>
      <w:r>
        <w:rPr>
          <w:spacing w:val="4"/>
        </w:rPr>
        <w:t> </w:t>
      </w:r>
      <w:r>
        <w:rPr>
          <w:spacing w:val="4"/>
        </w:rPr>
      </w:r>
      <w:r>
        <w:rPr/>
        <w:t>的交易费用，计入权益性证券或债务性证券的初始确认金额。</w:t>
      </w:r>
    </w:p>
    <w:p>
      <w:pPr>
        <w:pStyle w:val="BodyText"/>
        <w:spacing w:line="273" w:lineRule="auto" w:before="163"/>
        <w:ind w:right="141" w:firstLine="672"/>
        <w:jc w:val="both"/>
      </w:pPr>
      <w:r>
        <w:rPr>
          <w:spacing w:val="-4"/>
        </w:rPr>
        <w:t>购买方的合并成本和购买方在合并中取得的可辨认净资产按购买日的公允价值计量。合并成本大于</w:t>
      </w:r>
      <w:r>
        <w:rPr>
          <w:w w:val="100"/>
        </w:rPr>
        <w:t> </w:t>
      </w:r>
      <w:r>
        <w:rPr>
          <w:spacing w:val="-3"/>
        </w:rPr>
        <w:t>合并中取得的被购买方于购买日可辨认净资产公允价值份额的差额，确认为商誉；合并成本小于合并中取</w:t>
      </w:r>
      <w:r>
        <w:rPr>
          <w:spacing w:val="4"/>
        </w:rPr>
        <w:t> </w:t>
      </w:r>
      <w:r>
        <w:rPr>
          <w:spacing w:val="4"/>
        </w:rPr>
      </w:r>
      <w:r>
        <w:rPr/>
        <w:t>得的被购买方可辨认净资产公允价值份额的差额，计入当期损益。</w:t>
      </w:r>
    </w:p>
    <w:p>
      <w:pPr>
        <w:spacing w:line="240" w:lineRule="auto" w:before="7"/>
        <w:rPr>
          <w:rFonts w:ascii="宋体" w:hAnsi="宋体" w:cs="宋体" w:eastAsia="宋体" w:hint="default"/>
          <w:sz w:val="23"/>
          <w:szCs w:val="23"/>
        </w:rPr>
      </w:pPr>
    </w:p>
    <w:p>
      <w:pPr>
        <w:pStyle w:val="BodyText"/>
        <w:spacing w:line="240" w:lineRule="auto"/>
        <w:ind w:right="145"/>
        <w:jc w:val="left"/>
      </w:pPr>
      <w:r>
        <w:rPr>
          <w:rFonts w:ascii="Times New Roman" w:hAnsi="Times New Roman" w:cs="Times New Roman" w:eastAsia="Times New Roman" w:hint="default"/>
          <w:b/>
          <w:bCs/>
        </w:rPr>
        <w:t>6</w:t>
      </w:r>
      <w:r>
        <w:rPr/>
        <w:t>、合并财务报表的编制方法</w:t>
      </w:r>
    </w:p>
    <w:p>
      <w:pPr>
        <w:pStyle w:val="BodyText"/>
        <w:spacing w:line="590" w:lineRule="atLeast" w:before="24"/>
        <w:ind w:left="572" w:right="3248" w:hanging="420"/>
        <w:jc w:val="left"/>
      </w:pPr>
      <w:r>
        <w:rPr/>
        <w:t>（</w:t>
      </w:r>
      <w:r>
        <w:rPr>
          <w:rFonts w:ascii="Times New Roman" w:hAnsi="Times New Roman" w:cs="Times New Roman" w:eastAsia="Times New Roman" w:hint="default"/>
          <w:b/>
          <w:bCs/>
        </w:rPr>
        <w:t>1</w:t>
      </w:r>
      <w:r>
        <w:rPr/>
        <w:t>）合并财务报表的编制方法</w:t>
      </w:r>
      <w:r>
        <w:rPr>
          <w:spacing w:val="-99"/>
        </w:rPr>
        <w:t> </w:t>
      </w:r>
      <w:r>
        <w:rPr>
          <w:spacing w:val="-99"/>
        </w:rPr>
      </w:r>
      <w:r>
        <w:rPr>
          <w:spacing w:val="-2"/>
        </w:rPr>
        <w:t>合并财务报表的合并范围包括本公司及子公司。</w:t>
      </w:r>
    </w:p>
    <w:p>
      <w:pPr>
        <w:spacing w:line="240" w:lineRule="auto" w:before="10"/>
        <w:rPr>
          <w:rFonts w:ascii="宋体" w:hAnsi="宋体" w:cs="宋体" w:eastAsia="宋体" w:hint="default"/>
          <w:sz w:val="14"/>
          <w:szCs w:val="14"/>
        </w:rPr>
      </w:pPr>
    </w:p>
    <w:p>
      <w:pPr>
        <w:pStyle w:val="BodyText"/>
        <w:spacing w:line="273" w:lineRule="auto"/>
        <w:ind w:right="141" w:firstLine="420"/>
        <w:jc w:val="both"/>
      </w:pPr>
      <w:r>
        <w:rPr>
          <w:spacing w:val="-3"/>
        </w:rPr>
        <w:t>从取得子公司实际控制权之日起，本公司开始将其予以合并；从丧失实际控制权之日起停止合并。公</w:t>
      </w:r>
      <w:r>
        <w:rPr>
          <w:w w:val="100"/>
        </w:rPr>
        <w:t> </w:t>
      </w:r>
      <w:r>
        <w:rPr>
          <w:spacing w:val="-3"/>
        </w:rPr>
        <w:t>司间所有重大往来余额、交易及未实现利润在合并财务报表编制时予以抵销。子公司的股东权益中不属于</w:t>
      </w:r>
      <w:r>
        <w:rPr>
          <w:spacing w:val="4"/>
        </w:rPr>
        <w:t> </w:t>
      </w:r>
      <w:r>
        <w:rPr>
          <w:spacing w:val="4"/>
        </w:rPr>
      </w:r>
      <w:r>
        <w:rPr>
          <w:spacing w:val="-3"/>
        </w:rPr>
        <w:t>母公司所拥有的部分作为少数股东权益在合并资产负债表中股东权益项下单独列示；子公司净利润中不属</w:t>
      </w:r>
      <w:r>
        <w:rPr>
          <w:spacing w:val="4"/>
        </w:rPr>
        <w:t> </w:t>
      </w:r>
      <w:r>
        <w:rPr>
          <w:spacing w:val="4"/>
        </w:rPr>
      </w:r>
      <w:r>
        <w:rPr/>
        <w:t>于母公司所拥有的部分作为少数股东损益在合并利润表中净利润项下单独列示。</w:t>
      </w:r>
    </w:p>
    <w:p>
      <w:pPr>
        <w:spacing w:after="0" w:line="273" w:lineRule="auto"/>
        <w:jc w:val="both"/>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firstLine="420"/>
        <w:jc w:val="left"/>
      </w:pPr>
      <w:r>
        <w:rPr>
          <w:spacing w:val="-3"/>
        </w:rPr>
        <w:t>子公司与本公司采用的会计政策或会计期间不一致的，在编制合并财务报表时，按照本公司的会计政</w:t>
      </w:r>
      <w:r>
        <w:rPr>
          <w:w w:val="100"/>
        </w:rPr>
        <w:t> </w:t>
      </w:r>
      <w:r>
        <w:rPr/>
        <w:t>策或会计期间对子公司财务报表进行必要的调整。</w:t>
      </w:r>
    </w:p>
    <w:p>
      <w:pPr>
        <w:pStyle w:val="BodyText"/>
        <w:spacing w:line="273" w:lineRule="auto" w:before="163"/>
        <w:ind w:right="0" w:firstLine="420"/>
        <w:jc w:val="left"/>
      </w:pPr>
      <w:r>
        <w:rPr>
          <w:spacing w:val="-3"/>
        </w:rPr>
        <w:t>对于因非同一控制下企业合并取得的子公司，在编制合并财务报表时，以购买日可辨认净资产公允价</w:t>
      </w:r>
      <w:r>
        <w:rPr>
          <w:w w:val="100"/>
        </w:rPr>
        <w:t> </w:t>
      </w:r>
      <w:r>
        <w:rPr>
          <w:spacing w:val="-5"/>
        </w:rPr>
        <w:t>值为基础对其个别财务报表进行调整；对于因同一控制下企业合并取得的子公司，在编制合并财务报表时，</w:t>
      </w:r>
      <w:r>
        <w:rPr>
          <w:spacing w:val="-4"/>
        </w:rPr>
        <w:t> </w:t>
      </w:r>
      <w:r>
        <w:rPr>
          <w:spacing w:val="-4"/>
        </w:rPr>
      </w:r>
      <w:r>
        <w:rPr>
          <w:spacing w:val="-3"/>
        </w:rPr>
        <w:t>视同该企业合并于报告期最早期间的期初已经发生，从报告期最早期间的期初起将其资产、负债、经营成</w:t>
      </w:r>
      <w:r>
        <w:rPr>
          <w:spacing w:val="4"/>
        </w:rPr>
        <w:t> </w:t>
      </w:r>
      <w:r>
        <w:rPr>
          <w:spacing w:val="4"/>
        </w:rPr>
      </w:r>
      <w:r>
        <w:rPr/>
        <w:t>果和现金流量纳入合并财务报表，且其合并日前实现的净利润在合并利润表中单列项目反映。</w:t>
      </w:r>
    </w:p>
    <w:p>
      <w:pPr>
        <w:spacing w:line="240" w:lineRule="auto" w:before="7"/>
        <w:rPr>
          <w:rFonts w:ascii="宋体" w:hAnsi="宋体" w:cs="宋体" w:eastAsia="宋体" w:hint="default"/>
          <w:sz w:val="23"/>
          <w:szCs w:val="23"/>
        </w:rPr>
      </w:pPr>
    </w:p>
    <w:p>
      <w:pPr>
        <w:pStyle w:val="BodyText"/>
        <w:spacing w:line="240" w:lineRule="auto"/>
        <w:ind w:right="0"/>
        <w:jc w:val="left"/>
      </w:pPr>
      <w:r>
        <w:rPr/>
        <w:t>（</w:t>
      </w:r>
      <w:r>
        <w:rPr>
          <w:rFonts w:ascii="Times New Roman" w:hAnsi="Times New Roman" w:cs="Times New Roman" w:eastAsia="Times New Roman" w:hint="default"/>
          <w:b/>
          <w:bCs/>
        </w:rPr>
        <w:t>2</w:t>
      </w:r>
      <w:r>
        <w:rPr/>
        <w:t>）对同一子公司的股权在连续两个会计年度买入再卖出，或卖出再买入的应披露相关的会计处理方法</w:t>
      </w:r>
    </w:p>
    <w:p>
      <w:pPr>
        <w:pStyle w:val="BodyText"/>
        <w:spacing w:line="590" w:lineRule="atLeast" w:before="24"/>
        <w:ind w:left="488" w:right="0" w:hanging="336"/>
        <w:jc w:val="left"/>
      </w:pPr>
      <w:r>
        <w:rPr>
          <w:rFonts w:ascii="Times New Roman" w:hAnsi="Times New Roman" w:cs="Times New Roman" w:eastAsia="Times New Roman" w:hint="default"/>
          <w:b/>
          <w:bCs/>
        </w:rPr>
        <w:t>7</w:t>
      </w:r>
      <w:r>
        <w:rPr/>
        <w:t>、现金及现金等价物的确定标准</w:t>
      </w:r>
      <w:r>
        <w:rPr>
          <w:spacing w:val="-98"/>
        </w:rPr>
        <w:t> </w:t>
      </w:r>
      <w:r>
        <w:rPr>
          <w:spacing w:val="-98"/>
        </w:rPr>
      </w:r>
      <w:r>
        <w:rPr>
          <w:spacing w:val="-2"/>
        </w:rPr>
        <w:t>列示于现金流量表中的现金是指库存现金及可随时用于支付的存款，现金等价物是指持有的期限短、</w:t>
      </w:r>
    </w:p>
    <w:p>
      <w:pPr>
        <w:pStyle w:val="BodyText"/>
        <w:spacing w:line="240" w:lineRule="auto" w:before="37"/>
        <w:ind w:right="0"/>
        <w:jc w:val="left"/>
      </w:pPr>
      <w:r>
        <w:rPr/>
        <w:t>流动性强、易于转换为已知金额现金及价值变动风险很小的投资。</w:t>
      </w:r>
    </w:p>
    <w:p>
      <w:pPr>
        <w:spacing w:line="240" w:lineRule="auto" w:before="10"/>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b/>
          <w:bCs/>
        </w:rPr>
        <w:t>8</w:t>
      </w:r>
      <w:r>
        <w:rPr/>
        <w:t>、外币业务和外币报表折算</w:t>
      </w:r>
    </w:p>
    <w:p>
      <w:pPr>
        <w:pStyle w:val="BodyText"/>
        <w:spacing w:line="590" w:lineRule="atLeast" w:before="24"/>
        <w:ind w:left="510" w:right="0" w:hanging="358"/>
        <w:jc w:val="left"/>
      </w:pPr>
      <w:r>
        <w:rPr/>
        <w:t>（</w:t>
      </w:r>
      <w:r>
        <w:rPr>
          <w:rFonts w:ascii="Times New Roman" w:hAnsi="Times New Roman" w:cs="Times New Roman" w:eastAsia="Times New Roman" w:hint="default"/>
          <w:b/>
          <w:bCs/>
        </w:rPr>
        <w:t>1</w:t>
      </w:r>
      <w:r>
        <w:rPr/>
        <w:t>）外币业务</w:t>
      </w:r>
      <w:r>
        <w:rPr>
          <w:spacing w:val="-100"/>
        </w:rPr>
        <w:t> </w:t>
      </w:r>
      <w:r>
        <w:rPr>
          <w:spacing w:val="-100"/>
        </w:rPr>
      </w:r>
      <w:r>
        <w:rPr>
          <w:spacing w:val="-2"/>
        </w:rPr>
        <w:t>外币业务按业务发生日的即期汇率将外币金额折算为人民币入账。于资产负债表日，外币货币性项目</w:t>
      </w:r>
    </w:p>
    <w:p>
      <w:pPr>
        <w:pStyle w:val="BodyText"/>
        <w:spacing w:line="273" w:lineRule="auto" w:before="37"/>
        <w:ind w:right="221"/>
        <w:jc w:val="both"/>
      </w:pPr>
      <w:r>
        <w:rPr>
          <w:spacing w:val="-3"/>
        </w:rPr>
        <w:t>采用资产负债表日的即期汇率折算为人民币，所产生的折算差额除了为购建或生产符合资本化条件的资产</w:t>
      </w:r>
      <w:r>
        <w:rPr>
          <w:spacing w:val="4"/>
        </w:rPr>
        <w:t> </w:t>
      </w:r>
      <w:r>
        <w:rPr>
          <w:spacing w:val="4"/>
        </w:rPr>
      </w:r>
      <w:r>
        <w:rPr>
          <w:spacing w:val="-3"/>
        </w:rPr>
        <w:t>而借入的外币借款产生的汇兑差额按资本化的原则处理外，直接计入当期损益。以历史成本计量的外币非</w:t>
      </w:r>
      <w:r>
        <w:rPr>
          <w:spacing w:val="4"/>
        </w:rPr>
        <w:t> </w:t>
      </w:r>
      <w:r>
        <w:rPr>
          <w:spacing w:val="4"/>
        </w:rPr>
      </w:r>
      <w:r>
        <w:rPr/>
        <w:t>货币性项目，于资产负债表日采用交易发生日的即期汇率折算。</w:t>
      </w:r>
    </w:p>
    <w:p>
      <w:pPr>
        <w:pStyle w:val="BodyText"/>
        <w:spacing w:line="600" w:lineRule="atLeast"/>
        <w:ind w:left="488" w:right="0" w:hanging="336"/>
        <w:jc w:val="left"/>
      </w:pPr>
      <w:r>
        <w:rPr/>
        <w:t>（</w:t>
      </w:r>
      <w:r>
        <w:rPr>
          <w:rFonts w:ascii="Times New Roman" w:hAnsi="Times New Roman" w:cs="Times New Roman" w:eastAsia="Times New Roman" w:hint="default"/>
          <w:b/>
          <w:bCs/>
        </w:rPr>
        <w:t>2</w:t>
      </w:r>
      <w:r>
        <w:rPr/>
        <w:t>）外币财务报表的折算</w:t>
      </w:r>
      <w:r>
        <w:rPr>
          <w:spacing w:val="-99"/>
        </w:rPr>
        <w:t> </w:t>
      </w:r>
      <w:r>
        <w:rPr>
          <w:spacing w:val="-99"/>
        </w:rPr>
      </w:r>
      <w:r>
        <w:rPr>
          <w:spacing w:val="-2"/>
        </w:rPr>
        <w:t>以非记账本位币编制的资产负债表中的资产和负债项目，采用资产负债表日的即期汇率折算成记账本</w:t>
      </w:r>
    </w:p>
    <w:p>
      <w:pPr>
        <w:pStyle w:val="BodyText"/>
        <w:spacing w:line="273" w:lineRule="auto" w:before="37"/>
        <w:ind w:right="221"/>
        <w:jc w:val="both"/>
      </w:pPr>
      <w:r>
        <w:rPr>
          <w:spacing w:val="-3"/>
        </w:rPr>
        <w:t>位币，股东权益中除未分配利润项目外，其他项目采用发生时的即期汇率折算。以非记账本位币编制的利</w:t>
      </w:r>
      <w:r>
        <w:rPr>
          <w:spacing w:val="4"/>
        </w:rPr>
        <w:t> </w:t>
      </w:r>
      <w:r>
        <w:rPr>
          <w:spacing w:val="4"/>
        </w:rPr>
      </w:r>
      <w:r>
        <w:rPr>
          <w:spacing w:val="-3"/>
        </w:rPr>
        <w:t>润表中的收入与费用项目，采用交易发生日的即期汇率折算成记账本位币。上述折算产生的外币报表折算</w:t>
      </w:r>
      <w:r>
        <w:rPr>
          <w:spacing w:val="4"/>
        </w:rPr>
        <w:t> </w:t>
      </w:r>
      <w:r>
        <w:rPr>
          <w:spacing w:val="4"/>
        </w:rPr>
      </w:r>
      <w:r>
        <w:rPr>
          <w:spacing w:val="-3"/>
        </w:rPr>
        <w:t>差额，在股东权益中以单独项目列示。以非记账本位币编制的现金流量表中各项目的现金流量采用现金流</w:t>
      </w:r>
      <w:r>
        <w:rPr>
          <w:spacing w:val="4"/>
        </w:rPr>
        <w:t> </w:t>
      </w:r>
      <w:r>
        <w:rPr>
          <w:spacing w:val="4"/>
        </w:rPr>
      </w:r>
      <w:r>
        <w:rPr/>
        <w:t>量发生日的即期汇率折算成记账本位币。汇率变动对现金的影响额，在现金流量表中单独列示。</w:t>
      </w:r>
    </w:p>
    <w:p>
      <w:pPr>
        <w:spacing w:line="240" w:lineRule="auto" w:before="7"/>
        <w:rPr>
          <w:rFonts w:ascii="宋体" w:hAnsi="宋体" w:cs="宋体" w:eastAsia="宋体" w:hint="default"/>
          <w:sz w:val="23"/>
          <w:szCs w:val="23"/>
        </w:rPr>
      </w:pPr>
    </w:p>
    <w:p>
      <w:pPr>
        <w:pStyle w:val="BodyText"/>
        <w:spacing w:line="240" w:lineRule="auto"/>
        <w:ind w:right="0"/>
        <w:jc w:val="left"/>
      </w:pPr>
      <w:r>
        <w:rPr>
          <w:rFonts w:ascii="Times New Roman" w:hAnsi="Times New Roman" w:cs="Times New Roman" w:eastAsia="Times New Roman" w:hint="default"/>
          <w:b/>
          <w:bCs/>
        </w:rPr>
        <w:t>9</w:t>
      </w:r>
      <w:r>
        <w:rPr/>
        <w:t>、金融工具</w:t>
      </w:r>
    </w:p>
    <w:p>
      <w:pPr>
        <w:pStyle w:val="BodyText"/>
        <w:spacing w:line="600" w:lineRule="atLeast" w:before="12"/>
        <w:ind w:left="572" w:right="0" w:hanging="420"/>
        <w:jc w:val="left"/>
      </w:pPr>
      <w:r>
        <w:rPr/>
        <w:t>（</w:t>
      </w:r>
      <w:r>
        <w:rPr>
          <w:rFonts w:ascii="Times New Roman" w:hAnsi="Times New Roman" w:cs="Times New Roman" w:eastAsia="Times New Roman" w:hint="default"/>
          <w:b/>
          <w:bCs/>
        </w:rPr>
        <w:t>1</w:t>
      </w:r>
      <w:r>
        <w:rPr/>
        <w:t>）金融工具的分类</w:t>
      </w:r>
      <w:r>
        <w:rPr>
          <w:spacing w:val="-100"/>
        </w:rPr>
        <w:t> </w:t>
      </w:r>
      <w:r>
        <w:rPr>
          <w:spacing w:val="-100"/>
        </w:rPr>
      </w:r>
      <w:r>
        <w:rPr>
          <w:spacing w:val="-3"/>
        </w:rPr>
        <w:t>金融资产于初始确认时分类为：以公允价值计量且其变动计入当期损益的金融资产、应收款项、可供</w:t>
      </w:r>
    </w:p>
    <w:p>
      <w:pPr>
        <w:pStyle w:val="BodyText"/>
        <w:spacing w:line="240" w:lineRule="auto" w:before="37"/>
        <w:ind w:right="0"/>
        <w:jc w:val="left"/>
      </w:pPr>
      <w:r>
        <w:rPr/>
        <w:t>出售金融资产和持有至到期投资。金融资产的分类取决于本公司对金融资产的持有意图和持有能力。</w:t>
      </w:r>
    </w:p>
    <w:p>
      <w:pPr>
        <w:spacing w:line="240" w:lineRule="auto" w:before="10"/>
        <w:rPr>
          <w:rFonts w:ascii="宋体" w:hAnsi="宋体" w:cs="宋体" w:eastAsia="宋体" w:hint="default"/>
          <w:sz w:val="14"/>
          <w:szCs w:val="14"/>
        </w:rPr>
      </w:pPr>
    </w:p>
    <w:p>
      <w:pPr>
        <w:pStyle w:val="BodyText"/>
        <w:spacing w:line="273" w:lineRule="auto"/>
        <w:ind w:right="199" w:firstLine="419"/>
        <w:jc w:val="both"/>
      </w:pPr>
      <w:r>
        <w:rPr>
          <w:spacing w:val="-2"/>
        </w:rPr>
        <w:t>金融负债于初始确认时分类为：以公允价值计量且其变动计入当期损益的金融负债和其他金融负债。</w:t>
      </w:r>
      <w:r>
        <w:rPr>
          <w:w w:val="100"/>
        </w:rPr>
        <w:t> </w:t>
      </w:r>
      <w:r>
        <w:rPr>
          <w:spacing w:val="-3"/>
        </w:rPr>
        <w:t>以公允价值计量且其变动计入当期损益的金融负债，包括交易性金融负债和初始确认时指定为以公允价值</w:t>
      </w:r>
      <w:r>
        <w:rPr>
          <w:spacing w:val="4"/>
        </w:rPr>
        <w:t> </w:t>
      </w:r>
      <w:r>
        <w:rPr>
          <w:spacing w:val="4"/>
        </w:rPr>
      </w:r>
      <w:r>
        <w:rPr/>
        <w:t>计量且其变动计入当期损益的金融负债。</w:t>
      </w:r>
    </w:p>
    <w:p>
      <w:pPr>
        <w:spacing w:line="240" w:lineRule="auto" w:before="7"/>
        <w:rPr>
          <w:rFonts w:ascii="宋体" w:hAnsi="宋体" w:cs="宋体" w:eastAsia="宋体" w:hint="default"/>
          <w:sz w:val="23"/>
          <w:szCs w:val="23"/>
        </w:rPr>
      </w:pPr>
    </w:p>
    <w:p>
      <w:pPr>
        <w:pStyle w:val="BodyText"/>
        <w:spacing w:line="506" w:lineRule="auto"/>
        <w:ind w:left="404" w:right="0" w:hanging="252"/>
        <w:jc w:val="left"/>
      </w:pPr>
      <w:r>
        <w:rPr/>
        <w:t>（</w:t>
      </w:r>
      <w:r>
        <w:rPr>
          <w:rFonts w:ascii="Times New Roman" w:hAnsi="Times New Roman" w:cs="Times New Roman" w:eastAsia="Times New Roman" w:hint="default"/>
          <w:b/>
          <w:bCs/>
        </w:rPr>
        <w:t>2</w:t>
      </w:r>
      <w:r>
        <w:rPr/>
        <w:t>）金融工具的确认依据和计量方法</w:t>
      </w:r>
      <w:r>
        <w:rPr>
          <w:spacing w:val="-97"/>
        </w:rPr>
        <w:t> </w:t>
      </w:r>
      <w:r>
        <w:rPr>
          <w:spacing w:val="-97"/>
        </w:rPr>
      </w:r>
      <w:r>
        <w:rPr>
          <w:spacing w:val="-2"/>
        </w:rPr>
        <w:t>本公司于成为金融工具合同的一方时确认一项金融资产或金融负债。初始确认金融资产或金融负债时，</w:t>
      </w:r>
    </w:p>
    <w:p>
      <w:pPr>
        <w:spacing w:after="0" w:line="506" w:lineRule="auto"/>
        <w:jc w:val="left"/>
        <w:sectPr>
          <w:pgSz w:w="11900" w:h="16840"/>
          <w:pgMar w:header="746" w:footer="982" w:top="1060" w:bottom="1180" w:left="980" w:right="900"/>
        </w:sectPr>
      </w:pPr>
    </w:p>
    <w:p>
      <w:pPr>
        <w:spacing w:line="240" w:lineRule="auto" w:before="10"/>
        <w:rPr>
          <w:rFonts w:ascii="宋体" w:hAnsi="宋体" w:cs="宋体" w:eastAsia="宋体" w:hint="default"/>
          <w:sz w:val="24"/>
          <w:szCs w:val="24"/>
        </w:rPr>
      </w:pPr>
    </w:p>
    <w:p>
      <w:pPr>
        <w:pStyle w:val="BodyText"/>
        <w:spacing w:line="408" w:lineRule="auto" w:before="36"/>
        <w:ind w:left="404" w:right="4490" w:hanging="252"/>
        <w:jc w:val="left"/>
      </w:pPr>
      <w:r>
        <w:rPr>
          <w:spacing w:val="-2"/>
        </w:rPr>
        <w:t>以公允价值计量且其变动计入当期损益。</w:t>
      </w:r>
      <w:r>
        <w:rPr>
          <w:spacing w:val="-69"/>
        </w:rPr>
        <w:t> </w:t>
      </w:r>
      <w:r>
        <w:rPr>
          <w:spacing w:val="-69"/>
        </w:rPr>
      </w:r>
      <w:r>
        <w:rPr/>
        <w:t>金融资产的计量：</w:t>
      </w:r>
    </w:p>
    <w:p>
      <w:pPr>
        <w:pStyle w:val="BodyText"/>
        <w:spacing w:line="273" w:lineRule="auto" w:before="46"/>
        <w:ind w:right="201" w:firstLine="336"/>
        <w:jc w:val="both"/>
      </w:pPr>
      <w:r>
        <w:rPr>
          <w:spacing w:val="-2"/>
        </w:rPr>
        <w:t>金融资产于本公司成为金融工具合同的一方时，按公允价值在资产负债表内确认。以公允价值计量且</w:t>
      </w:r>
      <w:r>
        <w:rPr>
          <w:w w:val="100"/>
        </w:rPr>
        <w:t> </w:t>
      </w:r>
      <w:r>
        <w:rPr>
          <w:spacing w:val="-3"/>
        </w:rPr>
        <w:t>其变动计入当期损益的金融资产，取得时发生的相关交易费用直接计入当期损益。其他金融资产的相关交</w:t>
      </w:r>
      <w:r>
        <w:rPr>
          <w:spacing w:val="4"/>
        </w:rPr>
        <w:t> </w:t>
      </w:r>
      <w:r>
        <w:rPr>
          <w:spacing w:val="4"/>
        </w:rPr>
      </w:r>
      <w:r>
        <w:rPr/>
        <w:t>易费用计入初始确认金额。</w:t>
      </w:r>
    </w:p>
    <w:p>
      <w:pPr>
        <w:pStyle w:val="BodyText"/>
        <w:spacing w:line="273" w:lineRule="auto" w:before="163"/>
        <w:ind w:right="201" w:firstLine="336"/>
        <w:jc w:val="both"/>
      </w:pPr>
      <w:r>
        <w:rPr>
          <w:spacing w:val="-2"/>
        </w:rPr>
        <w:t>以公允价值计量且其变动计入当期损益的金融资产和可供出售金融资产按照公允价值进行后续计量，</w:t>
      </w:r>
      <w:r>
        <w:rPr>
          <w:w w:val="100"/>
        </w:rPr>
        <w:t> </w:t>
      </w:r>
      <w:r>
        <w:rPr>
          <w:spacing w:val="-3"/>
        </w:rPr>
        <w:t>但在活跃市场中没有报价且其公允价值不能可靠计量的权益工具投资，按照成本计量；应收款项以及持有</w:t>
      </w:r>
      <w:r>
        <w:rPr>
          <w:spacing w:val="4"/>
        </w:rPr>
        <w:t> </w:t>
      </w:r>
      <w:r>
        <w:rPr>
          <w:spacing w:val="4"/>
        </w:rPr>
      </w:r>
      <w:r>
        <w:rPr/>
        <w:t>至到期投资采用实际利率法，以摊余成本计量。</w:t>
      </w:r>
    </w:p>
    <w:p>
      <w:pPr>
        <w:pStyle w:val="BodyText"/>
        <w:spacing w:line="273" w:lineRule="auto" w:before="163"/>
        <w:ind w:right="263" w:firstLine="336"/>
        <w:jc w:val="both"/>
      </w:pPr>
      <w:r>
        <w:rPr>
          <w:spacing w:val="-2"/>
        </w:rPr>
        <w:t>以公允价值计量且其变动计入当期损益的金融资产的公允价值变动计入公允价值变动损益；在资产持</w:t>
      </w:r>
      <w:r>
        <w:rPr>
          <w:w w:val="100"/>
        </w:rPr>
        <w:t> </w:t>
      </w:r>
      <w:r>
        <w:rPr/>
        <w:t>有期间所取得的利息或现金股利以及在处置时产生的处置损益，计入当期损益。</w:t>
      </w:r>
    </w:p>
    <w:p>
      <w:pPr>
        <w:pStyle w:val="BodyText"/>
        <w:spacing w:line="273" w:lineRule="auto" w:before="163"/>
        <w:ind w:right="136" w:firstLine="252"/>
        <w:jc w:val="both"/>
      </w:pPr>
      <w:r>
        <w:rPr>
          <w:spacing w:val="-2"/>
        </w:rPr>
        <w:t>除减值损失及外币货币性金融资产形成的汇兑损益外，可供出售金融资产公允价值变动计入股东权益，</w:t>
      </w:r>
      <w:r>
        <w:rPr>
          <w:w w:val="100"/>
        </w:rPr>
        <w:t> </w:t>
      </w:r>
      <w:r>
        <w:rPr>
          <w:spacing w:val="-3"/>
        </w:rPr>
        <w:t>待该金融资产终止确认时，原直接计入权益的公允价值变动累计额转入当期损益。可供出售债务工具投资</w:t>
      </w:r>
      <w:r>
        <w:rPr>
          <w:spacing w:val="4"/>
        </w:rPr>
        <w:t> </w:t>
      </w:r>
      <w:r>
        <w:rPr>
          <w:spacing w:val="4"/>
        </w:rPr>
      </w:r>
      <w:r>
        <w:rPr>
          <w:spacing w:val="-3"/>
        </w:rPr>
        <w:t>在持有期间按实际利率法计算利息，计入投资收益；可供出售权益工具投资的现金股利，于被投资单位宣</w:t>
      </w:r>
      <w:r>
        <w:rPr>
          <w:spacing w:val="4"/>
        </w:rPr>
        <w:t> </w:t>
      </w:r>
      <w:r>
        <w:rPr>
          <w:spacing w:val="4"/>
        </w:rPr>
      </w:r>
      <w:r>
        <w:rPr/>
        <w:t>告发放股利时计入投资收益。</w:t>
      </w:r>
    </w:p>
    <w:p>
      <w:pPr>
        <w:pStyle w:val="BodyText"/>
        <w:spacing w:line="468" w:lineRule="exact" w:before="34"/>
        <w:ind w:left="404" w:right="96" w:firstLine="84"/>
        <w:jc w:val="left"/>
      </w:pPr>
      <w:r>
        <w:rPr/>
        <w:t>金融负债的计量：</w:t>
      </w:r>
      <w:r>
        <w:rPr>
          <w:w w:val="100"/>
        </w:rPr>
        <w:t> </w:t>
      </w:r>
      <w:r>
        <w:rPr>
          <w:spacing w:val="-4"/>
        </w:rPr>
        <w:t>金融负债于本公司成为金融工具合同的一方时，按公允价值在资产负债表内确认。以公允价值计量且其</w:t>
      </w:r>
    </w:p>
    <w:p>
      <w:pPr>
        <w:pStyle w:val="BodyText"/>
        <w:spacing w:line="248" w:lineRule="exact"/>
        <w:ind w:right="96"/>
        <w:jc w:val="left"/>
      </w:pPr>
      <w:r>
        <w:rPr>
          <w:spacing w:val="-3"/>
        </w:rPr>
        <w:t>变动计入当期损益的金融负债，取得时发生的相关交易费用直接计入当期损益；其他金融负债的相关交易</w:t>
      </w:r>
    </w:p>
    <w:p>
      <w:pPr>
        <w:pStyle w:val="BodyText"/>
        <w:spacing w:line="240" w:lineRule="auto" w:before="37"/>
        <w:ind w:right="4490"/>
        <w:jc w:val="left"/>
      </w:pPr>
      <w:r>
        <w:rPr/>
        <w:t>费用计入初始确认金额。</w:t>
      </w:r>
    </w:p>
    <w:p>
      <w:pPr>
        <w:spacing w:line="240" w:lineRule="auto" w:before="10"/>
        <w:rPr>
          <w:rFonts w:ascii="宋体" w:hAnsi="宋体" w:cs="宋体" w:eastAsia="宋体" w:hint="default"/>
          <w:sz w:val="14"/>
          <w:szCs w:val="14"/>
        </w:rPr>
      </w:pPr>
    </w:p>
    <w:p>
      <w:pPr>
        <w:pStyle w:val="BodyText"/>
        <w:spacing w:line="273" w:lineRule="auto"/>
        <w:ind w:right="205" w:firstLine="252"/>
        <w:jc w:val="both"/>
      </w:pPr>
      <w:r>
        <w:rPr>
          <w:spacing w:val="-4"/>
        </w:rPr>
        <w:t>以公允价值计量且其变动计入当期损益的金融负债，按照公允价值后续计量，且不扣除将来结清金融负</w:t>
      </w:r>
      <w:r>
        <w:rPr>
          <w:w w:val="100"/>
        </w:rPr>
        <w:t> </w:t>
      </w:r>
      <w:r>
        <w:rPr/>
        <w:t>债时可能发生的交易费用。</w:t>
      </w:r>
    </w:p>
    <w:p>
      <w:pPr>
        <w:pStyle w:val="BodyText"/>
        <w:spacing w:line="240" w:lineRule="auto" w:before="163"/>
        <w:ind w:left="404" w:right="1318"/>
        <w:jc w:val="left"/>
      </w:pPr>
      <w:r>
        <w:rPr/>
        <w:t>其他金融负债，采用实际利率法，按照摊余成本进行后续计量。</w:t>
      </w:r>
    </w:p>
    <w:p>
      <w:pPr>
        <w:pStyle w:val="BodyText"/>
        <w:spacing w:line="600" w:lineRule="atLeast" w:before="28"/>
        <w:ind w:left="404" w:right="4490" w:hanging="252"/>
        <w:jc w:val="left"/>
      </w:pPr>
      <w:r>
        <w:rPr/>
        <w:t>（</w:t>
      </w:r>
      <w:r>
        <w:rPr>
          <w:rFonts w:ascii="Times New Roman" w:hAnsi="Times New Roman" w:cs="Times New Roman" w:eastAsia="Times New Roman" w:hint="default"/>
          <w:b/>
          <w:bCs/>
        </w:rPr>
        <w:t>3</w:t>
      </w:r>
      <w:r>
        <w:rPr/>
        <w:t>）金融资产转移的确认依据和计量方法</w:t>
      </w:r>
      <w:r>
        <w:rPr>
          <w:spacing w:val="-95"/>
        </w:rPr>
        <w:t> </w:t>
      </w:r>
      <w:r>
        <w:rPr>
          <w:spacing w:val="-95"/>
        </w:rPr>
      </w:r>
      <w:r>
        <w:rPr>
          <w:spacing w:val="-2"/>
        </w:rPr>
        <w:t>金融资产满足下列条件之一的，终止确认：</w:t>
      </w:r>
    </w:p>
    <w:p>
      <w:pPr>
        <w:spacing w:line="240" w:lineRule="auto" w:before="10"/>
        <w:rPr>
          <w:rFonts w:ascii="宋体" w:hAnsi="宋体" w:cs="宋体" w:eastAsia="宋体" w:hint="default"/>
          <w:sz w:val="14"/>
          <w:szCs w:val="14"/>
        </w:rPr>
      </w:pPr>
    </w:p>
    <w:p>
      <w:pPr>
        <w:pStyle w:val="BodyText"/>
        <w:spacing w:line="240" w:lineRule="auto"/>
        <w:ind w:left="320" w:right="4490"/>
        <w:jc w:val="left"/>
      </w:pPr>
      <w:r>
        <w:rPr/>
        <w:t>（</w:t>
      </w:r>
      <w:r>
        <w:rPr>
          <w:rFonts w:ascii="Times New Roman" w:hAnsi="Times New Roman" w:cs="Times New Roman" w:eastAsia="Times New Roman" w:hint="default"/>
        </w:rPr>
        <w:t>1</w:t>
      </w:r>
      <w:r>
        <w:rPr/>
        <w:t>）收取该金融资产现金流量的合同权利终止；</w:t>
      </w:r>
    </w:p>
    <w:p>
      <w:pPr>
        <w:pStyle w:val="BodyText"/>
        <w:spacing w:line="450" w:lineRule="atLeast" w:before="18"/>
        <w:ind w:left="404" w:right="96" w:hanging="84"/>
        <w:jc w:val="left"/>
      </w:pPr>
      <w:r>
        <w:rPr>
          <w:spacing w:val="-6"/>
        </w:rPr>
        <w:t>（</w:t>
      </w:r>
      <w:r>
        <w:rPr>
          <w:rFonts w:ascii="Times New Roman" w:hAnsi="Times New Roman" w:cs="Times New Roman" w:eastAsia="Times New Roman" w:hint="default"/>
          <w:spacing w:val="-6"/>
        </w:rPr>
        <w:t>2</w:t>
      </w:r>
      <w:r>
        <w:rPr>
          <w:spacing w:val="-6"/>
        </w:rPr>
        <w:t>）该金融资产已转移，且符合《企业会计准则第</w:t>
      </w:r>
      <w:r>
        <w:rPr>
          <w:rFonts w:ascii="Times New Roman" w:hAnsi="Times New Roman" w:cs="Times New Roman" w:eastAsia="Times New Roman" w:hint="default"/>
          <w:spacing w:val="-6"/>
        </w:rPr>
        <w:t>23</w:t>
      </w:r>
      <w:r>
        <w:rPr>
          <w:spacing w:val="-6"/>
        </w:rPr>
        <w:t>号－金融资产转移》规定的金融资产终止确认条件。</w:t>
      </w:r>
      <w:r>
        <w:rPr>
          <w:spacing w:val="-18"/>
        </w:rPr>
        <w:t> </w:t>
      </w:r>
      <w:r>
        <w:rPr>
          <w:spacing w:val="-18"/>
        </w:rPr>
      </w:r>
      <w:r>
        <w:rPr>
          <w:spacing w:val="-4"/>
        </w:rPr>
        <w:t>金融资产于本公司成为金融工具合同的一方时，按公允价值在资产负债表内确认。以公允价值计量且其</w:t>
      </w:r>
    </w:p>
    <w:p>
      <w:pPr>
        <w:pStyle w:val="BodyText"/>
        <w:spacing w:line="273" w:lineRule="auto" w:before="37"/>
        <w:ind w:right="96"/>
        <w:jc w:val="left"/>
      </w:pPr>
      <w:r>
        <w:rPr>
          <w:spacing w:val="-3"/>
        </w:rPr>
        <w:t>变动计入当期损益的金融资产，取得时发生的相关交易费用直接计入当期损益。其他金融资产的相关交易</w:t>
      </w:r>
      <w:r>
        <w:rPr>
          <w:spacing w:val="4"/>
        </w:rPr>
        <w:t> </w:t>
      </w:r>
      <w:r>
        <w:rPr>
          <w:spacing w:val="4"/>
        </w:rPr>
      </w:r>
      <w:r>
        <w:rPr/>
        <w:t>费用计入初始确认金额。</w:t>
      </w:r>
    </w:p>
    <w:p>
      <w:pPr>
        <w:pStyle w:val="BodyText"/>
        <w:spacing w:line="273" w:lineRule="auto" w:before="163"/>
        <w:ind w:right="201" w:firstLine="252"/>
        <w:jc w:val="both"/>
      </w:pPr>
      <w:r>
        <w:rPr>
          <w:spacing w:val="-4"/>
        </w:rPr>
        <w:t>以公允价值计量且其变动计入当期损益的金融资产和可供出售金融资产按照公允价值进行后续计量，但</w:t>
      </w:r>
      <w:r>
        <w:rPr>
          <w:w w:val="100"/>
        </w:rPr>
        <w:t> </w:t>
      </w:r>
      <w:r>
        <w:rPr>
          <w:spacing w:val="-3"/>
        </w:rPr>
        <w:t>在活跃市场中没有报价且其公允价值不能可靠计量的权益工具投资，按照成本计量；应收款项以及持有至</w:t>
      </w:r>
      <w:r>
        <w:rPr>
          <w:spacing w:val="4"/>
        </w:rPr>
        <w:t> </w:t>
      </w:r>
      <w:r>
        <w:rPr>
          <w:spacing w:val="4"/>
        </w:rPr>
      </w:r>
      <w:r>
        <w:rPr/>
        <w:t>到期投资采用实际利率法，以摊余成本计量。</w:t>
      </w:r>
    </w:p>
    <w:p>
      <w:pPr>
        <w:pStyle w:val="BodyText"/>
        <w:spacing w:line="273" w:lineRule="auto" w:before="163"/>
        <w:ind w:right="203" w:firstLine="252"/>
        <w:jc w:val="both"/>
      </w:pPr>
      <w:r>
        <w:rPr>
          <w:spacing w:val="-4"/>
        </w:rPr>
        <w:t>以公允价值计量且其变动计入当期损益的金融资产的公允价值变动计入公允价值变动损益；在资产持有</w:t>
      </w:r>
      <w:r>
        <w:rPr>
          <w:w w:val="100"/>
        </w:rPr>
        <w:t> </w:t>
      </w:r>
      <w:r>
        <w:rPr/>
        <w:t>期间所取得的利息或现金股利以及在处置时产生的处置损益，计入当期损益。</w:t>
      </w:r>
    </w:p>
    <w:p>
      <w:pPr>
        <w:pStyle w:val="BodyText"/>
        <w:spacing w:line="273" w:lineRule="auto" w:before="163"/>
        <w:ind w:right="136" w:firstLine="252"/>
        <w:jc w:val="both"/>
      </w:pPr>
      <w:r>
        <w:rPr>
          <w:spacing w:val="-2"/>
        </w:rPr>
        <w:t>除减值损失及外币货币性金融资产形成的汇兑损益外，可供出售金融资产公允价值变动计入股东权益，</w:t>
      </w:r>
      <w:r>
        <w:rPr>
          <w:w w:val="100"/>
        </w:rPr>
        <w:t> </w:t>
      </w:r>
      <w:r>
        <w:rPr>
          <w:spacing w:val="-3"/>
        </w:rPr>
        <w:t>待该金融资产终止确认时，原直接计入权益的公允价值变动累计额转入当期损益。可供出售债务工具投资</w:t>
      </w:r>
    </w:p>
    <w:p>
      <w:pPr>
        <w:spacing w:after="0" w:line="273" w:lineRule="auto"/>
        <w:jc w:val="both"/>
        <w:sectPr>
          <w:pgSz w:w="11900" w:h="16840"/>
          <w:pgMar w:header="746" w:footer="982" w:top="1060" w:bottom="118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5"/>
        <w:jc w:val="left"/>
      </w:pPr>
      <w:r>
        <w:rPr>
          <w:spacing w:val="-3"/>
        </w:rPr>
        <w:t>在持有期间按实际利率法计算利息，计入投资收益；可供出售权益工具投资的现金股利，于被投资单位宣</w:t>
      </w:r>
      <w:r>
        <w:rPr>
          <w:spacing w:val="4"/>
        </w:rPr>
        <w:t> </w:t>
      </w:r>
      <w:r>
        <w:rPr>
          <w:spacing w:val="4"/>
        </w:rPr>
      </w:r>
      <w:r>
        <w:rPr/>
        <w:t>告发放股利时计入投资收益。</w:t>
      </w:r>
    </w:p>
    <w:p>
      <w:pPr>
        <w:spacing w:line="240" w:lineRule="auto" w:before="7"/>
        <w:rPr>
          <w:rFonts w:ascii="宋体" w:hAnsi="宋体" w:cs="宋体" w:eastAsia="宋体" w:hint="default"/>
          <w:sz w:val="23"/>
          <w:szCs w:val="23"/>
        </w:rPr>
      </w:pPr>
    </w:p>
    <w:p>
      <w:pPr>
        <w:pStyle w:val="BodyText"/>
        <w:spacing w:line="506" w:lineRule="auto"/>
        <w:ind w:left="404" w:right="145" w:hanging="252"/>
        <w:jc w:val="left"/>
      </w:pPr>
      <w:r>
        <w:rPr/>
        <w:t>（</w:t>
      </w:r>
      <w:r>
        <w:rPr>
          <w:rFonts w:ascii="Times New Roman" w:hAnsi="Times New Roman" w:cs="Times New Roman" w:eastAsia="Times New Roman" w:hint="default"/>
          <w:b/>
          <w:bCs/>
        </w:rPr>
        <w:t>4</w:t>
      </w:r>
      <w:r>
        <w:rPr/>
        <w:t>）金融负债终止确认条件</w:t>
      </w:r>
      <w:r>
        <w:rPr>
          <w:spacing w:val="-100"/>
        </w:rPr>
        <w:t> </w:t>
      </w:r>
      <w:r>
        <w:rPr>
          <w:spacing w:val="-100"/>
        </w:rPr>
      </w:r>
      <w:r>
        <w:rPr>
          <w:spacing w:val="-2"/>
        </w:rPr>
        <w:t>金融负债的现时义务全部或部分已经解除的，终止确认该金融负债或其一部分。</w:t>
      </w:r>
    </w:p>
    <w:p>
      <w:pPr>
        <w:pStyle w:val="BodyText"/>
        <w:spacing w:line="240" w:lineRule="auto" w:before="104"/>
        <w:ind w:right="145"/>
        <w:jc w:val="left"/>
      </w:pPr>
      <w:r>
        <w:rPr/>
        <w:t>（</w:t>
      </w:r>
      <w:r>
        <w:rPr>
          <w:rFonts w:ascii="Times New Roman" w:hAnsi="Times New Roman" w:cs="Times New Roman" w:eastAsia="Times New Roman" w:hint="default"/>
          <w:b/>
          <w:bCs/>
        </w:rPr>
        <w:t>5</w:t>
      </w:r>
      <w:r>
        <w:rPr/>
        <w:t>）金融资产和金融负债公允价值的确定方法</w:t>
      </w:r>
    </w:p>
    <w:p>
      <w:pPr>
        <w:spacing w:line="240" w:lineRule="auto" w:before="7"/>
        <w:rPr>
          <w:rFonts w:ascii="宋体" w:hAnsi="宋体" w:cs="宋体" w:eastAsia="宋体" w:hint="default"/>
          <w:sz w:val="24"/>
          <w:szCs w:val="24"/>
        </w:rPr>
      </w:pPr>
    </w:p>
    <w:p>
      <w:pPr>
        <w:pStyle w:val="BodyText"/>
        <w:spacing w:line="273" w:lineRule="auto"/>
        <w:ind w:right="141" w:firstLine="252"/>
        <w:jc w:val="both"/>
      </w:pPr>
      <w:r>
        <w:rPr>
          <w:spacing w:val="-4"/>
        </w:rPr>
        <w:t>存在活跃市场的金融资产或金融负债，采用活跃市场中的报价确定其公允价值。金融工具不存在活跃市</w:t>
      </w:r>
      <w:r>
        <w:rPr>
          <w:w w:val="100"/>
        </w:rPr>
        <w:t> </w:t>
      </w:r>
      <w:r>
        <w:rPr>
          <w:spacing w:val="-3"/>
        </w:rPr>
        <w:t>场的，采用估值技术确定其公允价值，估值技术包括参考熟悉情况并自愿交易的各方最近进行的市场交易</w:t>
      </w:r>
      <w:r>
        <w:rPr>
          <w:spacing w:val="4"/>
        </w:rPr>
        <w:t> </w:t>
      </w:r>
      <w:r>
        <w:rPr>
          <w:spacing w:val="4"/>
        </w:rPr>
      </w:r>
      <w:r>
        <w:rPr/>
        <w:t>中使用的价格、参照实质上相同的其他金融工具的当前公允价值、现金流量折现法和期权定价模型等。</w:t>
      </w:r>
    </w:p>
    <w:p>
      <w:pPr>
        <w:pStyle w:val="BodyText"/>
        <w:spacing w:line="600" w:lineRule="atLeast"/>
        <w:ind w:left="488" w:right="145" w:hanging="336"/>
        <w:jc w:val="left"/>
      </w:pPr>
      <w:r>
        <w:rPr/>
        <w:t>（</w:t>
      </w:r>
      <w:r>
        <w:rPr>
          <w:rFonts w:ascii="Times New Roman" w:hAnsi="Times New Roman" w:cs="Times New Roman" w:eastAsia="Times New Roman" w:hint="default"/>
          <w:b/>
          <w:bCs/>
        </w:rPr>
        <w:t>6</w:t>
      </w:r>
      <w:r>
        <w:rPr/>
        <w:t>）金融资产（不含应收款项）减值测试方法、减值准备计提方法</w:t>
      </w:r>
      <w:r>
        <w:rPr>
          <w:spacing w:val="-91"/>
        </w:rPr>
        <w:t> </w:t>
      </w:r>
      <w:r>
        <w:rPr>
          <w:spacing w:val="-91"/>
        </w:rPr>
      </w:r>
      <w:r>
        <w:rPr>
          <w:spacing w:val="-2"/>
        </w:rPr>
        <w:t>除以公允价值计量且其变动计入当期损益的金融资产外，本公司于资产负债表日对金融资产的账面价</w:t>
      </w:r>
    </w:p>
    <w:p>
      <w:pPr>
        <w:pStyle w:val="BodyText"/>
        <w:spacing w:line="240" w:lineRule="auto" w:before="37"/>
        <w:ind w:right="145"/>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264" w:lineRule="auto"/>
        <w:ind w:right="141" w:firstLine="336"/>
        <w:jc w:val="both"/>
      </w:pPr>
      <w:r>
        <w:rPr>
          <w:spacing w:val="-4"/>
        </w:rPr>
        <w:t>以摊余成本计量的金融资产发生减值时，按预计未来现金流量</w:t>
      </w:r>
      <w:r>
        <w:rPr>
          <w:rFonts w:ascii="Times New Roman" w:hAnsi="Times New Roman" w:cs="Times New Roman" w:eastAsia="Times New Roman" w:hint="default"/>
          <w:spacing w:val="-4"/>
        </w:rPr>
        <w:t>(</w:t>
      </w:r>
      <w:r>
        <w:rPr>
          <w:spacing w:val="-4"/>
        </w:rPr>
        <w:t>不包括尚未发生的未来信用损失</w:t>
      </w:r>
      <w:r>
        <w:rPr>
          <w:rFonts w:ascii="Times New Roman" w:hAnsi="Times New Roman" w:cs="Times New Roman" w:eastAsia="Times New Roman" w:hint="default"/>
          <w:spacing w:val="-4"/>
        </w:rPr>
        <w:t>)</w:t>
      </w:r>
      <w:r>
        <w:rPr>
          <w:spacing w:val="-4"/>
        </w:rPr>
        <w:t>现值低</w:t>
      </w:r>
      <w:r>
        <w:rPr>
          <w:w w:val="100"/>
        </w:rPr>
        <w:t> </w:t>
      </w:r>
      <w:r>
        <w:rPr>
          <w:spacing w:val="-3"/>
        </w:rPr>
        <w:t>于账面价值的差额，计提减值准备。如果有客观证据表明该金融资产价值已恢复，且客观上与确认该损失</w:t>
      </w:r>
      <w:r>
        <w:rPr>
          <w:spacing w:val="4"/>
        </w:rPr>
        <w:t> </w:t>
      </w:r>
      <w:r>
        <w:rPr>
          <w:spacing w:val="4"/>
        </w:rPr>
      </w:r>
      <w:r>
        <w:rPr/>
        <w:t>后发生的事项有关，原确认的减值损失予以转回，计入当期损益</w:t>
      </w:r>
    </w:p>
    <w:p>
      <w:pPr>
        <w:pStyle w:val="BodyText"/>
        <w:spacing w:line="273" w:lineRule="auto" w:before="172"/>
        <w:ind w:right="145" w:firstLine="336"/>
        <w:jc w:val="left"/>
      </w:pPr>
      <w:r>
        <w:rPr>
          <w:spacing w:val="-2"/>
        </w:rPr>
        <w:t>当可供出售金融资产的公允价值发生较大幅度或非暂时性下降，原直接计入股东权益的因公允价值下</w:t>
      </w:r>
      <w:r>
        <w:rPr>
          <w:w w:val="100"/>
        </w:rPr>
        <w:t> </w:t>
      </w:r>
      <w:r>
        <w:rPr>
          <w:spacing w:val="-3"/>
        </w:rPr>
        <w:t>降形成的累计损失计入减值损失。对已确认减值损失的可供出售债务工具投资，在期后公允价值上升且客</w:t>
      </w:r>
      <w:r>
        <w:rPr>
          <w:spacing w:val="4"/>
        </w:rPr>
        <w:t> </w:t>
      </w:r>
      <w:r>
        <w:rPr>
          <w:spacing w:val="4"/>
        </w:rPr>
      </w:r>
      <w:r>
        <w:rPr>
          <w:spacing w:val="-3"/>
        </w:rPr>
        <w:t>观上与确认原减值损失确认后发生的事项有关的，原确认的减值损失予以转回，计入当期损益。对已确认</w:t>
      </w:r>
      <w:r>
        <w:rPr>
          <w:spacing w:val="3"/>
        </w:rPr>
        <w:t> </w:t>
      </w:r>
      <w:r>
        <w:rPr>
          <w:spacing w:val="3"/>
        </w:rPr>
      </w:r>
      <w:r>
        <w:rPr/>
        <w:t>减值损失的可供出售权益工具投资，在期后公允价值上升且客观上与确认原减值损失后发生的事项有关</w:t>
      </w:r>
      <w:r>
        <w:rPr>
          <w:w w:val="100"/>
        </w:rPr>
        <w:t> </w:t>
      </w:r>
      <w:r>
        <w:rPr>
          <w:spacing w:val="-3"/>
        </w:rPr>
        <w:t>的，原确认的减值损失予以转回，直接计入股东权益。在活跃市场中没有报价且其公允价值不能可靠计量</w:t>
      </w:r>
      <w:r>
        <w:rPr>
          <w:spacing w:val="2"/>
        </w:rPr>
        <w:t> </w:t>
      </w:r>
      <w:r>
        <w:rPr>
          <w:spacing w:val="2"/>
        </w:rPr>
      </w:r>
      <w:r>
        <w:rPr/>
        <w:t>的权益工具投资发生的减值损失，如果在以后期间价值得以恢复，也不予转回。</w:t>
      </w:r>
    </w:p>
    <w:p>
      <w:pPr>
        <w:spacing w:line="240" w:lineRule="auto" w:before="7"/>
        <w:rPr>
          <w:rFonts w:ascii="宋体" w:hAnsi="宋体" w:cs="宋体" w:eastAsia="宋体" w:hint="default"/>
          <w:sz w:val="23"/>
          <w:szCs w:val="23"/>
        </w:rPr>
      </w:pPr>
    </w:p>
    <w:p>
      <w:pPr>
        <w:pStyle w:val="BodyText"/>
        <w:spacing w:line="240" w:lineRule="auto"/>
        <w:ind w:right="145"/>
        <w:jc w:val="left"/>
      </w:pPr>
      <w:r>
        <w:rPr/>
        <w:t>（</w:t>
      </w:r>
      <w:r>
        <w:rPr>
          <w:rFonts w:ascii="Times New Roman" w:hAnsi="Times New Roman" w:cs="Times New Roman" w:eastAsia="Times New Roman" w:hint="default"/>
          <w:b/>
          <w:bCs/>
        </w:rPr>
        <w:t>7</w:t>
      </w:r>
      <w:r>
        <w:rPr/>
        <w:t>）将尚未到期的持有至到期投资重分类为可供出售金融资产的，说明持有意图或能力发生改变的依据</w:t>
      </w:r>
    </w:p>
    <w:p>
      <w:pPr>
        <w:spacing w:line="240" w:lineRule="auto" w:before="7"/>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10</w:t>
      </w:r>
      <w:r>
        <w:rPr/>
        <w:t>、应收款项坏账准备的确认标准和计提方法</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）单项金额重大的应收款项坏账准备</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5054"/>
        <w:gridCol w:w="4514"/>
      </w:tblGrid>
      <w:tr>
        <w:trPr>
          <w:trHeight w:val="403" w:hRule="exact"/>
        </w:trPr>
        <w:tc>
          <w:tcPr>
            <w:tcW w:w="5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pacing w:val="-1"/>
                <w:sz w:val="18"/>
                <w:szCs w:val="18"/>
              </w:rPr>
              <w:t>根据该款项预计未来现金流量现值低于其账面价值的差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额，单独进行减值测试，计提坏账准备。</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）按组合计提坏账准备的应收款项</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599"/>
        <w:gridCol w:w="2186"/>
        <w:gridCol w:w="4783"/>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18" w:right="95"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w:t>
            </w:r>
            <w:r>
              <w:rPr>
                <w:rFonts w:ascii="宋体" w:hAnsi="宋体" w:cs="宋体" w:eastAsia="宋体" w:hint="default"/>
                <w:w w:val="100"/>
                <w:sz w:val="18"/>
                <w:szCs w:val="18"/>
              </w:rPr>
              <w:t> </w:t>
            </w:r>
            <w:r>
              <w:rPr>
                <w:rFonts w:ascii="宋体" w:hAnsi="宋体" w:cs="宋体" w:eastAsia="宋体" w:hint="default"/>
                <w:sz w:val="18"/>
                <w:szCs w:val="18"/>
              </w:rPr>
              <w:t>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7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pacing w:val="-1"/>
                <w:sz w:val="18"/>
                <w:szCs w:val="18"/>
              </w:rPr>
              <w:t>对于单独进行减值测试后未发生减值的应收款项按款项性质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特征划分为若干组合，根据以前年度与之相同或相类似的、</w:t>
            </w:r>
          </w:p>
        </w:tc>
      </w:tr>
    </w:tbl>
    <w:p>
      <w:pPr>
        <w:spacing w:after="0" w:line="316"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153" w:firstLine="0"/>
        <w:jc w:val="right"/>
        <w:rPr>
          <w:rFonts w:ascii="宋体" w:hAnsi="宋体" w:cs="宋体" w:eastAsia="宋体" w:hint="default"/>
          <w:sz w:val="18"/>
          <w:szCs w:val="18"/>
        </w:rPr>
      </w:pPr>
      <w:r>
        <w:rPr/>
        <w:pict>
          <v:shape style="position:absolute;margin-left:56.39904pt;margin-top:-16.488371pt;width:479.2pt;height:132.2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9"/>
                    <w:gridCol w:w="2186"/>
                    <w:gridCol w:w="4783"/>
                  </w:tblGrid>
                  <w:tr>
                    <w:trPr>
                      <w:trHeight w:val="986" w:hRule="exact"/>
                    </w:trPr>
                    <w:tc>
                      <w:tcPr>
                        <w:tcW w:w="2599"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0"/>
                          <w:jc w:val="left"/>
                          <w:rPr>
                            <w:rFonts w:ascii="宋体" w:hAnsi="宋体" w:cs="宋体" w:eastAsia="宋体" w:hint="default"/>
                            <w:sz w:val="18"/>
                            <w:szCs w:val="18"/>
                          </w:rPr>
                        </w:pPr>
                        <w:r>
                          <w:rPr>
                            <w:rFonts w:ascii="宋体" w:hAnsi="宋体" w:cs="宋体" w:eastAsia="宋体" w:hint="default"/>
                            <w:sz w:val="18"/>
                            <w:szCs w:val="18"/>
                          </w:rPr>
                          <w:t>具有类似信用风险特征的应收账款组合的实际损失率为基</w:t>
                        </w:r>
                        <w:r>
                          <w:rPr>
                            <w:rFonts w:ascii="宋体" w:hAnsi="宋体" w:cs="宋体" w:eastAsia="宋体" w:hint="default"/>
                            <w:w w:val="100"/>
                            <w:sz w:val="18"/>
                            <w:szCs w:val="18"/>
                          </w:rPr>
                          <w:t> </w:t>
                        </w:r>
                        <w:r>
                          <w:rPr>
                            <w:rFonts w:ascii="宋体" w:hAnsi="宋体" w:cs="宋体" w:eastAsia="宋体" w:hint="default"/>
                            <w:spacing w:val="-3"/>
                            <w:sz w:val="18"/>
                            <w:szCs w:val="18"/>
                          </w:rPr>
                          <w:t>础，结合现时情况确定本年度各项组合计提坏账准备的比例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据此计算本年度应计提的坏账准备。</w:t>
                        </w:r>
                      </w:p>
                    </w:tc>
                  </w:tr>
                  <w:tr>
                    <w:trPr>
                      <w:trHeight w:val="354" w:hRule="exact"/>
                    </w:trPr>
                    <w:tc>
                      <w:tcPr>
                        <w:tcW w:w="2599" w:type="dxa"/>
                        <w:tcBorders>
                          <w:top w:val="single" w:sz="4" w:space="0" w:color="000000"/>
                          <w:left w:val="single" w:sz="4" w:space="0" w:color="000000"/>
                          <w:bottom w:val="nil" w:sz="6" w:space="0" w:color="auto"/>
                          <w:right w:val="single" w:sz="4" w:space="0" w:color="000000"/>
                        </w:tcBorders>
                      </w:tcPr>
                      <w:p>
                        <w:pPr/>
                      </w:p>
                    </w:tc>
                    <w:tc>
                      <w:tcPr>
                        <w:tcW w:w="2186" w:type="dxa"/>
                        <w:tcBorders>
                          <w:top w:val="single" w:sz="4" w:space="0" w:color="000000"/>
                          <w:left w:val="single" w:sz="4" w:space="0" w:color="000000"/>
                          <w:bottom w:val="nil" w:sz="6" w:space="0" w:color="auto"/>
                          <w:right w:val="single" w:sz="4" w:space="0" w:color="000000"/>
                        </w:tcBorders>
                      </w:tcPr>
                      <w:p>
                        <w:pPr/>
                      </w:p>
                    </w:tc>
                    <w:tc>
                      <w:tcPr>
                        <w:tcW w:w="4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对于未单项计提坏账准备的应收款项按账龄划分为若干组</w:t>
                        </w:r>
                      </w:p>
                    </w:tc>
                  </w:tr>
                  <w:tr>
                    <w:trPr>
                      <w:trHeight w:val="311" w:hRule="exact"/>
                    </w:trPr>
                    <w:tc>
                      <w:tcPr>
                        <w:tcW w:w="2599" w:type="dxa"/>
                        <w:tcBorders>
                          <w:top w:val="nil" w:sz="6" w:space="0" w:color="auto"/>
                          <w:left w:val="single" w:sz="4" w:space="0" w:color="000000"/>
                          <w:bottom w:val="nil" w:sz="6" w:space="0" w:color="auto"/>
                          <w:right w:val="single" w:sz="4" w:space="0" w:color="000000"/>
                        </w:tcBorders>
                      </w:tcPr>
                      <w:p>
                        <w:pPr/>
                      </w:p>
                    </w:tc>
                    <w:tc>
                      <w:tcPr>
                        <w:tcW w:w="2186"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合，根据以前年度与之相同或相类似的、具有类似信用风险</w:t>
                        </w:r>
                      </w:p>
                    </w:tc>
                  </w:tr>
                  <w:tr>
                    <w:trPr>
                      <w:trHeight w:val="313" w:hRule="exact"/>
                    </w:trPr>
                    <w:tc>
                      <w:tcPr>
                        <w:tcW w:w="2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特征的应收账款组合的实际损失率为基础，结合现时情况确</w:t>
                        </w:r>
                      </w:p>
                    </w:tc>
                  </w:tr>
                  <w:tr>
                    <w:trPr>
                      <w:trHeight w:val="311" w:hRule="exact"/>
                    </w:trPr>
                    <w:tc>
                      <w:tcPr>
                        <w:tcW w:w="2599" w:type="dxa"/>
                        <w:tcBorders>
                          <w:top w:val="nil" w:sz="6" w:space="0" w:color="auto"/>
                          <w:left w:val="single" w:sz="4" w:space="0" w:color="000000"/>
                          <w:bottom w:val="nil" w:sz="6" w:space="0" w:color="auto"/>
                          <w:right w:val="single" w:sz="4" w:space="0" w:color="000000"/>
                        </w:tcBorders>
                      </w:tcPr>
                      <w:p>
                        <w:pPr/>
                      </w:p>
                    </w:tc>
                    <w:tc>
                      <w:tcPr>
                        <w:tcW w:w="2186"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定本年度各项组合计提坏账准备的比例，据此计算本年度应</w:t>
                        </w:r>
                      </w:p>
                    </w:tc>
                  </w:tr>
                  <w:tr>
                    <w:trPr>
                      <w:trHeight w:val="360" w:hRule="exact"/>
                    </w:trPr>
                    <w:tc>
                      <w:tcPr>
                        <w:tcW w:w="2599" w:type="dxa"/>
                        <w:tcBorders>
                          <w:top w:val="nil" w:sz="6" w:space="0" w:color="auto"/>
                          <w:left w:val="single" w:sz="4" w:space="0" w:color="000000"/>
                          <w:bottom w:val="single" w:sz="4" w:space="0" w:color="000000"/>
                          <w:right w:val="single" w:sz="4" w:space="0" w:color="000000"/>
                        </w:tcBorders>
                      </w:tcPr>
                      <w:p>
                        <w:pPr/>
                      </w:p>
                    </w:tc>
                    <w:tc>
                      <w:tcPr>
                        <w:tcW w:w="2186" w:type="dxa"/>
                        <w:tcBorders>
                          <w:top w:val="nil" w:sz="6" w:space="0" w:color="auto"/>
                          <w:left w:val="single" w:sz="4" w:space="0" w:color="000000"/>
                          <w:bottom w:val="single" w:sz="4" w:space="0" w:color="000000"/>
                          <w:right w:val="single" w:sz="4" w:space="0" w:color="000000"/>
                        </w:tcBorders>
                      </w:tcPr>
                      <w:p>
                        <w:pPr/>
                      </w:p>
                    </w:tc>
                    <w:tc>
                      <w:tcPr>
                        <w:tcW w:w="4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计提的坏账准备。</w:t>
                        </w:r>
                      </w:p>
                    </w:tc>
                  </w:tr>
                </w:tbl>
                <w:p>
                  <w:pPr/>
                </w:p>
              </w:txbxContent>
            </v:textbox>
            <w10:wrap type="none"/>
          </v:shape>
        </w:pict>
      </w:r>
      <w:r>
        <w:rPr>
          <w:rFonts w:ascii="宋体" w:hAnsi="宋体" w:cs="宋体" w:eastAsia="宋体" w:hint="default"/>
          <w:w w:val="100"/>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576"/>
        <w:gridCol w:w="2987"/>
        <w:gridCol w:w="3994"/>
      </w:tblGrid>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60" w:lineRule="auto" w:before="115"/>
        <w:ind w:left="152" w:right="5247"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组合中，采用其他方法计提坏账准备的</w:t>
      </w:r>
    </w:p>
    <w:p>
      <w:pPr>
        <w:spacing w:before="27"/>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931"/>
        <w:gridCol w:w="5638"/>
      </w:tblGrid>
      <w:tr>
        <w:trPr>
          <w:trHeight w:val="403" w:hRule="exact"/>
        </w:trPr>
        <w:tc>
          <w:tcPr>
            <w:tcW w:w="3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3" w:hRule="exact"/>
        </w:trPr>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）单项金额虽不重大但单项计提坏账准备的应收账款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44"/>
        <w:ind w:left="0" w:right="153" w:firstLine="0"/>
        <w:jc w:val="right"/>
        <w:rPr>
          <w:rFonts w:ascii="宋体" w:hAnsi="宋体" w:cs="宋体" w:eastAsia="宋体" w:hint="default"/>
          <w:sz w:val="18"/>
          <w:szCs w:val="18"/>
        </w:rPr>
      </w:pPr>
      <w:r>
        <w:rPr/>
        <w:pict>
          <v:shape style="position:absolute;margin-left:56.39904pt;margin-top:-36.488201pt;width:479.2pt;height:71.9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4"/>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pacing w:val="-1"/>
                            <w:sz w:val="18"/>
                            <w:szCs w:val="18"/>
                          </w:rPr>
                          <w:t>对于单项金额虽不重大但单项计提坏账准备的应收款项，当存在客观证据表明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本公司将无法按应收款项的原有条款收回所有款项时，确认相应的坏账准备</w:t>
                        </w:r>
                      </w:p>
                    </w:tc>
                  </w:tr>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pacing w:val="-3"/>
                            <w:sz w:val="18"/>
                            <w:szCs w:val="18"/>
                          </w:rPr>
                          <w:t>根据该款项预计未来现金流量现值低于其账面价值的差额，单独进行减值测试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w w:val="100"/>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2"/>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sz w:val="21"/>
          <w:szCs w:val="21"/>
        </w:rPr>
        <w:t>、存货</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）存货的分类</w:t>
      </w:r>
    </w:p>
    <w:p>
      <w:pPr>
        <w:spacing w:line="240" w:lineRule="auto" w:before="2"/>
        <w:rPr>
          <w:rFonts w:ascii="宋体" w:hAnsi="宋体" w:cs="宋体" w:eastAsia="宋体" w:hint="default"/>
          <w:sz w:val="26"/>
          <w:szCs w:val="26"/>
        </w:rPr>
      </w:pPr>
    </w:p>
    <w:p>
      <w:pPr>
        <w:spacing w:before="0"/>
        <w:ind w:left="512" w:right="145" w:firstLine="0"/>
        <w:jc w:val="left"/>
        <w:rPr>
          <w:rFonts w:ascii="宋体" w:hAnsi="宋体" w:cs="宋体" w:eastAsia="宋体" w:hint="default"/>
          <w:sz w:val="18"/>
          <w:szCs w:val="18"/>
        </w:rPr>
      </w:pPr>
      <w:r>
        <w:rPr>
          <w:rFonts w:ascii="宋体" w:hAnsi="宋体" w:cs="宋体" w:eastAsia="宋体" w:hint="default"/>
          <w:sz w:val="18"/>
          <w:szCs w:val="18"/>
        </w:rPr>
        <w:t>存货包括原材料、产成品和周转材料等，按成本与可变现净值孰低列示。</w:t>
      </w:r>
    </w:p>
    <w:p>
      <w:pPr>
        <w:pStyle w:val="BodyText"/>
        <w:spacing w:line="600" w:lineRule="atLeast" w:before="46"/>
        <w:ind w:left="572" w:right="7128" w:hanging="420"/>
        <w:jc w:val="left"/>
      </w:pPr>
      <w:r>
        <w:rPr/>
        <w:t>（</w:t>
      </w:r>
      <w:r>
        <w:rPr>
          <w:rFonts w:ascii="Times New Roman" w:hAnsi="Times New Roman" w:cs="Times New Roman" w:eastAsia="Times New Roman" w:hint="default"/>
          <w:b/>
          <w:bCs/>
        </w:rPr>
        <w:t>2</w:t>
      </w:r>
      <w:r>
        <w:rPr/>
        <w:t>）发出存货的计价方法</w:t>
      </w:r>
      <w:r>
        <w:rPr>
          <w:spacing w:val="-99"/>
        </w:rPr>
        <w:t> </w:t>
      </w:r>
      <w:r>
        <w:rPr>
          <w:spacing w:val="-99"/>
        </w:rPr>
      </w:r>
      <w:r>
        <w:rPr>
          <w:spacing w:val="-2"/>
        </w:rPr>
        <w:t>计价方法：加权平均法</w:t>
      </w:r>
    </w:p>
    <w:p>
      <w:pPr>
        <w:spacing w:line="240" w:lineRule="auto" w:before="10"/>
        <w:rPr>
          <w:rFonts w:ascii="宋体" w:hAnsi="宋体" w:cs="宋体" w:eastAsia="宋体" w:hint="default"/>
          <w:sz w:val="14"/>
          <w:szCs w:val="14"/>
        </w:rPr>
      </w:pPr>
    </w:p>
    <w:p>
      <w:pPr>
        <w:pStyle w:val="BodyText"/>
        <w:spacing w:line="273" w:lineRule="auto"/>
        <w:ind w:right="145" w:firstLine="420"/>
        <w:jc w:val="left"/>
      </w:pPr>
      <w:r>
        <w:rPr>
          <w:spacing w:val="-3"/>
        </w:rPr>
        <w:t>存货发出时的成本按加权平均法核算，产成品成本包括原材料、直接人工以及在正常生产能力下按照</w:t>
      </w:r>
      <w:r>
        <w:rPr>
          <w:w w:val="100"/>
        </w:rPr>
        <w:t> </w:t>
      </w:r>
      <w:r>
        <w:rPr/>
        <w:t>一定方法分配的制造费用。周转材料包括低值易耗品和包装物等。</w:t>
      </w:r>
    </w:p>
    <w:p>
      <w:pPr>
        <w:spacing w:after="0" w:line="273" w:lineRule="auto"/>
        <w:jc w:val="left"/>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318"/>
        <w:jc w:val="left"/>
      </w:pPr>
      <w:r>
        <w:rPr/>
        <w:t>（</w:t>
      </w:r>
      <w:r>
        <w:rPr>
          <w:rFonts w:ascii="Times New Roman" w:hAnsi="Times New Roman" w:cs="Times New Roman" w:eastAsia="Times New Roman" w:hint="default"/>
          <w:b/>
          <w:bCs/>
        </w:rPr>
        <w:t>3</w:t>
      </w:r>
      <w:r>
        <w:rPr/>
        <w:t>）存货可变现净值的确定依据及存货跌价准备的计提方法</w:t>
      </w:r>
    </w:p>
    <w:p>
      <w:pPr>
        <w:spacing w:line="240" w:lineRule="auto" w:before="10"/>
        <w:rPr>
          <w:rFonts w:ascii="宋体" w:hAnsi="宋体" w:cs="宋体" w:eastAsia="宋体" w:hint="default"/>
          <w:sz w:val="24"/>
          <w:szCs w:val="24"/>
        </w:rPr>
      </w:pPr>
    </w:p>
    <w:p>
      <w:pPr>
        <w:pStyle w:val="BodyText"/>
        <w:spacing w:line="273" w:lineRule="auto"/>
        <w:ind w:right="96" w:firstLine="420"/>
        <w:jc w:val="left"/>
      </w:pPr>
      <w:r>
        <w:rPr>
          <w:spacing w:val="-5"/>
        </w:rPr>
        <w:t>存货成本高于其可变现净值的，计提存货跌价准备，计入当期损益。可变现净值，是指在日常活动中，</w:t>
      </w:r>
      <w:r>
        <w:rPr>
          <w:w w:val="100"/>
        </w:rPr>
        <w:t> </w:t>
      </w:r>
      <w:r>
        <w:rPr>
          <w:spacing w:val="-3"/>
        </w:rPr>
        <w:t>存货的估计售价减去至完工时估计将要发生的成本、估计的销售费用以及相关税费后的金额。公司确定存</w:t>
      </w:r>
      <w:r>
        <w:rPr>
          <w:spacing w:val="4"/>
        </w:rPr>
        <w:t> </w:t>
      </w:r>
      <w:r>
        <w:rPr>
          <w:spacing w:val="4"/>
        </w:rPr>
      </w:r>
      <w:r>
        <w:rPr>
          <w:spacing w:val="-3"/>
        </w:rPr>
        <w:t>货的可变现净值，以取得的确凿证据为基础，并且考虑持有存货的目的、资产负债表日后事项的影响等因</w:t>
      </w:r>
      <w:r>
        <w:rPr>
          <w:spacing w:val="4"/>
        </w:rPr>
        <w:t> </w:t>
      </w:r>
      <w:r>
        <w:rPr>
          <w:spacing w:val="4"/>
        </w:rPr>
      </w:r>
      <w:r>
        <w:rPr/>
        <w:t>素。</w:t>
      </w:r>
    </w:p>
    <w:p>
      <w:pPr>
        <w:spacing w:line="240" w:lineRule="auto" w:before="7"/>
        <w:rPr>
          <w:rFonts w:ascii="宋体" w:hAnsi="宋体" w:cs="宋体" w:eastAsia="宋体" w:hint="default"/>
          <w:sz w:val="23"/>
          <w:szCs w:val="23"/>
        </w:rPr>
      </w:pPr>
    </w:p>
    <w:p>
      <w:pPr>
        <w:pStyle w:val="BodyText"/>
        <w:spacing w:line="240" w:lineRule="auto"/>
        <w:ind w:right="4490"/>
        <w:jc w:val="left"/>
      </w:pPr>
      <w:r>
        <w:rPr/>
        <w:t>（</w:t>
      </w:r>
      <w:r>
        <w:rPr>
          <w:rFonts w:ascii="Times New Roman" w:hAnsi="Times New Roman" w:cs="Times New Roman" w:eastAsia="Times New Roman" w:hint="default"/>
          <w:b/>
          <w:bCs/>
        </w:rPr>
        <w:t>4</w:t>
      </w:r>
      <w:r>
        <w:rPr/>
        <w:t>）存货的盘存制度</w:t>
      </w:r>
    </w:p>
    <w:p>
      <w:pPr>
        <w:spacing w:line="240" w:lineRule="auto" w:before="7"/>
        <w:rPr>
          <w:rFonts w:ascii="宋体" w:hAnsi="宋体" w:cs="宋体" w:eastAsia="宋体" w:hint="default"/>
          <w:sz w:val="24"/>
          <w:szCs w:val="24"/>
        </w:rPr>
      </w:pPr>
    </w:p>
    <w:p>
      <w:pPr>
        <w:pStyle w:val="BodyText"/>
        <w:spacing w:line="408" w:lineRule="auto"/>
        <w:ind w:left="572" w:right="4490"/>
        <w:jc w:val="left"/>
      </w:pPr>
      <w:r>
        <w:rPr/>
        <w:t>盘存制度：永续盘存制</w:t>
      </w:r>
      <w:r>
        <w:rPr>
          <w:w w:val="100"/>
        </w:rPr>
        <w:t> </w:t>
      </w:r>
      <w:r>
        <w:rPr>
          <w:spacing w:val="-2"/>
        </w:rPr>
        <w:t>存货盘存制度采用永续盘存制。</w:t>
      </w:r>
    </w:p>
    <w:p>
      <w:pPr>
        <w:spacing w:line="240" w:lineRule="auto" w:before="7"/>
        <w:rPr>
          <w:rFonts w:ascii="宋体" w:hAnsi="宋体" w:cs="宋体" w:eastAsia="宋体" w:hint="default"/>
          <w:sz w:val="14"/>
          <w:szCs w:val="14"/>
        </w:rPr>
      </w:pPr>
    </w:p>
    <w:p>
      <w:pPr>
        <w:pStyle w:val="BodyText"/>
        <w:spacing w:line="240" w:lineRule="auto"/>
        <w:ind w:right="4490"/>
        <w:jc w:val="left"/>
      </w:pPr>
      <w:r>
        <w:rPr/>
        <w:t>（</w:t>
      </w:r>
      <w:r>
        <w:rPr>
          <w:rFonts w:ascii="Times New Roman" w:hAnsi="Times New Roman" w:cs="Times New Roman" w:eastAsia="Times New Roman" w:hint="default"/>
          <w:b/>
          <w:bCs/>
        </w:rPr>
        <w:t>5</w:t>
      </w:r>
      <w:r>
        <w:rPr/>
        <w:t>）低值易耗品和包装物的摊销方法</w:t>
      </w:r>
    </w:p>
    <w:p>
      <w:pPr>
        <w:spacing w:line="240" w:lineRule="auto" w:before="10"/>
        <w:rPr>
          <w:rFonts w:ascii="宋体" w:hAnsi="宋体" w:cs="宋体" w:eastAsia="宋体" w:hint="default"/>
          <w:sz w:val="24"/>
          <w:szCs w:val="24"/>
        </w:rPr>
      </w:pPr>
    </w:p>
    <w:p>
      <w:pPr>
        <w:pStyle w:val="BodyText"/>
        <w:spacing w:line="408" w:lineRule="auto"/>
        <w:ind w:left="572" w:right="6318"/>
        <w:jc w:val="left"/>
      </w:pPr>
      <w:r>
        <w:rPr/>
        <w:t>低值易耗品</w:t>
      </w:r>
      <w:r>
        <w:rPr>
          <w:spacing w:val="-103"/>
        </w:rPr>
        <w:t> </w:t>
      </w:r>
      <w:r>
        <w:rPr>
          <w:spacing w:val="-103"/>
        </w:rPr>
      </w:r>
      <w:r>
        <w:rPr>
          <w:spacing w:val="-2"/>
        </w:rPr>
        <w:t>摊销方法：一次摊销法</w:t>
      </w:r>
    </w:p>
    <w:p>
      <w:pPr>
        <w:pStyle w:val="BodyText"/>
        <w:spacing w:line="408" w:lineRule="auto" w:before="46"/>
        <w:ind w:left="572" w:right="4490"/>
        <w:jc w:val="left"/>
      </w:pPr>
      <w:r>
        <w:rPr>
          <w:spacing w:val="-2"/>
        </w:rPr>
        <w:t>低值易耗品在领用时采用一次摊销法核算成本。</w:t>
      </w:r>
      <w:r>
        <w:rPr>
          <w:spacing w:val="-65"/>
        </w:rPr>
        <w:t> </w:t>
      </w:r>
      <w:r>
        <w:rPr>
          <w:spacing w:val="-65"/>
        </w:rPr>
      </w:r>
      <w:r>
        <w:rPr/>
        <w:t>包装物</w:t>
      </w:r>
    </w:p>
    <w:p>
      <w:pPr>
        <w:pStyle w:val="BodyText"/>
        <w:spacing w:line="408" w:lineRule="auto" w:before="46"/>
        <w:ind w:left="572" w:right="4490"/>
        <w:jc w:val="left"/>
      </w:pPr>
      <w:r>
        <w:rPr/>
        <w:t>摊销方法：其他</w:t>
      </w:r>
      <w:r>
        <w:rPr>
          <w:spacing w:val="-103"/>
        </w:rPr>
        <w:t> </w:t>
      </w:r>
      <w:r>
        <w:rPr>
          <w:spacing w:val="-103"/>
        </w:rPr>
      </w:r>
      <w:r>
        <w:rPr>
          <w:spacing w:val="-2"/>
        </w:rPr>
        <w:t>包装物在领用时采用一次转销法核算成本。</w:t>
      </w:r>
    </w:p>
    <w:p>
      <w:pPr>
        <w:spacing w:line="240" w:lineRule="auto" w:before="7"/>
        <w:rPr>
          <w:rFonts w:ascii="宋体" w:hAnsi="宋体" w:cs="宋体" w:eastAsia="宋体" w:hint="default"/>
          <w:sz w:val="14"/>
          <w:szCs w:val="14"/>
        </w:rPr>
      </w:pPr>
    </w:p>
    <w:p>
      <w:pPr>
        <w:spacing w:before="0"/>
        <w:ind w:left="152" w:right="4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sz w:val="21"/>
          <w:szCs w:val="21"/>
        </w:rPr>
        <w:t>、长期股权投资</w:t>
      </w:r>
    </w:p>
    <w:p>
      <w:pPr>
        <w:spacing w:line="240" w:lineRule="auto" w:before="7"/>
        <w:rPr>
          <w:rFonts w:ascii="宋体" w:hAnsi="宋体" w:cs="宋体" w:eastAsia="宋体" w:hint="default"/>
          <w:sz w:val="24"/>
          <w:szCs w:val="24"/>
        </w:rPr>
      </w:pPr>
    </w:p>
    <w:p>
      <w:pPr>
        <w:pStyle w:val="BodyText"/>
        <w:spacing w:line="240" w:lineRule="auto"/>
        <w:ind w:right="4490"/>
        <w:jc w:val="left"/>
      </w:pPr>
      <w:r>
        <w:rPr/>
        <w:t>（</w:t>
      </w:r>
      <w:r>
        <w:rPr>
          <w:rFonts w:ascii="Times New Roman" w:hAnsi="Times New Roman" w:cs="Times New Roman" w:eastAsia="Times New Roman" w:hint="default"/>
          <w:b/>
          <w:bCs/>
        </w:rPr>
        <w:t>1</w:t>
      </w:r>
      <w:r>
        <w:rPr/>
        <w:t>）投资成本的确定</w:t>
      </w:r>
    </w:p>
    <w:p>
      <w:pPr>
        <w:spacing w:line="240" w:lineRule="auto" w:before="10"/>
        <w:rPr>
          <w:rFonts w:ascii="宋体" w:hAnsi="宋体" w:cs="宋体" w:eastAsia="宋体" w:hint="default"/>
          <w:sz w:val="24"/>
          <w:szCs w:val="24"/>
        </w:rPr>
      </w:pPr>
    </w:p>
    <w:p>
      <w:pPr>
        <w:pStyle w:val="BodyText"/>
        <w:tabs>
          <w:tab w:pos="3515" w:val="left" w:leader="none"/>
        </w:tabs>
        <w:spacing w:line="261" w:lineRule="auto"/>
        <w:ind w:right="201" w:firstLine="357"/>
        <w:jc w:val="left"/>
      </w:pPr>
      <w:r>
        <w:rPr>
          <w:spacing w:val="-4"/>
        </w:rPr>
        <w:t>企业合并形成的长期股权投资，按照本附注</w:t>
      </w:r>
      <w:r>
        <w:rPr>
          <w:rFonts w:ascii="Times New Roman" w:hAnsi="Times New Roman" w:cs="Times New Roman" w:eastAsia="Times New Roman" w:hint="default"/>
          <w:spacing w:val="-4"/>
        </w:rPr>
        <w:t>“3.3</w:t>
      </w:r>
      <w:r>
        <w:rPr>
          <w:rFonts w:ascii="Times New Roman" w:hAnsi="Times New Roman" w:cs="Times New Roman" w:eastAsia="Times New Roman" w:hint="default"/>
          <w:spacing w:val="32"/>
        </w:rPr>
        <w:t> </w:t>
      </w:r>
      <w:r>
        <w:rPr/>
        <w:t>同一控制下和非同一控制下企业合并的会计处理方法</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rPr>
        <w:t>的相关内容确认初始投资成本；除企业合并形成的长期股权投资以外，其他方式取得的长期股权投资，按</w:t>
      </w:r>
      <w:r>
        <w:rPr>
          <w:spacing w:val="3"/>
        </w:rPr>
        <w:t> </w:t>
      </w:r>
      <w:r>
        <w:rPr>
          <w:spacing w:val="3"/>
        </w:rPr>
      </w:r>
      <w:r>
        <w:rPr>
          <w:spacing w:val="-2"/>
        </w:rPr>
        <w:t>照下述方法确认其初始投资成本：</w:t>
        <w:tab/>
      </w:r>
      <w:r>
        <w:rPr>
          <w:rFonts w:ascii="Times New Roman" w:hAnsi="Times New Roman" w:cs="Times New Roman" w:eastAsia="Times New Roman" w:hint="default"/>
          <w:spacing w:val="-2"/>
        </w:rPr>
        <w:t>1</w:t>
      </w:r>
      <w:r>
        <w:rPr>
          <w:spacing w:val="-2"/>
        </w:rPr>
        <w:t>）以支付现金方式取得的长期股权投资，按照实际支付的购买价款</w:t>
      </w:r>
      <w:r>
        <w:rPr>
          <w:spacing w:val="-51"/>
        </w:rPr>
        <w:t> </w:t>
      </w:r>
      <w:r>
        <w:rPr>
          <w:spacing w:val="-51"/>
        </w:rPr>
      </w:r>
      <w:r>
        <w:rPr/>
        <w:t>作为初始投资成本。</w:t>
      </w:r>
    </w:p>
    <w:p>
      <w:pPr>
        <w:pStyle w:val="BodyText"/>
        <w:spacing w:line="240" w:lineRule="auto" w:before="174"/>
        <w:ind w:left="510" w:right="96"/>
        <w:jc w:val="left"/>
      </w:pPr>
      <w:r>
        <w:rPr>
          <w:rFonts w:ascii="Times New Roman" w:hAnsi="Times New Roman" w:cs="Times New Roman" w:eastAsia="Times New Roman" w:hint="default"/>
        </w:rPr>
        <w:t>2</w:t>
      </w:r>
      <w:r>
        <w:rPr/>
        <w:t>）以发行权益性证券取得的长期股权投资，按照发行权益性证券的公允价值作为初始投资成本。</w:t>
      </w:r>
    </w:p>
    <w:p>
      <w:pPr>
        <w:pStyle w:val="BodyText"/>
        <w:spacing w:line="256" w:lineRule="auto" w:before="177"/>
        <w:ind w:right="96" w:firstLine="357"/>
        <w:jc w:val="left"/>
      </w:pPr>
      <w:r>
        <w:rPr>
          <w:rFonts w:ascii="Times New Roman" w:hAnsi="Times New Roman" w:cs="Times New Roman" w:eastAsia="Times New Roman" w:hint="default"/>
          <w:spacing w:val="-4"/>
        </w:rPr>
        <w:t>3</w:t>
      </w:r>
      <w:r>
        <w:rPr>
          <w:spacing w:val="-4"/>
        </w:rPr>
        <w:t>）投资者投入的长期股权投资，按照投资合同或协议约定的价值作为初始投资成本，但合同或协议约</w:t>
      </w:r>
      <w:r>
        <w:rPr>
          <w:w w:val="100"/>
        </w:rPr>
        <w:t> </w:t>
      </w:r>
      <w:r>
        <w:rPr/>
        <w:t>定价值不公允的除外。</w:t>
      </w:r>
    </w:p>
    <w:p>
      <w:pPr>
        <w:pStyle w:val="BodyText"/>
        <w:tabs>
          <w:tab w:pos="5197" w:val="left" w:leader="none"/>
        </w:tabs>
        <w:spacing w:line="264" w:lineRule="auto" w:before="178"/>
        <w:ind w:right="201" w:firstLine="357"/>
        <w:jc w:val="left"/>
      </w:pPr>
      <w:r>
        <w:rPr>
          <w:rFonts w:ascii="Times New Roman" w:hAnsi="Times New Roman" w:cs="Times New Roman" w:eastAsia="Times New Roman" w:hint="default"/>
          <w:spacing w:val="-4"/>
        </w:rPr>
        <w:t>4</w:t>
      </w:r>
      <w:r>
        <w:rPr>
          <w:spacing w:val="-4"/>
        </w:rPr>
        <w:t>）在非货币性资产交换具备商业实质和换入资产或换出资产的公允价值能够可靠计量的前提下，非货</w:t>
      </w:r>
      <w:r>
        <w:rPr>
          <w:w w:val="100"/>
        </w:rPr>
        <w:t> </w:t>
      </w:r>
      <w:r>
        <w:rPr>
          <w:spacing w:val="-3"/>
        </w:rPr>
        <w:t>币性资产交换换入的长期股权投资以换出资产的公允价值为基础确定其初始投资成本，除非有确凿证据表</w:t>
      </w:r>
      <w:r>
        <w:rPr>
          <w:spacing w:val="4"/>
        </w:rPr>
        <w:t> </w:t>
      </w:r>
      <w:r>
        <w:rPr>
          <w:spacing w:val="4"/>
        </w:rPr>
      </w:r>
      <w:r>
        <w:rPr>
          <w:spacing w:val="-3"/>
        </w:rPr>
        <w:t>明换入资产的公允价值更加可靠；不满足上述前提的非货币性资产交换，以换出资产的账面价值和应支付</w:t>
      </w:r>
      <w:r>
        <w:rPr>
          <w:spacing w:val="4"/>
        </w:rPr>
        <w:t> </w:t>
      </w:r>
      <w:r>
        <w:rPr>
          <w:spacing w:val="4"/>
        </w:rPr>
      </w:r>
      <w:r>
        <w:rPr>
          <w:spacing w:val="-2"/>
        </w:rPr>
        <w:t>的相关税费作为换入长期股权投资的初始投资成本。</w:t>
        <w:tab/>
      </w:r>
      <w:r>
        <w:rPr>
          <w:rFonts w:ascii="Times New Roman" w:hAnsi="Times New Roman" w:cs="Times New Roman" w:eastAsia="Times New Roman" w:hint="default"/>
          <w:spacing w:val="-2"/>
        </w:rPr>
        <w:t>5</w:t>
      </w:r>
      <w:r>
        <w:rPr>
          <w:spacing w:val="-2"/>
        </w:rPr>
        <w:t>）通过债务重组取得的长期股权投资，其初始投</w:t>
      </w:r>
      <w:r>
        <w:rPr>
          <w:spacing w:val="-67"/>
        </w:rPr>
        <w:t> </w:t>
      </w:r>
      <w:r>
        <w:rPr>
          <w:spacing w:val="-67"/>
        </w:rPr>
      </w:r>
      <w:r>
        <w:rPr/>
        <w:t>资成本按照公允价值为基础确定。</w:t>
      </w:r>
    </w:p>
    <w:p>
      <w:pPr>
        <w:spacing w:after="0" w:line="264" w:lineRule="auto"/>
        <w:jc w:val="left"/>
        <w:sectPr>
          <w:footerReference w:type="default" r:id="rId23"/>
          <w:pgSz w:w="11900" w:h="16840"/>
          <w:pgMar w:footer="982" w:header="746" w:top="1060" w:bottom="1180" w:left="980" w:right="920"/>
          <w:pgNumType w:start="7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b/>
          <w:bCs/>
        </w:rPr>
        <w:t>2</w:t>
      </w:r>
      <w:r>
        <w:rPr/>
        <w:t>）后续计量及损益确认</w:t>
      </w:r>
    </w:p>
    <w:p>
      <w:pPr>
        <w:spacing w:line="240" w:lineRule="auto" w:before="10"/>
        <w:rPr>
          <w:rFonts w:ascii="宋体" w:hAnsi="宋体" w:cs="宋体" w:eastAsia="宋体" w:hint="default"/>
          <w:sz w:val="24"/>
          <w:szCs w:val="24"/>
        </w:rPr>
      </w:pPr>
    </w:p>
    <w:p>
      <w:pPr>
        <w:pStyle w:val="BodyText"/>
        <w:spacing w:line="273" w:lineRule="auto"/>
        <w:ind w:right="0" w:firstLine="420"/>
        <w:jc w:val="left"/>
      </w:pPr>
      <w:r>
        <w:rPr>
          <w:spacing w:val="-3"/>
        </w:rPr>
        <w:t>公司对子公司的长期股权投资，采用成本法核算，编制合并财务报表时按照权益法进行调整。对被投</w:t>
      </w:r>
      <w:r>
        <w:rPr>
          <w:w w:val="100"/>
        </w:rPr>
        <w:t> </w:t>
      </w:r>
      <w:r>
        <w:rPr>
          <w:spacing w:val="-5"/>
        </w:rPr>
        <w:t>资单位不具有共同控制或重大影响，并且在活跃市场中没有报价、公允价值不能可靠计量的长期股权投资，</w:t>
      </w:r>
      <w:r>
        <w:rPr>
          <w:spacing w:val="-3"/>
        </w:rPr>
        <w:t> </w:t>
      </w:r>
      <w:r>
        <w:rPr>
          <w:spacing w:val="-3"/>
        </w:rPr>
      </w:r>
      <w:r>
        <w:rPr/>
        <w:t>采用成本法核算。对被投资单位具有共同控制或重大影响的长期股权投资，采用权益法核算。</w:t>
      </w:r>
    </w:p>
    <w:p>
      <w:pPr>
        <w:pStyle w:val="BodyText"/>
        <w:spacing w:line="273" w:lineRule="auto" w:before="163"/>
        <w:ind w:right="221" w:firstLine="420"/>
        <w:jc w:val="both"/>
      </w:pPr>
      <w:r>
        <w:rPr>
          <w:spacing w:val="-3"/>
        </w:rPr>
        <w:t>采用成本法核算的长期股权投资，除取得投资时实际支付的价款或对价中包含的已宣告但尚未发放的</w:t>
      </w:r>
      <w:r>
        <w:rPr>
          <w:w w:val="100"/>
        </w:rPr>
        <w:t> </w:t>
      </w:r>
      <w:r>
        <w:rPr>
          <w:spacing w:val="-3"/>
        </w:rPr>
        <w:t>现金股利或利润外，投资企业应当按照享有被投资单位宣告发放的现金股利或利润确认投资收益。采用权</w:t>
      </w:r>
      <w:r>
        <w:rPr>
          <w:spacing w:val="4"/>
        </w:rPr>
        <w:t> </w:t>
      </w:r>
      <w:r>
        <w:rPr>
          <w:spacing w:val="4"/>
        </w:rPr>
      </w:r>
      <w:r>
        <w:rPr>
          <w:spacing w:val="-3"/>
        </w:rPr>
        <w:t>益法核算的长期股权投资，初始投资成本大于投资时应享有被投资单位可辨认净资产公允价值份额的，其</w:t>
      </w:r>
      <w:r>
        <w:rPr>
          <w:spacing w:val="4"/>
        </w:rPr>
        <w:t> </w:t>
      </w:r>
      <w:r>
        <w:rPr>
          <w:spacing w:val="4"/>
        </w:rPr>
      </w:r>
      <w:r>
        <w:rPr>
          <w:spacing w:val="-3"/>
        </w:rPr>
        <w:t>差额包含在初始投资成本中；初始投资成本小于投资时应享有被投资单位可辨认净资产公允价值份额且经</w:t>
      </w:r>
      <w:r>
        <w:rPr>
          <w:spacing w:val="4"/>
        </w:rPr>
        <w:t> </w:t>
      </w:r>
      <w:r>
        <w:rPr>
          <w:spacing w:val="4"/>
        </w:rPr>
      </w:r>
      <w:r>
        <w:rPr/>
        <w:t>复核两者差额仍存在时，该差额计入当期损益，同时调整长期股权投资成本。</w:t>
      </w:r>
    </w:p>
    <w:p>
      <w:pPr>
        <w:pStyle w:val="BodyText"/>
        <w:spacing w:line="273" w:lineRule="auto" w:before="163"/>
        <w:ind w:right="199" w:firstLine="420"/>
        <w:jc w:val="both"/>
      </w:pPr>
      <w:r>
        <w:rPr>
          <w:spacing w:val="-3"/>
        </w:rPr>
        <w:t>采用权益法核算时，按应享有或应分担的被投资单位的净损益份额确认当期投资损益。确认被投资单</w:t>
      </w:r>
      <w:r>
        <w:rPr>
          <w:w w:val="100"/>
        </w:rPr>
        <w:t> </w:t>
      </w:r>
      <w:r>
        <w:rPr>
          <w:spacing w:val="-3"/>
        </w:rPr>
        <w:t>位发生的净亏损，以长期股权投资的账面价值以及其他实质上构成对被投资单位净投资的长期权益减记至</w:t>
      </w:r>
      <w:r>
        <w:rPr>
          <w:spacing w:val="4"/>
        </w:rPr>
        <w:t> </w:t>
      </w:r>
      <w:r>
        <w:rPr>
          <w:spacing w:val="4"/>
        </w:rPr>
      </w:r>
      <w:r>
        <w:rPr>
          <w:spacing w:val="-3"/>
        </w:rPr>
        <w:t>零为限，但本公司负有承担额外损失义务且符合或有事项准则所规定的预计负债确认条件的，继续确认投</w:t>
      </w:r>
      <w:r>
        <w:rPr>
          <w:spacing w:val="4"/>
        </w:rPr>
        <w:t> </w:t>
      </w:r>
      <w:r>
        <w:rPr>
          <w:spacing w:val="4"/>
        </w:rPr>
      </w:r>
      <w:r>
        <w:rPr>
          <w:spacing w:val="-3"/>
        </w:rPr>
        <w:t>资损失和预计负债。被投资单位除净损益以外股东权益的其他变动，本公司按照持股比例计算应享有或承</w:t>
      </w:r>
      <w:r>
        <w:rPr>
          <w:spacing w:val="4"/>
        </w:rPr>
        <w:t> </w:t>
      </w:r>
      <w:r>
        <w:rPr>
          <w:spacing w:val="4"/>
        </w:rPr>
      </w:r>
      <w:r>
        <w:rPr>
          <w:spacing w:val="-2"/>
        </w:rPr>
        <w:t>担的部分直接计入资本公积。被投资单位分派的利润或现金股利于宣告分派时按照本公司应分得的部分，</w:t>
      </w:r>
      <w:r>
        <w:rPr>
          <w:spacing w:val="-20"/>
        </w:rPr>
        <w:t> </w:t>
      </w:r>
      <w:r>
        <w:rPr>
          <w:spacing w:val="-20"/>
        </w:rPr>
      </w:r>
      <w:r>
        <w:rPr>
          <w:spacing w:val="-3"/>
        </w:rPr>
        <w:t>相应减少长期股权投资的账面价值。本公司与被投资单位之间的交易产生的未实现损益在本公司拥有被投</w:t>
      </w:r>
      <w:r>
        <w:rPr>
          <w:spacing w:val="4"/>
        </w:rPr>
        <w:t> </w:t>
      </w:r>
      <w:r>
        <w:rPr>
          <w:spacing w:val="4"/>
        </w:rPr>
      </w:r>
      <w:r>
        <w:rPr/>
        <w:t>资单位的权益范围内予以抵销，惟该交易所转让的资产发生减值的，则相应的未实现损益不予抵销。</w:t>
      </w:r>
    </w:p>
    <w:p>
      <w:pPr>
        <w:pStyle w:val="BodyText"/>
        <w:spacing w:line="590" w:lineRule="atLeast" w:before="8"/>
        <w:ind w:left="515" w:right="0" w:hanging="363"/>
        <w:jc w:val="left"/>
      </w:pPr>
      <w:r>
        <w:rPr/>
        <w:t>（</w:t>
      </w:r>
      <w:r>
        <w:rPr>
          <w:rFonts w:ascii="Times New Roman" w:hAnsi="Times New Roman" w:cs="Times New Roman" w:eastAsia="Times New Roman" w:hint="default"/>
          <w:b/>
          <w:bCs/>
        </w:rPr>
        <w:t>3</w:t>
      </w:r>
      <w:r>
        <w:rPr/>
        <w:t>）确定对被投资单位具有共同控制、重大影响的依据</w:t>
      </w:r>
      <w:r>
        <w:rPr>
          <w:spacing w:val="-95"/>
        </w:rPr>
        <w:t> </w:t>
      </w:r>
      <w:r>
        <w:rPr>
          <w:spacing w:val="-95"/>
        </w:rPr>
      </w:r>
      <w:r>
        <w:rPr>
          <w:spacing w:val="-2"/>
        </w:rPr>
        <w:t>按照合同约定对某项经济活动所共有的控制，仅在与该项经济活动相关的重要财务和经营决策需要分</w:t>
      </w:r>
    </w:p>
    <w:p>
      <w:pPr>
        <w:pStyle w:val="BodyText"/>
        <w:spacing w:line="273" w:lineRule="auto" w:before="37"/>
        <w:ind w:right="221"/>
        <w:jc w:val="both"/>
      </w:pPr>
      <w:r>
        <w:rPr>
          <w:spacing w:val="-3"/>
        </w:rPr>
        <w:t>享控制权的投资方一致同意时存在，则视为与其他方对被投资单位实施共同控制；对一个企业的财务和经</w:t>
      </w:r>
      <w:r>
        <w:rPr>
          <w:spacing w:val="4"/>
        </w:rPr>
        <w:t> </w:t>
      </w:r>
      <w:r>
        <w:rPr>
          <w:spacing w:val="4"/>
        </w:rPr>
      </w:r>
      <w:r>
        <w:rPr>
          <w:spacing w:val="-3"/>
        </w:rPr>
        <w:t>营决策有参与决策的权力，但并不能够控制或者与其他方一起共同控制这些政策的制定，则视为对被投资</w:t>
      </w:r>
      <w:r>
        <w:rPr>
          <w:spacing w:val="4"/>
        </w:rPr>
        <w:t> </w:t>
      </w:r>
      <w:r>
        <w:rPr>
          <w:spacing w:val="4"/>
        </w:rPr>
      </w:r>
      <w:r>
        <w:rPr/>
        <w:t>单位施加重大影响。</w:t>
      </w:r>
    </w:p>
    <w:p>
      <w:pPr>
        <w:pStyle w:val="BodyText"/>
        <w:spacing w:line="600" w:lineRule="atLeast"/>
        <w:ind w:left="404" w:right="0" w:hanging="252"/>
        <w:jc w:val="left"/>
      </w:pPr>
      <w:r>
        <w:rPr/>
        <w:t>（</w:t>
      </w:r>
      <w:r>
        <w:rPr>
          <w:rFonts w:ascii="Times New Roman" w:hAnsi="Times New Roman" w:cs="Times New Roman" w:eastAsia="Times New Roman" w:hint="default"/>
          <w:b/>
          <w:bCs/>
        </w:rPr>
        <w:t>4</w:t>
      </w:r>
      <w:r>
        <w:rPr/>
        <w:t>）减值测试方法及减值准备计提方法</w:t>
      </w:r>
      <w:r>
        <w:rPr>
          <w:spacing w:val="-96"/>
        </w:rPr>
        <w:t> </w:t>
      </w:r>
      <w:r>
        <w:rPr>
          <w:spacing w:val="-96"/>
        </w:rPr>
      </w:r>
      <w:r>
        <w:rPr>
          <w:spacing w:val="-4"/>
        </w:rPr>
        <w:t>采用成本法核算的、在活跃市场中没有报价、公允价值不能可靠计量的长期股权投资，其账面价值高于</w:t>
      </w:r>
    </w:p>
    <w:p>
      <w:pPr>
        <w:pStyle w:val="BodyText"/>
        <w:spacing w:line="273" w:lineRule="auto" w:before="37"/>
        <w:ind w:right="0"/>
        <w:jc w:val="left"/>
      </w:pPr>
      <w:r>
        <w:rPr>
          <w:spacing w:val="-3"/>
        </w:rPr>
        <w:t>按照类似投资当时市场收益率对未来现金流量折现确定的现值，确认该项投资存在减值。采用权益法核算</w:t>
      </w:r>
      <w:r>
        <w:rPr>
          <w:spacing w:val="4"/>
        </w:rPr>
        <w:t> </w:t>
      </w:r>
      <w:r>
        <w:rPr>
          <w:spacing w:val="4"/>
        </w:rPr>
      </w:r>
      <w:r>
        <w:rPr>
          <w:spacing w:val="-3"/>
        </w:rPr>
        <w:t>的联营企业和合营企业以及采用成本法核算的子公司的长期股权投资，当长期股权投资的帐面价值高于可</w:t>
      </w:r>
      <w:r>
        <w:rPr>
          <w:spacing w:val="4"/>
        </w:rPr>
        <w:t> </w:t>
      </w:r>
      <w:r>
        <w:rPr>
          <w:spacing w:val="4"/>
        </w:rPr>
      </w:r>
      <w:r>
        <w:rPr>
          <w:spacing w:val="-3"/>
        </w:rPr>
        <w:t>收回金额时，确认该项投资存在减值。长期股权投资存在减值迹象的，其账面价值减记至可收回金额。可</w:t>
      </w:r>
      <w:r>
        <w:rPr>
          <w:spacing w:val="2"/>
        </w:rPr>
        <w:t> </w:t>
      </w:r>
      <w:r>
        <w:rPr>
          <w:spacing w:val="2"/>
        </w:rPr>
      </w:r>
      <w:r>
        <w:rPr/>
        <w:t>收回金额根据长期股权投资的公允价值减去处置费用后的净额与长期股权投资预计未来现金流量的现值</w:t>
      </w:r>
      <w:r>
        <w:rPr>
          <w:w w:val="100"/>
        </w:rPr>
        <w:t> </w:t>
      </w:r>
      <w:r>
        <w:rPr/>
        <w:t>两者之间较高者确定。</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sz w:val="21"/>
          <w:szCs w:val="21"/>
        </w:rPr>
        <w:t>、投资性房地产</w:t>
      </w:r>
    </w:p>
    <w:p>
      <w:pPr>
        <w:spacing w:line="240" w:lineRule="auto" w:before="7"/>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sz w:val="21"/>
          <w:szCs w:val="21"/>
        </w:rPr>
        <w:t>、固定资产</w:t>
      </w:r>
    </w:p>
    <w:p>
      <w:pPr>
        <w:pStyle w:val="BodyText"/>
        <w:spacing w:line="590" w:lineRule="atLeast" w:before="24"/>
        <w:ind w:left="572" w:right="0" w:hanging="420"/>
        <w:jc w:val="left"/>
      </w:pPr>
      <w:r>
        <w:rPr/>
        <w:t>（</w:t>
      </w:r>
      <w:r>
        <w:rPr>
          <w:rFonts w:ascii="Times New Roman" w:hAnsi="Times New Roman" w:cs="Times New Roman" w:eastAsia="Times New Roman" w:hint="default"/>
          <w:b/>
          <w:bCs/>
        </w:rPr>
        <w:t>1</w:t>
      </w:r>
      <w:r>
        <w:rPr/>
        <w:t>）固定资产确认条件</w:t>
      </w:r>
      <w:r>
        <w:rPr>
          <w:spacing w:val="-99"/>
        </w:rPr>
        <w:t> </w:t>
      </w:r>
      <w:r>
        <w:rPr>
          <w:spacing w:val="-99"/>
        </w:rPr>
      </w:r>
      <w:r>
        <w:rPr>
          <w:spacing w:val="-3"/>
        </w:rPr>
        <w:t>固定资产是指为生产商品、提供劳务、出租或经营管理而持有的，使用寿命超过一个会计年度的有形</w:t>
      </w:r>
    </w:p>
    <w:p>
      <w:pPr>
        <w:pStyle w:val="BodyText"/>
        <w:spacing w:line="240" w:lineRule="auto" w:before="37"/>
        <w:ind w:right="0"/>
        <w:jc w:val="left"/>
      </w:pPr>
      <w:r>
        <w:rPr>
          <w:spacing w:val="-3"/>
        </w:rPr>
        <w:t>资产。固定资产同时满足下列条件的，才能予以确认：</w:t>
      </w:r>
      <w:r>
        <w:rPr>
          <w:rFonts w:ascii="Times New Roman" w:hAnsi="Times New Roman" w:cs="Times New Roman" w:eastAsia="Times New Roman" w:hint="default"/>
          <w:spacing w:val="-3"/>
        </w:rPr>
        <w:t>1</w:t>
      </w:r>
      <w:r>
        <w:rPr>
          <w:spacing w:val="-3"/>
        </w:rPr>
        <w:t>）与该固定资产有关的经济利益很可能流入企业；</w:t>
      </w:r>
    </w:p>
    <w:p>
      <w:pPr>
        <w:pStyle w:val="BodyText"/>
        <w:spacing w:line="240" w:lineRule="auto" w:before="21"/>
        <w:ind w:right="0"/>
        <w:jc w:val="left"/>
      </w:pPr>
      <w:r>
        <w:rPr>
          <w:rFonts w:ascii="Times New Roman" w:hAnsi="Times New Roman" w:cs="Times New Roman" w:eastAsia="Times New Roman" w:hint="default"/>
        </w:rPr>
        <w:t>2</w:t>
      </w:r>
      <w:r>
        <w:rPr/>
        <w:t>）该固定资产的成本能够可靠地计量。</w:t>
      </w:r>
    </w:p>
    <w:p>
      <w:pPr>
        <w:spacing w:after="0" w:line="240" w:lineRule="auto"/>
        <w:jc w:val="left"/>
        <w:sectPr>
          <w:pgSz w:w="11900" w:h="16840"/>
          <w:pgMar w:header="746" w:footer="982" w:top="1060" w:bottom="1180" w:left="980" w:right="90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）融资租入固定资产的认定依据、计价方法</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3</w:t>
      </w:r>
      <w:r>
        <w:rPr/>
        <w:t>）各类固定资产的折旧方法</w:t>
      </w:r>
    </w:p>
    <w:p>
      <w:pPr>
        <w:spacing w:line="240" w:lineRule="auto" w:before="7"/>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2495"/>
        <w:gridCol w:w="2116"/>
        <w:gridCol w:w="2220"/>
        <w:gridCol w:w="2726"/>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4.75%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7"/>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4</w:t>
      </w:r>
      <w:r>
        <w:rPr/>
        <w:t>）固定资产的减值测试方法、减值准备计提方法</w:t>
      </w:r>
    </w:p>
    <w:p>
      <w:pPr>
        <w:spacing w:line="240" w:lineRule="auto" w:before="10"/>
        <w:rPr>
          <w:rFonts w:ascii="宋体" w:hAnsi="宋体" w:cs="宋体" w:eastAsia="宋体" w:hint="default"/>
          <w:sz w:val="24"/>
          <w:szCs w:val="24"/>
        </w:rPr>
      </w:pPr>
    </w:p>
    <w:p>
      <w:pPr>
        <w:pStyle w:val="BodyText"/>
        <w:spacing w:line="273" w:lineRule="auto"/>
        <w:ind w:right="145" w:firstLine="420"/>
        <w:jc w:val="left"/>
      </w:pPr>
      <w:r>
        <w:rPr/>
        <w:t>当固定资产的公允价值减去处置费用后的净额和资产预计未来现金流量的现值均低于固定资产账面</w:t>
      </w:r>
      <w:r>
        <w:rPr>
          <w:w w:val="100"/>
        </w:rPr>
        <w:t> </w:t>
      </w:r>
      <w:r>
        <w:rPr>
          <w:spacing w:val="-3"/>
        </w:rPr>
        <w:t>价值时，确认固定资产存在减值迹象。固定资产存在减值迹象的，其账面价值减记至可收回金额。可收回</w:t>
      </w:r>
      <w:r>
        <w:rPr/>
        <w:t> </w:t>
      </w:r>
      <w:r>
        <w:rPr/>
        <w:t>金额根据固定资产的公允价值减去处置费用后的净额与固定资产预计未来现金流量的现值两者之间较高</w:t>
      </w:r>
      <w:r>
        <w:rPr>
          <w:w w:val="100"/>
        </w:rPr>
        <w:t> </w:t>
      </w:r>
      <w:r>
        <w:rPr/>
        <w:t>者确定。</w:t>
      </w:r>
    </w:p>
    <w:p>
      <w:pPr>
        <w:pStyle w:val="BodyText"/>
        <w:spacing w:line="273" w:lineRule="auto" w:before="163"/>
        <w:ind w:right="145" w:firstLine="420"/>
        <w:jc w:val="left"/>
      </w:pPr>
      <w:r>
        <w:rPr>
          <w:spacing w:val="-3"/>
        </w:rPr>
        <w:t>符合持有待售条件的固定资产，以账面价值与公允价值减去处置费用孰低的金额列示。公允价值减去</w:t>
      </w:r>
      <w:r>
        <w:rPr>
          <w:w w:val="100"/>
        </w:rPr>
        <w:t> </w:t>
      </w:r>
      <w:r>
        <w:rPr/>
        <w:t>处置费用低于原账面价值的金额，确认为资产减值损失。</w:t>
      </w:r>
    </w:p>
    <w:p>
      <w:pPr>
        <w:spacing w:line="240" w:lineRule="auto" w:before="7"/>
        <w:rPr>
          <w:rFonts w:ascii="宋体" w:hAnsi="宋体" w:cs="宋体" w:eastAsia="宋体" w:hint="default"/>
          <w:sz w:val="23"/>
          <w:szCs w:val="23"/>
        </w:rPr>
      </w:pPr>
    </w:p>
    <w:p>
      <w:pPr>
        <w:pStyle w:val="BodyText"/>
        <w:spacing w:line="240" w:lineRule="auto"/>
        <w:ind w:right="145"/>
        <w:jc w:val="left"/>
      </w:pPr>
      <w:r>
        <w:rPr/>
        <w:t>（</w:t>
      </w:r>
      <w:r>
        <w:rPr>
          <w:rFonts w:ascii="Times New Roman" w:hAnsi="Times New Roman" w:cs="Times New Roman" w:eastAsia="Times New Roman" w:hint="default"/>
          <w:b/>
          <w:bCs/>
        </w:rPr>
        <w:t>5</w:t>
      </w:r>
      <w:r>
        <w:rPr/>
        <w:t>）其他说明</w:t>
      </w:r>
    </w:p>
    <w:p>
      <w:pPr>
        <w:spacing w:line="240" w:lineRule="auto" w:before="7"/>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sz w:val="21"/>
          <w:szCs w:val="21"/>
        </w:rPr>
        <w:t>、在建工程</w:t>
      </w:r>
    </w:p>
    <w:p>
      <w:pPr>
        <w:pStyle w:val="BodyText"/>
        <w:spacing w:line="590" w:lineRule="atLeast" w:before="24"/>
        <w:ind w:left="455" w:right="145" w:hanging="303"/>
        <w:jc w:val="left"/>
      </w:pPr>
      <w:r>
        <w:rPr/>
        <w:t>（</w:t>
      </w:r>
      <w:r>
        <w:rPr>
          <w:rFonts w:ascii="Times New Roman" w:hAnsi="Times New Roman" w:cs="Times New Roman" w:eastAsia="Times New Roman" w:hint="default"/>
          <w:b/>
          <w:bCs/>
        </w:rPr>
        <w:t>1</w:t>
      </w:r>
      <w:r>
        <w:rPr/>
        <w:t>）在建工程的类别</w:t>
      </w:r>
      <w:r>
        <w:rPr>
          <w:spacing w:val="-100"/>
        </w:rPr>
        <w:t> </w:t>
      </w:r>
      <w:r>
        <w:rPr>
          <w:spacing w:val="-100"/>
        </w:rPr>
      </w:r>
      <w:r>
        <w:rPr>
          <w:spacing w:val="-2"/>
        </w:rPr>
        <w:t>在建工程按实际发生的成本计量。实际成本包括建筑费用、其他为使在建工程达到预定可使用状态所</w:t>
      </w:r>
    </w:p>
    <w:p>
      <w:pPr>
        <w:pStyle w:val="BodyText"/>
        <w:spacing w:line="240" w:lineRule="auto" w:before="37"/>
        <w:ind w:right="145"/>
        <w:jc w:val="left"/>
      </w:pPr>
      <w:r>
        <w:rPr/>
        <w:t>发生的必要支出以及在资产达到预定可使用状态之前所发生的符合资本化条件的借款费用。</w:t>
      </w:r>
    </w:p>
    <w:p>
      <w:pPr>
        <w:spacing w:line="240" w:lineRule="auto" w:before="10"/>
        <w:rPr>
          <w:rFonts w:ascii="宋体" w:hAnsi="宋体" w:cs="宋体" w:eastAsia="宋体" w:hint="default"/>
          <w:sz w:val="25"/>
          <w:szCs w:val="25"/>
        </w:rPr>
      </w:pPr>
    </w:p>
    <w:p>
      <w:pPr>
        <w:pStyle w:val="BodyText"/>
        <w:spacing w:line="506" w:lineRule="auto"/>
        <w:ind w:left="438" w:right="145" w:hanging="286"/>
        <w:jc w:val="left"/>
      </w:pPr>
      <w:r>
        <w:rPr/>
        <w:t>（</w:t>
      </w:r>
      <w:r>
        <w:rPr>
          <w:rFonts w:ascii="Times New Roman" w:hAnsi="Times New Roman" w:cs="Times New Roman" w:eastAsia="Times New Roman" w:hint="default"/>
          <w:b/>
          <w:bCs/>
        </w:rPr>
        <w:t>2</w:t>
      </w:r>
      <w:r>
        <w:rPr/>
        <w:t>）在建工程结转为固定资产的标准和时点</w:t>
      </w:r>
      <w:r>
        <w:rPr>
          <w:spacing w:val="-95"/>
        </w:rPr>
        <w:t> </w:t>
      </w:r>
      <w:r>
        <w:rPr>
          <w:spacing w:val="-95"/>
        </w:rPr>
      </w:r>
      <w:r>
        <w:rPr>
          <w:spacing w:val="-2"/>
        </w:rPr>
        <w:t>在建工程在达到预定可使用状态时，转入固定资产并自次月起开始计提折旧。</w:t>
      </w:r>
    </w:p>
    <w:p>
      <w:pPr>
        <w:pStyle w:val="BodyText"/>
        <w:spacing w:line="506" w:lineRule="auto" w:before="104"/>
        <w:ind w:left="572" w:right="145" w:hanging="420"/>
        <w:jc w:val="left"/>
      </w:pPr>
      <w:r>
        <w:rPr/>
        <w:t>（</w:t>
      </w:r>
      <w:r>
        <w:rPr>
          <w:rFonts w:ascii="Times New Roman" w:hAnsi="Times New Roman" w:cs="Times New Roman" w:eastAsia="Times New Roman" w:hint="default"/>
          <w:b/>
          <w:bCs/>
        </w:rPr>
        <w:t>3</w:t>
      </w:r>
      <w:r>
        <w:rPr/>
        <w:t>）在建工程的减值测试方法、减值准备计提方法</w:t>
      </w:r>
      <w:r>
        <w:rPr>
          <w:spacing w:val="-94"/>
        </w:rPr>
        <w:t> </w:t>
      </w:r>
      <w:r>
        <w:rPr>
          <w:spacing w:val="-94"/>
        </w:rPr>
      </w:r>
      <w:r>
        <w:rPr>
          <w:spacing w:val="-2"/>
        </w:rPr>
        <w:t>当在建工程的可收回金额低于其账面价值时，账面价值减记至可收回金额。</w:t>
      </w:r>
    </w:p>
    <w:p>
      <w:pPr>
        <w:spacing w:before="104"/>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sz w:val="21"/>
          <w:szCs w:val="21"/>
        </w:rPr>
        <w:t>、借款费用</w:t>
      </w:r>
    </w:p>
    <w:p>
      <w:pPr>
        <w:pStyle w:val="BodyText"/>
        <w:spacing w:line="600" w:lineRule="atLeast" w:before="14"/>
        <w:ind w:left="404" w:right="145" w:hanging="252"/>
        <w:jc w:val="left"/>
      </w:pPr>
      <w:r>
        <w:rPr/>
        <w:t>（</w:t>
      </w:r>
      <w:r>
        <w:rPr>
          <w:rFonts w:ascii="Times New Roman" w:hAnsi="Times New Roman" w:cs="Times New Roman" w:eastAsia="Times New Roman" w:hint="default"/>
          <w:b/>
          <w:bCs/>
        </w:rPr>
        <w:t>1</w:t>
      </w:r>
      <w:r>
        <w:rPr/>
        <w:t>）借款费用资本化的确认原则</w:t>
      </w:r>
      <w:r>
        <w:rPr>
          <w:spacing w:val="-98"/>
        </w:rPr>
        <w:t> </w:t>
      </w:r>
      <w:r>
        <w:rPr>
          <w:spacing w:val="-98"/>
        </w:rPr>
      </w:r>
      <w:r>
        <w:rPr>
          <w:spacing w:val="-2"/>
        </w:rPr>
        <w:t>发生的可直接归属于需要经过相当长时间的购建活动才能达到预定可使用状态之固定资产的购建的借</w:t>
      </w:r>
    </w:p>
    <w:p>
      <w:pPr>
        <w:pStyle w:val="BodyText"/>
        <w:spacing w:line="240" w:lineRule="auto" w:before="37"/>
        <w:ind w:right="0"/>
        <w:jc w:val="left"/>
      </w:pPr>
      <w:r>
        <w:rPr/>
        <w:t>款费用，在资产支出及借款费用已经发生、为使资产达到预定可使用状态所必要的购建活动已经开始时，</w:t>
      </w:r>
    </w:p>
    <w:p>
      <w:pPr>
        <w:spacing w:after="0" w:line="240" w:lineRule="auto"/>
        <w:jc w:val="left"/>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64" w:lineRule="auto" w:before="36"/>
        <w:ind w:right="145"/>
        <w:jc w:val="left"/>
      </w:pPr>
      <w:r>
        <w:rPr>
          <w:spacing w:val="-3"/>
        </w:rPr>
        <w:t>开始资本化并计入该资产的成本。当购建的资产达到预定可使用状态时停止资本化，其后发生的借款费用</w:t>
      </w:r>
      <w:r>
        <w:rPr>
          <w:spacing w:val="4"/>
        </w:rPr>
        <w:t> </w:t>
      </w:r>
      <w:r>
        <w:rPr>
          <w:spacing w:val="4"/>
        </w:rPr>
      </w:r>
      <w:r>
        <w:rPr>
          <w:spacing w:val="-2"/>
        </w:rPr>
        <w:t>计入当期损益。如果资产的购建活动发生非正常中断，并且中断时间连续超过</w:t>
      </w:r>
      <w:r>
        <w:rPr>
          <w:rFonts w:ascii="Times New Roman" w:hAnsi="Times New Roman" w:cs="Times New Roman" w:eastAsia="Times New Roman" w:hint="default"/>
          <w:spacing w:val="-2"/>
        </w:rPr>
        <w:t>3</w:t>
      </w:r>
      <w:r>
        <w:rPr>
          <w:spacing w:val="-2"/>
        </w:rPr>
        <w:t>个月，暂停借款费用的资</w:t>
      </w:r>
      <w:r>
        <w:rPr>
          <w:spacing w:val="-21"/>
        </w:rPr>
        <w:t> </w:t>
      </w:r>
      <w:r>
        <w:rPr>
          <w:spacing w:val="-21"/>
        </w:rPr>
      </w:r>
      <w:r>
        <w:rPr/>
        <w:t>本化，直至资产的购建活动重新开始。</w:t>
      </w:r>
    </w:p>
    <w:p>
      <w:pPr>
        <w:pStyle w:val="BodyText"/>
        <w:spacing w:line="614" w:lineRule="exact" w:before="70"/>
        <w:ind w:left="488" w:right="145" w:hanging="336"/>
        <w:jc w:val="left"/>
      </w:pPr>
      <w:r>
        <w:rPr/>
        <w:t>（</w:t>
      </w:r>
      <w:r>
        <w:rPr>
          <w:rFonts w:ascii="Times New Roman" w:hAnsi="Times New Roman" w:cs="Times New Roman" w:eastAsia="Times New Roman" w:hint="default"/>
          <w:b/>
          <w:bCs/>
        </w:rPr>
        <w:t>2</w:t>
      </w:r>
      <w:r>
        <w:rPr/>
        <w:t>）借款费用资本化期间</w:t>
      </w:r>
      <w:r>
        <w:rPr>
          <w:spacing w:val="-99"/>
        </w:rPr>
        <w:t> </w:t>
      </w:r>
      <w:r>
        <w:rPr>
          <w:spacing w:val="-99"/>
        </w:rPr>
      </w:r>
      <w:r>
        <w:rPr>
          <w:spacing w:val="-4"/>
        </w:rPr>
        <w:t>在资本化期间内，专门借款</w:t>
      </w:r>
      <w:r>
        <w:rPr>
          <w:rFonts w:ascii="Times New Roman" w:hAnsi="Times New Roman" w:cs="Times New Roman" w:eastAsia="Times New Roman" w:hint="default"/>
          <w:spacing w:val="-4"/>
        </w:rPr>
        <w:t>(</w:t>
      </w:r>
      <w:r>
        <w:rPr>
          <w:spacing w:val="-4"/>
        </w:rPr>
        <w:t>指为购建或者生产符合资本化条件的资产而专门借入的款项</w:t>
      </w:r>
      <w:r>
        <w:rPr>
          <w:rFonts w:ascii="Times New Roman" w:hAnsi="Times New Roman" w:cs="Times New Roman" w:eastAsia="Times New Roman" w:hint="default"/>
          <w:spacing w:val="-4"/>
        </w:rPr>
        <w:t>)</w:t>
      </w:r>
      <w:r>
        <w:rPr>
          <w:spacing w:val="-4"/>
        </w:rPr>
        <w:t>以专门借款当</w:t>
      </w:r>
    </w:p>
    <w:p>
      <w:pPr>
        <w:pStyle w:val="BodyText"/>
        <w:spacing w:line="219" w:lineRule="exact"/>
        <w:ind w:right="145"/>
        <w:jc w:val="left"/>
      </w:pPr>
      <w:r>
        <w:rPr>
          <w:spacing w:val="-3"/>
        </w:rPr>
        <w:t>期实际发生的利息费用，减去将尚未动用的借款资金存入银行取得的利息收入或进行暂时性投资取得的投</w:t>
      </w:r>
    </w:p>
    <w:p>
      <w:pPr>
        <w:pStyle w:val="BodyText"/>
        <w:spacing w:line="273" w:lineRule="auto" w:before="37"/>
        <w:ind w:right="141"/>
        <w:jc w:val="both"/>
      </w:pPr>
      <w:r>
        <w:rPr>
          <w:spacing w:val="-3"/>
        </w:rPr>
        <w:t>资收益后确定应予资本化的利息金额；一般借款则根据累计资产支出超过专门借款部分的资产支出加权平</w:t>
      </w:r>
      <w:r>
        <w:rPr>
          <w:spacing w:val="4"/>
        </w:rPr>
        <w:t> </w:t>
      </w:r>
      <w:r>
        <w:rPr>
          <w:spacing w:val="4"/>
        </w:rPr>
      </w:r>
      <w:r>
        <w:rPr>
          <w:spacing w:val="-3"/>
        </w:rPr>
        <w:t>均数乘以所占用一般借款的资本化率，计算确定一般借款应予资本化的利息金额。资本化率根据一般借款</w:t>
      </w:r>
      <w:r>
        <w:rPr>
          <w:spacing w:val="4"/>
        </w:rPr>
        <w:t> </w:t>
      </w:r>
      <w:r>
        <w:rPr>
          <w:spacing w:val="4"/>
        </w:rPr>
      </w:r>
      <w:r>
        <w:rPr/>
        <w:t>加权平均利率计算确定。</w:t>
      </w:r>
    </w:p>
    <w:p>
      <w:pPr>
        <w:spacing w:line="240" w:lineRule="auto" w:before="7"/>
        <w:rPr>
          <w:rFonts w:ascii="宋体" w:hAnsi="宋体" w:cs="宋体" w:eastAsia="宋体" w:hint="default"/>
          <w:sz w:val="23"/>
          <w:szCs w:val="23"/>
        </w:rPr>
      </w:pPr>
    </w:p>
    <w:p>
      <w:pPr>
        <w:pStyle w:val="BodyText"/>
        <w:spacing w:line="240" w:lineRule="auto"/>
        <w:ind w:right="145"/>
        <w:jc w:val="left"/>
      </w:pPr>
      <w:r>
        <w:rPr/>
        <w:t>（</w:t>
      </w:r>
      <w:r>
        <w:rPr>
          <w:rFonts w:ascii="Times New Roman" w:hAnsi="Times New Roman" w:cs="Times New Roman" w:eastAsia="Times New Roman" w:hint="default"/>
          <w:b/>
          <w:bCs/>
        </w:rPr>
        <w:t>3</w:t>
      </w:r>
      <w:r>
        <w:rPr/>
        <w:t>）暂停资本化期间</w:t>
      </w:r>
    </w:p>
    <w:p>
      <w:pPr>
        <w:pStyle w:val="BodyText"/>
        <w:spacing w:line="600" w:lineRule="atLeast" w:before="12"/>
        <w:ind w:left="404" w:right="145" w:hanging="252"/>
        <w:jc w:val="left"/>
      </w:pPr>
      <w:r>
        <w:rPr/>
        <w:t>（</w:t>
      </w:r>
      <w:r>
        <w:rPr>
          <w:rFonts w:ascii="Times New Roman" w:hAnsi="Times New Roman" w:cs="Times New Roman" w:eastAsia="Times New Roman" w:hint="default"/>
          <w:b/>
          <w:bCs/>
        </w:rPr>
        <w:t>4</w:t>
      </w:r>
      <w:r>
        <w:rPr/>
        <w:t>）借款费用资本化金额的计算方法</w:t>
      </w:r>
      <w:r>
        <w:rPr>
          <w:spacing w:val="-97"/>
        </w:rPr>
        <w:t> </w:t>
      </w:r>
      <w:r>
        <w:rPr>
          <w:spacing w:val="-97"/>
        </w:rPr>
      </w:r>
      <w:r>
        <w:rPr>
          <w:spacing w:val="-4"/>
        </w:rPr>
        <w:t>借款存在折价或者溢价的，按照实际利率法确定每一会计期间应摊销的折价或者溢价金额，调整每期利</w:t>
      </w:r>
    </w:p>
    <w:p>
      <w:pPr>
        <w:pStyle w:val="BodyText"/>
        <w:spacing w:line="240" w:lineRule="auto" w:before="37"/>
        <w:ind w:right="145"/>
        <w:jc w:val="left"/>
      </w:pPr>
      <w:r>
        <w:rPr/>
        <w:t>息金额。</w:t>
      </w:r>
    </w:p>
    <w:p>
      <w:pPr>
        <w:spacing w:line="240" w:lineRule="auto" w:before="10"/>
        <w:rPr>
          <w:rFonts w:ascii="宋体" w:hAnsi="宋体" w:cs="宋体" w:eastAsia="宋体" w:hint="default"/>
          <w:sz w:val="25"/>
          <w:szCs w:val="25"/>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sz w:val="21"/>
          <w:szCs w:val="21"/>
        </w:rPr>
        <w:t>、生物资产</w:t>
      </w:r>
    </w:p>
    <w:p>
      <w:pPr>
        <w:spacing w:line="240" w:lineRule="auto" w:before="7"/>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sz w:val="21"/>
          <w:szCs w:val="21"/>
        </w:rPr>
        <w:t>、油气资产</w:t>
      </w:r>
    </w:p>
    <w:p>
      <w:pPr>
        <w:spacing w:line="240" w:lineRule="auto" w:before="10"/>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sz w:val="21"/>
          <w:szCs w:val="21"/>
        </w:rPr>
        <w:t>、无形资产</w:t>
      </w:r>
    </w:p>
    <w:p>
      <w:pPr>
        <w:spacing w:line="240" w:lineRule="auto" w:before="7"/>
        <w:rPr>
          <w:rFonts w:ascii="宋体" w:hAnsi="宋体" w:cs="宋体" w:eastAsia="宋体" w:hint="default"/>
          <w:sz w:val="24"/>
          <w:szCs w:val="24"/>
        </w:rPr>
      </w:pPr>
    </w:p>
    <w:p>
      <w:pPr>
        <w:pStyle w:val="BodyText"/>
        <w:spacing w:line="506" w:lineRule="auto"/>
        <w:ind w:left="404" w:right="3248" w:hanging="252"/>
        <w:jc w:val="left"/>
      </w:pPr>
      <w:r>
        <w:rPr/>
        <w:t>（</w:t>
      </w:r>
      <w:r>
        <w:rPr>
          <w:rFonts w:ascii="Times New Roman" w:hAnsi="Times New Roman" w:cs="Times New Roman" w:eastAsia="Times New Roman" w:hint="default"/>
          <w:b/>
          <w:bCs/>
        </w:rPr>
        <w:t>1</w:t>
      </w:r>
      <w:r>
        <w:rPr/>
        <w:t>）无形资产的计价方法</w:t>
      </w:r>
      <w:r>
        <w:rPr>
          <w:spacing w:val="-99"/>
        </w:rPr>
        <w:t> </w:t>
      </w:r>
      <w:r>
        <w:rPr>
          <w:spacing w:val="-99"/>
        </w:rPr>
      </w:r>
      <w:r>
        <w:rPr>
          <w:spacing w:val="-2"/>
        </w:rPr>
        <w:t>无形资产包括土地使用权等。无形资产以实际成本计量。</w:t>
      </w:r>
    </w:p>
    <w:p>
      <w:pPr>
        <w:pStyle w:val="BodyText"/>
        <w:spacing w:line="506" w:lineRule="auto" w:before="104"/>
        <w:ind w:left="404" w:right="145" w:hanging="252"/>
        <w:jc w:val="left"/>
      </w:pPr>
      <w:r>
        <w:rPr/>
        <w:pict>
          <v:shape style="position:absolute;margin-left:56.39904pt;margin-top:52.023743pt;width:479.2pt;height:40.7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2215"/>
                    <w:gridCol w:w="5074"/>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c>
                      <w:tcPr>
                        <w:tcW w:w="507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r>
        <w:rPr>
          <w:rFonts w:ascii="Times New Roman" w:hAnsi="Times New Roman" w:cs="Times New Roman" w:eastAsia="Times New Roman" w:hint="default"/>
          <w:b/>
          <w:bCs/>
        </w:rPr>
        <w:t>2</w:t>
      </w:r>
      <w:r>
        <w:rPr/>
        <w:t>）使用寿命有限的无形资产的使用寿命估计情况</w:t>
      </w:r>
      <w:r>
        <w:rPr>
          <w:spacing w:val="-94"/>
        </w:rPr>
        <w:t> </w:t>
      </w:r>
      <w:r>
        <w:rPr>
          <w:spacing w:val="-94"/>
        </w:rPr>
      </w:r>
      <w:r>
        <w:rPr>
          <w:spacing w:val="-2"/>
        </w:rPr>
        <w:t>对使用寿命有限的无形资产的预计使用寿命及摊销方法于每年年度终了进行复核并作适当调整。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）使用寿命不确定的无形资产的判断依据</w:t>
      </w:r>
    </w:p>
    <w:p>
      <w:pPr>
        <w:pStyle w:val="BodyText"/>
        <w:spacing w:line="600" w:lineRule="atLeast" w:before="14"/>
        <w:ind w:left="572" w:right="145" w:hanging="420"/>
        <w:jc w:val="left"/>
      </w:pPr>
      <w:r>
        <w:rPr/>
        <w:t>（</w:t>
      </w:r>
      <w:r>
        <w:rPr>
          <w:rFonts w:ascii="Times New Roman" w:hAnsi="Times New Roman" w:cs="Times New Roman" w:eastAsia="Times New Roman" w:hint="default"/>
          <w:b/>
          <w:bCs/>
        </w:rPr>
        <w:t>4</w:t>
      </w:r>
      <w:r>
        <w:rPr/>
        <w:t>）无形资产减值准备的计提</w:t>
      </w:r>
      <w:r>
        <w:rPr>
          <w:spacing w:val="-99"/>
        </w:rPr>
        <w:t> </w:t>
      </w:r>
      <w:r>
        <w:rPr>
          <w:spacing w:val="-99"/>
        </w:rPr>
      </w:r>
      <w:r>
        <w:rPr>
          <w:spacing w:val="-2"/>
        </w:rPr>
        <w:t>当无形资产的公允价值减去处置费用后的净额和资产预计未来现金流量的现值均低于无形资产账面</w:t>
      </w:r>
    </w:p>
    <w:p>
      <w:pPr>
        <w:pStyle w:val="BodyText"/>
        <w:spacing w:line="273" w:lineRule="auto" w:before="37"/>
        <w:ind w:right="145"/>
        <w:jc w:val="left"/>
      </w:pPr>
      <w:r>
        <w:rPr>
          <w:spacing w:val="-3"/>
        </w:rPr>
        <w:t>价值时，确认无形资产存在减值迹象。无形资产存在减值迹象的，其账面价值减记至可收回金额。可收回</w:t>
      </w:r>
      <w:r>
        <w:rPr/>
        <w:t> </w:t>
      </w:r>
      <w:r>
        <w:rPr/>
        <w:t>金额根据无形资产的公允价值减去处置费用后的净额与无形资产预计未来现金流量的现值两者之间较高</w:t>
      </w:r>
      <w:r>
        <w:rPr>
          <w:w w:val="100"/>
        </w:rPr>
        <w:t> </w:t>
      </w:r>
      <w:r>
        <w:rPr/>
        <w:t>者确定。</w:t>
      </w:r>
    </w:p>
    <w:p>
      <w:pPr>
        <w:spacing w:after="0" w:line="273" w:lineRule="auto"/>
        <w:jc w:val="left"/>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0"/>
        <w:jc w:val="left"/>
      </w:pPr>
      <w:r>
        <w:rPr/>
        <w:t>（</w:t>
      </w:r>
      <w:r>
        <w:rPr>
          <w:rFonts w:ascii="Times New Roman" w:hAnsi="Times New Roman" w:cs="Times New Roman" w:eastAsia="Times New Roman" w:hint="default"/>
          <w:b/>
          <w:bCs/>
        </w:rPr>
        <w:t>5</w:t>
      </w:r>
      <w:r>
        <w:rPr/>
        <w:t>）划分公司内部研究开发项目的研究阶段和开发阶段具体标准</w:t>
      </w:r>
    </w:p>
    <w:p>
      <w:pPr>
        <w:pStyle w:val="BodyText"/>
        <w:spacing w:line="590" w:lineRule="atLeast" w:before="24"/>
        <w:ind w:left="404" w:right="140" w:hanging="252"/>
        <w:jc w:val="left"/>
      </w:pPr>
      <w:r>
        <w:rPr/>
        <w:t>（</w:t>
      </w:r>
      <w:r>
        <w:rPr>
          <w:rFonts w:ascii="Times New Roman" w:hAnsi="Times New Roman" w:cs="Times New Roman" w:eastAsia="Times New Roman" w:hint="default"/>
          <w:b/>
          <w:bCs/>
        </w:rPr>
        <w:t>6</w:t>
      </w:r>
      <w:r>
        <w:rPr/>
        <w:t>）内部研究开发项目支出的核算</w:t>
      </w:r>
      <w:r>
        <w:rPr>
          <w:spacing w:val="-98"/>
        </w:rPr>
        <w:t> </w:t>
      </w:r>
      <w:r>
        <w:rPr>
          <w:spacing w:val="-98"/>
        </w:rPr>
      </w:r>
      <w:r>
        <w:rPr>
          <w:spacing w:val="-4"/>
        </w:rPr>
        <w:t>根据内部研究开发项目支出的性质以及研发活动最终形成无形资产是否具有较大不确定性，分为研究阶</w:t>
      </w:r>
    </w:p>
    <w:p>
      <w:pPr>
        <w:pStyle w:val="BodyText"/>
        <w:spacing w:line="408" w:lineRule="auto" w:before="37"/>
        <w:ind w:left="404" w:right="140" w:hanging="252"/>
        <w:jc w:val="left"/>
      </w:pPr>
      <w:r>
        <w:rPr/>
        <w:t>段支出和开发阶段支出。</w:t>
      </w:r>
      <w:r>
        <w:rPr>
          <w:w w:val="100"/>
        </w:rPr>
        <w:t> </w:t>
      </w:r>
      <w:r>
        <w:rPr>
          <w:spacing w:val="-2"/>
        </w:rPr>
        <w:t>研究阶段的支出，于发生时计入当期损益；开发阶段的支出，同时满足下列条件的，确认为无形资产：</w:t>
      </w:r>
    </w:p>
    <w:p>
      <w:pPr>
        <w:pStyle w:val="BodyText"/>
        <w:spacing w:line="386" w:lineRule="auto" w:before="46"/>
        <w:ind w:left="740" w:right="140"/>
        <w:jc w:val="left"/>
      </w:pPr>
      <w:r>
        <w:rPr>
          <w:rFonts w:ascii="Times New Roman" w:hAnsi="Times New Roman" w:cs="Times New Roman" w:eastAsia="Times New Roman" w:hint="default"/>
        </w:rPr>
        <w:t>(1)</w:t>
      </w:r>
      <w:r>
        <w:rPr/>
        <w:t>完成该无形资产以使其能够使用或出售在技术上具有可行性；</w:t>
      </w:r>
      <w:r>
        <w:rPr>
          <w:w w:val="100"/>
        </w:rPr>
        <w:t> </w:t>
      </w:r>
      <w:r>
        <w:rPr>
          <w:rFonts w:ascii="Times New Roman" w:hAnsi="Times New Roman" w:cs="Times New Roman" w:eastAsia="Times New Roman" w:hint="default"/>
        </w:rPr>
        <w:t>(2)</w:t>
      </w:r>
      <w:r>
        <w:rPr/>
        <w:t>管理层具有完成该无形资产并使用或出售的意图；</w:t>
      </w:r>
      <w:r>
        <w:rPr>
          <w:w w:val="100"/>
        </w:rPr>
        <w:t> </w:t>
      </w:r>
      <w:r>
        <w:rPr>
          <w:rFonts w:ascii="Times New Roman" w:hAnsi="Times New Roman" w:cs="Times New Roman" w:eastAsia="Times New Roman" w:hint="default"/>
        </w:rPr>
        <w:t>(3)</w:t>
      </w:r>
      <w:r>
        <w:rPr/>
        <w:t>能够证明该无形资产将如何产生经济利益；</w:t>
      </w:r>
    </w:p>
    <w:p>
      <w:pPr>
        <w:pStyle w:val="BodyText"/>
        <w:spacing w:line="256" w:lineRule="auto" w:before="35"/>
        <w:ind w:right="140" w:firstLine="588"/>
        <w:jc w:val="left"/>
      </w:pP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有足够的技术、财务资源和其他资源支持，以完成该无形资产的开发，并有能力使用或出售该无</w:t>
      </w:r>
      <w:r>
        <w:rPr>
          <w:w w:val="100"/>
        </w:rPr>
        <w:t> </w:t>
      </w:r>
      <w:r>
        <w:rPr/>
        <w:t>形资产；</w:t>
      </w:r>
    </w:p>
    <w:p>
      <w:pPr>
        <w:pStyle w:val="BodyText"/>
        <w:spacing w:line="450" w:lineRule="atLeast" w:before="19"/>
        <w:ind w:left="740" w:right="140"/>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w:t>
      </w:r>
    </w:p>
    <w:p>
      <w:pPr>
        <w:pStyle w:val="BodyText"/>
        <w:spacing w:line="273" w:lineRule="auto" w:before="37"/>
        <w:ind w:right="140"/>
        <w:jc w:val="left"/>
      </w:pPr>
      <w:r>
        <w:rPr>
          <w:spacing w:val="-3"/>
        </w:rPr>
        <w:t>期间确认为资产。已资本化的开发阶段的支出在资产负债表上列示为开发支出，自该项目达到预定可使用</w:t>
      </w:r>
      <w:r>
        <w:rPr>
          <w:spacing w:val="4"/>
        </w:rPr>
        <w:t> </w:t>
      </w:r>
      <w:r>
        <w:rPr>
          <w:spacing w:val="4"/>
        </w:rPr>
      </w:r>
      <w:r>
        <w:rPr/>
        <w:t>状态之日起转为无形资产。</w:t>
      </w:r>
    </w:p>
    <w:p>
      <w:pPr>
        <w:pStyle w:val="BodyText"/>
        <w:spacing w:line="240" w:lineRule="auto" w:before="163"/>
        <w:ind w:right="140"/>
        <w:jc w:val="left"/>
      </w:pPr>
      <w:r>
        <w:rPr/>
        <w:t>当开发支出的可收回金额低于其账面价值时，账面价值减记至可收回金额。</w:t>
      </w:r>
    </w:p>
    <w:p>
      <w:pPr>
        <w:pStyle w:val="BodyText"/>
        <w:spacing w:line="600" w:lineRule="atLeast" w:before="28"/>
        <w:ind w:left="404" w:right="140" w:hanging="252"/>
        <w:jc w:val="left"/>
      </w:pPr>
      <w:r>
        <w:rPr>
          <w:rFonts w:ascii="Times New Roman" w:hAnsi="Times New Roman" w:cs="Times New Roman" w:eastAsia="Times New Roman" w:hint="default"/>
          <w:b/>
          <w:bCs/>
        </w:rPr>
        <w:t>20</w:t>
      </w:r>
      <w:r>
        <w:rPr/>
        <w:t>、长期待摊费用</w:t>
      </w:r>
      <w:r>
        <w:rPr>
          <w:spacing w:val="-102"/>
        </w:rPr>
        <w:t> </w:t>
      </w:r>
      <w:r>
        <w:rPr>
          <w:spacing w:val="-102"/>
        </w:rPr>
      </w:r>
      <w:r>
        <w:rPr>
          <w:spacing w:val="-2"/>
        </w:rPr>
        <w:t>长期待摊费用包括经营租入固定资产改良及其他已经发生但应由本期和以后各期负担的分摊期限在一</w:t>
      </w:r>
    </w:p>
    <w:p>
      <w:pPr>
        <w:pStyle w:val="BodyText"/>
        <w:spacing w:line="240" w:lineRule="auto" w:before="37"/>
        <w:ind w:right="140"/>
        <w:jc w:val="left"/>
      </w:pPr>
      <w:r>
        <w:rPr/>
        <w:t>年以上的各项费用，按预计受益期间分期平均摊销，并以实际支出减去累计摊销后的净额列示。</w:t>
      </w:r>
    </w:p>
    <w:p>
      <w:pPr>
        <w:spacing w:line="240" w:lineRule="auto" w:before="10"/>
        <w:rPr>
          <w:rFonts w:ascii="宋体" w:hAnsi="宋体" w:cs="宋体" w:eastAsia="宋体" w:hint="default"/>
          <w:sz w:val="25"/>
          <w:szCs w:val="25"/>
        </w:rPr>
      </w:pPr>
    </w:p>
    <w:p>
      <w:pPr>
        <w:pStyle w:val="BodyText"/>
        <w:spacing w:line="240" w:lineRule="auto"/>
        <w:ind w:right="140"/>
        <w:jc w:val="left"/>
      </w:pPr>
      <w:r>
        <w:rPr>
          <w:rFonts w:ascii="Times New Roman" w:hAnsi="Times New Roman" w:cs="Times New Roman" w:eastAsia="Times New Roman" w:hint="default"/>
          <w:b/>
          <w:bCs/>
        </w:rPr>
        <w:t>21</w:t>
      </w:r>
      <w:r>
        <w:rPr/>
        <w:t>、附回购条件的资产转让</w:t>
      </w:r>
    </w:p>
    <w:p>
      <w:pPr>
        <w:spacing w:line="240" w:lineRule="auto" w:before="7"/>
        <w:rPr>
          <w:rFonts w:ascii="宋体" w:hAnsi="宋体" w:cs="宋体" w:eastAsia="宋体" w:hint="default"/>
          <w:sz w:val="24"/>
          <w:szCs w:val="24"/>
        </w:rPr>
      </w:pPr>
    </w:p>
    <w:p>
      <w:pPr>
        <w:spacing w:before="0"/>
        <w:ind w:left="152" w:right="1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sz w:val="21"/>
          <w:szCs w:val="21"/>
        </w:rPr>
        <w:t>、预计负债</w:t>
      </w:r>
    </w:p>
    <w:p>
      <w:pPr>
        <w:pStyle w:val="BodyText"/>
        <w:spacing w:line="590" w:lineRule="atLeast" w:before="24"/>
        <w:ind w:left="404" w:right="140" w:hanging="252"/>
        <w:jc w:val="left"/>
      </w:pPr>
      <w:r>
        <w:rPr/>
        <w:t>（</w:t>
      </w:r>
      <w:r>
        <w:rPr>
          <w:rFonts w:ascii="Times New Roman" w:hAnsi="Times New Roman" w:cs="Times New Roman" w:eastAsia="Times New Roman" w:hint="default"/>
          <w:b/>
          <w:bCs/>
        </w:rPr>
        <w:t>1</w:t>
      </w:r>
      <w:r>
        <w:rPr/>
        <w:t>）预计负债的确认标准</w:t>
      </w:r>
      <w:r>
        <w:rPr>
          <w:spacing w:val="-99"/>
        </w:rPr>
        <w:t> </w:t>
      </w:r>
      <w:r>
        <w:rPr>
          <w:spacing w:val="-99"/>
        </w:rPr>
      </w:r>
      <w:r>
        <w:rPr>
          <w:spacing w:val="-4"/>
        </w:rPr>
        <w:t>对因产品质量保证、亏损合同等形成的现时义务，其履行很可能导致经济利益的流出，在该义务的金额</w:t>
      </w:r>
    </w:p>
    <w:p>
      <w:pPr>
        <w:pStyle w:val="BodyText"/>
        <w:spacing w:line="240" w:lineRule="auto" w:before="37"/>
        <w:ind w:right="140"/>
        <w:jc w:val="left"/>
      </w:pPr>
      <w:r>
        <w:rPr/>
        <w:t>能够可靠计量时，确认为预计负债。</w:t>
      </w:r>
    </w:p>
    <w:p>
      <w:pPr>
        <w:spacing w:line="240" w:lineRule="auto" w:before="10"/>
        <w:rPr>
          <w:rFonts w:ascii="宋体" w:hAnsi="宋体" w:cs="宋体" w:eastAsia="宋体" w:hint="default"/>
          <w:sz w:val="25"/>
          <w:szCs w:val="25"/>
        </w:rPr>
      </w:pPr>
    </w:p>
    <w:p>
      <w:pPr>
        <w:pStyle w:val="BodyText"/>
        <w:spacing w:line="506" w:lineRule="auto"/>
        <w:ind w:left="404" w:right="140" w:hanging="252"/>
        <w:jc w:val="left"/>
      </w:pPr>
      <w:r>
        <w:rPr/>
        <w:t>（</w:t>
      </w:r>
      <w:r>
        <w:rPr>
          <w:rFonts w:ascii="Times New Roman" w:hAnsi="Times New Roman" w:cs="Times New Roman" w:eastAsia="Times New Roman" w:hint="default"/>
          <w:b/>
          <w:bCs/>
        </w:rPr>
        <w:t>2</w:t>
      </w:r>
      <w:r>
        <w:rPr/>
        <w:t>）预计负债的计量方法</w:t>
      </w:r>
      <w:r>
        <w:rPr>
          <w:spacing w:val="-99"/>
        </w:rPr>
        <w:t> </w:t>
      </w:r>
      <w:r>
        <w:rPr>
          <w:spacing w:val="-99"/>
        </w:rPr>
      </w:r>
      <w:r>
        <w:rPr>
          <w:spacing w:val="-2"/>
        </w:rPr>
        <w:t>于资产负债表日，对预计负债的账面价值进行复核并作适当调整，以反映当前的最佳估计数。</w:t>
      </w:r>
    </w:p>
    <w:p>
      <w:pPr>
        <w:spacing w:after="0" w:line="506" w:lineRule="auto"/>
        <w:jc w:val="left"/>
        <w:sectPr>
          <w:pgSz w:w="11900" w:h="16840"/>
          <w:pgMar w:header="746" w:footer="982" w:top="1060" w:bottom="1180" w:left="980" w:right="96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23</w:t>
      </w:r>
      <w:r>
        <w:rPr/>
        <w:t>、股份支付及权益工具</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）股份支付的种类</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2</w:t>
      </w:r>
      <w:r>
        <w:rPr/>
        <w:t>）权益工具公允价值的确定方法</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3</w:t>
      </w:r>
      <w:r>
        <w:rPr/>
        <w:t>）确认可行权权益工具最佳估计的依据</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4</w:t>
      </w:r>
      <w:r>
        <w:rPr/>
        <w:t>）实施、修改、终止股份支付计划的相关会计处理</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24</w:t>
      </w:r>
      <w:r>
        <w:rPr/>
        <w:t>、回购本公司股份</w:t>
      </w:r>
    </w:p>
    <w:p>
      <w:pPr>
        <w:spacing w:line="240" w:lineRule="auto" w:before="7"/>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sz w:val="21"/>
          <w:szCs w:val="21"/>
        </w:rPr>
        <w:t>、收入</w:t>
      </w:r>
    </w:p>
    <w:p>
      <w:pPr>
        <w:pStyle w:val="BodyText"/>
        <w:spacing w:line="590" w:lineRule="atLeast" w:before="24"/>
        <w:ind w:left="529" w:right="145" w:hanging="377"/>
        <w:jc w:val="left"/>
      </w:pPr>
      <w:r>
        <w:rPr/>
        <w:t>（</w:t>
      </w:r>
      <w:r>
        <w:rPr>
          <w:rFonts w:ascii="Times New Roman" w:hAnsi="Times New Roman" w:cs="Times New Roman" w:eastAsia="Times New Roman" w:hint="default"/>
          <w:b/>
          <w:bCs/>
        </w:rPr>
        <w:t>1</w:t>
      </w:r>
      <w:r>
        <w:rPr/>
        <w:t>）销售商品收入确认时间的具体判断标准</w:t>
      </w:r>
      <w:r>
        <w:rPr>
          <w:spacing w:val="-95"/>
        </w:rPr>
        <w:t> </w:t>
      </w:r>
      <w:r>
        <w:rPr>
          <w:spacing w:val="-95"/>
        </w:rPr>
      </w:r>
      <w:r>
        <w:rPr>
          <w:spacing w:val="-2"/>
        </w:rPr>
        <w:t>商品销售在商品所有权上的主要风险和报酬已转移给买方，本公司不再对该商品实施继续管理权和实</w:t>
      </w:r>
    </w:p>
    <w:p>
      <w:pPr>
        <w:pStyle w:val="BodyText"/>
        <w:spacing w:line="273" w:lineRule="auto" w:before="37"/>
        <w:ind w:right="145"/>
        <w:jc w:val="left"/>
      </w:pPr>
      <w:r>
        <w:rPr>
          <w:spacing w:val="-3"/>
        </w:rPr>
        <w:t>际控制权，与交易相关的经济利益很可能流入企业，并且与销售该商品相关的收入和成本能够可靠地计量</w:t>
      </w:r>
      <w:r>
        <w:rPr>
          <w:spacing w:val="4"/>
        </w:rPr>
        <w:t> </w:t>
      </w:r>
      <w:r>
        <w:rPr>
          <w:spacing w:val="4"/>
        </w:rPr>
      </w:r>
      <w:r>
        <w:rPr/>
        <w:t>时，确认营业收入的实现。</w:t>
      </w:r>
    </w:p>
    <w:p>
      <w:pPr>
        <w:pStyle w:val="BodyText"/>
        <w:spacing w:line="600" w:lineRule="atLeast"/>
        <w:ind w:left="510" w:right="145" w:hanging="358"/>
        <w:jc w:val="left"/>
      </w:pPr>
      <w:r>
        <w:rPr/>
        <w:t>（</w:t>
      </w:r>
      <w:r>
        <w:rPr>
          <w:rFonts w:ascii="Times New Roman" w:hAnsi="Times New Roman" w:cs="Times New Roman" w:eastAsia="Times New Roman" w:hint="default"/>
          <w:b/>
          <w:bCs/>
        </w:rPr>
        <w:t>2</w:t>
      </w:r>
      <w:r>
        <w:rPr/>
        <w:t>）确认让渡资产使用权收入的依据</w:t>
      </w:r>
      <w:r>
        <w:rPr>
          <w:spacing w:val="-97"/>
        </w:rPr>
        <w:t> </w:t>
      </w:r>
      <w:r>
        <w:rPr>
          <w:spacing w:val="-97"/>
        </w:rPr>
      </w:r>
      <w:r>
        <w:rPr>
          <w:spacing w:val="-2"/>
        </w:rPr>
        <w:t>让渡资产使用权取得的利息收入和使用费收入，在与交易相关的经济利益能够流入企业，且收入的金</w:t>
      </w:r>
    </w:p>
    <w:p>
      <w:pPr>
        <w:pStyle w:val="BodyText"/>
        <w:spacing w:line="240" w:lineRule="auto" w:before="37"/>
        <w:ind w:right="145"/>
        <w:jc w:val="left"/>
      </w:pPr>
      <w:r>
        <w:rPr/>
        <w:t>额能够可靠地计量时，确认收入的实现。</w:t>
      </w:r>
    </w:p>
    <w:p>
      <w:pPr>
        <w:pStyle w:val="BodyText"/>
        <w:spacing w:line="590" w:lineRule="atLeast" w:before="38"/>
        <w:ind w:left="510" w:right="145" w:hanging="358"/>
        <w:jc w:val="left"/>
      </w:pPr>
      <w:r>
        <w:rPr/>
        <w:t>（</w:t>
      </w:r>
      <w:r>
        <w:rPr>
          <w:rFonts w:ascii="Times New Roman" w:hAnsi="Times New Roman" w:cs="Times New Roman" w:eastAsia="Times New Roman" w:hint="default"/>
          <w:b/>
          <w:bCs/>
        </w:rPr>
        <w:t>3</w:t>
      </w:r>
      <w:r>
        <w:rPr/>
        <w:t>）确认提供劳务收入的依据</w:t>
      </w:r>
      <w:r>
        <w:rPr>
          <w:spacing w:val="-99"/>
        </w:rPr>
        <w:t> </w:t>
      </w:r>
      <w:r>
        <w:rPr>
          <w:spacing w:val="-99"/>
        </w:rPr>
      </w:r>
      <w:r>
        <w:rPr>
          <w:spacing w:val="-2"/>
        </w:rPr>
        <w:t>提供的劳务在同一会计年度开始并完成的，在劳务已经提供，收到价款或取得收取价款的证据时，确</w:t>
      </w:r>
    </w:p>
    <w:p>
      <w:pPr>
        <w:pStyle w:val="BodyText"/>
        <w:spacing w:line="273" w:lineRule="auto" w:before="37"/>
        <w:ind w:right="141"/>
        <w:jc w:val="both"/>
      </w:pPr>
      <w:r>
        <w:rPr>
          <w:spacing w:val="-3"/>
        </w:rPr>
        <w:t>认营业收入的实现；劳务的开始和完成分属不同会计年度的，在劳务合同的总收入、劳务的完成程度能够</w:t>
      </w:r>
      <w:r>
        <w:rPr>
          <w:spacing w:val="3"/>
        </w:rPr>
        <w:t> </w:t>
      </w:r>
      <w:r>
        <w:rPr>
          <w:spacing w:val="3"/>
        </w:rPr>
      </w:r>
      <w:r>
        <w:rPr>
          <w:spacing w:val="-3"/>
        </w:rPr>
        <w:t>可靠地确定，与交易相关的价款能够流入，已经发生的成本和为完成劳务将要发生的成本能够可靠地计量</w:t>
      </w:r>
      <w:r>
        <w:rPr>
          <w:spacing w:val="4"/>
        </w:rPr>
        <w:t> </w:t>
      </w:r>
      <w:r>
        <w:rPr>
          <w:spacing w:val="4"/>
        </w:rPr>
      </w:r>
      <w:r>
        <w:rPr>
          <w:spacing w:val="-3"/>
        </w:rPr>
        <w:t>时，按完工百分比法确认营业收入的实现；长期合同工程在合同结果已经能够合理地预见时，按结账时已</w:t>
      </w:r>
      <w:r>
        <w:rPr>
          <w:spacing w:val="4"/>
        </w:rPr>
        <w:t> </w:t>
      </w:r>
      <w:r>
        <w:rPr>
          <w:spacing w:val="4"/>
        </w:rPr>
      </w:r>
      <w:r>
        <w:rPr/>
        <w:t>完成工程进度的百分比法确认营业收入的实现。</w:t>
      </w:r>
    </w:p>
    <w:p>
      <w:pPr>
        <w:spacing w:line="240" w:lineRule="auto" w:before="7"/>
        <w:rPr>
          <w:rFonts w:ascii="宋体" w:hAnsi="宋体" w:cs="宋体" w:eastAsia="宋体" w:hint="default"/>
          <w:sz w:val="23"/>
          <w:szCs w:val="23"/>
        </w:rPr>
      </w:pPr>
    </w:p>
    <w:p>
      <w:pPr>
        <w:pStyle w:val="BodyText"/>
        <w:spacing w:line="240" w:lineRule="auto"/>
        <w:ind w:right="145"/>
        <w:jc w:val="left"/>
      </w:pPr>
      <w:r>
        <w:rPr/>
        <w:t>（</w:t>
      </w:r>
      <w:r>
        <w:rPr>
          <w:rFonts w:ascii="Times New Roman" w:hAnsi="Times New Roman" w:cs="Times New Roman" w:eastAsia="Times New Roman" w:hint="default"/>
          <w:b/>
          <w:bCs/>
        </w:rPr>
        <w:t>4</w:t>
      </w:r>
      <w:r>
        <w:rPr/>
        <w:t>）按完工百分比法确认提供劳务的收入和建造合同收入时，确定合同完工进度的依据和方法</w:t>
      </w:r>
    </w:p>
    <w:p>
      <w:pPr>
        <w:spacing w:line="240" w:lineRule="auto" w:before="10"/>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sz w:val="21"/>
          <w:szCs w:val="21"/>
        </w:rPr>
        <w:t>、政府补助</w:t>
      </w:r>
    </w:p>
    <w:p>
      <w:pPr>
        <w:spacing w:line="240" w:lineRule="auto" w:before="7"/>
        <w:rPr>
          <w:rFonts w:ascii="宋体" w:hAnsi="宋体" w:cs="宋体" w:eastAsia="宋体" w:hint="default"/>
          <w:sz w:val="24"/>
          <w:szCs w:val="24"/>
        </w:rPr>
      </w:pPr>
    </w:p>
    <w:p>
      <w:pPr>
        <w:pStyle w:val="BodyText"/>
        <w:spacing w:line="506" w:lineRule="auto"/>
        <w:ind w:left="423" w:right="3248" w:hanging="272"/>
        <w:jc w:val="left"/>
      </w:pPr>
      <w:r>
        <w:rPr/>
        <w:t>（</w:t>
      </w:r>
      <w:r>
        <w:rPr>
          <w:rFonts w:ascii="Times New Roman" w:hAnsi="Times New Roman" w:cs="Times New Roman" w:eastAsia="Times New Roman" w:hint="default"/>
          <w:b/>
          <w:bCs/>
        </w:rPr>
        <w:t>1</w:t>
      </w:r>
      <w:r>
        <w:rPr/>
        <w:t>）类型</w:t>
      </w:r>
      <w:r>
        <w:rPr>
          <w:spacing w:val="-102"/>
        </w:rPr>
        <w:t> </w:t>
      </w:r>
      <w:r>
        <w:rPr>
          <w:spacing w:val="-102"/>
        </w:rPr>
      </w:r>
      <w:r>
        <w:rPr>
          <w:spacing w:val="-2"/>
        </w:rPr>
        <w:t>政府补助分为与资产相关的政府补助与收益相关的政府补助。</w:t>
      </w:r>
    </w:p>
    <w:p>
      <w:pPr>
        <w:pStyle w:val="BodyText"/>
        <w:spacing w:line="240" w:lineRule="auto" w:before="104"/>
        <w:ind w:right="145"/>
        <w:jc w:val="left"/>
      </w:pPr>
      <w:r>
        <w:rPr/>
        <w:t>（</w:t>
      </w:r>
      <w:r>
        <w:rPr>
          <w:rFonts w:ascii="Times New Roman" w:hAnsi="Times New Roman" w:cs="Times New Roman" w:eastAsia="Times New Roman" w:hint="default"/>
          <w:b/>
          <w:bCs/>
        </w:rPr>
        <w:t>2</w:t>
      </w:r>
      <w:r>
        <w:rPr/>
        <w:t>）会计处理方法</w:t>
      </w:r>
    </w:p>
    <w:p>
      <w:pPr>
        <w:spacing w:line="240" w:lineRule="auto" w:before="10"/>
        <w:rPr>
          <w:rFonts w:ascii="宋体" w:hAnsi="宋体" w:cs="宋体" w:eastAsia="宋体" w:hint="default"/>
          <w:sz w:val="24"/>
          <w:szCs w:val="24"/>
        </w:rPr>
      </w:pPr>
    </w:p>
    <w:p>
      <w:pPr>
        <w:pStyle w:val="BodyText"/>
        <w:spacing w:line="273" w:lineRule="auto"/>
        <w:ind w:right="145" w:firstLine="357"/>
        <w:jc w:val="left"/>
      </w:pPr>
      <w:r>
        <w:rPr>
          <w:spacing w:val="-2"/>
        </w:rPr>
        <w:t>政府补助为货币性资产的，按照收到或应收的金额计量。政府补助为非货币性资产的，按照公允价值</w:t>
      </w:r>
      <w:r>
        <w:rPr>
          <w:w w:val="100"/>
        </w:rPr>
        <w:t> </w:t>
      </w:r>
      <w:r>
        <w:rPr/>
        <w:t>计量；公允价值不能可靠取得的，按照名义金额计量。</w:t>
      </w:r>
    </w:p>
    <w:p>
      <w:pPr>
        <w:spacing w:after="0" w:line="273" w:lineRule="auto"/>
        <w:jc w:val="left"/>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1" w:firstLine="357"/>
        <w:jc w:val="both"/>
      </w:pPr>
      <w:r>
        <w:rPr>
          <w:spacing w:val="-2"/>
        </w:rPr>
        <w:t>与资产相关的政府补助，应当确认为递延收益，并在相关资产使用寿命内平均分配，计入当期损益。</w:t>
      </w:r>
      <w:r>
        <w:rPr>
          <w:w w:val="100"/>
        </w:rPr>
        <w:t> </w:t>
      </w:r>
      <w:r>
        <w:rPr>
          <w:spacing w:val="-3"/>
        </w:rPr>
        <w:t>按照名义金额计量的政府补助，直接计入当期损益。与收益相关的政府补助，用于补偿公司以后期间的相</w:t>
      </w:r>
      <w:r>
        <w:rPr>
          <w:spacing w:val="5"/>
        </w:rPr>
        <w:t> </w:t>
      </w:r>
      <w:r>
        <w:rPr>
          <w:spacing w:val="5"/>
        </w:rPr>
      </w:r>
      <w:r>
        <w:rPr>
          <w:spacing w:val="-3"/>
        </w:rPr>
        <w:t>关费用或损失的，确认为递延收益，并在确认相关费用的期间，计入当期损益；用于补偿公司已发生的相</w:t>
      </w:r>
      <w:r>
        <w:rPr/>
        <w:t> </w:t>
      </w:r>
      <w:r>
        <w:rPr/>
        <w:t>关费用或损失的，直接计入当期损益。</w:t>
      </w:r>
    </w:p>
    <w:p>
      <w:pPr>
        <w:pStyle w:val="BodyText"/>
        <w:spacing w:line="273" w:lineRule="auto" w:before="163"/>
        <w:ind w:right="143" w:firstLine="357"/>
        <w:jc w:val="both"/>
      </w:pPr>
      <w:r>
        <w:rPr>
          <w:spacing w:val="-2"/>
        </w:rPr>
        <w:t>对于综合性项目的政府补助，需要将其分解为与资产相关的部分和与收益相关的部分，分别进行会计</w:t>
      </w:r>
      <w:r>
        <w:rPr>
          <w:w w:val="100"/>
        </w:rPr>
        <w:t> </w:t>
      </w:r>
      <w:r>
        <w:rPr>
          <w:spacing w:val="-3"/>
        </w:rPr>
        <w:t>处理；难以区分的，将政府补助整体归类为与收益相关的政府补助，视情况不同计入当期损益，或者在项</w:t>
      </w:r>
      <w:r>
        <w:rPr>
          <w:spacing w:val="2"/>
        </w:rPr>
        <w:t> </w:t>
      </w:r>
      <w:r>
        <w:rPr>
          <w:spacing w:val="2"/>
        </w:rPr>
      </w:r>
      <w:r>
        <w:rPr/>
        <w:t>目期内分期确认为当期收益。</w:t>
      </w:r>
    </w:p>
    <w:p>
      <w:pPr>
        <w:spacing w:line="240" w:lineRule="auto" w:before="7"/>
        <w:rPr>
          <w:rFonts w:ascii="宋体" w:hAnsi="宋体" w:cs="宋体" w:eastAsia="宋体" w:hint="default"/>
          <w:sz w:val="23"/>
          <w:szCs w:val="23"/>
        </w:rPr>
      </w:pPr>
    </w:p>
    <w:p>
      <w:pPr>
        <w:pStyle w:val="BodyText"/>
        <w:spacing w:line="240" w:lineRule="auto"/>
        <w:ind w:right="145"/>
        <w:jc w:val="left"/>
      </w:pPr>
      <w:r>
        <w:rPr>
          <w:rFonts w:ascii="Times New Roman" w:hAnsi="Times New Roman" w:cs="Times New Roman" w:eastAsia="Times New Roman" w:hint="default"/>
          <w:b/>
          <w:bCs/>
        </w:rPr>
        <w:t>27</w:t>
      </w:r>
      <w:r>
        <w:rPr/>
        <w:t>、递延所得税资产和递延所得税负债</w:t>
      </w:r>
    </w:p>
    <w:p>
      <w:pPr>
        <w:pStyle w:val="BodyText"/>
        <w:spacing w:line="610" w:lineRule="atLeast" w:before="4"/>
        <w:ind w:left="515" w:right="145" w:hanging="363"/>
        <w:jc w:val="left"/>
      </w:pPr>
      <w:r>
        <w:rPr/>
        <w:t>（</w:t>
      </w:r>
      <w:r>
        <w:rPr>
          <w:rFonts w:ascii="Times New Roman" w:hAnsi="Times New Roman" w:cs="Times New Roman" w:eastAsia="Times New Roman" w:hint="default"/>
          <w:b/>
          <w:bCs/>
        </w:rPr>
        <w:t>1</w:t>
      </w:r>
      <w:r>
        <w:rPr/>
        <w:t>）确认递延所得税资产的依据</w:t>
      </w:r>
      <w:r>
        <w:rPr>
          <w:spacing w:val="-98"/>
        </w:rPr>
        <w:t> </w:t>
      </w:r>
      <w:r>
        <w:rPr>
          <w:spacing w:val="-98"/>
        </w:rPr>
      </w: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包括应纳税暂时</w:t>
      </w:r>
    </w:p>
    <w:p>
      <w:pPr>
        <w:pStyle w:val="BodyText"/>
        <w:spacing w:line="264" w:lineRule="auto" w:before="21"/>
        <w:ind w:right="145"/>
        <w:jc w:val="left"/>
      </w:pPr>
      <w:r>
        <w:rPr/>
        <w:t>性差异和可抵扣暂时性差异</w:t>
      </w:r>
      <w:r>
        <w:rPr>
          <w:rFonts w:ascii="Times New Roman" w:hAnsi="Times New Roman" w:cs="Times New Roman" w:eastAsia="Times New Roman" w:hint="default"/>
        </w:rPr>
        <w:t>)</w:t>
      </w:r>
      <w:r>
        <w:rPr/>
        <w:t>计算确认。对于按照税法规定能够于以后年度抵减应纳税所得额的可抵扣亏</w:t>
      </w:r>
      <w:r>
        <w:rPr>
          <w:w w:val="100"/>
        </w:rPr>
        <w:t> </w:t>
      </w:r>
      <w:r>
        <w:rPr>
          <w:spacing w:val="-3"/>
        </w:rPr>
        <w:t>损，视同可抵扣暂时性差异。对于商誉的初始确认产生的暂时性差异，不确认相应的递延所得税负债。对</w:t>
      </w:r>
      <w:r>
        <w:rPr>
          <w:spacing w:val="2"/>
        </w:rPr>
        <w:t> </w:t>
      </w:r>
      <w:r>
        <w:rPr>
          <w:spacing w:val="2"/>
        </w:rPr>
      </w:r>
      <w:r>
        <w:rPr>
          <w:spacing w:val="-2"/>
        </w:rPr>
        <w:t>于既不影响会计利润也不影响应纳税所得额</w:t>
      </w:r>
      <w:r>
        <w:rPr>
          <w:rFonts w:ascii="Times New Roman" w:hAnsi="Times New Roman" w:cs="Times New Roman" w:eastAsia="Times New Roman" w:hint="default"/>
          <w:spacing w:val="-2"/>
        </w:rPr>
        <w:t>(</w:t>
      </w:r>
      <w:r>
        <w:rPr>
          <w:spacing w:val="-2"/>
        </w:rPr>
        <w:t>或可抵扣亏损</w:t>
      </w:r>
      <w:r>
        <w:rPr>
          <w:rFonts w:ascii="Times New Roman" w:hAnsi="Times New Roman" w:cs="Times New Roman" w:eastAsia="Times New Roman" w:hint="default"/>
          <w:spacing w:val="-2"/>
        </w:rPr>
        <w:t>)</w:t>
      </w:r>
      <w:r>
        <w:rPr>
          <w:spacing w:val="-2"/>
        </w:rPr>
        <w:t>的非企业合并的交易中产生的资产或负债的初</w:t>
      </w:r>
      <w:r>
        <w:rPr>
          <w:spacing w:val="-19"/>
        </w:rPr>
        <w:t> </w:t>
      </w:r>
      <w:r>
        <w:rPr>
          <w:spacing w:val="-19"/>
        </w:rPr>
      </w:r>
      <w:r>
        <w:rPr>
          <w:spacing w:val="-3"/>
        </w:rPr>
        <w:t>始确认形成的暂时性差异，不确认相应的递延所得税资产和递延所得税负债。于资产负债表日，递延所得</w:t>
      </w:r>
      <w:r>
        <w:rPr>
          <w:spacing w:val="5"/>
        </w:rPr>
        <w:t> </w:t>
      </w:r>
      <w:r>
        <w:rPr>
          <w:spacing w:val="5"/>
        </w:rPr>
      </w:r>
      <w:r>
        <w:rPr/>
        <w:t>税资产和递延所得税负债，按照预期收回该资产或清偿该负债期间的适用税率计量。</w:t>
      </w:r>
    </w:p>
    <w:p>
      <w:pPr>
        <w:pStyle w:val="BodyText"/>
        <w:spacing w:line="273" w:lineRule="auto" w:before="172"/>
        <w:ind w:right="145"/>
        <w:jc w:val="left"/>
      </w:pPr>
      <w:r>
        <w:rPr>
          <w:spacing w:val="-3"/>
        </w:rPr>
        <w:t>递延所得税资产的确认以本公司很可能取得用来抵扣可抵扣暂时性差异、可抵扣亏损和税款抵减的应纳税</w:t>
      </w:r>
      <w:r>
        <w:rPr>
          <w:spacing w:val="4"/>
        </w:rPr>
        <w:t> </w:t>
      </w:r>
      <w:r>
        <w:rPr>
          <w:spacing w:val="4"/>
        </w:rPr>
      </w:r>
      <w:r>
        <w:rPr/>
        <w:t>所得额为限。</w:t>
      </w:r>
    </w:p>
    <w:p>
      <w:pPr>
        <w:pStyle w:val="BodyText"/>
        <w:spacing w:line="273" w:lineRule="auto" w:before="163"/>
        <w:ind w:right="145" w:firstLine="314"/>
        <w:jc w:val="left"/>
      </w:pPr>
      <w:r>
        <w:rPr>
          <w:spacing w:val="-2"/>
        </w:rPr>
        <w:t>对子公司、联营企业及合营企业投资相关的暂时性差异产生的递延所得税资产和递延所得税负债，予</w:t>
      </w:r>
      <w:r>
        <w:rPr>
          <w:w w:val="100"/>
        </w:rPr>
        <w:t> </w:t>
      </w:r>
      <w:r>
        <w:rPr>
          <w:spacing w:val="-3"/>
        </w:rPr>
        <w:t>以确认。但本公司能够控制暂时性差异转回的时间且该暂时性差异在可预见的未来很可能不会转回的，不</w:t>
      </w:r>
      <w:r>
        <w:rPr>
          <w:spacing w:val="4"/>
        </w:rPr>
        <w:t> </w:t>
      </w:r>
      <w:r>
        <w:rPr>
          <w:spacing w:val="4"/>
        </w:rPr>
      </w:r>
      <w:r>
        <w:rPr/>
        <w:t>予确认。</w:t>
      </w:r>
    </w:p>
    <w:p>
      <w:pPr>
        <w:spacing w:after="0" w:line="273" w:lineRule="auto"/>
        <w:jc w:val="left"/>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）确认递延所得税负债的依据</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28</w:t>
      </w:r>
      <w:r>
        <w:rPr/>
        <w:t>、经营租赁、融资租赁</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）经营租赁会计处理</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2</w:t>
      </w:r>
      <w:r>
        <w:rPr/>
        <w:t>）融资租赁会计处理</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3</w:t>
      </w:r>
      <w:r>
        <w:rPr/>
        <w:t>）售后租回的会计处理</w:t>
      </w:r>
    </w:p>
    <w:p>
      <w:pPr>
        <w:spacing w:line="240" w:lineRule="auto" w:before="10"/>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sz w:val="21"/>
          <w:szCs w:val="21"/>
        </w:rPr>
        <w:t>、持有待售资产</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）持有待售资产确认标准</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2</w:t>
      </w:r>
      <w:r>
        <w:rPr/>
        <w:t>）持有待售资产的会计处理方法</w:t>
      </w:r>
    </w:p>
    <w:p>
      <w:pPr>
        <w:spacing w:line="240" w:lineRule="auto" w:before="7"/>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30</w:t>
      </w:r>
      <w:r>
        <w:rPr/>
        <w:t>、资产证券化业务</w:t>
      </w:r>
    </w:p>
    <w:p>
      <w:pPr>
        <w:spacing w:line="240" w:lineRule="auto" w:before="10"/>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sz w:val="21"/>
          <w:szCs w:val="21"/>
        </w:rPr>
        <w:t>、套期会计</w:t>
      </w:r>
    </w:p>
    <w:p>
      <w:pPr>
        <w:spacing w:line="240" w:lineRule="auto" w:before="7"/>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32</w:t>
      </w:r>
      <w:r>
        <w:rPr/>
        <w:t>、主要会计政策、会计估计的变更</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2" w:right="14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1</w:t>
      </w:r>
      <w:r>
        <w:rPr/>
        <w:t>）会计政策变更</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2" w:right="14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2</w:t>
      </w:r>
      <w:r>
        <w:rPr/>
        <w:t>）会计估计变更</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52" w:right="14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33</w:t>
      </w:r>
      <w:r>
        <w:rPr/>
        <w:t>、前期会计差错更正</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60" w:lineRule="auto" w:before="115"/>
        <w:ind w:left="152" w:right="7441"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w w:val="100"/>
          <w:sz w:val="18"/>
          <w:szCs w:val="18"/>
        </w:rPr>
        <w:t> </w:t>
      </w:r>
      <w:r>
        <w:rPr>
          <w:rFonts w:ascii="宋体" w:hAnsi="宋体" w:cs="宋体" w:eastAsia="宋体" w:hint="default"/>
          <w:spacing w:val="-1"/>
          <w:sz w:val="18"/>
          <w:szCs w:val="18"/>
        </w:rPr>
        <w:t>本报告期未发现前期会计差错</w:t>
      </w:r>
    </w:p>
    <w:p>
      <w:pPr>
        <w:spacing w:line="240" w:lineRule="auto" w:before="4"/>
        <w:rPr>
          <w:rFonts w:ascii="宋体" w:hAnsi="宋体" w:cs="宋体" w:eastAsia="宋体" w:hint="default"/>
          <w:sz w:val="20"/>
          <w:szCs w:val="20"/>
        </w:rPr>
      </w:pPr>
    </w:p>
    <w:p>
      <w:pPr>
        <w:pStyle w:val="BodyText"/>
        <w:spacing w:line="240" w:lineRule="auto"/>
        <w:ind w:right="145"/>
        <w:jc w:val="left"/>
      </w:pPr>
      <w:r>
        <w:rPr/>
        <w:t>（</w:t>
      </w:r>
      <w:r>
        <w:rPr>
          <w:rFonts w:ascii="Times New Roman" w:hAnsi="Times New Roman" w:cs="Times New Roman" w:eastAsia="Times New Roman" w:hint="default"/>
          <w:b/>
          <w:bCs/>
        </w:rPr>
        <w:t>1</w:t>
      </w:r>
      <w:r>
        <w:rPr/>
        <w:t>）追溯重述法</w:t>
      </w:r>
    </w:p>
    <w:p>
      <w:pPr>
        <w:spacing w:line="240" w:lineRule="auto" w:before="2"/>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BodyText"/>
        <w:spacing w:line="240" w:lineRule="auto"/>
        <w:ind w:right="145"/>
        <w:jc w:val="left"/>
      </w:pPr>
      <w:r>
        <w:rPr/>
        <w:t>（</w:t>
      </w:r>
      <w:r>
        <w:rPr>
          <w:rFonts w:ascii="Times New Roman" w:hAnsi="Times New Roman" w:cs="Times New Roman" w:eastAsia="Times New Roman" w:hint="default"/>
          <w:b/>
          <w:bCs/>
        </w:rPr>
        <w:t>2</w:t>
      </w:r>
      <w:r>
        <w:rPr/>
        <w:t>）未来适用法</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5"/>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BodyText"/>
        <w:spacing w:line="240" w:lineRule="auto"/>
        <w:ind w:right="145"/>
        <w:jc w:val="left"/>
      </w:pPr>
      <w:r>
        <w:rPr>
          <w:rFonts w:ascii="Times New Roman" w:hAnsi="Times New Roman" w:cs="Times New Roman" w:eastAsia="Times New Roman" w:hint="default"/>
          <w:b/>
          <w:bCs/>
        </w:rPr>
        <w:t>34</w:t>
      </w:r>
      <w:r>
        <w:rPr/>
        <w:t>、其他主要会计政策、会计估计和财务报表编制方法</w:t>
      </w:r>
    </w:p>
    <w:p>
      <w:pPr>
        <w:spacing w:line="240" w:lineRule="auto" w:before="10"/>
        <w:rPr>
          <w:rFonts w:ascii="宋体" w:hAnsi="宋体" w:cs="宋体" w:eastAsia="宋体" w:hint="default"/>
          <w:sz w:val="22"/>
          <w:szCs w:val="22"/>
        </w:rPr>
      </w:pPr>
    </w:p>
    <w:p>
      <w:pPr>
        <w:pStyle w:val="Heading2"/>
        <w:spacing w:line="240" w:lineRule="auto"/>
        <w:ind w:right="145"/>
        <w:jc w:val="left"/>
      </w:pPr>
      <w:r>
        <w:rPr/>
        <w:t>五、税项</w:t>
      </w:r>
    </w:p>
    <w:p>
      <w:pPr>
        <w:spacing w:line="240" w:lineRule="auto" w:before="9"/>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、公司主要税种和税率</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516"/>
        <w:gridCol w:w="3024"/>
        <w:gridCol w:w="3026"/>
      </w:tblGrid>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6" w:hRule="exact"/>
        </w:trPr>
        <w:tc>
          <w:tcPr>
            <w:tcW w:w="3516"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4" w:type="dxa"/>
            <w:vMerge w:val="restart"/>
            <w:tcBorders>
              <w:top w:val="single" w:sz="4" w:space="0" w:color="000000"/>
              <w:left w:val="single" w:sz="9" w:space="0" w:color="D3D3D3"/>
              <w:right w:val="single" w:sz="4" w:space="0" w:color="000000"/>
            </w:tcBorders>
          </w:tcPr>
          <w:p>
            <w:pPr>
              <w:pStyle w:val="TableParagraph"/>
              <w:spacing w:line="309" w:lineRule="auto" w:before="49"/>
              <w:ind w:left="18"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w:t>
            </w:r>
            <w:r>
              <w:rPr>
                <w:rFonts w:ascii="宋体" w:hAnsi="宋体" w:cs="宋体" w:eastAsia="宋体" w:hint="default"/>
                <w:w w:val="100"/>
                <w:sz w:val="18"/>
                <w:szCs w:val="18"/>
              </w:rPr>
              <w:t> </w:t>
            </w:r>
            <w:r>
              <w:rPr>
                <w:rFonts w:ascii="宋体" w:hAnsi="宋体" w:cs="宋体" w:eastAsia="宋体" w:hint="default"/>
                <w:sz w:val="18"/>
                <w:szCs w:val="18"/>
              </w:rPr>
              <w:t>额乘以适用税率扣除当期允计抵扣的</w:t>
            </w:r>
            <w:r>
              <w:rPr>
                <w:rFonts w:ascii="宋体" w:hAnsi="宋体" w:cs="宋体" w:eastAsia="宋体" w:hint="default"/>
                <w:w w:val="100"/>
                <w:sz w:val="18"/>
                <w:szCs w:val="18"/>
              </w:rPr>
              <w:t> </w:t>
            </w:r>
            <w:r>
              <w:rPr>
                <w:rFonts w:ascii="宋体" w:hAnsi="宋体" w:cs="宋体" w:eastAsia="宋体" w:hint="default"/>
                <w:sz w:val="18"/>
                <w:szCs w:val="18"/>
              </w:rPr>
              <w:t>进项税后的余额计算</w:t>
            </w:r>
            <w:r>
              <w:rPr>
                <w:rFonts w:ascii="Times New Roman" w:hAnsi="Times New Roman" w:cs="Times New Roman" w:eastAsia="Times New Roman" w:hint="default"/>
                <w:sz w:val="18"/>
                <w:szCs w:val="18"/>
              </w:rPr>
              <w:t>)</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317" w:hRule="exact"/>
        </w:trPr>
        <w:tc>
          <w:tcPr>
            <w:tcW w:w="3516"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4"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spacing w:line="610" w:lineRule="atLeast" w:before="36"/>
        <w:ind w:left="510" w:right="145" w:hanging="358"/>
        <w:jc w:val="left"/>
      </w:pPr>
      <w:r>
        <w:rPr>
          <w:rFonts w:ascii="Times New Roman" w:hAnsi="Times New Roman" w:cs="Times New Roman" w:eastAsia="Times New Roman" w:hint="default"/>
          <w:b/>
          <w:bCs/>
        </w:rPr>
        <w:t>2</w:t>
      </w:r>
      <w:r>
        <w:rPr/>
        <w:t>、税收优惠及批文</w:t>
      </w:r>
      <w:r>
        <w:rPr>
          <w:spacing w:val="-99"/>
        </w:rPr>
        <w:t> </w:t>
      </w:r>
      <w:r>
        <w:rPr>
          <w:spacing w:val="-99"/>
        </w:rPr>
      </w:r>
      <w:r>
        <w:rPr>
          <w:spacing w:val="-9"/>
        </w:rPr>
        <w:t>本公司根据《国家税务总局关于出口货物退（免）税管理有关问题的通知》（国税发</w:t>
      </w:r>
      <w:r>
        <w:rPr>
          <w:rFonts w:ascii="Times New Roman" w:hAnsi="Times New Roman" w:cs="Times New Roman" w:eastAsia="Times New Roman" w:hint="default"/>
          <w:spacing w:val="-9"/>
        </w:rPr>
        <w:t>[2004]64</w:t>
      </w:r>
      <w:r>
        <w:rPr>
          <w:spacing w:val="-9"/>
        </w:rPr>
        <w:t>号）、《财</w:t>
      </w:r>
    </w:p>
    <w:p>
      <w:pPr>
        <w:pStyle w:val="BodyText"/>
        <w:spacing w:line="256" w:lineRule="auto" w:before="21"/>
        <w:ind w:right="141"/>
        <w:jc w:val="both"/>
      </w:pPr>
      <w:r>
        <w:rPr>
          <w:spacing w:val="-2"/>
        </w:rPr>
        <w:t>政部国家税务总局关于调低部分商品出口退税率的通知》（财税</w:t>
      </w:r>
      <w:r>
        <w:rPr>
          <w:rFonts w:ascii="Times New Roman" w:hAnsi="Times New Roman" w:cs="Times New Roman" w:eastAsia="Times New Roman" w:hint="default"/>
          <w:spacing w:val="-2"/>
        </w:rPr>
        <w:t>[2007]90</w:t>
      </w:r>
      <w:r>
        <w:rPr>
          <w:spacing w:val="-2"/>
        </w:rPr>
        <w:t>号）以及《财政部国家税务总局</w:t>
      </w:r>
      <w:r>
        <w:rPr>
          <w:spacing w:val="-15"/>
        </w:rPr>
        <w:t> </w:t>
      </w:r>
      <w:r>
        <w:rPr>
          <w:spacing w:val="-15"/>
        </w:rPr>
      </w:r>
      <w:r>
        <w:rPr>
          <w:spacing w:val="-3"/>
        </w:rPr>
        <w:t>关于进一步提高部分商品出口退税率的通知》（财税〔</w:t>
      </w:r>
      <w:r>
        <w:rPr>
          <w:rFonts w:ascii="Times New Roman" w:hAnsi="Times New Roman" w:cs="Times New Roman" w:eastAsia="Times New Roman" w:hint="default"/>
          <w:spacing w:val="-3"/>
        </w:rPr>
        <w:t>2009</w:t>
      </w:r>
      <w:r>
        <w:rPr>
          <w:spacing w:val="-3"/>
        </w:rPr>
        <w:t>〕</w:t>
      </w:r>
      <w:r>
        <w:rPr>
          <w:rFonts w:ascii="Times New Roman" w:hAnsi="Times New Roman" w:cs="Times New Roman" w:eastAsia="Times New Roman" w:hint="default"/>
          <w:spacing w:val="-3"/>
        </w:rPr>
        <w:t>88</w:t>
      </w:r>
      <w:r>
        <w:rPr>
          <w:spacing w:val="-3"/>
        </w:rPr>
        <w:t>号）的相关规定，免征出口销售环节的增</w:t>
      </w:r>
      <w:r>
        <w:rPr>
          <w:spacing w:val="8"/>
        </w:rPr>
        <w:t> </w:t>
      </w:r>
      <w:r>
        <w:rPr>
          <w:spacing w:val="8"/>
        </w:rPr>
      </w:r>
      <w:r>
        <w:rPr/>
        <w:t>值税，并对采购环节的增值税额，按规定的退税率计算后予以抵免退还。</w:t>
      </w:r>
    </w:p>
    <w:p>
      <w:pPr>
        <w:pStyle w:val="BodyText"/>
        <w:spacing w:line="256" w:lineRule="auto" w:before="178"/>
        <w:ind w:right="145" w:firstLine="252"/>
        <w:jc w:val="left"/>
      </w:pPr>
      <w:r>
        <w:rPr>
          <w:spacing w:val="-2"/>
        </w:rPr>
        <w:t>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月被评定为高新技术企业并取得认定证书，按照《中华人民共和国企业所得税法》的</w:t>
      </w:r>
      <w:r>
        <w:rPr>
          <w:w w:val="100"/>
        </w:rPr>
        <w:t> </w:t>
      </w:r>
      <w:r>
        <w:rPr/>
        <w:t>规定，</w:t>
      </w:r>
      <w:r>
        <w:rPr>
          <w:rFonts w:ascii="Times New Roman" w:hAnsi="Times New Roman" w:cs="Times New Roman" w:eastAsia="Times New Roman" w:hint="default"/>
        </w:rPr>
        <w:t>2012</w:t>
      </w:r>
      <w:r>
        <w:rPr/>
        <w:t>年度执行</w:t>
      </w:r>
      <w:r>
        <w:rPr>
          <w:rFonts w:ascii="Times New Roman" w:hAnsi="Times New Roman" w:cs="Times New Roman" w:eastAsia="Times New Roman" w:hint="default"/>
        </w:rPr>
        <w:t>15%</w:t>
      </w:r>
      <w:r>
        <w:rPr/>
        <w:t>的所得税税率。</w:t>
      </w:r>
    </w:p>
    <w:p>
      <w:pPr>
        <w:spacing w:line="240" w:lineRule="auto" w:before="4"/>
        <w:rPr>
          <w:rFonts w:ascii="宋体" w:hAnsi="宋体" w:cs="宋体" w:eastAsia="宋体" w:hint="default"/>
          <w:sz w:val="23"/>
          <w:szCs w:val="23"/>
        </w:rPr>
      </w:pPr>
    </w:p>
    <w:p>
      <w:pPr>
        <w:spacing w:line="487" w:lineRule="auto" w:before="0"/>
        <w:ind w:left="152" w:right="6648"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sz w:val="21"/>
          <w:szCs w:val="21"/>
        </w:rPr>
        <w:t>、其他说明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4"/>
          <w:szCs w:val="24"/>
        </w:rPr>
        <w:t>六、企业合并及合并财务报表</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sz w:val="21"/>
          <w:szCs w:val="21"/>
        </w:rPr>
        <w:t>、子公司情况</w:t>
      </w:r>
    </w:p>
    <w:p>
      <w:pPr>
        <w:pStyle w:val="BodyText"/>
        <w:spacing w:line="240" w:lineRule="auto" w:before="81"/>
        <w:ind w:right="145"/>
        <w:jc w:val="left"/>
      </w:pPr>
      <w:r>
        <w:rPr/>
        <w:t>（</w:t>
      </w:r>
      <w:r>
        <w:rPr>
          <w:rFonts w:ascii="Times New Roman" w:hAnsi="Times New Roman" w:cs="Times New Roman" w:eastAsia="Times New Roman" w:hint="default"/>
          <w:b/>
          <w:bCs/>
        </w:rPr>
        <w:t>1</w:t>
      </w:r>
      <w:r>
        <w:rPr/>
        <w:t>）通过设立或投资等方式取得的子公司</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9"/>
          <w:szCs w:val="9"/>
        </w:rPr>
      </w:pPr>
    </w:p>
    <w:tbl>
      <w:tblPr>
        <w:tblW w:w="0" w:type="auto"/>
        <w:jc w:val="left"/>
        <w:tblInd w:w="159" w:type="dxa"/>
        <w:tblLayout w:type="fixed"/>
        <w:tblCellMar>
          <w:top w:w="0" w:type="dxa"/>
          <w:left w:w="0" w:type="dxa"/>
          <w:bottom w:w="0" w:type="dxa"/>
          <w:right w:w="0" w:type="dxa"/>
        </w:tblCellMar>
        <w:tblLook w:val="01E0"/>
      </w:tblPr>
      <w:tblGrid>
        <w:gridCol w:w="529"/>
        <w:gridCol w:w="540"/>
        <w:gridCol w:w="540"/>
        <w:gridCol w:w="540"/>
        <w:gridCol w:w="540"/>
        <w:gridCol w:w="540"/>
        <w:gridCol w:w="540"/>
        <w:gridCol w:w="900"/>
        <w:gridCol w:w="720"/>
        <w:gridCol w:w="540"/>
        <w:gridCol w:w="540"/>
        <w:gridCol w:w="720"/>
        <w:gridCol w:w="720"/>
        <w:gridCol w:w="1585"/>
      </w:tblGrid>
      <w:tr>
        <w:trPr>
          <w:trHeight w:val="692" w:hRule="exact"/>
        </w:trPr>
        <w:tc>
          <w:tcPr>
            <w:tcW w:w="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74" w:right="82"/>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w w:val="100"/>
                <w:sz w:val="18"/>
                <w:szCs w:val="18"/>
              </w:rPr>
              <w:t> </w:t>
            </w:r>
            <w:r>
              <w:rPr>
                <w:rFonts w:ascii="宋体" w:hAnsi="宋体" w:cs="宋体" w:eastAsia="宋体" w:hint="default"/>
                <w:sz w:val="18"/>
                <w:szCs w:val="18"/>
              </w:rPr>
              <w:t>司全</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85" w:right="82"/>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w w:val="100"/>
                <w:sz w:val="18"/>
                <w:szCs w:val="18"/>
              </w:rPr>
              <w:t> </w:t>
            </w:r>
            <w:r>
              <w:rPr>
                <w:rFonts w:ascii="宋体" w:hAnsi="宋体" w:cs="宋体" w:eastAsia="宋体" w:hint="default"/>
                <w:sz w:val="18"/>
                <w:szCs w:val="18"/>
              </w:rPr>
              <w:t>司类</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39"/>
              <w:ind w:left="173" w:right="82" w:hanging="89"/>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w w:val="100"/>
                <w:sz w:val="18"/>
                <w:szCs w:val="18"/>
              </w:rPr>
              <w:t> </w:t>
            </w:r>
            <w:r>
              <w:rPr>
                <w:rFonts w:ascii="宋体" w:hAnsi="宋体" w:cs="宋体" w:eastAsia="宋体" w:hint="default"/>
                <w:sz w:val="18"/>
                <w:szCs w:val="18"/>
              </w:rPr>
              <w:t>地</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39"/>
              <w:ind w:left="85" w:right="82"/>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w w:val="100"/>
                <w:sz w:val="18"/>
                <w:szCs w:val="18"/>
              </w:rPr>
              <w:t> </w:t>
            </w:r>
            <w:r>
              <w:rPr>
                <w:rFonts w:ascii="宋体" w:hAnsi="宋体" w:cs="宋体" w:eastAsia="宋体" w:hint="default"/>
                <w:sz w:val="18"/>
                <w:szCs w:val="18"/>
              </w:rPr>
              <w:t>性质</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39"/>
              <w:ind w:left="85" w:right="82"/>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w w:val="100"/>
                <w:sz w:val="18"/>
                <w:szCs w:val="18"/>
              </w:rPr>
              <w:t> </w:t>
            </w:r>
            <w:r>
              <w:rPr>
                <w:rFonts w:ascii="宋体" w:hAnsi="宋体" w:cs="宋体" w:eastAsia="宋体" w:hint="default"/>
                <w:sz w:val="18"/>
                <w:szCs w:val="18"/>
              </w:rPr>
              <w:t>资本</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39"/>
              <w:ind w:left="85" w:right="82"/>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w w:val="100"/>
                <w:sz w:val="18"/>
                <w:szCs w:val="18"/>
              </w:rPr>
              <w:t> </w:t>
            </w:r>
            <w:r>
              <w:rPr>
                <w:rFonts w:ascii="宋体" w:hAnsi="宋体" w:cs="宋体" w:eastAsia="宋体" w:hint="default"/>
                <w:sz w:val="18"/>
                <w:szCs w:val="18"/>
              </w:rPr>
              <w:t>范围</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85" w:right="82"/>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w w:val="100"/>
                <w:sz w:val="18"/>
                <w:szCs w:val="18"/>
              </w:rPr>
              <w:t> </w:t>
            </w:r>
            <w:r>
              <w:rPr>
                <w:rFonts w:ascii="宋体" w:hAnsi="宋体" w:cs="宋体" w:eastAsia="宋体" w:hint="default"/>
                <w:sz w:val="18"/>
                <w:szCs w:val="18"/>
              </w:rPr>
              <w:t>实际</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85" w:right="82"/>
              <w:jc w:val="left"/>
              <w:rPr>
                <w:rFonts w:ascii="宋体" w:hAnsi="宋体" w:cs="宋体" w:eastAsia="宋体" w:hint="default"/>
                <w:sz w:val="18"/>
                <w:szCs w:val="18"/>
              </w:rPr>
            </w:pPr>
            <w:r>
              <w:rPr>
                <w:rFonts w:ascii="宋体" w:hAnsi="宋体" w:cs="宋体" w:eastAsia="宋体" w:hint="default"/>
                <w:sz w:val="18"/>
                <w:szCs w:val="18"/>
              </w:rPr>
              <w:t>实质上构</w:t>
            </w:r>
            <w:r>
              <w:rPr>
                <w:rFonts w:ascii="宋体" w:hAnsi="宋体" w:cs="宋体" w:eastAsia="宋体" w:hint="default"/>
                <w:w w:val="100"/>
                <w:sz w:val="18"/>
                <w:szCs w:val="18"/>
              </w:rPr>
              <w:t> </w:t>
            </w:r>
            <w:r>
              <w:rPr>
                <w:rFonts w:ascii="宋体" w:hAnsi="宋体" w:cs="宋体" w:eastAsia="宋体" w:hint="default"/>
                <w:sz w:val="18"/>
                <w:szCs w:val="18"/>
              </w:rPr>
              <w:t>成对子公</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39"/>
              <w:ind w:left="130" w:right="8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85" w:right="82"/>
              <w:jc w:val="left"/>
              <w:rPr>
                <w:rFonts w:ascii="宋体" w:hAnsi="宋体" w:cs="宋体" w:eastAsia="宋体" w:hint="default"/>
                <w:sz w:val="18"/>
                <w:szCs w:val="18"/>
              </w:rPr>
            </w:pPr>
            <w:r>
              <w:rPr>
                <w:rFonts w:ascii="宋体" w:hAnsi="宋体" w:cs="宋体" w:eastAsia="宋体" w:hint="default"/>
                <w:sz w:val="18"/>
                <w:szCs w:val="18"/>
              </w:rPr>
              <w:t>表决</w:t>
            </w:r>
            <w:r>
              <w:rPr>
                <w:rFonts w:ascii="宋体" w:hAnsi="宋体" w:cs="宋体" w:eastAsia="宋体" w:hint="default"/>
                <w:w w:val="100"/>
                <w:sz w:val="18"/>
                <w:szCs w:val="18"/>
              </w:rPr>
              <w:t> </w:t>
            </w:r>
            <w:r>
              <w:rPr>
                <w:rFonts w:ascii="宋体" w:hAnsi="宋体" w:cs="宋体" w:eastAsia="宋体" w:hint="default"/>
                <w:sz w:val="18"/>
                <w:szCs w:val="18"/>
              </w:rPr>
              <w:t>权比</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85" w:right="82"/>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100"/>
                <w:sz w:val="18"/>
                <w:szCs w:val="18"/>
              </w:rPr>
              <w:t> </w:t>
            </w:r>
            <w:r>
              <w:rPr>
                <w:rFonts w:ascii="宋体" w:hAnsi="宋体" w:cs="宋体" w:eastAsia="宋体" w:hint="default"/>
                <w:sz w:val="18"/>
                <w:szCs w:val="18"/>
              </w:rPr>
              <w:t>合并</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39"/>
              <w:ind w:left="85" w:right="82"/>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85" w:right="82"/>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8"/>
              <w:ind w:left="73" w:right="59"/>
              <w:jc w:val="left"/>
              <w:rPr>
                <w:rFonts w:ascii="宋体" w:hAnsi="宋体" w:cs="宋体" w:eastAsia="宋体" w:hint="default"/>
                <w:sz w:val="18"/>
                <w:szCs w:val="18"/>
              </w:rPr>
            </w:pPr>
            <w:r>
              <w:rPr>
                <w:rFonts w:ascii="宋体" w:hAnsi="宋体" w:cs="宋体" w:eastAsia="宋体" w:hint="default"/>
                <w:sz w:val="18"/>
                <w:szCs w:val="18"/>
              </w:rPr>
              <w:t>从母公司所有者权</w:t>
            </w:r>
            <w:r>
              <w:rPr>
                <w:rFonts w:ascii="宋体" w:hAnsi="宋体" w:cs="宋体" w:eastAsia="宋体" w:hint="default"/>
                <w:w w:val="100"/>
                <w:sz w:val="18"/>
                <w:szCs w:val="18"/>
              </w:rPr>
              <w:t> </w:t>
            </w:r>
            <w:r>
              <w:rPr>
                <w:rFonts w:ascii="宋体" w:hAnsi="宋体" w:cs="宋体" w:eastAsia="宋体" w:hint="default"/>
                <w:sz w:val="18"/>
                <w:szCs w:val="18"/>
              </w:rPr>
              <w:t>益冲减子公司少数</w:t>
            </w:r>
          </w:p>
        </w:tc>
      </w:tr>
    </w:tbl>
    <w:p>
      <w:pPr>
        <w:spacing w:after="0" w:line="314"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540"/>
        <w:gridCol w:w="540"/>
        <w:gridCol w:w="540"/>
        <w:gridCol w:w="540"/>
        <w:gridCol w:w="540"/>
        <w:gridCol w:w="540"/>
        <w:gridCol w:w="540"/>
        <w:gridCol w:w="900"/>
        <w:gridCol w:w="720"/>
        <w:gridCol w:w="540"/>
        <w:gridCol w:w="540"/>
        <w:gridCol w:w="720"/>
        <w:gridCol w:w="720"/>
        <w:gridCol w:w="1596"/>
      </w:tblGrid>
      <w:tr>
        <w:trPr>
          <w:trHeight w:val="319" w:hRule="exact"/>
        </w:trPr>
        <w:tc>
          <w:tcPr>
            <w:tcW w:w="5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w w:val="100"/>
                <w:sz w:val="18"/>
                <w:szCs w:val="18"/>
              </w:rPr>
              <w:t>称</w:t>
            </w: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w w:val="100"/>
                <w:sz w:val="18"/>
                <w:szCs w:val="18"/>
              </w:rPr>
              <w:t>型</w:t>
            </w:r>
          </w:p>
        </w:tc>
        <w:tc>
          <w:tcPr>
            <w:tcW w:w="540" w:type="dxa"/>
            <w:vMerge w:val="restart"/>
            <w:tcBorders>
              <w:top w:val="single" w:sz="4" w:space="0" w:color="000000"/>
              <w:left w:val="single" w:sz="4" w:space="0" w:color="000000"/>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司净投资</w:t>
            </w: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报表</w:t>
            </w: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中用于</w:t>
            </w:r>
          </w:p>
        </w:tc>
        <w:tc>
          <w:tcPr>
            <w:tcW w:w="15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股东分担的本期亏</w:t>
            </w:r>
          </w:p>
        </w:tc>
      </w:tr>
      <w:tr>
        <w:trPr>
          <w:trHeight w:val="307" w:hRule="exact"/>
        </w:trPr>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w w:val="100"/>
                <w:sz w:val="18"/>
                <w:szCs w:val="18"/>
              </w:rPr>
              <w:t>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的其他项</w:t>
            </w:r>
          </w:p>
        </w:tc>
        <w:tc>
          <w:tcPr>
            <w:tcW w:w="720" w:type="dxa"/>
            <w:vMerge/>
            <w:tcBorders>
              <w:left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冲减少</w:t>
            </w:r>
          </w:p>
        </w:tc>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损超过少数股东在</w:t>
            </w:r>
          </w:p>
        </w:tc>
      </w:tr>
      <w:tr>
        <w:trPr>
          <w:trHeight w:val="312" w:hRule="exact"/>
        </w:trPr>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目余额</w:t>
            </w:r>
          </w:p>
        </w:tc>
        <w:tc>
          <w:tcPr>
            <w:tcW w:w="720" w:type="dxa"/>
            <w:vMerge/>
            <w:tcBorders>
              <w:left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数股东</w:t>
            </w:r>
          </w:p>
        </w:tc>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该子公司年初所有</w:t>
            </w:r>
          </w:p>
        </w:tc>
      </w:tr>
      <w:tr>
        <w:trPr>
          <w:trHeight w:val="312" w:hRule="exact"/>
        </w:trPr>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损益的</w:t>
            </w:r>
          </w:p>
        </w:tc>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者权益中所享有份</w:t>
            </w:r>
          </w:p>
        </w:tc>
      </w:tr>
      <w:tr>
        <w:trPr>
          <w:trHeight w:val="360" w:hRule="exact"/>
        </w:trPr>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2</w:t>
      </w:r>
      <w:r>
        <w:rPr/>
        <w:t>）同一控制下企业合并取得的子公司</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40"/>
        <w:gridCol w:w="540"/>
        <w:gridCol w:w="540"/>
        <w:gridCol w:w="540"/>
        <w:gridCol w:w="540"/>
        <w:gridCol w:w="540"/>
        <w:gridCol w:w="540"/>
        <w:gridCol w:w="900"/>
        <w:gridCol w:w="720"/>
        <w:gridCol w:w="540"/>
        <w:gridCol w:w="540"/>
        <w:gridCol w:w="720"/>
        <w:gridCol w:w="720"/>
        <w:gridCol w:w="1644"/>
      </w:tblGrid>
      <w:tr>
        <w:trPr>
          <w:trHeight w:val="355" w:hRule="exact"/>
        </w:trPr>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164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1560" w:hRule="exact"/>
        </w:trPr>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w w:val="100"/>
                <w:sz w:val="18"/>
                <w:szCs w:val="18"/>
              </w:rPr>
              <w:t> </w:t>
            </w:r>
            <w:r>
              <w:rPr>
                <w:rFonts w:ascii="宋体" w:hAnsi="宋体" w:cs="宋体" w:eastAsia="宋体" w:hint="default"/>
                <w:sz w:val="18"/>
                <w:szCs w:val="18"/>
              </w:rPr>
              <w:t>司全</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w w:val="100"/>
                <w:sz w:val="18"/>
                <w:szCs w:val="18"/>
              </w:rPr>
              <w:t> </w:t>
            </w:r>
            <w:r>
              <w:rPr>
                <w:rFonts w:ascii="宋体" w:hAnsi="宋体" w:cs="宋体" w:eastAsia="宋体" w:hint="default"/>
                <w:sz w:val="18"/>
                <w:szCs w:val="18"/>
              </w:rPr>
              <w:t>司类</w:t>
            </w:r>
            <w:r>
              <w:rPr>
                <w:rFonts w:ascii="宋体" w:hAnsi="宋体" w:cs="宋体" w:eastAsia="宋体" w:hint="default"/>
                <w:w w:val="100"/>
                <w:sz w:val="18"/>
                <w:szCs w:val="18"/>
              </w:rPr>
              <w:t> </w:t>
            </w:r>
            <w:r>
              <w:rPr>
                <w:rFonts w:ascii="宋体" w:hAnsi="宋体" w:cs="宋体" w:eastAsia="宋体" w:hint="default"/>
                <w:sz w:val="18"/>
                <w:szCs w:val="18"/>
              </w:rPr>
              <w:t>型</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75" w:right="81" w:hanging="89"/>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w w:val="100"/>
                <w:sz w:val="18"/>
                <w:szCs w:val="18"/>
              </w:rPr>
              <w:t> </w:t>
            </w:r>
            <w:r>
              <w:rPr>
                <w:rFonts w:ascii="宋体" w:hAnsi="宋体" w:cs="宋体" w:eastAsia="宋体" w:hint="default"/>
                <w:sz w:val="18"/>
                <w:szCs w:val="18"/>
              </w:rPr>
              <w:t>地</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w w:val="100"/>
                <w:sz w:val="18"/>
                <w:szCs w:val="18"/>
              </w:rPr>
              <w:t> </w:t>
            </w:r>
            <w:r>
              <w:rPr>
                <w:rFonts w:ascii="宋体" w:hAnsi="宋体" w:cs="宋体" w:eastAsia="宋体" w:hint="default"/>
                <w:sz w:val="18"/>
                <w:szCs w:val="18"/>
              </w:rPr>
              <w:t>性质</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w w:val="100"/>
                <w:sz w:val="18"/>
                <w:szCs w:val="18"/>
              </w:rPr>
              <w:t> </w:t>
            </w:r>
            <w:r>
              <w:rPr>
                <w:rFonts w:ascii="宋体" w:hAnsi="宋体" w:cs="宋体" w:eastAsia="宋体" w:hint="default"/>
                <w:sz w:val="18"/>
                <w:szCs w:val="18"/>
              </w:rPr>
              <w:t>资本</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w w:val="100"/>
                <w:sz w:val="18"/>
                <w:szCs w:val="18"/>
              </w:rPr>
              <w:t> </w:t>
            </w:r>
            <w:r>
              <w:rPr>
                <w:rFonts w:ascii="宋体" w:hAnsi="宋体" w:cs="宋体" w:eastAsia="宋体" w:hint="default"/>
                <w:sz w:val="18"/>
                <w:szCs w:val="18"/>
              </w:rPr>
              <w:t>范围</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w w:val="100"/>
                <w:sz w:val="18"/>
                <w:szCs w:val="18"/>
              </w:rPr>
              <w:t> </w:t>
            </w:r>
            <w:r>
              <w:rPr>
                <w:rFonts w:ascii="宋体" w:hAnsi="宋体" w:cs="宋体" w:eastAsia="宋体" w:hint="default"/>
                <w:sz w:val="18"/>
                <w:szCs w:val="18"/>
              </w:rPr>
              <w:t>实际</w:t>
            </w:r>
            <w:r>
              <w:rPr>
                <w:rFonts w:ascii="宋体" w:hAnsi="宋体" w:cs="宋体" w:eastAsia="宋体" w:hint="default"/>
                <w:w w:val="100"/>
                <w:sz w:val="18"/>
                <w:szCs w:val="18"/>
              </w:rPr>
              <w:t> </w:t>
            </w:r>
            <w:r>
              <w:rPr>
                <w:rFonts w:ascii="宋体" w:hAnsi="宋体" w:cs="宋体" w:eastAsia="宋体" w:hint="default"/>
                <w:sz w:val="18"/>
                <w:szCs w:val="18"/>
              </w:rPr>
              <w:t>投资</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1"/>
              <w:jc w:val="both"/>
              <w:rPr>
                <w:rFonts w:ascii="宋体" w:hAnsi="宋体" w:cs="宋体" w:eastAsia="宋体" w:hint="default"/>
                <w:sz w:val="18"/>
                <w:szCs w:val="18"/>
              </w:rPr>
            </w:pPr>
            <w:r>
              <w:rPr>
                <w:rFonts w:ascii="宋体" w:hAnsi="宋体" w:cs="宋体" w:eastAsia="宋体" w:hint="default"/>
                <w:sz w:val="18"/>
                <w:szCs w:val="18"/>
              </w:rPr>
              <w:t>实质上构</w:t>
            </w:r>
            <w:r>
              <w:rPr>
                <w:rFonts w:ascii="宋体" w:hAnsi="宋体" w:cs="宋体" w:eastAsia="宋体" w:hint="default"/>
                <w:w w:val="100"/>
                <w:sz w:val="18"/>
                <w:szCs w:val="18"/>
              </w:rPr>
              <w:t> </w:t>
            </w:r>
            <w:r>
              <w:rPr>
                <w:rFonts w:ascii="宋体" w:hAnsi="宋体" w:cs="宋体" w:eastAsia="宋体" w:hint="default"/>
                <w:sz w:val="18"/>
                <w:szCs w:val="18"/>
              </w:rPr>
              <w:t>成对子公</w:t>
            </w:r>
            <w:r>
              <w:rPr>
                <w:rFonts w:ascii="宋体" w:hAnsi="宋体" w:cs="宋体" w:eastAsia="宋体" w:hint="default"/>
                <w:w w:val="100"/>
                <w:sz w:val="18"/>
                <w:szCs w:val="18"/>
              </w:rPr>
              <w:t> </w:t>
            </w:r>
            <w:r>
              <w:rPr>
                <w:rFonts w:ascii="宋体" w:hAnsi="宋体" w:cs="宋体" w:eastAsia="宋体" w:hint="default"/>
                <w:sz w:val="18"/>
                <w:szCs w:val="18"/>
              </w:rPr>
              <w:t>司净投资</w:t>
            </w:r>
            <w:r>
              <w:rPr>
                <w:rFonts w:ascii="宋体" w:hAnsi="宋体" w:cs="宋体" w:eastAsia="宋体" w:hint="default"/>
                <w:w w:val="100"/>
                <w:sz w:val="18"/>
                <w:szCs w:val="18"/>
              </w:rPr>
              <w:t> </w:t>
            </w:r>
            <w:r>
              <w:rPr>
                <w:rFonts w:ascii="宋体" w:hAnsi="宋体" w:cs="宋体" w:eastAsia="宋体" w:hint="default"/>
                <w:sz w:val="18"/>
                <w:szCs w:val="18"/>
              </w:rPr>
              <w:t>的其他项</w:t>
            </w:r>
            <w:r>
              <w:rPr>
                <w:rFonts w:ascii="宋体" w:hAnsi="宋体" w:cs="宋体" w:eastAsia="宋体" w:hint="default"/>
                <w:w w:val="100"/>
                <w:sz w:val="18"/>
                <w:szCs w:val="18"/>
              </w:rPr>
              <w:t> </w:t>
            </w:r>
            <w:r>
              <w:rPr>
                <w:rFonts w:ascii="宋体" w:hAnsi="宋体" w:cs="宋体" w:eastAsia="宋体" w:hint="default"/>
                <w:sz w:val="18"/>
                <w:szCs w:val="18"/>
              </w:rPr>
              <w:t>目余额</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2" w:right="8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0" w:right="3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w:t>
            </w:r>
            <w:r>
              <w:rPr>
                <w:rFonts w:ascii="宋体" w:hAnsi="宋体" w:cs="宋体" w:eastAsia="宋体" w:hint="default"/>
                <w:w w:val="100"/>
                <w:sz w:val="18"/>
                <w:szCs w:val="18"/>
              </w:rPr>
              <w:t> </w:t>
            </w:r>
            <w:r>
              <w:rPr>
                <w:rFonts w:ascii="宋体" w:hAnsi="宋体" w:cs="宋体" w:eastAsia="宋体" w:hint="default"/>
                <w:sz w:val="18"/>
                <w:szCs w:val="18"/>
              </w:rPr>
              <w:t>权比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100"/>
                <w:sz w:val="18"/>
                <w:szCs w:val="18"/>
              </w:rPr>
              <w:t> </w:t>
            </w:r>
            <w:r>
              <w:rPr>
                <w:rFonts w:ascii="宋体" w:hAnsi="宋体" w:cs="宋体" w:eastAsia="宋体" w:hint="default"/>
                <w:sz w:val="18"/>
                <w:szCs w:val="18"/>
              </w:rPr>
              <w:t>合并</w:t>
            </w:r>
            <w:r>
              <w:rPr>
                <w:rFonts w:ascii="宋体" w:hAnsi="宋体" w:cs="宋体" w:eastAsia="宋体" w:hint="default"/>
                <w:w w:val="100"/>
                <w:sz w:val="18"/>
                <w:szCs w:val="18"/>
              </w:rPr>
              <w:t> </w:t>
            </w:r>
            <w:r>
              <w:rPr>
                <w:rFonts w:ascii="宋体" w:hAnsi="宋体" w:cs="宋体" w:eastAsia="宋体" w:hint="default"/>
                <w:sz w:val="18"/>
                <w:szCs w:val="18"/>
              </w:rPr>
              <w:t>报表</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1"/>
              <w:jc w:val="both"/>
              <w:rPr>
                <w:rFonts w:ascii="宋体" w:hAnsi="宋体" w:cs="宋体" w:eastAsia="宋体" w:hint="default"/>
                <w:sz w:val="18"/>
                <w:szCs w:val="18"/>
              </w:rPr>
            </w:pPr>
            <w:r>
              <w:rPr>
                <w:rFonts w:ascii="宋体" w:hAnsi="宋体" w:cs="宋体" w:eastAsia="宋体" w:hint="default"/>
                <w:sz w:val="18"/>
                <w:szCs w:val="18"/>
              </w:rPr>
              <w:t>东权益</w:t>
            </w:r>
            <w:r>
              <w:rPr>
                <w:rFonts w:ascii="宋体" w:hAnsi="宋体" w:cs="宋体" w:eastAsia="宋体" w:hint="default"/>
                <w:w w:val="100"/>
                <w:sz w:val="18"/>
                <w:szCs w:val="18"/>
              </w:rPr>
              <w:t> </w:t>
            </w:r>
            <w:r>
              <w:rPr>
                <w:rFonts w:ascii="宋体" w:hAnsi="宋体" w:cs="宋体" w:eastAsia="宋体" w:hint="default"/>
                <w:sz w:val="18"/>
                <w:szCs w:val="18"/>
              </w:rPr>
              <w:t>中用于</w:t>
            </w:r>
            <w:r>
              <w:rPr>
                <w:rFonts w:ascii="宋体" w:hAnsi="宋体" w:cs="宋体" w:eastAsia="宋体" w:hint="default"/>
                <w:w w:val="100"/>
                <w:sz w:val="18"/>
                <w:szCs w:val="18"/>
              </w:rPr>
              <w:t> </w:t>
            </w:r>
            <w:r>
              <w:rPr>
                <w:rFonts w:ascii="宋体" w:hAnsi="宋体" w:cs="宋体" w:eastAsia="宋体" w:hint="default"/>
                <w:sz w:val="18"/>
                <w:szCs w:val="18"/>
              </w:rPr>
              <w:t>冲减少</w:t>
            </w:r>
            <w:r>
              <w:rPr>
                <w:rFonts w:ascii="宋体" w:hAnsi="宋体" w:cs="宋体" w:eastAsia="宋体" w:hint="default"/>
                <w:w w:val="100"/>
                <w:sz w:val="18"/>
                <w:szCs w:val="18"/>
              </w:rPr>
              <w:t> </w:t>
            </w:r>
            <w:r>
              <w:rPr>
                <w:rFonts w:ascii="宋体" w:hAnsi="宋体" w:cs="宋体" w:eastAsia="宋体" w:hint="default"/>
                <w:sz w:val="18"/>
                <w:szCs w:val="18"/>
              </w:rPr>
              <w:t>数股东</w:t>
            </w:r>
            <w:r>
              <w:rPr>
                <w:rFonts w:ascii="宋体" w:hAnsi="宋体" w:cs="宋体" w:eastAsia="宋体" w:hint="default"/>
                <w:w w:val="100"/>
                <w:sz w:val="18"/>
                <w:szCs w:val="18"/>
              </w:rPr>
              <w:t> </w:t>
            </w:r>
            <w:r>
              <w:rPr>
                <w:rFonts w:ascii="宋体" w:hAnsi="宋体" w:cs="宋体" w:eastAsia="宋体" w:hint="default"/>
                <w:sz w:val="18"/>
                <w:szCs w:val="18"/>
              </w:rPr>
              <w:t>损益的</w:t>
            </w:r>
          </w:p>
        </w:tc>
        <w:tc>
          <w:tcPr>
            <w:tcW w:w="16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8" w:right="93"/>
              <w:jc w:val="both"/>
              <w:rPr>
                <w:rFonts w:ascii="宋体" w:hAnsi="宋体" w:cs="宋体" w:eastAsia="宋体" w:hint="default"/>
                <w:sz w:val="18"/>
                <w:szCs w:val="18"/>
              </w:rPr>
            </w:pPr>
            <w:r>
              <w:rPr>
                <w:rFonts w:ascii="宋体" w:hAnsi="宋体" w:cs="宋体" w:eastAsia="宋体" w:hint="default"/>
                <w:sz w:val="18"/>
                <w:szCs w:val="18"/>
              </w:rPr>
              <w:t>益冲减子公司少数</w:t>
            </w:r>
            <w:r>
              <w:rPr>
                <w:rFonts w:ascii="宋体" w:hAnsi="宋体" w:cs="宋体" w:eastAsia="宋体" w:hint="default"/>
                <w:w w:val="100"/>
                <w:sz w:val="18"/>
                <w:szCs w:val="18"/>
              </w:rPr>
              <w:t> </w:t>
            </w:r>
            <w:r>
              <w:rPr>
                <w:rFonts w:ascii="宋体" w:hAnsi="宋体" w:cs="宋体" w:eastAsia="宋体" w:hint="default"/>
                <w:sz w:val="18"/>
                <w:szCs w:val="18"/>
              </w:rPr>
              <w:t>股东分担的本期亏</w:t>
            </w:r>
            <w:r>
              <w:rPr>
                <w:rFonts w:ascii="宋体" w:hAnsi="宋体" w:cs="宋体" w:eastAsia="宋体" w:hint="default"/>
                <w:w w:val="100"/>
                <w:sz w:val="18"/>
                <w:szCs w:val="18"/>
              </w:rPr>
              <w:t> </w:t>
            </w:r>
            <w:r>
              <w:rPr>
                <w:rFonts w:ascii="宋体" w:hAnsi="宋体" w:cs="宋体" w:eastAsia="宋体" w:hint="default"/>
                <w:sz w:val="18"/>
                <w:szCs w:val="18"/>
              </w:rPr>
              <w:t>损超过少数股东在</w:t>
            </w:r>
            <w:r>
              <w:rPr>
                <w:rFonts w:ascii="宋体" w:hAnsi="宋体" w:cs="宋体" w:eastAsia="宋体" w:hint="default"/>
                <w:w w:val="100"/>
                <w:sz w:val="18"/>
                <w:szCs w:val="18"/>
              </w:rPr>
              <w:t> </w:t>
            </w:r>
            <w:r>
              <w:rPr>
                <w:rFonts w:ascii="宋体" w:hAnsi="宋体" w:cs="宋体" w:eastAsia="宋体" w:hint="default"/>
                <w:sz w:val="18"/>
                <w:szCs w:val="18"/>
              </w:rPr>
              <w:t>该子公司年初所有</w:t>
            </w:r>
            <w:r>
              <w:rPr>
                <w:rFonts w:ascii="宋体" w:hAnsi="宋体" w:cs="宋体" w:eastAsia="宋体" w:hint="default"/>
                <w:w w:val="100"/>
                <w:sz w:val="18"/>
                <w:szCs w:val="18"/>
              </w:rPr>
              <w:t> </w:t>
            </w:r>
            <w:r>
              <w:rPr>
                <w:rFonts w:ascii="宋体" w:hAnsi="宋体" w:cs="宋体" w:eastAsia="宋体" w:hint="default"/>
                <w:sz w:val="18"/>
                <w:szCs w:val="18"/>
              </w:rPr>
              <w:t>者权益中所享有份</w:t>
            </w:r>
          </w:p>
        </w:tc>
      </w:tr>
      <w:tr>
        <w:trPr>
          <w:trHeight w:val="359" w:hRule="exact"/>
        </w:trPr>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3</w:t>
      </w:r>
      <w:r>
        <w:rPr/>
        <w:t>）非同一控制下企业合并取得的子公司</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40"/>
        <w:gridCol w:w="540"/>
        <w:gridCol w:w="540"/>
        <w:gridCol w:w="540"/>
        <w:gridCol w:w="540"/>
        <w:gridCol w:w="540"/>
        <w:gridCol w:w="540"/>
        <w:gridCol w:w="900"/>
        <w:gridCol w:w="720"/>
        <w:gridCol w:w="540"/>
        <w:gridCol w:w="540"/>
        <w:gridCol w:w="720"/>
        <w:gridCol w:w="720"/>
        <w:gridCol w:w="1618"/>
      </w:tblGrid>
      <w:tr>
        <w:trPr>
          <w:trHeight w:val="355" w:hRule="exact"/>
        </w:trPr>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161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1560" w:hRule="exact"/>
        </w:trPr>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w w:val="100"/>
                <w:sz w:val="18"/>
                <w:szCs w:val="18"/>
              </w:rPr>
              <w:t> </w:t>
            </w:r>
            <w:r>
              <w:rPr>
                <w:rFonts w:ascii="宋体" w:hAnsi="宋体" w:cs="宋体" w:eastAsia="宋体" w:hint="default"/>
                <w:sz w:val="18"/>
                <w:szCs w:val="18"/>
              </w:rPr>
              <w:t>司全</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w w:val="100"/>
                <w:sz w:val="18"/>
                <w:szCs w:val="18"/>
              </w:rPr>
              <w:t> </w:t>
            </w:r>
            <w:r>
              <w:rPr>
                <w:rFonts w:ascii="宋体" w:hAnsi="宋体" w:cs="宋体" w:eastAsia="宋体" w:hint="default"/>
                <w:sz w:val="18"/>
                <w:szCs w:val="18"/>
              </w:rPr>
              <w:t>司类</w:t>
            </w:r>
            <w:r>
              <w:rPr>
                <w:rFonts w:ascii="宋体" w:hAnsi="宋体" w:cs="宋体" w:eastAsia="宋体" w:hint="default"/>
                <w:w w:val="100"/>
                <w:sz w:val="18"/>
                <w:szCs w:val="18"/>
              </w:rPr>
              <w:t> </w:t>
            </w:r>
            <w:r>
              <w:rPr>
                <w:rFonts w:ascii="宋体" w:hAnsi="宋体" w:cs="宋体" w:eastAsia="宋体" w:hint="default"/>
                <w:sz w:val="18"/>
                <w:szCs w:val="18"/>
              </w:rPr>
              <w:t>型</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75" w:right="81" w:hanging="89"/>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w w:val="100"/>
                <w:sz w:val="18"/>
                <w:szCs w:val="18"/>
              </w:rPr>
              <w:t> </w:t>
            </w:r>
            <w:r>
              <w:rPr>
                <w:rFonts w:ascii="宋体" w:hAnsi="宋体" w:cs="宋体" w:eastAsia="宋体" w:hint="default"/>
                <w:sz w:val="18"/>
                <w:szCs w:val="18"/>
              </w:rPr>
              <w:t>地</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w w:val="100"/>
                <w:sz w:val="18"/>
                <w:szCs w:val="18"/>
              </w:rPr>
              <w:t> </w:t>
            </w:r>
            <w:r>
              <w:rPr>
                <w:rFonts w:ascii="宋体" w:hAnsi="宋体" w:cs="宋体" w:eastAsia="宋体" w:hint="default"/>
                <w:sz w:val="18"/>
                <w:szCs w:val="18"/>
              </w:rPr>
              <w:t>性质</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w w:val="100"/>
                <w:sz w:val="18"/>
                <w:szCs w:val="18"/>
              </w:rPr>
              <w:t> </w:t>
            </w:r>
            <w:r>
              <w:rPr>
                <w:rFonts w:ascii="宋体" w:hAnsi="宋体" w:cs="宋体" w:eastAsia="宋体" w:hint="default"/>
                <w:sz w:val="18"/>
                <w:szCs w:val="18"/>
              </w:rPr>
              <w:t>资本</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w w:val="100"/>
                <w:sz w:val="18"/>
                <w:szCs w:val="18"/>
              </w:rPr>
              <w:t> </w:t>
            </w:r>
            <w:r>
              <w:rPr>
                <w:rFonts w:ascii="宋体" w:hAnsi="宋体" w:cs="宋体" w:eastAsia="宋体" w:hint="default"/>
                <w:sz w:val="18"/>
                <w:szCs w:val="18"/>
              </w:rPr>
              <w:t>范围</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w w:val="100"/>
                <w:sz w:val="18"/>
                <w:szCs w:val="18"/>
              </w:rPr>
              <w:t> </w:t>
            </w:r>
            <w:r>
              <w:rPr>
                <w:rFonts w:ascii="宋体" w:hAnsi="宋体" w:cs="宋体" w:eastAsia="宋体" w:hint="default"/>
                <w:sz w:val="18"/>
                <w:szCs w:val="18"/>
              </w:rPr>
              <w:t>实际</w:t>
            </w:r>
            <w:r>
              <w:rPr>
                <w:rFonts w:ascii="宋体" w:hAnsi="宋体" w:cs="宋体" w:eastAsia="宋体" w:hint="default"/>
                <w:w w:val="100"/>
                <w:sz w:val="18"/>
                <w:szCs w:val="18"/>
              </w:rPr>
              <w:t> </w:t>
            </w:r>
            <w:r>
              <w:rPr>
                <w:rFonts w:ascii="宋体" w:hAnsi="宋体" w:cs="宋体" w:eastAsia="宋体" w:hint="default"/>
                <w:sz w:val="18"/>
                <w:szCs w:val="18"/>
              </w:rPr>
              <w:t>投资</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1"/>
              <w:jc w:val="both"/>
              <w:rPr>
                <w:rFonts w:ascii="宋体" w:hAnsi="宋体" w:cs="宋体" w:eastAsia="宋体" w:hint="default"/>
                <w:sz w:val="18"/>
                <w:szCs w:val="18"/>
              </w:rPr>
            </w:pPr>
            <w:r>
              <w:rPr>
                <w:rFonts w:ascii="宋体" w:hAnsi="宋体" w:cs="宋体" w:eastAsia="宋体" w:hint="default"/>
                <w:sz w:val="18"/>
                <w:szCs w:val="18"/>
              </w:rPr>
              <w:t>实质上构</w:t>
            </w:r>
            <w:r>
              <w:rPr>
                <w:rFonts w:ascii="宋体" w:hAnsi="宋体" w:cs="宋体" w:eastAsia="宋体" w:hint="default"/>
                <w:w w:val="100"/>
                <w:sz w:val="18"/>
                <w:szCs w:val="18"/>
              </w:rPr>
              <w:t> </w:t>
            </w:r>
            <w:r>
              <w:rPr>
                <w:rFonts w:ascii="宋体" w:hAnsi="宋体" w:cs="宋体" w:eastAsia="宋体" w:hint="default"/>
                <w:sz w:val="18"/>
                <w:szCs w:val="18"/>
              </w:rPr>
              <w:t>成对子公</w:t>
            </w:r>
            <w:r>
              <w:rPr>
                <w:rFonts w:ascii="宋体" w:hAnsi="宋体" w:cs="宋体" w:eastAsia="宋体" w:hint="default"/>
                <w:w w:val="100"/>
                <w:sz w:val="18"/>
                <w:szCs w:val="18"/>
              </w:rPr>
              <w:t> </w:t>
            </w:r>
            <w:r>
              <w:rPr>
                <w:rFonts w:ascii="宋体" w:hAnsi="宋体" w:cs="宋体" w:eastAsia="宋体" w:hint="default"/>
                <w:sz w:val="18"/>
                <w:szCs w:val="18"/>
              </w:rPr>
              <w:t>司净投资</w:t>
            </w:r>
            <w:r>
              <w:rPr>
                <w:rFonts w:ascii="宋体" w:hAnsi="宋体" w:cs="宋体" w:eastAsia="宋体" w:hint="default"/>
                <w:w w:val="100"/>
                <w:sz w:val="18"/>
                <w:szCs w:val="18"/>
              </w:rPr>
              <w:t> </w:t>
            </w:r>
            <w:r>
              <w:rPr>
                <w:rFonts w:ascii="宋体" w:hAnsi="宋体" w:cs="宋体" w:eastAsia="宋体" w:hint="default"/>
                <w:sz w:val="18"/>
                <w:szCs w:val="18"/>
              </w:rPr>
              <w:t>的其他项</w:t>
            </w:r>
            <w:r>
              <w:rPr>
                <w:rFonts w:ascii="宋体" w:hAnsi="宋体" w:cs="宋体" w:eastAsia="宋体" w:hint="default"/>
                <w:w w:val="100"/>
                <w:sz w:val="18"/>
                <w:szCs w:val="18"/>
              </w:rPr>
              <w:t> </w:t>
            </w:r>
            <w:r>
              <w:rPr>
                <w:rFonts w:ascii="宋体" w:hAnsi="宋体" w:cs="宋体" w:eastAsia="宋体" w:hint="default"/>
                <w:sz w:val="18"/>
                <w:szCs w:val="18"/>
              </w:rPr>
              <w:t>目余额</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2" w:right="8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0" w:right="3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w:t>
            </w:r>
            <w:r>
              <w:rPr>
                <w:rFonts w:ascii="宋体" w:hAnsi="宋体" w:cs="宋体" w:eastAsia="宋体" w:hint="default"/>
                <w:w w:val="100"/>
                <w:sz w:val="18"/>
                <w:szCs w:val="18"/>
              </w:rPr>
              <w:t> </w:t>
            </w:r>
            <w:r>
              <w:rPr>
                <w:rFonts w:ascii="宋体" w:hAnsi="宋体" w:cs="宋体" w:eastAsia="宋体" w:hint="default"/>
                <w:sz w:val="18"/>
                <w:szCs w:val="18"/>
              </w:rPr>
              <w:t>权比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100"/>
                <w:sz w:val="18"/>
                <w:szCs w:val="18"/>
              </w:rPr>
              <w:t> </w:t>
            </w:r>
            <w:r>
              <w:rPr>
                <w:rFonts w:ascii="宋体" w:hAnsi="宋体" w:cs="宋体" w:eastAsia="宋体" w:hint="default"/>
                <w:sz w:val="18"/>
                <w:szCs w:val="18"/>
              </w:rPr>
              <w:t>合并</w:t>
            </w:r>
            <w:r>
              <w:rPr>
                <w:rFonts w:ascii="宋体" w:hAnsi="宋体" w:cs="宋体" w:eastAsia="宋体" w:hint="default"/>
                <w:w w:val="100"/>
                <w:sz w:val="18"/>
                <w:szCs w:val="18"/>
              </w:rPr>
              <w:t> </w:t>
            </w:r>
            <w:r>
              <w:rPr>
                <w:rFonts w:ascii="宋体" w:hAnsi="宋体" w:cs="宋体" w:eastAsia="宋体" w:hint="default"/>
                <w:sz w:val="18"/>
                <w:szCs w:val="18"/>
              </w:rPr>
              <w:t>报表</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1"/>
              <w:jc w:val="both"/>
              <w:rPr>
                <w:rFonts w:ascii="宋体" w:hAnsi="宋体" w:cs="宋体" w:eastAsia="宋体" w:hint="default"/>
                <w:sz w:val="18"/>
                <w:szCs w:val="18"/>
              </w:rPr>
            </w:pPr>
            <w:r>
              <w:rPr>
                <w:rFonts w:ascii="宋体" w:hAnsi="宋体" w:cs="宋体" w:eastAsia="宋体" w:hint="default"/>
                <w:sz w:val="18"/>
                <w:szCs w:val="18"/>
              </w:rPr>
              <w:t>东权益</w:t>
            </w:r>
            <w:r>
              <w:rPr>
                <w:rFonts w:ascii="宋体" w:hAnsi="宋体" w:cs="宋体" w:eastAsia="宋体" w:hint="default"/>
                <w:w w:val="100"/>
                <w:sz w:val="18"/>
                <w:szCs w:val="18"/>
              </w:rPr>
              <w:t> </w:t>
            </w:r>
            <w:r>
              <w:rPr>
                <w:rFonts w:ascii="宋体" w:hAnsi="宋体" w:cs="宋体" w:eastAsia="宋体" w:hint="default"/>
                <w:sz w:val="18"/>
                <w:szCs w:val="18"/>
              </w:rPr>
              <w:t>中用于</w:t>
            </w:r>
            <w:r>
              <w:rPr>
                <w:rFonts w:ascii="宋体" w:hAnsi="宋体" w:cs="宋体" w:eastAsia="宋体" w:hint="default"/>
                <w:w w:val="100"/>
                <w:sz w:val="18"/>
                <w:szCs w:val="18"/>
              </w:rPr>
              <w:t> </w:t>
            </w:r>
            <w:r>
              <w:rPr>
                <w:rFonts w:ascii="宋体" w:hAnsi="宋体" w:cs="宋体" w:eastAsia="宋体" w:hint="default"/>
                <w:sz w:val="18"/>
                <w:szCs w:val="18"/>
              </w:rPr>
              <w:t>冲减少</w:t>
            </w:r>
            <w:r>
              <w:rPr>
                <w:rFonts w:ascii="宋体" w:hAnsi="宋体" w:cs="宋体" w:eastAsia="宋体" w:hint="default"/>
                <w:w w:val="100"/>
                <w:sz w:val="18"/>
                <w:szCs w:val="18"/>
              </w:rPr>
              <w:t> </w:t>
            </w:r>
            <w:r>
              <w:rPr>
                <w:rFonts w:ascii="宋体" w:hAnsi="宋体" w:cs="宋体" w:eastAsia="宋体" w:hint="default"/>
                <w:sz w:val="18"/>
                <w:szCs w:val="18"/>
              </w:rPr>
              <w:t>数股东</w:t>
            </w:r>
            <w:r>
              <w:rPr>
                <w:rFonts w:ascii="宋体" w:hAnsi="宋体" w:cs="宋体" w:eastAsia="宋体" w:hint="default"/>
                <w:w w:val="100"/>
                <w:sz w:val="18"/>
                <w:szCs w:val="18"/>
              </w:rPr>
              <w:t> </w:t>
            </w:r>
            <w:r>
              <w:rPr>
                <w:rFonts w:ascii="宋体" w:hAnsi="宋体" w:cs="宋体" w:eastAsia="宋体" w:hint="default"/>
                <w:sz w:val="18"/>
                <w:szCs w:val="18"/>
              </w:rPr>
              <w:t>损益的</w:t>
            </w:r>
          </w:p>
        </w:tc>
        <w:tc>
          <w:tcPr>
            <w:tcW w:w="1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4" w:right="81"/>
              <w:jc w:val="both"/>
              <w:rPr>
                <w:rFonts w:ascii="宋体" w:hAnsi="宋体" w:cs="宋体" w:eastAsia="宋体" w:hint="default"/>
                <w:sz w:val="18"/>
                <w:szCs w:val="18"/>
              </w:rPr>
            </w:pPr>
            <w:r>
              <w:rPr>
                <w:rFonts w:ascii="宋体" w:hAnsi="宋体" w:cs="宋体" w:eastAsia="宋体" w:hint="default"/>
                <w:sz w:val="18"/>
                <w:szCs w:val="18"/>
              </w:rPr>
              <w:t>益冲减子公司少数</w:t>
            </w:r>
            <w:r>
              <w:rPr>
                <w:rFonts w:ascii="宋体" w:hAnsi="宋体" w:cs="宋体" w:eastAsia="宋体" w:hint="default"/>
                <w:w w:val="100"/>
                <w:sz w:val="18"/>
                <w:szCs w:val="18"/>
              </w:rPr>
              <w:t> </w:t>
            </w:r>
            <w:r>
              <w:rPr>
                <w:rFonts w:ascii="宋体" w:hAnsi="宋体" w:cs="宋体" w:eastAsia="宋体" w:hint="default"/>
                <w:sz w:val="18"/>
                <w:szCs w:val="18"/>
              </w:rPr>
              <w:t>股东分担的本期亏</w:t>
            </w:r>
            <w:r>
              <w:rPr>
                <w:rFonts w:ascii="宋体" w:hAnsi="宋体" w:cs="宋体" w:eastAsia="宋体" w:hint="default"/>
                <w:w w:val="100"/>
                <w:sz w:val="18"/>
                <w:szCs w:val="18"/>
              </w:rPr>
              <w:t> </w:t>
            </w:r>
            <w:r>
              <w:rPr>
                <w:rFonts w:ascii="宋体" w:hAnsi="宋体" w:cs="宋体" w:eastAsia="宋体" w:hint="default"/>
                <w:sz w:val="18"/>
                <w:szCs w:val="18"/>
              </w:rPr>
              <w:t>损超过少数股东在</w:t>
            </w:r>
            <w:r>
              <w:rPr>
                <w:rFonts w:ascii="宋体" w:hAnsi="宋体" w:cs="宋体" w:eastAsia="宋体" w:hint="default"/>
                <w:w w:val="100"/>
                <w:sz w:val="18"/>
                <w:szCs w:val="18"/>
              </w:rPr>
              <w:t> </w:t>
            </w:r>
            <w:r>
              <w:rPr>
                <w:rFonts w:ascii="宋体" w:hAnsi="宋体" w:cs="宋体" w:eastAsia="宋体" w:hint="default"/>
                <w:sz w:val="18"/>
                <w:szCs w:val="18"/>
              </w:rPr>
              <w:t>该子公司年初所有</w:t>
            </w:r>
            <w:r>
              <w:rPr>
                <w:rFonts w:ascii="宋体" w:hAnsi="宋体" w:cs="宋体" w:eastAsia="宋体" w:hint="default"/>
                <w:w w:val="100"/>
                <w:sz w:val="18"/>
                <w:szCs w:val="18"/>
              </w:rPr>
              <w:t> </w:t>
            </w:r>
            <w:r>
              <w:rPr>
                <w:rFonts w:ascii="宋体" w:hAnsi="宋体" w:cs="宋体" w:eastAsia="宋体" w:hint="default"/>
                <w:sz w:val="18"/>
                <w:szCs w:val="18"/>
              </w:rPr>
              <w:t>者权益中所享有份</w:t>
            </w:r>
          </w:p>
        </w:tc>
      </w:tr>
      <w:tr>
        <w:trPr>
          <w:trHeight w:val="360" w:hRule="exact"/>
        </w:trPr>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2</w:t>
      </w:r>
      <w:r>
        <w:rPr/>
        <w:t>、特殊目的主体或通过受托经营或承租等方式形成控制权的经营实体</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477"/>
        <w:gridCol w:w="2381"/>
        <w:gridCol w:w="4699"/>
      </w:tblGrid>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3</w:t>
      </w:r>
      <w:r>
        <w:rPr/>
        <w:t>、合并范围发生变更的说明</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5"/>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4</w:t>
      </w:r>
      <w:r>
        <w:rPr/>
        <w:t>、报告期内新纳入合并范围的主体和报告期内不再纳入合并范围的主体</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061"/>
        <w:gridCol w:w="2851"/>
        <w:gridCol w:w="2645"/>
      </w:tblGrid>
      <w:tr>
        <w:trPr>
          <w:trHeight w:val="402" w:hRule="exact"/>
        </w:trPr>
        <w:tc>
          <w:tcPr>
            <w:tcW w:w="4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名称</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6"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061"/>
        <w:gridCol w:w="2851"/>
        <w:gridCol w:w="2645"/>
      </w:tblGrid>
      <w:tr>
        <w:trPr>
          <w:trHeight w:val="401" w:hRule="exact"/>
        </w:trPr>
        <w:tc>
          <w:tcPr>
            <w:tcW w:w="4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名称</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8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5</w:t>
      </w:r>
      <w:r>
        <w:rPr/>
        <w:t>、报告期内发生的同一控制下企业合并</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95"/>
        <w:gridCol w:w="1553"/>
        <w:gridCol w:w="1555"/>
        <w:gridCol w:w="1555"/>
        <w:gridCol w:w="1555"/>
        <w:gridCol w:w="1555"/>
      </w:tblGrid>
      <w:tr>
        <w:trPr>
          <w:trHeight w:val="710" w:hRule="exact"/>
        </w:trPr>
        <w:tc>
          <w:tcPr>
            <w:tcW w:w="1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47"/>
              <w:jc w:val="left"/>
              <w:rPr>
                <w:rFonts w:ascii="宋体" w:hAnsi="宋体" w:cs="宋体" w:eastAsia="宋体" w:hint="default"/>
                <w:sz w:val="18"/>
                <w:szCs w:val="18"/>
              </w:rPr>
            </w:pPr>
            <w:r>
              <w:rPr>
                <w:rFonts w:ascii="宋体" w:hAnsi="宋体" w:cs="宋体" w:eastAsia="宋体" w:hint="default"/>
                <w:sz w:val="18"/>
                <w:szCs w:val="18"/>
              </w:rPr>
              <w:t>属于同一控制下企</w:t>
            </w:r>
            <w:r>
              <w:rPr>
                <w:rFonts w:ascii="宋体" w:hAnsi="宋体" w:cs="宋体" w:eastAsia="宋体" w:hint="default"/>
                <w:w w:val="100"/>
                <w:sz w:val="18"/>
                <w:szCs w:val="18"/>
              </w:rPr>
              <w:t> </w:t>
            </w:r>
            <w:r>
              <w:rPr>
                <w:rFonts w:ascii="宋体" w:hAnsi="宋体" w:cs="宋体" w:eastAsia="宋体" w:hint="default"/>
                <w:sz w:val="18"/>
                <w:szCs w:val="18"/>
              </w:rPr>
              <w:t>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5" w:right="47" w:hanging="540"/>
              <w:jc w:val="left"/>
              <w:rPr>
                <w:rFonts w:ascii="宋体" w:hAnsi="宋体" w:cs="宋体" w:eastAsia="宋体" w:hint="default"/>
                <w:sz w:val="18"/>
                <w:szCs w:val="18"/>
              </w:rPr>
            </w:pPr>
            <w:r>
              <w:rPr>
                <w:rFonts w:ascii="宋体" w:hAnsi="宋体" w:cs="宋体" w:eastAsia="宋体" w:hint="default"/>
                <w:sz w:val="18"/>
                <w:szCs w:val="18"/>
              </w:rPr>
              <w:t>同一控制的实际控</w:t>
            </w:r>
            <w:r>
              <w:rPr>
                <w:rFonts w:ascii="宋体" w:hAnsi="宋体" w:cs="宋体" w:eastAsia="宋体" w:hint="default"/>
                <w:w w:val="100"/>
                <w:sz w:val="18"/>
                <w:szCs w:val="18"/>
              </w:rPr>
              <w:t> </w:t>
            </w:r>
            <w:r>
              <w:rPr>
                <w:rFonts w:ascii="宋体" w:hAnsi="宋体" w:cs="宋体" w:eastAsia="宋体" w:hint="default"/>
                <w:sz w:val="18"/>
                <w:szCs w:val="18"/>
              </w:rPr>
              <w:t>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6" w:right="47" w:hanging="272"/>
              <w:jc w:val="left"/>
              <w:rPr>
                <w:rFonts w:ascii="宋体" w:hAnsi="宋体" w:cs="宋体" w:eastAsia="宋体" w:hint="default"/>
                <w:sz w:val="18"/>
                <w:szCs w:val="18"/>
              </w:rPr>
            </w:pPr>
            <w:r>
              <w:rPr>
                <w:rFonts w:ascii="宋体" w:hAnsi="宋体" w:cs="宋体" w:eastAsia="宋体" w:hint="default"/>
                <w:sz w:val="18"/>
                <w:szCs w:val="18"/>
              </w:rPr>
              <w:t>合并本期期初至合</w:t>
            </w:r>
            <w:r>
              <w:rPr>
                <w:rFonts w:ascii="宋体" w:hAnsi="宋体" w:cs="宋体" w:eastAsia="宋体" w:hint="default"/>
                <w:w w:val="100"/>
                <w:sz w:val="18"/>
                <w:szCs w:val="18"/>
              </w:rPr>
              <w:t> </w:t>
            </w:r>
            <w:r>
              <w:rPr>
                <w:rFonts w:ascii="宋体" w:hAnsi="宋体" w:cs="宋体" w:eastAsia="宋体" w:hint="default"/>
                <w:sz w:val="18"/>
                <w:szCs w:val="18"/>
              </w:rPr>
              <w:t>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5" w:right="47" w:hanging="360"/>
              <w:jc w:val="left"/>
              <w:rPr>
                <w:rFonts w:ascii="宋体" w:hAnsi="宋体" w:cs="宋体" w:eastAsia="宋体" w:hint="default"/>
                <w:sz w:val="18"/>
                <w:szCs w:val="18"/>
              </w:rPr>
            </w:pPr>
            <w:r>
              <w:rPr>
                <w:rFonts w:ascii="宋体" w:hAnsi="宋体" w:cs="宋体" w:eastAsia="宋体" w:hint="default"/>
                <w:sz w:val="18"/>
                <w:szCs w:val="18"/>
              </w:rPr>
              <w:t>合并本期至合并日</w:t>
            </w:r>
            <w:r>
              <w:rPr>
                <w:rFonts w:ascii="宋体" w:hAnsi="宋体" w:cs="宋体" w:eastAsia="宋体" w:hint="default"/>
                <w:w w:val="100"/>
                <w:sz w:val="18"/>
                <w:szCs w:val="18"/>
              </w:rPr>
              <w:t> </w:t>
            </w:r>
            <w:r>
              <w:rPr>
                <w:rFonts w:ascii="宋体" w:hAnsi="宋体" w:cs="宋体" w:eastAsia="宋体" w:hint="default"/>
                <w:sz w:val="18"/>
                <w:szCs w:val="18"/>
              </w:rPr>
              <w:t>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5" w:right="47"/>
              <w:jc w:val="left"/>
              <w:rPr>
                <w:rFonts w:ascii="宋体" w:hAnsi="宋体" w:cs="宋体" w:eastAsia="宋体" w:hint="default"/>
                <w:sz w:val="18"/>
                <w:szCs w:val="18"/>
              </w:rPr>
            </w:pPr>
            <w:r>
              <w:rPr>
                <w:rFonts w:ascii="宋体" w:hAnsi="宋体" w:cs="宋体" w:eastAsia="宋体" w:hint="default"/>
                <w:sz w:val="18"/>
                <w:szCs w:val="18"/>
              </w:rPr>
              <w:t>合并本期至合并日</w:t>
            </w:r>
            <w:r>
              <w:rPr>
                <w:rFonts w:ascii="宋体" w:hAnsi="宋体" w:cs="宋体" w:eastAsia="宋体" w:hint="default"/>
                <w:w w:val="100"/>
                <w:sz w:val="18"/>
                <w:szCs w:val="18"/>
              </w:rPr>
              <w:t> </w:t>
            </w:r>
            <w:r>
              <w:rPr>
                <w:rFonts w:ascii="宋体" w:hAnsi="宋体" w:cs="宋体" w:eastAsia="宋体" w:hint="default"/>
                <w:sz w:val="18"/>
                <w:szCs w:val="18"/>
              </w:rPr>
              <w:t>的经营活动现金流</w:t>
            </w:r>
          </w:p>
        </w:tc>
      </w:tr>
    </w:tbl>
    <w:p>
      <w:pPr>
        <w:spacing w:before="54"/>
        <w:ind w:left="152" w:right="145"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6</w:t>
      </w:r>
      <w:r>
        <w:rPr/>
        <w:t>、报告期内发生的非同一控制下企业合并</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664"/>
        <w:gridCol w:w="3031"/>
        <w:gridCol w:w="3862"/>
      </w:tblGrid>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7</w:t>
      </w:r>
      <w:r>
        <w:rPr/>
        <w:t>、报告期内出售丧失控制权的股权而减少子公司</w:t>
      </w:r>
    </w:p>
    <w:p>
      <w:pPr>
        <w:spacing w:line="240" w:lineRule="auto" w:before="7"/>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972"/>
        <w:gridCol w:w="2489"/>
        <w:gridCol w:w="3096"/>
      </w:tblGrid>
      <w:tr>
        <w:trPr>
          <w:trHeight w:val="403" w:hRule="exact"/>
        </w:trPr>
        <w:tc>
          <w:tcPr>
            <w:tcW w:w="3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8</w:t>
      </w:r>
      <w:r>
        <w:rPr/>
        <w:t>、报告期内发生的反向购买</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1" w:right="110"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w:t>
            </w:r>
            <w:r>
              <w:rPr>
                <w:rFonts w:ascii="宋体" w:hAnsi="宋体" w:cs="宋体" w:eastAsia="宋体" w:hint="default"/>
                <w:w w:val="100"/>
                <w:sz w:val="18"/>
                <w:szCs w:val="18"/>
              </w:rPr>
              <w:t> </w:t>
            </w:r>
            <w:r>
              <w:rPr>
                <w:rFonts w:ascii="宋体" w:hAnsi="宋体" w:cs="宋体" w:eastAsia="宋体" w:hint="default"/>
                <w:sz w:val="18"/>
                <w:szCs w:val="18"/>
              </w:rPr>
              <w:t>期的损益的计算方法</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9</w:t>
      </w:r>
      <w:r>
        <w:rPr/>
        <w:t>、本报告期发生的吸收合并</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629"/>
        <w:gridCol w:w="1481"/>
        <w:gridCol w:w="1483"/>
        <w:gridCol w:w="1481"/>
        <w:gridCol w:w="1483"/>
      </w:tblGrid>
      <w:tr>
        <w:trPr>
          <w:trHeight w:val="401" w:hRule="exact"/>
        </w:trPr>
        <w:tc>
          <w:tcPr>
            <w:tcW w:w="3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3" w:hRule="exact"/>
        </w:trPr>
        <w:tc>
          <w:tcPr>
            <w:tcW w:w="3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footerReference w:type="default" r:id="rId24"/>
          <w:pgSz w:w="11900" w:h="16840"/>
          <w:pgMar w:footer="982" w:header="746" w:top="1060" w:bottom="1180" w:left="980" w:right="980"/>
          <w:pgNumType w:start="8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0"/>
        <w:rPr>
          <w:rFonts w:ascii="宋体" w:hAnsi="宋体" w:cs="宋体" w:eastAsia="宋体" w:hint="default"/>
          <w:sz w:val="18"/>
          <w:szCs w:val="18"/>
        </w:rPr>
      </w:pPr>
    </w:p>
    <w:p>
      <w:pPr>
        <w:spacing w:line="487" w:lineRule="auto" w:before="120"/>
        <w:ind w:left="152" w:right="5690" w:firstLine="0"/>
        <w:jc w:val="left"/>
        <w:rPr>
          <w:rFonts w:ascii="宋体" w:hAnsi="宋体" w:cs="宋体" w:eastAsia="宋体" w:hint="default"/>
          <w:sz w:val="21"/>
          <w:szCs w:val="21"/>
        </w:rPr>
      </w:pPr>
      <w:r>
        <w:rPr>
          <w:rFonts w:ascii="Times New Roman" w:hAnsi="Times New Roman" w:cs="Times New Roman" w:eastAsia="Times New Roman" w:hint="default"/>
          <w:b/>
          <w:bCs/>
          <w:spacing w:val="-2"/>
          <w:sz w:val="21"/>
          <w:szCs w:val="21"/>
        </w:rPr>
        <w:t>10</w:t>
      </w:r>
      <w:r>
        <w:rPr>
          <w:rFonts w:ascii="宋体" w:hAnsi="宋体" w:cs="宋体" w:eastAsia="宋体" w:hint="default"/>
          <w:spacing w:val="-2"/>
          <w:sz w:val="21"/>
          <w:szCs w:val="21"/>
        </w:rPr>
        <w:t>、境外经营实体主要报表项目的折算汇率</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4"/>
          <w:szCs w:val="24"/>
        </w:rPr>
        <w:t>七、合并财务报表主要项目注释</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Times New Roman" w:hAnsi="Times New Roman" w:cs="Times New Roman" w:eastAsia="Times New Roman" w:hint="default"/>
          <w:b/>
          <w:bCs/>
          <w:sz w:val="21"/>
          <w:szCs w:val="21"/>
        </w:rPr>
        <w:t>1</w:t>
      </w:r>
      <w:r>
        <w:rPr>
          <w:rFonts w:ascii="宋体" w:hAnsi="宋体" w:cs="宋体" w:eastAsia="宋体" w:hint="default"/>
          <w:sz w:val="21"/>
          <w:szCs w:val="21"/>
        </w:rPr>
        <w:t>、货币资金</w:t>
      </w:r>
    </w:p>
    <w:p>
      <w:pPr>
        <w:spacing w:before="10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9"/>
        <w:gridCol w:w="1325"/>
        <w:gridCol w:w="931"/>
        <w:gridCol w:w="1462"/>
        <w:gridCol w:w="1327"/>
        <w:gridCol w:w="931"/>
        <w:gridCol w:w="1594"/>
      </w:tblGrid>
      <w:tr>
        <w:trPr>
          <w:trHeight w:val="201" w:hRule="exact"/>
        </w:trPr>
        <w:tc>
          <w:tcPr>
            <w:tcW w:w="1999"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9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8" w:type="dxa"/>
            <w:gridSpan w:val="3"/>
            <w:vMerge/>
            <w:tcBorders>
              <w:left w:val="single" w:sz="4" w:space="0" w:color="000000"/>
              <w:bottom w:val="single" w:sz="4" w:space="0" w:color="000000"/>
              <w:right w:val="single" w:sz="4" w:space="0" w:color="000000"/>
            </w:tcBorders>
            <w:shd w:val="clear" w:color="auto" w:fill="D3D3D3"/>
          </w:tcPr>
          <w:p>
            <w:pPr/>
          </w:p>
        </w:tc>
        <w:tc>
          <w:tcPr>
            <w:tcW w:w="385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99" w:type="dxa"/>
            <w:vMerge/>
            <w:tcBorders>
              <w:left w:val="single" w:sz="4" w:space="0" w:color="000000"/>
              <w:bottom w:val="nil" w:sz="6" w:space="0" w:color="auto"/>
              <w:right w:val="single" w:sz="4" w:space="0" w:color="000000"/>
            </w:tcBorders>
            <w:shd w:val="clear" w:color="auto" w:fill="D3D3D3"/>
          </w:tcPr>
          <w:p>
            <w:pPr/>
          </w:p>
        </w:tc>
        <w:tc>
          <w:tcPr>
            <w:tcW w:w="13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9" w:hRule="exact"/>
        </w:trPr>
        <w:tc>
          <w:tcPr>
            <w:tcW w:w="19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5"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35,330.33</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66,742.77</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35,330.33</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66,742.77</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372,985,468.19</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1,353,460,637.13</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368,482,737.72</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1,346,060,796.67</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716,067.04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4,500,839.37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1,174,115.83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7,397,986.43</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1,854.03</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54,679,875.72</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86,999,215.21</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51,931,971.09</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80,002,700.50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437,181.55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2,747,904.63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1,110,399.26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6,996,514.70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427,700,674.24</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1,440,526,595.11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2</w:t>
      </w:r>
      <w:r>
        <w:rPr/>
        <w:t>、交易性金融资产</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）交易性金融资产</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243"/>
        <w:gridCol w:w="2657"/>
        <w:gridCol w:w="2657"/>
      </w:tblGrid>
      <w:tr>
        <w:trPr>
          <w:trHeight w:val="402" w:hRule="exact"/>
        </w:trPr>
        <w:tc>
          <w:tcPr>
            <w:tcW w:w="4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4"/>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）变现有限制的交易性金融资产</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28"/>
        <w:gridCol w:w="3852"/>
        <w:gridCol w:w="2177"/>
      </w:tblGrid>
      <w:tr>
        <w:trPr>
          <w:trHeight w:val="401" w:hRule="exact"/>
        </w:trPr>
        <w:tc>
          <w:tcPr>
            <w:tcW w:w="3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after="0" w:line="240" w:lineRule="auto"/>
        <w:jc w:val="center"/>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）套期工具及对相关套期交易的说明</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3</w:t>
      </w:r>
      <w:r>
        <w:rPr/>
        <w:t>、应收票据</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）应收票据的分类</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989"/>
        <w:gridCol w:w="2657"/>
        <w:gridCol w:w="2921"/>
      </w:tblGrid>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199,788,935.68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200,066,294.22</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199,788,935.68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200,066,294.22</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）期末已质押的应收票据情况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01"/>
        <w:gridCol w:w="1915"/>
        <w:gridCol w:w="1913"/>
        <w:gridCol w:w="1915"/>
        <w:gridCol w:w="1915"/>
      </w:tblGrid>
      <w:tr>
        <w:trPr>
          <w:trHeight w:val="396"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0"/>
        <w:rPr>
          <w:rFonts w:ascii="宋体" w:hAnsi="宋体" w:cs="宋体" w:eastAsia="宋体" w:hint="default"/>
          <w:sz w:val="19"/>
          <w:szCs w:val="19"/>
        </w:rPr>
      </w:pPr>
    </w:p>
    <w:p>
      <w:pPr>
        <w:pStyle w:val="BodyText"/>
        <w:spacing w:line="256" w:lineRule="auto" w:before="36"/>
        <w:ind w:right="145"/>
        <w:jc w:val="left"/>
      </w:pPr>
      <w:r>
        <w:rPr>
          <w:spacing w:val="-1"/>
        </w:rPr>
        <w:t>（</w:t>
      </w:r>
      <w:r>
        <w:rPr>
          <w:rFonts w:ascii="Times New Roman" w:hAnsi="Times New Roman" w:cs="Times New Roman" w:eastAsia="Times New Roman" w:hint="default"/>
          <w:b/>
          <w:bCs/>
          <w:spacing w:val="-1"/>
        </w:rPr>
        <w:t>3</w:t>
      </w:r>
      <w:r>
        <w:rPr>
          <w:spacing w:val="-1"/>
        </w:rPr>
        <w:t>）因出票人无力履约而将票据转为应收账款的票据，以及期末公司已经背书给他方但尚未到期的票据</w:t>
      </w:r>
      <w:r>
        <w:rPr>
          <w:spacing w:val="-2"/>
        </w:rPr>
        <w:t> </w:t>
      </w:r>
      <w:r>
        <w:rPr>
          <w:spacing w:val="-2"/>
        </w:rPr>
      </w:r>
      <w:r>
        <w:rPr/>
        <w:t>情况</w:t>
      </w:r>
    </w:p>
    <w:p>
      <w:pPr>
        <w:spacing w:line="240" w:lineRule="auto" w:before="0"/>
        <w:rPr>
          <w:rFonts w:ascii="宋体" w:hAnsi="宋体" w:cs="宋体" w:eastAsia="宋体" w:hint="default"/>
          <w:sz w:val="23"/>
          <w:szCs w:val="23"/>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01"/>
        <w:gridCol w:w="1915"/>
        <w:gridCol w:w="1913"/>
        <w:gridCol w:w="1915"/>
        <w:gridCol w:w="1915"/>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00" w:h="16840"/>
          <w:pgMar w:header="746" w:footer="982" w:top="1060" w:bottom="1180" w:left="980" w:right="980"/>
        </w:sectPr>
      </w:pPr>
    </w:p>
    <w:p>
      <w:pPr>
        <w:spacing w:line="357" w:lineRule="auto" w:before="49"/>
        <w:ind w:left="152" w:right="-1" w:firstLine="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w w:val="100"/>
          <w:sz w:val="18"/>
          <w:szCs w:val="18"/>
        </w:rPr>
        <w:t> </w:t>
      </w:r>
      <w:r>
        <w:rPr>
          <w:rFonts w:ascii="宋体" w:hAnsi="宋体" w:cs="宋体" w:eastAsia="宋体" w:hint="default"/>
          <w:spacing w:val="-1"/>
          <w:sz w:val="18"/>
          <w:szCs w:val="18"/>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3394" w:space="5433"/>
            <w:col w:w="111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pacing w:val="-1"/>
                <w:sz w:val="18"/>
                <w:szCs w:val="18"/>
              </w:rPr>
              <w:t>备注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佛山正一包装材料有限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spacing w:val="-1"/>
                <w:sz w:val="18"/>
                <w:szCs w:val="18"/>
              </w:rPr>
              <w:t>支付采购货款</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露友</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9"/>
              <w:jc w:val="right"/>
              <w:rPr>
                <w:rFonts w:ascii="宋体" w:hAnsi="宋体" w:cs="宋体" w:eastAsia="宋体" w:hint="default"/>
                <w:sz w:val="18"/>
                <w:szCs w:val="18"/>
              </w:rPr>
            </w:pPr>
            <w:r>
              <w:rPr>
                <w:rFonts w:ascii="宋体" w:hAnsi="宋体" w:cs="宋体" w:eastAsia="宋体" w:hint="default"/>
                <w:spacing w:val="-1"/>
                <w:sz w:val="18"/>
                <w:szCs w:val="18"/>
              </w:rPr>
              <w:t>支付采购货款</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无锡新得复合材材料有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spacing w:val="-1"/>
                <w:sz w:val="18"/>
                <w:szCs w:val="18"/>
              </w:rPr>
              <w:t>支付采购货款</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广西贵港钢铁集团有限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spacing w:val="-1"/>
                <w:sz w:val="18"/>
                <w:szCs w:val="18"/>
              </w:rPr>
              <w:t>支付采购货款</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邹平县第二建筑有限责</w:t>
            </w:r>
            <w:r>
              <w:rPr>
                <w:rFonts w:ascii="宋体" w:hAnsi="宋体" w:cs="宋体" w:eastAsia="宋体" w:hint="default"/>
                <w:w w:val="100"/>
                <w:sz w:val="18"/>
                <w:szCs w:val="18"/>
              </w:rPr>
              <w:t> </w:t>
            </w:r>
            <w:r>
              <w:rPr>
                <w:rFonts w:ascii="宋体" w:hAnsi="宋体" w:cs="宋体" w:eastAsia="宋体" w:hint="default"/>
                <w:sz w:val="18"/>
                <w:szCs w:val="18"/>
              </w:rPr>
              <w:t>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spacing w:val="-1"/>
                <w:sz w:val="18"/>
                <w:szCs w:val="18"/>
              </w:rPr>
              <w:t>支付采购货款</w:t>
            </w:r>
          </w:p>
        </w:tc>
      </w:tr>
    </w:tbl>
    <w:p>
      <w:pPr>
        <w:spacing w:line="357" w:lineRule="auto" w:before="49"/>
        <w:ind w:left="152" w:right="6648" w:firstLine="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w w:val="100"/>
          <w:sz w:val="18"/>
          <w:szCs w:val="18"/>
        </w:rPr>
        <w:t> </w:t>
      </w:r>
      <w:r>
        <w:rPr>
          <w:rFonts w:ascii="宋体" w:hAnsi="宋体" w:cs="宋体" w:eastAsia="宋体" w:hint="default"/>
          <w:spacing w:val="-1"/>
          <w:sz w:val="18"/>
          <w:szCs w:val="18"/>
        </w:rPr>
        <w:t>已贴现或质押的商业承兑票据的说明</w:t>
      </w:r>
    </w:p>
    <w:p>
      <w:pPr>
        <w:spacing w:after="0" w:line="357" w:lineRule="auto"/>
        <w:jc w:val="left"/>
        <w:rPr>
          <w:rFonts w:ascii="宋体" w:hAnsi="宋体" w:cs="宋体" w:eastAsia="宋体" w:hint="default"/>
          <w:sz w:val="18"/>
          <w:szCs w:val="18"/>
        </w:rPr>
        <w:sectPr>
          <w:type w:val="continuous"/>
          <w:pgSz w:w="11900" w:h="16840"/>
          <w:pgMar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4490"/>
        <w:jc w:val="left"/>
      </w:pPr>
      <w:r>
        <w:rPr>
          <w:rFonts w:ascii="Times New Roman" w:hAnsi="Times New Roman" w:cs="Times New Roman" w:eastAsia="Times New Roman" w:hint="default"/>
          <w:b/>
          <w:bCs/>
        </w:rPr>
        <w:t>4</w:t>
      </w:r>
      <w:r>
        <w:rPr/>
        <w:t>、应收股利</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40"/>
        <w:gridCol w:w="1339"/>
        <w:gridCol w:w="1339"/>
        <w:gridCol w:w="1433"/>
        <w:gridCol w:w="1339"/>
        <w:gridCol w:w="1340"/>
        <w:gridCol w:w="1325"/>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8"/>
              <w:ind w:left="392" w:right="20" w:hanging="360"/>
              <w:jc w:val="left"/>
              <w:rPr>
                <w:rFonts w:ascii="宋体" w:hAnsi="宋体" w:cs="宋体" w:eastAsia="宋体" w:hint="default"/>
                <w:sz w:val="18"/>
                <w:szCs w:val="18"/>
              </w:rPr>
            </w:pPr>
            <w:r>
              <w:rPr>
                <w:rFonts w:ascii="宋体" w:hAnsi="宋体" w:cs="宋体" w:eastAsia="宋体" w:hint="default"/>
                <w:sz w:val="18"/>
                <w:szCs w:val="18"/>
              </w:rPr>
              <w:t>相关款项是否发</w:t>
            </w:r>
            <w:r>
              <w:rPr>
                <w:rFonts w:ascii="宋体" w:hAnsi="宋体" w:cs="宋体" w:eastAsia="宋体" w:hint="default"/>
                <w:w w:val="100"/>
                <w:sz w:val="18"/>
                <w:szCs w:val="18"/>
              </w:rPr>
              <w:t> </w:t>
            </w:r>
            <w:r>
              <w:rPr>
                <w:rFonts w:ascii="宋体" w:hAnsi="宋体" w:cs="宋体" w:eastAsia="宋体" w:hint="default"/>
                <w:sz w:val="18"/>
                <w:szCs w:val="18"/>
              </w:rPr>
              <w:t>生减值</w:t>
            </w:r>
          </w:p>
        </w:tc>
      </w:tr>
      <w:tr>
        <w:trPr>
          <w:trHeight w:val="392"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3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3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25" w:type="dxa"/>
            <w:vMerge/>
            <w:tcBorders>
              <w:left w:val="single" w:sz="4" w:space="0" w:color="000000"/>
              <w:right w:val="single" w:sz="4" w:space="0" w:color="000000"/>
            </w:tcBorders>
            <w:shd w:val="clear" w:color="auto" w:fill="D3D3D3"/>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5"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449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BodyText"/>
        <w:spacing w:line="240" w:lineRule="auto" w:before="120"/>
        <w:ind w:right="4490"/>
        <w:jc w:val="left"/>
      </w:pPr>
      <w:r>
        <w:rPr>
          <w:rFonts w:ascii="Times New Roman" w:hAnsi="Times New Roman" w:cs="Times New Roman" w:eastAsia="Times New Roman" w:hint="default"/>
          <w:b/>
          <w:bCs/>
        </w:rPr>
        <w:t>5</w:t>
      </w:r>
      <w:r>
        <w:rPr/>
        <w:t>、应收利息</w:t>
      </w:r>
    </w:p>
    <w:p>
      <w:pPr>
        <w:spacing w:line="240" w:lineRule="auto" w:before="10"/>
        <w:rPr>
          <w:rFonts w:ascii="宋体" w:hAnsi="宋体" w:cs="宋体" w:eastAsia="宋体" w:hint="default"/>
          <w:sz w:val="24"/>
          <w:szCs w:val="24"/>
        </w:rPr>
      </w:pPr>
    </w:p>
    <w:p>
      <w:pPr>
        <w:pStyle w:val="BodyText"/>
        <w:spacing w:line="240" w:lineRule="auto"/>
        <w:ind w:right="4490"/>
        <w:jc w:val="left"/>
      </w:pPr>
      <w:r>
        <w:rPr/>
        <w:t>（</w:t>
      </w:r>
      <w:r>
        <w:rPr>
          <w:rFonts w:ascii="Times New Roman" w:hAnsi="Times New Roman" w:cs="Times New Roman" w:eastAsia="Times New Roman" w:hint="default"/>
          <w:b/>
          <w:bCs/>
        </w:rPr>
        <w:t>1</w:t>
      </w:r>
      <w:r>
        <w:rPr/>
        <w:t>）应收利息</w:t>
      </w:r>
    </w:p>
    <w:p>
      <w:pPr>
        <w:spacing w:line="240" w:lineRule="auto" w:before="10"/>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862"/>
        <w:gridCol w:w="1860"/>
        <w:gridCol w:w="1862"/>
        <w:gridCol w:w="1860"/>
        <w:gridCol w:w="2126"/>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募集资金定期利息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18,388,228.33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15,912,459.03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31,453,187.36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2,847,500.00</w:t>
            </w:r>
          </w:p>
        </w:tc>
      </w:tr>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18,388,228.33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15,912,459.03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31,453,187.36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2,847,500.00</w:t>
            </w:r>
          </w:p>
        </w:tc>
      </w:tr>
    </w:tbl>
    <w:p>
      <w:pPr>
        <w:spacing w:line="240" w:lineRule="auto" w:before="3"/>
        <w:rPr>
          <w:rFonts w:ascii="宋体" w:hAnsi="宋体" w:cs="宋体" w:eastAsia="宋体" w:hint="default"/>
          <w:sz w:val="19"/>
          <w:szCs w:val="19"/>
        </w:rPr>
      </w:pPr>
    </w:p>
    <w:p>
      <w:pPr>
        <w:pStyle w:val="BodyText"/>
        <w:spacing w:line="240" w:lineRule="auto" w:before="36"/>
        <w:ind w:right="4490"/>
        <w:jc w:val="left"/>
      </w:pPr>
      <w:r>
        <w:rPr/>
        <w:t>（</w:t>
      </w:r>
      <w:r>
        <w:rPr>
          <w:rFonts w:ascii="Times New Roman" w:hAnsi="Times New Roman" w:cs="Times New Roman" w:eastAsia="Times New Roman" w:hint="default"/>
          <w:b/>
          <w:bCs/>
        </w:rPr>
        <w:t>2</w:t>
      </w:r>
      <w:r>
        <w:rPr/>
        <w:t>）逾期利息</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178"/>
        <w:gridCol w:w="3190"/>
        <w:gridCol w:w="3190"/>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BodyText"/>
        <w:spacing w:line="240" w:lineRule="auto" w:before="36"/>
        <w:ind w:right="4490"/>
        <w:jc w:val="left"/>
      </w:pPr>
      <w:r>
        <w:rPr/>
        <w:t>（</w:t>
      </w:r>
      <w:r>
        <w:rPr>
          <w:rFonts w:ascii="Times New Roman" w:hAnsi="Times New Roman" w:cs="Times New Roman" w:eastAsia="Times New Roman" w:hint="default"/>
          <w:b/>
          <w:bCs/>
        </w:rPr>
        <w:t>3</w:t>
      </w:r>
      <w:r>
        <w:rPr/>
        <w:t>）应收利息的说明</w:t>
      </w:r>
    </w:p>
    <w:p>
      <w:pPr>
        <w:spacing w:line="240" w:lineRule="auto" w:before="10"/>
        <w:rPr>
          <w:rFonts w:ascii="宋体" w:hAnsi="宋体" w:cs="宋体" w:eastAsia="宋体" w:hint="default"/>
          <w:sz w:val="24"/>
          <w:szCs w:val="24"/>
        </w:rPr>
      </w:pPr>
    </w:p>
    <w:p>
      <w:pPr>
        <w:pStyle w:val="BodyText"/>
        <w:spacing w:line="256" w:lineRule="auto"/>
        <w:ind w:right="96"/>
        <w:jc w:val="left"/>
      </w:pPr>
      <w:r>
        <w:rPr>
          <w:spacing w:val="-3"/>
        </w:rPr>
        <w:t>应收利息期末数比期初数减少</w:t>
      </w:r>
      <w:r>
        <w:rPr>
          <w:rFonts w:ascii="Times New Roman" w:hAnsi="Times New Roman" w:cs="Times New Roman" w:eastAsia="Times New Roman" w:hint="default"/>
          <w:spacing w:val="-3"/>
        </w:rPr>
        <w:t>15,540,728.33</w:t>
      </w:r>
      <w:r>
        <w:rPr>
          <w:spacing w:val="-3"/>
        </w:rPr>
        <w:t>元，减少比例为</w:t>
      </w:r>
      <w:r>
        <w:rPr>
          <w:rFonts w:ascii="Times New Roman" w:hAnsi="Times New Roman" w:cs="Times New Roman" w:eastAsia="Times New Roman" w:hint="default"/>
          <w:spacing w:val="-3"/>
        </w:rPr>
        <w:t>84.51</w:t>
      </w:r>
      <w:r>
        <w:rPr>
          <w:spacing w:val="-3"/>
        </w:rPr>
        <w:t>％，减少原因系超募资金定期存款较上年</w:t>
      </w:r>
      <w:r>
        <w:rPr>
          <w:spacing w:val="24"/>
        </w:rPr>
        <w:t> </w:t>
      </w:r>
      <w:r>
        <w:rPr>
          <w:spacing w:val="24"/>
        </w:rPr>
      </w:r>
      <w:r>
        <w:rPr/>
        <w:t>同期大幅减少所致。</w:t>
      </w:r>
    </w:p>
    <w:p>
      <w:pPr>
        <w:spacing w:line="240" w:lineRule="auto" w:before="8"/>
        <w:rPr>
          <w:rFonts w:ascii="宋体" w:hAnsi="宋体" w:cs="宋体" w:eastAsia="宋体" w:hint="default"/>
          <w:sz w:val="24"/>
          <w:szCs w:val="24"/>
        </w:rPr>
      </w:pPr>
    </w:p>
    <w:p>
      <w:pPr>
        <w:pStyle w:val="BodyText"/>
        <w:spacing w:line="240" w:lineRule="auto"/>
        <w:ind w:right="4490"/>
        <w:jc w:val="left"/>
      </w:pPr>
      <w:r>
        <w:rPr>
          <w:rFonts w:ascii="Times New Roman" w:hAnsi="Times New Roman" w:cs="Times New Roman" w:eastAsia="Times New Roman" w:hint="default"/>
          <w:b/>
          <w:bCs/>
        </w:rPr>
        <w:t>6</w:t>
      </w:r>
      <w:r>
        <w:rPr/>
        <w:t>、应收账款</w:t>
      </w:r>
    </w:p>
    <w:p>
      <w:pPr>
        <w:spacing w:line="240" w:lineRule="auto" w:before="7"/>
        <w:rPr>
          <w:rFonts w:ascii="宋体" w:hAnsi="宋体" w:cs="宋体" w:eastAsia="宋体" w:hint="default"/>
          <w:sz w:val="24"/>
          <w:szCs w:val="24"/>
        </w:rPr>
      </w:pPr>
    </w:p>
    <w:p>
      <w:pPr>
        <w:pStyle w:val="BodyText"/>
        <w:spacing w:line="240" w:lineRule="auto"/>
        <w:ind w:right="4490"/>
        <w:jc w:val="left"/>
      </w:pPr>
      <w:r>
        <w:rPr/>
        <w:t>（</w:t>
      </w:r>
      <w:r>
        <w:rPr>
          <w:rFonts w:ascii="Times New Roman" w:hAnsi="Times New Roman" w:cs="Times New Roman" w:eastAsia="Times New Roman" w:hint="default"/>
          <w:b/>
          <w:bCs/>
        </w:rPr>
        <w:t>1</w:t>
      </w:r>
      <w:r>
        <w:rPr/>
        <w:t>）应收账款按种类披露</w:t>
      </w:r>
    </w:p>
    <w:p>
      <w:pPr>
        <w:spacing w:line="240" w:lineRule="auto" w:before="4"/>
        <w:rPr>
          <w:rFonts w:ascii="宋体" w:hAnsi="宋体" w:cs="宋体" w:eastAsia="宋体" w:hint="default"/>
          <w:sz w:val="26"/>
          <w:szCs w:val="26"/>
        </w:rPr>
      </w:pPr>
    </w:p>
    <w:p>
      <w:pPr>
        <w:spacing w:before="0"/>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9"/>
        <w:gridCol w:w="1081"/>
        <w:gridCol w:w="949"/>
        <w:gridCol w:w="970"/>
        <w:gridCol w:w="890"/>
        <w:gridCol w:w="1130"/>
        <w:gridCol w:w="900"/>
        <w:gridCol w:w="1080"/>
        <w:gridCol w:w="720"/>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2" w:hRule="exact"/>
        </w:trPr>
        <w:tc>
          <w:tcPr>
            <w:tcW w:w="972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）按款项性质的组合</w:t>
            </w:r>
          </w:p>
        </w:tc>
        <w:tc>
          <w:tcPr>
            <w:tcW w:w="1081" w:type="dxa"/>
            <w:tcBorders>
              <w:top w:val="single" w:sz="5" w:space="0" w:color="000000"/>
              <w:left w:val="single" w:sz="4" w:space="0" w:color="000000"/>
              <w:bottom w:val="single" w:sz="4" w:space="0" w:color="000000"/>
              <w:right w:val="single" w:sz="4" w:space="0" w:color="000000"/>
            </w:tcBorders>
          </w:tcPr>
          <w:p>
            <w:pPr/>
          </w:p>
        </w:tc>
        <w:tc>
          <w:tcPr>
            <w:tcW w:w="949" w:type="dxa"/>
            <w:tcBorders>
              <w:top w:val="single" w:sz="5" w:space="0" w:color="000000"/>
              <w:left w:val="single" w:sz="4" w:space="0" w:color="000000"/>
              <w:bottom w:val="single" w:sz="4" w:space="0" w:color="000000"/>
              <w:right w:val="single" w:sz="4" w:space="0" w:color="000000"/>
            </w:tcBorders>
          </w:tcPr>
          <w:p>
            <w:pPr/>
          </w:p>
        </w:tc>
        <w:tc>
          <w:tcPr>
            <w:tcW w:w="970" w:type="dxa"/>
            <w:tcBorders>
              <w:top w:val="single" w:sz="5" w:space="0" w:color="000000"/>
              <w:left w:val="single" w:sz="4" w:space="0" w:color="000000"/>
              <w:bottom w:val="single" w:sz="4" w:space="0" w:color="000000"/>
              <w:right w:val="single" w:sz="4" w:space="0" w:color="000000"/>
            </w:tcBorders>
          </w:tcPr>
          <w:p>
            <w:pPr/>
          </w:p>
        </w:tc>
        <w:tc>
          <w:tcPr>
            <w:tcW w:w="890" w:type="dxa"/>
            <w:tcBorders>
              <w:top w:val="single" w:sz="5" w:space="0" w:color="000000"/>
              <w:left w:val="single" w:sz="4" w:space="0" w:color="000000"/>
              <w:bottom w:val="single" w:sz="4" w:space="0" w:color="000000"/>
              <w:right w:val="single" w:sz="4" w:space="0" w:color="000000"/>
            </w:tcBorders>
          </w:tcPr>
          <w:p>
            <w:pPr/>
          </w:p>
        </w:tc>
        <w:tc>
          <w:tcPr>
            <w:tcW w:w="1130" w:type="dxa"/>
            <w:tcBorders>
              <w:top w:val="single" w:sz="5" w:space="0" w:color="000000"/>
              <w:left w:val="single" w:sz="4" w:space="0" w:color="000000"/>
              <w:bottom w:val="single" w:sz="4" w:space="0" w:color="000000"/>
              <w:right w:val="single" w:sz="4" w:space="0" w:color="000000"/>
            </w:tcBorders>
          </w:tcPr>
          <w:p>
            <w:pPr/>
          </w:p>
        </w:tc>
        <w:tc>
          <w:tcPr>
            <w:tcW w:w="900" w:type="dxa"/>
            <w:tcBorders>
              <w:top w:val="single" w:sz="5" w:space="0" w:color="000000"/>
              <w:left w:val="single" w:sz="4" w:space="0" w:color="000000"/>
              <w:bottom w:val="single" w:sz="4" w:space="0" w:color="000000"/>
              <w:right w:val="single" w:sz="4" w:space="0" w:color="000000"/>
            </w:tcBorders>
          </w:tcPr>
          <w:p>
            <w:pPr/>
          </w:p>
        </w:tc>
        <w:tc>
          <w:tcPr>
            <w:tcW w:w="1080" w:type="dxa"/>
            <w:tcBorders>
              <w:top w:val="single" w:sz="5" w:space="0" w:color="000000"/>
              <w:left w:val="single" w:sz="4" w:space="0" w:color="000000"/>
              <w:bottom w:val="single" w:sz="4" w:space="0" w:color="000000"/>
              <w:right w:val="single" w:sz="4" w:space="0" w:color="000000"/>
            </w:tcBorders>
          </w:tcPr>
          <w:p>
            <w:pPr/>
          </w:p>
        </w:tc>
        <w:tc>
          <w:tcPr>
            <w:tcW w:w="720" w:type="dxa"/>
            <w:tcBorders>
              <w:top w:val="single" w:sz="5" w:space="0" w:color="000000"/>
              <w:left w:val="single" w:sz="4" w:space="0" w:color="000000"/>
              <w:bottom w:val="single" w:sz="4" w:space="0" w:color="000000"/>
              <w:right w:val="single" w:sz="4" w:space="0" w:color="000000"/>
            </w:tcBorders>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）按款项账龄的组合</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pacing w:val="-1"/>
                <w:sz w:val="18"/>
              </w:rPr>
              <w:t>80,086,643.05</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16"/>
              <w:jc w:val="center"/>
              <w:rPr>
                <w:rFonts w:ascii="Times New Roman" w:hAnsi="Times New Roman" w:cs="Times New Roman" w:eastAsia="Times New Roman" w:hint="default"/>
                <w:sz w:val="18"/>
                <w:szCs w:val="18"/>
              </w:rPr>
            </w:pPr>
            <w:r>
              <w:rPr>
                <w:rFonts w:ascii="Times New Roman"/>
                <w:spacing w:val="-1"/>
                <w:sz w:val="18"/>
              </w:rPr>
              <w:t>4,487,977.34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24,677,591.42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1,789,784.38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pacing w:val="-1"/>
                <w:sz w:val="18"/>
              </w:rPr>
              <w:t>80,086,643.05</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16"/>
              <w:jc w:val="center"/>
              <w:rPr>
                <w:rFonts w:ascii="Times New Roman" w:hAnsi="Times New Roman" w:cs="Times New Roman" w:eastAsia="Times New Roman" w:hint="default"/>
                <w:sz w:val="18"/>
                <w:szCs w:val="18"/>
              </w:rPr>
            </w:pPr>
            <w:r>
              <w:rPr>
                <w:rFonts w:ascii="Times New Roman"/>
                <w:spacing w:val="-1"/>
                <w:sz w:val="18"/>
              </w:rPr>
              <w:t>4,487,977.34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24,677,591.42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1,789,784.38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31" w:right="-8"/>
              <w:jc w:val="center"/>
              <w:rPr>
                <w:rFonts w:ascii="Times New Roman" w:hAnsi="Times New Roman" w:cs="Times New Roman" w:eastAsia="Times New Roman" w:hint="default"/>
                <w:sz w:val="18"/>
                <w:szCs w:val="18"/>
              </w:rPr>
            </w:pPr>
            <w:r>
              <w:rPr>
                <w:rFonts w:ascii="Times New Roman"/>
                <w:sz w:val="18"/>
              </w:rPr>
              <w:t>80,086,643.05</w:t>
            </w:r>
          </w:p>
        </w:tc>
        <w:tc>
          <w:tcPr>
            <w:tcW w:w="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8" w:right="-28"/>
              <w:jc w:val="center"/>
              <w:rPr>
                <w:rFonts w:ascii="Times New Roman" w:hAnsi="Times New Roman" w:cs="Times New Roman" w:eastAsia="Times New Roman" w:hint="default"/>
                <w:sz w:val="18"/>
                <w:szCs w:val="18"/>
              </w:rPr>
            </w:pPr>
            <w:r>
              <w:rPr>
                <w:rFonts w:ascii="Times New Roman"/>
                <w:sz w:val="18"/>
              </w:rPr>
              <w:t>4,487,977.34</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w:t>
            </w:r>
          </w:p>
        </w:tc>
        <w:tc>
          <w:tcPr>
            <w:tcW w:w="113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24,677,591.42</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1,789,784.38</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00" w:h="16840"/>
          <w:pgMar w:header="746" w:footer="982" w:top="1060" w:bottom="1180" w:left="980" w:right="92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pStyle w:val="BodyText"/>
        <w:spacing w:line="273" w:lineRule="auto" w:before="96"/>
        <w:ind w:right="145" w:firstLine="252"/>
        <w:jc w:val="left"/>
      </w:pPr>
      <w:r>
        <w:rPr/>
        <w:t>单项金额重大并单项计提坏账准备的应收账款确定依据为应收账款余额前五名中单项计提坏账准备的</w:t>
      </w:r>
      <w:r>
        <w:rPr>
          <w:w w:val="100"/>
        </w:rPr>
        <w:t> </w:t>
      </w:r>
      <w:r>
        <w:rPr/>
        <w:t>应收账款；</w:t>
      </w:r>
    </w:p>
    <w:p>
      <w:pPr>
        <w:pStyle w:val="BodyText"/>
        <w:spacing w:line="273" w:lineRule="auto" w:before="7"/>
        <w:ind w:right="141" w:firstLine="420"/>
        <w:jc w:val="both"/>
      </w:pPr>
      <w:r>
        <w:rPr/>
        <w:t>按组合计提坏账准备的应收账款确定依据为除单项金额重大并单项计提坏账准备和单项金额虽不重</w:t>
      </w:r>
      <w:r>
        <w:rPr>
          <w:w w:val="100"/>
        </w:rPr>
        <w:t> </w:t>
      </w:r>
      <w:r>
        <w:rPr>
          <w:spacing w:val="-3"/>
        </w:rPr>
        <w:t>大但单项计提坏账准备外的应收款项（含单项金额重大、单独进行减值测试未发生减值，包含在具有类似</w:t>
      </w:r>
      <w:r>
        <w:rPr>
          <w:spacing w:val="3"/>
        </w:rPr>
        <w:t> </w:t>
      </w:r>
      <w:r>
        <w:rPr>
          <w:spacing w:val="3"/>
        </w:rPr>
      </w:r>
      <w:r>
        <w:rPr/>
        <w:t>信用风险特征的应收款项组合中进行减值测试的应收账款）；</w:t>
      </w:r>
    </w:p>
    <w:p>
      <w:pPr>
        <w:pStyle w:val="BodyText"/>
        <w:spacing w:line="273" w:lineRule="auto" w:before="7"/>
        <w:ind w:right="145" w:firstLine="420"/>
        <w:jc w:val="left"/>
      </w:pPr>
      <w:r>
        <w:rPr>
          <w:spacing w:val="-2"/>
        </w:rPr>
        <w:t>单项金额虽不重大但单项计提坏账准备的应收账款确定依据为除单项金额重大并单项计提坏账准备</w:t>
      </w:r>
      <w:r>
        <w:rPr>
          <w:w w:val="100"/>
        </w:rPr>
        <w:t> </w:t>
      </w:r>
      <w:r>
        <w:rPr/>
        <w:t>外单项认定进行减值测试计提坏账准备的应收账款；</w:t>
      </w:r>
    </w:p>
    <w:p>
      <w:pPr>
        <w:spacing w:before="69"/>
        <w:ind w:left="152" w:right="145"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5"/>
        <w:ind w:left="152" w:right="5247"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组合中，按账龄分析法计提坏账准备的应收账款</w:t>
      </w:r>
    </w:p>
    <w:p>
      <w:pPr>
        <w:spacing w:before="25"/>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450"/>
        <w:gridCol w:w="1599"/>
        <w:gridCol w:w="923"/>
        <w:gridCol w:w="1739"/>
        <w:gridCol w:w="1454"/>
        <w:gridCol w:w="930"/>
        <w:gridCol w:w="1460"/>
      </w:tblGrid>
      <w:tr>
        <w:trPr>
          <w:trHeight w:val="401" w:hRule="exact"/>
        </w:trPr>
        <w:tc>
          <w:tcPr>
            <w:tcW w:w="1450"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4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8" w:hRule="exact"/>
        </w:trPr>
        <w:tc>
          <w:tcPr>
            <w:tcW w:w="1450" w:type="dxa"/>
            <w:vMerge/>
            <w:tcBorders>
              <w:left w:val="single" w:sz="4" w:space="0" w:color="000000"/>
              <w:bottom w:val="single" w:sz="1" w:space="0" w:color="FFFFFF"/>
              <w:right w:val="single" w:sz="4" w:space="0" w:color="000000"/>
            </w:tcBorders>
            <w:shd w:val="clear" w:color="auto" w:fill="D3D3D3"/>
          </w:tcPr>
          <w:p>
            <w:pPr/>
          </w:p>
        </w:tc>
        <w:tc>
          <w:tcPr>
            <w:tcW w:w="2522" w:type="dxa"/>
            <w:gridSpan w:val="2"/>
            <w:vMerge/>
            <w:tcBorders>
              <w:left w:val="single" w:sz="4" w:space="0" w:color="000000"/>
              <w:bottom w:val="single" w:sz="1" w:space="0" w:color="FFFFFF"/>
              <w:right w:val="single" w:sz="4" w:space="0" w:color="000000"/>
            </w:tcBorders>
            <w:shd w:val="clear" w:color="auto" w:fill="D3D3D3"/>
          </w:tcPr>
          <w:p>
            <w:pPr/>
          </w:p>
        </w:tc>
        <w:tc>
          <w:tcPr>
            <w:tcW w:w="17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vMerge/>
            <w:tcBorders>
              <w:left w:val="single" w:sz="4" w:space="0" w:color="000000"/>
              <w:bottom w:val="single" w:sz="4" w:space="0" w:color="000000"/>
              <w:right w:val="single" w:sz="4" w:space="0" w:color="000000"/>
            </w:tcBorders>
            <w:shd w:val="clear" w:color="auto" w:fill="D3D3D3"/>
          </w:tcPr>
          <w:p>
            <w:pPr/>
          </w:p>
        </w:tc>
        <w:tc>
          <w:tcPr>
            <w:tcW w:w="14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450" w:type="dxa"/>
            <w:vMerge w:val="restart"/>
            <w:tcBorders>
              <w:top w:val="single" w:sz="1" w:space="0" w:color="FFFFFF"/>
              <w:left w:val="single" w:sz="4" w:space="0" w:color="000000"/>
              <w:right w:val="single" w:sz="4" w:space="0" w:color="000000"/>
            </w:tcBorders>
            <w:shd w:val="clear" w:color="auto" w:fill="D3D3D3"/>
          </w:tcPr>
          <w:p>
            <w:pPr/>
          </w:p>
        </w:tc>
        <w:tc>
          <w:tcPr>
            <w:tcW w:w="1599"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6"/>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9" w:type="dxa"/>
            <w:vMerge/>
            <w:tcBorders>
              <w:left w:val="single" w:sz="4" w:space="0" w:color="000000"/>
              <w:bottom w:val="nil" w:sz="6" w:space="0" w:color="auto"/>
              <w:right w:val="single" w:sz="4" w:space="0" w:color="000000"/>
            </w:tcBorders>
            <w:shd w:val="clear" w:color="auto" w:fill="D3D3D3"/>
          </w:tcPr>
          <w:p>
            <w:pPr/>
          </w:p>
        </w:tc>
        <w:tc>
          <w:tcPr>
            <w:tcW w:w="14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nil" w:sz="6" w:space="0" w:color="auto"/>
              <w:right w:val="single" w:sz="4" w:space="0" w:color="000000"/>
            </w:tcBorders>
            <w:shd w:val="clear" w:color="auto" w:fill="D3D3D3"/>
          </w:tcPr>
          <w:p>
            <w:pPr/>
          </w:p>
        </w:tc>
      </w:tr>
      <w:tr>
        <w:trPr>
          <w:trHeight w:val="216" w:hRule="exact"/>
        </w:trPr>
        <w:tc>
          <w:tcPr>
            <w:tcW w:w="1450" w:type="dxa"/>
            <w:vMerge/>
            <w:tcBorders>
              <w:left w:val="single" w:sz="4" w:space="0" w:color="000000"/>
              <w:bottom w:val="single" w:sz="4" w:space="0" w:color="000000"/>
              <w:right w:val="single" w:sz="4" w:space="0" w:color="000000"/>
            </w:tcBorders>
            <w:shd w:val="clear" w:color="auto" w:fill="D3D3D3"/>
          </w:tcPr>
          <w:p>
            <w:pPr/>
          </w:p>
        </w:tc>
        <w:tc>
          <w:tcPr>
            <w:tcW w:w="1599" w:type="dxa"/>
            <w:vMerge/>
            <w:tcBorders>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17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4"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93" w:hRule="exact"/>
        </w:trPr>
        <w:tc>
          <w:tcPr>
            <w:tcW w:w="9554" w:type="dxa"/>
            <w:gridSpan w:val="7"/>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7" w:hRule="exact"/>
        </w:trPr>
        <w:tc>
          <w:tcPr>
            <w:tcW w:w="1450"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9"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00"/>
              <w:ind w:left="400" w:right="0"/>
              <w:jc w:val="left"/>
              <w:rPr>
                <w:rFonts w:ascii="Times New Roman" w:hAnsi="Times New Roman" w:cs="Times New Roman" w:eastAsia="Times New Roman" w:hint="default"/>
                <w:sz w:val="18"/>
                <w:szCs w:val="18"/>
              </w:rPr>
            </w:pPr>
            <w:r>
              <w:rPr>
                <w:rFonts w:ascii="Times New Roman"/>
                <w:sz w:val="18"/>
              </w:rPr>
              <w:t>--</w:t>
            </w:r>
          </w:p>
        </w:tc>
        <w:tc>
          <w:tcPr>
            <w:tcW w:w="1739"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79,302,028.96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99.02%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3,965,101.45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23,293,974.88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1,164,698.75</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191,146.55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38,229.31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866,643.86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173,328.77</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217,641.93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108,820.97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130,431.64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65,215.82</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375,825.61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375,825.61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386,541.04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386,541.04</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80,086,643.05</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3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4,487,977.34</w:t>
            </w:r>
          </w:p>
        </w:tc>
        <w:tc>
          <w:tcPr>
            <w:tcW w:w="145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24,677,591.42</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1,789,784.38</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5"/>
        <w:ind w:left="152" w:right="5247"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组合中，采用其他方法计提坏账准备的应收账款</w:t>
      </w:r>
    </w:p>
    <w:p>
      <w:pPr>
        <w:spacing w:line="360" w:lineRule="auto" w:before="25"/>
        <w:ind w:left="152" w:right="5247"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期末单项金额虽不重大但单项计提坏账准备的应收账款</w:t>
      </w:r>
    </w:p>
    <w:p>
      <w:pPr>
        <w:spacing w:before="27"/>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2</w:t>
      </w:r>
      <w:r>
        <w:rPr/>
        <w:t>）本报告期转回或收回的应收账款情况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w:t>
            </w:r>
            <w:r>
              <w:rPr>
                <w:rFonts w:ascii="宋体" w:hAnsi="宋体" w:cs="宋体" w:eastAsia="宋体" w:hint="default"/>
                <w:w w:val="100"/>
                <w:sz w:val="18"/>
                <w:szCs w:val="18"/>
              </w:rPr>
              <w:t> </w:t>
            </w: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）本报告期实际核销的应收账款情况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00"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w:t>
            </w:r>
            <w:r>
              <w:rPr>
                <w:rFonts w:ascii="宋体" w:hAnsi="宋体" w:cs="宋体" w:eastAsia="宋体" w:hint="default"/>
                <w:w w:val="100"/>
                <w:sz w:val="18"/>
                <w:szCs w:val="18"/>
              </w:rPr>
              <w:t> </w:t>
            </w:r>
            <w:r>
              <w:rPr>
                <w:rFonts w:ascii="宋体" w:hAnsi="宋体" w:cs="宋体" w:eastAsia="宋体" w:hint="default"/>
                <w:sz w:val="18"/>
                <w:szCs w:val="18"/>
              </w:rPr>
              <w:t>生</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4</w:t>
      </w:r>
      <w:r>
        <w:rPr/>
        <w:t>）本报告期应收账款中持有公司</w:t>
      </w:r>
      <w:r>
        <w:rPr>
          <w:spacing w:val="-46"/>
        </w:rPr>
        <w:t> </w:t>
      </w:r>
      <w:r>
        <w:rPr>
          <w:rFonts w:ascii="Times New Roman" w:hAnsi="Times New Roman" w:cs="Times New Roman" w:eastAsia="Times New Roman" w:hint="default"/>
          <w:b/>
          <w:bCs/>
        </w:rPr>
        <w:t>5</w:t>
      </w:r>
      <w:r>
        <w:rPr/>
        <w:t>％（含</w:t>
      </w:r>
      <w:r>
        <w:rPr>
          <w:spacing w:val="-46"/>
        </w:rPr>
        <w:t> </w:t>
      </w:r>
      <w:r>
        <w:rPr>
          <w:rFonts w:ascii="Times New Roman" w:hAnsi="Times New Roman" w:cs="Times New Roman" w:eastAsia="Times New Roman" w:hint="default"/>
          <w:b/>
          <w:bCs/>
        </w:rPr>
        <w:t>5</w:t>
      </w:r>
      <w:r>
        <w:rPr/>
        <w:t>％）以上表决权股份的股东单位情况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59"/>
        <w:gridCol w:w="1728"/>
        <w:gridCol w:w="1594"/>
        <w:gridCol w:w="1860"/>
        <w:gridCol w:w="172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）应收账款中金额前五名单位情况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0"/>
        <w:gridCol w:w="1308"/>
        <w:gridCol w:w="1915"/>
        <w:gridCol w:w="1913"/>
        <w:gridCol w:w="1915"/>
      </w:tblGrid>
      <w:tr>
        <w:trPr>
          <w:trHeight w:val="715"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雄县米南镀铝厂</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18,080,508.52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浙江天裕包装新材料有限公司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11,870,000.06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青州天琦超兰新材料有限公司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上海中圆环保科技有限公司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7,496,694.60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Plastic Films Internacional</w:t>
            </w:r>
            <w:r>
              <w:rPr>
                <w:rFonts w:ascii="Times New Roman"/>
                <w:spacing w:val="-15"/>
                <w:sz w:val="18"/>
              </w:rPr>
              <w:t> </w:t>
            </w:r>
            <w:r>
              <w:rPr>
                <w:rFonts w:ascii="Times New Roman"/>
                <w:sz w:val="18"/>
              </w:rPr>
              <w:t>S.A.</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2,821,277.98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6</w:t>
      </w:r>
      <w:r>
        <w:rPr/>
        <w:t>）应收关联方账款情况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66"/>
        <w:gridCol w:w="2429"/>
        <w:gridCol w:w="2431"/>
        <w:gridCol w:w="2429"/>
      </w:tblGrid>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7</w:t>
      </w:r>
      <w:r>
        <w:rPr/>
        <w:t>）终止确认的应收款项情况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76"/>
        <w:gridCol w:w="2993"/>
        <w:gridCol w:w="3588"/>
      </w:tblGrid>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8</w:t>
      </w:r>
      <w:r>
        <w:rPr/>
        <w:t>）以应收款项为标的进行证券化的，列示继续涉入形成的资产、负债的金额</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8.95pt;height:41.2pt;mso-position-horizontal-relative:char;mso-position-vertical-relative:line" coordorigin="0,0" coordsize="9579,824">
            <v:group style="position:absolute;left:22;top:14;width:2;height:394" coordorigin="22,14" coordsize="2,394">
              <v:shape style="position:absolute;left:22;top:14;width:2;height:394" coordorigin="22,14" coordsize="0,394" path="m22,14l22,408e" filled="false" stroked="true" strokeweight="1.199996pt" strokecolor="#d3d3d3">
                <v:path arrowok="t"/>
              </v:shape>
            </v:group>
            <v:group style="position:absolute;left:3846;top:14;width:2;height:394" coordorigin="3846,14" coordsize="2,394">
              <v:shape style="position:absolute;left:3846;top:14;width:2;height:394" coordorigin="3846,14" coordsize="0,394" path="m3846,14l3846,408e" filled="false" stroked="true" strokeweight="1.08pt" strokecolor="#d3d3d3">
                <v:path arrowok="t"/>
              </v:shape>
            </v:group>
            <v:group style="position:absolute;left:34;top:14;width:3802;height:394" coordorigin="34,14" coordsize="3802,394">
              <v:shape style="position:absolute;left:34;top:14;width:3802;height:394" coordorigin="34,14" coordsize="3802,394" path="m34,408l3835,408,3835,14,34,14,34,408xe" filled="true" fillcolor="#d3d3d3" stroked="false">
                <v:path arrowok="t"/>
                <v:fill type="solid"/>
              </v:shape>
            </v:group>
            <v:group style="position:absolute;left:3877;top:14;width:2;height:394" coordorigin="3877,14" coordsize="2,394">
              <v:shape style="position:absolute;left:3877;top:14;width:2;height:394" coordorigin="3877,14" coordsize="0,394" path="m3877,14l3877,408e" filled="false" stroked="true" strokeweight="1.079985pt" strokecolor="#d3d3d3">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d3d3d3">
                <v:path arrowok="t"/>
              </v:shape>
            </v:group>
            <v:group style="position:absolute;left:3888;top:14;width:5657;height:394" coordorigin="3888,14" coordsize="5657,394">
              <v:shape style="position:absolute;left:3888;top:14;width:5657;height:394" coordorigin="3888,14" coordsize="5657,394" path="m3888,408l9545,408,9545,14,3888,14,3888,408xe" filled="true" fillcolor="#d3d3d3" stroked="false">
                <v:path arrowok="t"/>
                <v:fill type="solid"/>
              </v:shape>
            </v:group>
            <v:group style="position:absolute;left:10;top:10;width:3848;height:2" coordorigin="10,10" coordsize="3848,2">
              <v:shape style="position:absolute;left:10;top:10;width:3848;height:2" coordorigin="10,10" coordsize="3848,0" path="m10,10l3857,10e" filled="false" stroked="true" strokeweight=".48pt" strokecolor="#000000">
                <v:path arrowok="t"/>
              </v:shape>
            </v:group>
            <v:group style="position:absolute;left:3866;top:10;width:5703;height:2" coordorigin="3866,10" coordsize="5703,2">
              <v:shape style="position:absolute;left:3866;top:10;width:5703;height:2" coordorigin="3866,10" coordsize="5703,0" path="m3866,10l9569,10e" filled="false" stroked="true" strokeweight=".48pt" strokecolor="#000000">
                <v:path arrowok="t"/>
              </v:shape>
            </v:group>
            <v:group style="position:absolute;left:3862;top:5;width:2;height:413" coordorigin="3862,5" coordsize="2,413">
              <v:shape style="position:absolute;left:3862;top:5;width:2;height:413" coordorigin="3862,5" coordsize="0,413" path="m3862,5l3862,418e" filled="false" stroked="true" strokeweight=".48pt" strokecolor="#000000">
                <v:path arrowok="t"/>
              </v:shape>
            </v:group>
            <v:group style="position:absolute;left:22;top:418;width:2;height:392" coordorigin="22,418" coordsize="2,392">
              <v:shape style="position:absolute;left:22;top:418;width:2;height:392" coordorigin="22,418" coordsize="0,392" path="m22,418l22,809e" filled="false" stroked="true" strokeweight="1.199996pt" strokecolor="#d3d3d3">
                <v:path arrowok="t"/>
              </v:shape>
            </v:group>
            <v:group style="position:absolute;left:9558;top:418;width:2;height:392" coordorigin="9558,418" coordsize="2,392">
              <v:shape style="position:absolute;left:9558;top:418;width:2;height:392" coordorigin="9558,418" coordsize="0,392" path="m9558,418l9558,809e" filled="false" stroked="true" strokeweight="1.08pt" strokecolor="#d3d3d3">
                <v:path arrowok="t"/>
              </v:shape>
            </v:group>
            <v:group style="position:absolute;left:34;top:418;width:9514;height:392" coordorigin="34,418" coordsize="9514,392">
              <v:shape style="position:absolute;left:34;top:418;width:9514;height:392" coordorigin="34,418" coordsize="9514,392" path="m34,809l9547,809,9547,418,34,418,34,809xe" filled="true" fillcolor="#d3d3d3" stroked="false">
                <v:path arrowok="t"/>
                <v:fill type="solid"/>
              </v:shape>
            </v:group>
            <v:group style="position:absolute;left:10;top:413;width:3848;height:2" coordorigin="10,413" coordsize="3848,2">
              <v:shape style="position:absolute;left:10;top:413;width:3848;height:2" coordorigin="10,413" coordsize="3848,0" path="m10,413l3857,413e" filled="false" stroked="true" strokeweight=".48pt" strokecolor="#000000">
                <v:path arrowok="t"/>
              </v:shape>
            </v:group>
            <v:group style="position:absolute;left:3866;top:413;width:5703;height:2" coordorigin="3866,413" coordsize="5703,2">
              <v:shape style="position:absolute;left:3866;top:413;width:5703;height:2" coordorigin="3866,413" coordsize="5703,0" path="m3866,413l9569,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9560;height:2" coordorigin="10,814" coordsize="9560,2">
              <v:shape style="position:absolute;left:10;top:814;width:9560;height:2" coordorigin="10,814" coordsize="9560,0" path="m10,814l9569,814e" filled="false" stroked="true" strokeweight=".48pt" strokecolor="#000000">
                <v:path arrowok="t"/>
              </v:shape>
            </v:group>
            <v:group style="position:absolute;left:9574;top:5;width:2;height:814" coordorigin="9574,5" coordsize="2,814">
              <v:shape style="position:absolute;left:9574;top:5;width:2;height:814" coordorigin="9574,5" coordsize="0,814" path="m9574,5l9574,818e" filled="false" stroked="true" strokeweight=".48pt" strokecolor="#000000">
                <v:path arrowok="t"/>
              </v:shape>
              <v:shape style="position:absolute;left:1752;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46;top:119;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期末数</w:t>
                      </w:r>
                    </w:p>
                  </w:txbxContent>
                </v:textbox>
                <w10:wrap type="none"/>
              </v:shape>
              <v:shape style="position:absolute;left:34;top:522;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负债：</w:t>
                      </w:r>
                    </w:p>
                  </w:txbxContent>
                </v:textbox>
                <w10:wrap type="none"/>
              </v:shape>
            </v:group>
          </v:group>
        </w:pict>
      </w:r>
      <w:r>
        <w:rPr>
          <w:rFonts w:ascii="宋体" w:hAnsi="宋体" w:cs="宋体" w:eastAsia="宋体" w:hint="default"/>
          <w:position w:val="-15"/>
          <w:sz w:val="20"/>
          <w:szCs w:val="20"/>
        </w:rPr>
      </w:r>
    </w:p>
    <w:p>
      <w:pPr>
        <w:spacing w:after="0" w:line="823" w:lineRule="exact"/>
        <w:rPr>
          <w:rFonts w:ascii="宋体" w:hAnsi="宋体" w:cs="宋体" w:eastAsia="宋体" w:hint="default"/>
          <w:sz w:val="20"/>
          <w:szCs w:val="20"/>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7</w:t>
      </w:r>
      <w:r>
        <w:rPr/>
        <w:t>、其他应收款</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）其他应收款按种类披露</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03"/>
        <w:gridCol w:w="1056"/>
        <w:gridCol w:w="792"/>
        <w:gridCol w:w="1058"/>
        <w:gridCol w:w="794"/>
        <w:gridCol w:w="1058"/>
        <w:gridCol w:w="926"/>
        <w:gridCol w:w="1190"/>
        <w:gridCol w:w="790"/>
      </w:tblGrid>
      <w:tr>
        <w:trPr>
          <w:trHeight w:val="401" w:hRule="exact"/>
        </w:trPr>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3" w:type="dxa"/>
            <w:vMerge/>
            <w:tcBorders>
              <w:left w:val="single" w:sz="4" w:space="0" w:color="000000"/>
              <w:right w:val="single" w:sz="4" w:space="0" w:color="000000"/>
            </w:tcBorders>
            <w:shd w:val="clear" w:color="auto" w:fill="D3D3D3"/>
          </w:tcPr>
          <w:p>
            <w:pP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3" w:type="dxa"/>
            <w:vMerge/>
            <w:tcBorders>
              <w:left w:val="single" w:sz="4" w:space="0" w:color="000000"/>
              <w:bottom w:val="single" w:sz="4" w:space="0" w:color="000000"/>
              <w:right w:val="single" w:sz="4" w:space="0" w:color="000000"/>
            </w:tcBorders>
            <w:shd w:val="clear" w:color="auto" w:fill="D3D3D3"/>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）按款项性质的组合</w:t>
            </w:r>
          </w:p>
        </w:tc>
        <w:tc>
          <w:tcPr>
            <w:tcW w:w="105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）按款项账龄的组合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1,862,923.96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300,580.32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pacing w:val="-2"/>
                <w:sz w:val="18"/>
              </w:rPr>
              <w:t>1,109,111.01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236,108.83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1,862,923.96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300,580.32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pacing w:val="-2"/>
                <w:sz w:val="18"/>
              </w:rPr>
              <w:t>1,109,111.01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236,108.83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1,862,923.96</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300,580.32</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pacing w:val="-2"/>
                <w:sz w:val="18"/>
              </w:rPr>
              <w:t>1,109,111.01</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236,108.83</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28"/>
        <w:ind w:left="572" w:right="145" w:hanging="420"/>
        <w:jc w:val="left"/>
      </w:pPr>
      <w:r>
        <w:rPr/>
        <w:t>其他应收款种类的说明</w:t>
      </w:r>
      <w:r>
        <w:rPr>
          <w:w w:val="100"/>
        </w:rPr>
        <w:t> </w:t>
      </w:r>
      <w:r>
        <w:rPr/>
        <w:t>单项金额重大并单项计提坏账准备的其他应收款确定依据为其他应收款余额前五名中单项计提坏账</w:t>
      </w:r>
    </w:p>
    <w:p>
      <w:pPr>
        <w:pStyle w:val="BodyText"/>
        <w:spacing w:line="253" w:lineRule="exact"/>
        <w:ind w:right="145"/>
        <w:jc w:val="left"/>
      </w:pPr>
      <w:r>
        <w:rPr/>
        <w:t>准备的其他应收款；</w:t>
      </w:r>
    </w:p>
    <w:p>
      <w:pPr>
        <w:pStyle w:val="BodyText"/>
        <w:spacing w:line="273" w:lineRule="auto" w:before="37"/>
        <w:ind w:right="141" w:firstLine="420"/>
        <w:jc w:val="both"/>
      </w:pPr>
      <w:r>
        <w:rPr/>
        <w:t>按组合计提坏账准备的其他应收款确定依据为除单项金额重大并单项计提坏账准备和单项金额虽不</w:t>
      </w:r>
      <w:r>
        <w:rPr>
          <w:w w:val="100"/>
        </w:rPr>
        <w:t> </w:t>
      </w:r>
      <w:r>
        <w:rPr>
          <w:spacing w:val="-3"/>
        </w:rPr>
        <w:t>重大但单项计提坏账准备外的应收款项（含单项金额重大、单独进行减值测试未发生减值，包含在具有类</w:t>
      </w:r>
      <w:r>
        <w:rPr>
          <w:spacing w:val="3"/>
        </w:rPr>
        <w:t> </w:t>
      </w:r>
      <w:r>
        <w:rPr>
          <w:spacing w:val="3"/>
        </w:rPr>
      </w:r>
      <w:r>
        <w:rPr/>
        <w:t>似信用风险特征的应收款项组合中进行减值测试的其他应收款）；</w:t>
      </w:r>
    </w:p>
    <w:p>
      <w:pPr>
        <w:pStyle w:val="BodyText"/>
        <w:spacing w:line="273" w:lineRule="auto" w:before="7"/>
        <w:ind w:right="145" w:firstLine="420"/>
        <w:jc w:val="left"/>
      </w:pPr>
      <w:r>
        <w:rPr>
          <w:spacing w:val="-2"/>
        </w:rPr>
        <w:t>单项金额虽不重大但单项计提坏账准备的其他应收款确定依据为除单项金额重大并单项计提坏账准</w:t>
      </w:r>
      <w:r>
        <w:rPr>
          <w:w w:val="100"/>
        </w:rPr>
        <w:t> </w:t>
      </w:r>
      <w:r>
        <w:rPr/>
        <w:t>备外单项认定进行减值测试计提坏账准备的其他应收款；</w:t>
      </w:r>
      <w:r>
        <w:rPr>
          <w:w w:val="100"/>
        </w:rPr>
        <w:t> </w:t>
      </w:r>
      <w:r>
        <w:rPr/>
        <w:t>期末单项金额重大并单项计提坏账准备的其他应收款</w:t>
      </w:r>
    </w:p>
    <w:p>
      <w:pPr>
        <w:pStyle w:val="BodyText"/>
        <w:spacing w:line="273" w:lineRule="auto" w:before="7"/>
        <w:ind w:right="3248"/>
        <w:jc w:val="left"/>
      </w:pPr>
      <w:r>
        <w:rPr/>
        <w:t>□ 适用 √ 不适用</w:t>
      </w:r>
      <w:r>
        <w:rPr>
          <w:spacing w:val="-103"/>
        </w:rPr>
        <w:t> </w:t>
      </w:r>
      <w:r>
        <w:rPr>
          <w:spacing w:val="-103"/>
        </w:rPr>
      </w:r>
      <w:r>
        <w:rPr>
          <w:spacing w:val="-2"/>
        </w:rPr>
        <w:t>组合中，采用账龄分析法计提坏账准备的其他应收款</w:t>
      </w:r>
    </w:p>
    <w:p>
      <w:pPr>
        <w:pStyle w:val="BodyText"/>
        <w:spacing w:line="240" w:lineRule="auto" w:before="7"/>
        <w:ind w:right="145"/>
        <w:jc w:val="left"/>
      </w:pPr>
      <w:r>
        <w:rPr/>
        <w:t>√ 适用 □</w:t>
      </w:r>
      <w:r>
        <w:rPr>
          <w:spacing w:val="2"/>
        </w:rPr>
        <w:t> </w:t>
      </w:r>
      <w:r>
        <w:rPr/>
        <w:t>不适用</w:t>
      </w:r>
    </w:p>
    <w:p>
      <w:pPr>
        <w:spacing w:before="98"/>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831"/>
        <w:gridCol w:w="1852"/>
        <w:gridCol w:w="646"/>
        <w:gridCol w:w="1460"/>
        <w:gridCol w:w="1450"/>
        <w:gridCol w:w="646"/>
        <w:gridCol w:w="1673"/>
      </w:tblGrid>
      <w:tr>
        <w:trPr>
          <w:trHeight w:val="401" w:hRule="exact"/>
        </w:trPr>
        <w:tc>
          <w:tcPr>
            <w:tcW w:w="1831" w:type="dxa"/>
            <w:vMerge w:val="restart"/>
            <w:tcBorders>
              <w:top w:val="single" w:sz="4" w:space="0" w:color="000000"/>
              <w:left w:val="single" w:sz="4" w:space="0" w:color="000000"/>
              <w:right w:val="single" w:sz="4" w:space="0" w:color="000000"/>
            </w:tcBorders>
            <w:shd w:val="clear" w:color="auto" w:fill="D3D3D3"/>
          </w:tcPr>
          <w:p>
            <w:pPr/>
          </w:p>
        </w:tc>
        <w:tc>
          <w:tcPr>
            <w:tcW w:w="395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831" w:type="dxa"/>
            <w:vMerge/>
            <w:tcBorders>
              <w:left w:val="single" w:sz="4" w:space="0" w:color="000000"/>
              <w:bottom w:val="nil" w:sz="6" w:space="0" w:color="auto"/>
              <w:right w:val="single" w:sz="4" w:space="0" w:color="000000"/>
            </w:tcBorders>
            <w:shd w:val="clear" w:color="auto" w:fill="D3D3D3"/>
          </w:tcPr>
          <w:p>
            <w:pPr/>
          </w:p>
        </w:tc>
        <w:tc>
          <w:tcPr>
            <w:tcW w:w="24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vMerge w:val="restart"/>
            <w:tcBorders>
              <w:top w:val="single" w:sz="4" w:space="0" w:color="000000"/>
              <w:left w:val="single" w:sz="4" w:space="0" w:color="000000"/>
              <w:right w:val="single" w:sz="4" w:space="0" w:color="000000"/>
            </w:tcBorders>
            <w:shd w:val="clear" w:color="auto" w:fill="D3D3D3"/>
          </w:tcPr>
          <w:p>
            <w:pPr/>
          </w:p>
        </w:tc>
        <w:tc>
          <w:tcPr>
            <w:tcW w:w="209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3"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8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2498" w:type="dxa"/>
            <w:gridSpan w:val="2"/>
            <w:vMerge/>
            <w:tcBorders>
              <w:left w:val="single" w:sz="4" w:space="0" w:color="000000"/>
              <w:bottom w:val="single" w:sz="4" w:space="0" w:color="000000"/>
              <w:right w:val="single" w:sz="4" w:space="0" w:color="000000"/>
            </w:tcBorders>
            <w:shd w:val="clear" w:color="auto" w:fill="D3D3D3"/>
          </w:tcPr>
          <w:p>
            <w:pPr/>
          </w:p>
        </w:tc>
        <w:tc>
          <w:tcPr>
            <w:tcW w:w="1460" w:type="dxa"/>
            <w:vMerge/>
            <w:tcBorders>
              <w:left w:val="single" w:sz="4" w:space="0" w:color="000000"/>
              <w:bottom w:val="nil" w:sz="6" w:space="0" w:color="auto"/>
              <w:right w:val="single" w:sz="4" w:space="0" w:color="000000"/>
            </w:tcBorders>
            <w:shd w:val="clear" w:color="auto" w:fill="D3D3D3"/>
          </w:tcPr>
          <w:p>
            <w:pPr/>
          </w:p>
        </w:tc>
        <w:tc>
          <w:tcPr>
            <w:tcW w:w="2095" w:type="dxa"/>
            <w:gridSpan w:val="2"/>
            <w:vMerge/>
            <w:tcBorders>
              <w:left w:val="single" w:sz="4" w:space="0" w:color="000000"/>
              <w:bottom w:val="single" w:sz="4" w:space="0" w:color="000000"/>
              <w:right w:val="single" w:sz="4" w:space="0" w:color="000000"/>
            </w:tcBorders>
            <w:shd w:val="clear" w:color="auto" w:fill="D3D3D3"/>
          </w:tcPr>
          <w:p>
            <w:pPr/>
          </w:p>
        </w:tc>
        <w:tc>
          <w:tcPr>
            <w:tcW w:w="1673"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831" w:type="dxa"/>
            <w:vMerge/>
            <w:tcBorders>
              <w:left w:val="single" w:sz="4" w:space="0" w:color="000000"/>
              <w:bottom w:val="single" w:sz="7" w:space="0" w:color="FFFFFF"/>
              <w:right w:val="single" w:sz="4" w:space="0" w:color="000000"/>
            </w:tcBorders>
            <w:shd w:val="clear" w:color="auto" w:fill="D3D3D3"/>
          </w:tcPr>
          <w:p>
            <w:pPr/>
          </w:p>
        </w:tc>
        <w:tc>
          <w:tcPr>
            <w:tcW w:w="185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6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1" w:right="0"/>
              <w:jc w:val="left"/>
              <w:rPr>
                <w:rFonts w:ascii="Times New Roman" w:hAnsi="Times New Roman" w:cs="Times New Roman" w:eastAsia="Times New Roman" w:hint="default"/>
                <w:sz w:val="18"/>
                <w:szCs w:val="18"/>
              </w:rPr>
            </w:pPr>
            <w:r>
              <w:rPr>
                <w:rFonts w:ascii="Times New Roman"/>
                <w:sz w:val="18"/>
              </w:rPr>
              <w:t>(%)</w:t>
            </w:r>
          </w:p>
        </w:tc>
        <w:tc>
          <w:tcPr>
            <w:tcW w:w="14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6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9" w:hRule="exact"/>
        </w:trPr>
        <w:tc>
          <w:tcPr>
            <w:tcW w:w="1831" w:type="dxa"/>
            <w:vMerge w:val="restart"/>
            <w:tcBorders>
              <w:top w:val="single" w:sz="7" w:space="0" w:color="FFFFFF"/>
              <w:left w:val="single" w:sz="4" w:space="0" w:color="000000"/>
              <w:right w:val="single" w:sz="4" w:space="0" w:color="000000"/>
            </w:tcBorders>
            <w:shd w:val="clear" w:color="auto" w:fill="D3D3D3"/>
          </w:tcPr>
          <w:p>
            <w:pPr/>
          </w:p>
        </w:tc>
        <w:tc>
          <w:tcPr>
            <w:tcW w:w="185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3D3D3"/>
          </w:tcPr>
          <w:p>
            <w:pPr/>
          </w:p>
        </w:tc>
        <w:tc>
          <w:tcPr>
            <w:tcW w:w="1460" w:type="dxa"/>
            <w:vMerge/>
            <w:tcBorders>
              <w:left w:val="single" w:sz="4" w:space="0" w:color="000000"/>
              <w:bottom w:val="nil" w:sz="6" w:space="0" w:color="auto"/>
              <w:right w:val="single" w:sz="4" w:space="0" w:color="000000"/>
            </w:tcBorders>
            <w:shd w:val="clear" w:color="auto" w:fill="D3D3D3"/>
          </w:tcPr>
          <w:p>
            <w:pPr/>
          </w:p>
        </w:tc>
        <w:tc>
          <w:tcPr>
            <w:tcW w:w="14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3D3D3"/>
          </w:tcPr>
          <w:p>
            <w:pPr/>
          </w:p>
        </w:tc>
        <w:tc>
          <w:tcPr>
            <w:tcW w:w="1673"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831" w:type="dxa"/>
            <w:vMerge/>
            <w:tcBorders>
              <w:left w:val="single" w:sz="4" w:space="0" w:color="000000"/>
              <w:right w:val="single" w:sz="4" w:space="0" w:color="000000"/>
            </w:tcBorders>
            <w:shd w:val="clear" w:color="auto" w:fill="D3D3D3"/>
          </w:tcPr>
          <w:p>
            <w:pPr/>
          </w:p>
        </w:tc>
        <w:tc>
          <w:tcPr>
            <w:tcW w:w="1852" w:type="dxa"/>
            <w:vMerge/>
            <w:tcBorders>
              <w:left w:val="single" w:sz="4" w:space="0" w:color="000000"/>
              <w:bottom w:val="nil" w:sz="6" w:space="0" w:color="auto"/>
              <w:right w:val="single" w:sz="4" w:space="0" w:color="000000"/>
            </w:tcBorders>
            <w:shd w:val="clear" w:color="auto" w:fill="D3D3D3"/>
          </w:tcPr>
          <w:p>
            <w:pPr/>
          </w:p>
        </w:tc>
        <w:tc>
          <w:tcPr>
            <w:tcW w:w="646" w:type="dxa"/>
            <w:vMerge/>
            <w:tcBorders>
              <w:left w:val="single" w:sz="4" w:space="0" w:color="000000"/>
              <w:right w:val="single" w:sz="4" w:space="0" w:color="000000"/>
            </w:tcBorders>
            <w:shd w:val="clear" w:color="auto" w:fill="D3D3D3"/>
          </w:tcPr>
          <w:p>
            <w:pPr/>
          </w:p>
        </w:tc>
        <w:tc>
          <w:tcPr>
            <w:tcW w:w="1460" w:type="dxa"/>
            <w:vMerge w:val="restart"/>
            <w:tcBorders>
              <w:top w:val="nil" w:sz="6" w:space="0" w:color="auto"/>
              <w:left w:val="single" w:sz="4" w:space="0" w:color="000000"/>
              <w:right w:val="single" w:sz="4" w:space="0" w:color="000000"/>
            </w:tcBorders>
            <w:shd w:val="clear" w:color="auto" w:fill="D3D3D3"/>
          </w:tcPr>
          <w:p>
            <w:pPr/>
          </w:p>
        </w:tc>
        <w:tc>
          <w:tcPr>
            <w:tcW w:w="1450" w:type="dxa"/>
            <w:vMerge/>
            <w:tcBorders>
              <w:left w:val="single" w:sz="4" w:space="0" w:color="000000"/>
              <w:bottom w:val="nil" w:sz="6" w:space="0" w:color="auto"/>
              <w:right w:val="single" w:sz="4" w:space="0" w:color="000000"/>
            </w:tcBorders>
            <w:shd w:val="clear" w:color="auto" w:fill="D3D3D3"/>
          </w:tcPr>
          <w:p>
            <w:pPr/>
          </w:p>
        </w:tc>
        <w:tc>
          <w:tcPr>
            <w:tcW w:w="646" w:type="dxa"/>
            <w:vMerge/>
            <w:tcBorders>
              <w:left w:val="single" w:sz="4" w:space="0" w:color="000000"/>
              <w:right w:val="single" w:sz="4" w:space="0" w:color="000000"/>
            </w:tcBorders>
            <w:shd w:val="clear" w:color="auto" w:fill="D3D3D3"/>
          </w:tcPr>
          <w:p>
            <w:pPr/>
          </w:p>
        </w:tc>
        <w:tc>
          <w:tcPr>
            <w:tcW w:w="1673" w:type="dxa"/>
            <w:vMerge w:val="restart"/>
            <w:tcBorders>
              <w:top w:val="nil" w:sz="6" w:space="0" w:color="auto"/>
              <w:left w:val="single" w:sz="4" w:space="0" w:color="000000"/>
              <w:right w:val="single" w:sz="4" w:space="0" w:color="000000"/>
            </w:tcBorders>
            <w:shd w:val="clear" w:color="auto" w:fill="D3D3D3"/>
          </w:tcPr>
          <w:p>
            <w:pPr/>
          </w:p>
        </w:tc>
      </w:tr>
      <w:tr>
        <w:trPr>
          <w:trHeight w:val="165" w:hRule="exact"/>
        </w:trPr>
        <w:tc>
          <w:tcPr>
            <w:tcW w:w="1831" w:type="dxa"/>
            <w:vMerge/>
            <w:tcBorders>
              <w:left w:val="single" w:sz="4" w:space="0" w:color="000000"/>
              <w:bottom w:val="single" w:sz="4" w:space="0" w:color="000000"/>
              <w:right w:val="single" w:sz="4" w:space="0" w:color="000000"/>
            </w:tcBorders>
            <w:shd w:val="clear" w:color="auto" w:fill="D3D3D3"/>
          </w:tcPr>
          <w:p>
            <w:pPr/>
          </w:p>
        </w:tc>
        <w:tc>
          <w:tcPr>
            <w:tcW w:w="18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46" w:type="dxa"/>
            <w:vMerge/>
            <w:tcBorders>
              <w:left w:val="single" w:sz="4" w:space="0" w:color="000000"/>
              <w:bottom w:val="single" w:sz="4" w:space="0" w:color="000000"/>
              <w:right w:val="single" w:sz="4" w:space="0" w:color="000000"/>
            </w:tcBorders>
            <w:shd w:val="clear" w:color="auto" w:fill="D3D3D3"/>
          </w:tcPr>
          <w:p>
            <w:pPr/>
          </w:p>
        </w:tc>
        <w:tc>
          <w:tcPr>
            <w:tcW w:w="1460"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6" w:type="dxa"/>
            <w:vMerge/>
            <w:tcBorders>
              <w:left w:val="single" w:sz="4" w:space="0" w:color="000000"/>
              <w:bottom w:val="single" w:sz="4" w:space="0" w:color="000000"/>
              <w:right w:val="single" w:sz="4" w:space="0" w:color="000000"/>
            </w:tcBorders>
            <w:shd w:val="clear" w:color="auto" w:fill="D3D3D3"/>
          </w:tcPr>
          <w:p>
            <w:pPr/>
          </w:p>
        </w:tc>
        <w:tc>
          <w:tcPr>
            <w:tcW w:w="1673" w:type="dxa"/>
            <w:vMerge/>
            <w:tcBorders>
              <w:left w:val="single" w:sz="4" w:space="0" w:color="000000"/>
              <w:bottom w:val="single" w:sz="4" w:space="0" w:color="000000"/>
              <w:right w:val="single" w:sz="4" w:space="0" w:color="000000"/>
            </w:tcBorders>
            <w:shd w:val="clear" w:color="auto" w:fill="D3D3D3"/>
          </w:tcPr>
          <w:p>
            <w:pPr/>
          </w:p>
        </w:tc>
      </w:tr>
      <w:tr>
        <w:trPr>
          <w:trHeight w:val="392" w:hRule="exact"/>
        </w:trPr>
        <w:tc>
          <w:tcPr>
            <w:tcW w:w="9557" w:type="dxa"/>
            <w:gridSpan w:val="7"/>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7" w:hRule="exact"/>
        </w:trPr>
        <w:tc>
          <w:tcPr>
            <w:tcW w:w="1831"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2" w:type="dxa"/>
            <w:tcBorders>
              <w:top w:val="single" w:sz="1" w:space="0" w:color="FFFFFF"/>
              <w:left w:val="single" w:sz="4" w:space="0" w:color="000000"/>
              <w:bottom w:val="single" w:sz="4" w:space="0" w:color="000000"/>
              <w:right w:val="single" w:sz="4" w:space="0" w:color="000000"/>
            </w:tcBorders>
            <w:shd w:val="clear" w:color="auto" w:fill="D3D3D3"/>
          </w:tcPr>
          <w:p>
            <w:pPr/>
          </w:p>
        </w:tc>
        <w:tc>
          <w:tcPr>
            <w:tcW w:w="646" w:type="dxa"/>
            <w:tcBorders>
              <w:top w:val="single" w:sz="1" w:space="0" w:color="FFFFFF"/>
              <w:left w:val="single" w:sz="4" w:space="0" w:color="000000"/>
              <w:bottom w:val="single" w:sz="4" w:space="0" w:color="000000"/>
              <w:right w:val="single" w:sz="4" w:space="0" w:color="000000"/>
            </w:tcBorders>
            <w:shd w:val="clear" w:color="auto" w:fill="D3D3D3"/>
          </w:tcPr>
          <w:p>
            <w:pPr/>
          </w:p>
        </w:tc>
        <w:tc>
          <w:tcPr>
            <w:tcW w:w="1460" w:type="dxa"/>
            <w:tcBorders>
              <w:top w:val="single" w:sz="1" w:space="0" w:color="FFFFFF"/>
              <w:left w:val="single" w:sz="4" w:space="0" w:color="000000"/>
              <w:bottom w:val="single" w:sz="4" w:space="0" w:color="000000"/>
              <w:right w:val="single" w:sz="4" w:space="0" w:color="000000"/>
            </w:tcBorders>
            <w:shd w:val="clear" w:color="auto" w:fill="D3D3D3"/>
          </w:tcPr>
          <w:p>
            <w:pPr/>
          </w:p>
        </w:tc>
        <w:tc>
          <w:tcPr>
            <w:tcW w:w="1450" w:type="dxa"/>
            <w:tcBorders>
              <w:top w:val="single" w:sz="1" w:space="0" w:color="FFFFFF"/>
              <w:left w:val="single" w:sz="4" w:space="0" w:color="000000"/>
              <w:bottom w:val="single" w:sz="4" w:space="0" w:color="000000"/>
              <w:right w:val="single" w:sz="4" w:space="0" w:color="000000"/>
            </w:tcBorders>
            <w:shd w:val="clear" w:color="auto" w:fill="D3D3D3"/>
          </w:tcPr>
          <w:p>
            <w:pPr/>
          </w:p>
        </w:tc>
        <w:tc>
          <w:tcPr>
            <w:tcW w:w="646" w:type="dxa"/>
            <w:tcBorders>
              <w:top w:val="single" w:sz="1" w:space="0" w:color="FFFFFF"/>
              <w:left w:val="single" w:sz="4" w:space="0" w:color="000000"/>
              <w:bottom w:val="single" w:sz="4" w:space="0" w:color="000000"/>
              <w:right w:val="single" w:sz="4" w:space="0" w:color="000000"/>
            </w:tcBorders>
            <w:shd w:val="clear" w:color="auto" w:fill="D3D3D3"/>
          </w:tcPr>
          <w:p>
            <w:pPr/>
          </w:p>
        </w:tc>
        <w:tc>
          <w:tcPr>
            <w:tcW w:w="1673" w:type="dxa"/>
            <w:tcBorders>
              <w:top w:val="single" w:sz="1" w:space="0" w:color="FFFFFF"/>
              <w:left w:val="single" w:sz="4" w:space="0" w:color="000000"/>
              <w:bottom w:val="single" w:sz="4" w:space="0" w:color="000000"/>
              <w:right w:val="single" w:sz="4" w:space="0" w:color="000000"/>
            </w:tcBorders>
            <w:shd w:val="clear" w:color="auto" w:fill="D3D3D3"/>
          </w:tcPr>
          <w:p>
            <w:pPr/>
          </w:p>
        </w:tc>
      </w:tr>
      <w:tr>
        <w:trPr>
          <w:trHeight w:val="403" w:hRule="exact"/>
        </w:trPr>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1,373,434.65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73.72%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68,671.73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720,309.93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64.95%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36,015.50</w:t>
            </w:r>
          </w:p>
        </w:tc>
      </w:tr>
      <w:tr>
        <w:trPr>
          <w:trHeight w:val="401" w:hRule="exact"/>
        </w:trPr>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287,374.46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15.43%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57,474.89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145,624.90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13.13%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29,124.98</w:t>
            </w:r>
          </w:p>
        </w:tc>
      </w:tr>
      <w:tr>
        <w:trPr>
          <w:trHeight w:val="403" w:hRule="exact"/>
        </w:trPr>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55,362.30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27,681.15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144,415.66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13.02%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72,207.83</w:t>
            </w:r>
          </w:p>
        </w:tc>
      </w:tr>
      <w:tr>
        <w:trPr>
          <w:trHeight w:val="401" w:hRule="exact"/>
        </w:trPr>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146,752.55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7.88%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146,752.55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98,760.52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98,760.52</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before="117"/>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line="338" w:lineRule="auto" w:before="117"/>
        <w:ind w:left="152" w:right="52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不适用</w:t>
      </w:r>
      <w:r>
        <w:rPr>
          <w:rFonts w:ascii="宋体" w:hAnsi="宋体" w:cs="宋体" w:eastAsia="宋体" w:hint="default"/>
          <w:w w:val="100"/>
          <w:sz w:val="18"/>
          <w:szCs w:val="18"/>
        </w:rPr>
        <w:t> </w:t>
      </w:r>
      <w:r>
        <w:rPr>
          <w:rFonts w:ascii="宋体" w:hAnsi="宋体" w:cs="宋体" w:eastAsia="宋体" w:hint="default"/>
          <w:spacing w:val="-1"/>
          <w:sz w:val="18"/>
          <w:szCs w:val="18"/>
        </w:rPr>
        <w:t>期末单项金额虽不重大但单项计提坏账准备的其他应收款</w:t>
      </w:r>
    </w:p>
    <w:p>
      <w:pPr>
        <w:spacing w:before="4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BodyText"/>
        <w:spacing w:line="240" w:lineRule="auto"/>
        <w:ind w:right="145"/>
        <w:jc w:val="left"/>
      </w:pPr>
      <w:r>
        <w:rPr/>
        <w:t>（</w:t>
      </w:r>
      <w:r>
        <w:rPr>
          <w:rFonts w:ascii="Times New Roman" w:hAnsi="Times New Roman" w:cs="Times New Roman" w:eastAsia="Times New Roman" w:hint="default"/>
          <w:b/>
          <w:bCs/>
        </w:rPr>
        <w:t>2</w:t>
      </w:r>
      <w:r>
        <w:rPr/>
        <w:t>）本报告期转回或收回的其他应收款情况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91"/>
        <w:gridCol w:w="1711"/>
        <w:gridCol w:w="1865"/>
        <w:gridCol w:w="1918"/>
        <w:gridCol w:w="1884"/>
      </w:tblGrid>
      <w:tr>
        <w:trPr>
          <w:trHeight w:val="715" w:hRule="exact"/>
        </w:trPr>
        <w:tc>
          <w:tcPr>
            <w:tcW w:w="2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w:t>
            </w:r>
            <w:r>
              <w:rPr>
                <w:rFonts w:ascii="宋体" w:hAnsi="宋体" w:cs="宋体" w:eastAsia="宋体" w:hint="default"/>
                <w:w w:val="100"/>
                <w:sz w:val="18"/>
                <w:szCs w:val="18"/>
              </w:rPr>
              <w:t> </w:t>
            </w: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838"/>
        <w:gridCol w:w="1954"/>
        <w:gridCol w:w="1956"/>
        <w:gridCol w:w="1954"/>
        <w:gridCol w:w="1853"/>
      </w:tblGrid>
      <w:tr>
        <w:trPr>
          <w:trHeight w:val="402"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3</w:t>
      </w:r>
      <w:r>
        <w:rPr/>
        <w:t>）本报告期实际核销的其他应收款情况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584"/>
        <w:gridCol w:w="1596"/>
        <w:gridCol w:w="1591"/>
        <w:gridCol w:w="1464"/>
        <w:gridCol w:w="1517"/>
        <w:gridCol w:w="1802"/>
      </w:tblGrid>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4</w:t>
      </w:r>
      <w:r>
        <w:rPr/>
        <w:t>）本报告期其他应收款中持有公司</w:t>
      </w:r>
      <w:r>
        <w:rPr>
          <w:spacing w:val="-45"/>
        </w:rPr>
        <w:t> </w:t>
      </w:r>
      <w:r>
        <w:rPr>
          <w:rFonts w:ascii="Times New Roman" w:hAnsi="Times New Roman" w:cs="Times New Roman" w:eastAsia="Times New Roman" w:hint="default"/>
          <w:b/>
          <w:bCs/>
        </w:rPr>
        <w:t>5</w:t>
      </w:r>
      <w:r>
        <w:rPr/>
        <w:t>％（含</w:t>
      </w:r>
      <w:r>
        <w:rPr>
          <w:spacing w:val="-45"/>
        </w:rPr>
        <w:t> </w:t>
      </w:r>
      <w:r>
        <w:rPr>
          <w:rFonts w:ascii="Times New Roman" w:hAnsi="Times New Roman" w:cs="Times New Roman" w:eastAsia="Times New Roman" w:hint="default"/>
          <w:b/>
          <w:bCs/>
        </w:rPr>
        <w:t>5</w:t>
      </w:r>
      <w:r>
        <w:rPr/>
        <w:t>％）以上表决权股份的股东单位情况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791"/>
        <w:gridCol w:w="1728"/>
        <w:gridCol w:w="1594"/>
        <w:gridCol w:w="1860"/>
        <w:gridCol w:w="1594"/>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）金额较大的其他应收款的性质或内容</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81"/>
        <w:gridCol w:w="2390"/>
        <w:gridCol w:w="1915"/>
        <w:gridCol w:w="2870"/>
      </w:tblGrid>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6</w:t>
      </w:r>
      <w:r>
        <w:rPr/>
        <w:t>）其他应收款金额前五名单位情况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1,862,923.96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7</w:t>
      </w:r>
      <w:r>
        <w:rPr/>
        <w:t>）其他应收关联方账款情况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66"/>
        <w:gridCol w:w="2429"/>
        <w:gridCol w:w="2431"/>
        <w:gridCol w:w="2429"/>
      </w:tblGrid>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8</w:t>
      </w:r>
      <w:r>
        <w:rPr/>
        <w:t>）终止确认的其他应收款项情况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76"/>
        <w:gridCol w:w="2993"/>
        <w:gridCol w:w="3588"/>
      </w:tblGrid>
      <w:tr>
        <w:trPr>
          <w:trHeight w:val="396"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10"/>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9</w:t>
      </w:r>
      <w:r>
        <w:rPr/>
        <w:t>）以其他应收款为标的进行证券化的，列示继续涉入形成的资产、负债的金额</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8.95pt;height:41.2pt;mso-position-horizontal-relative:char;mso-position-vertical-relative:line" coordorigin="0,0" coordsize="9579,824">
            <v:group style="position:absolute;left:22;top:14;width:2;height:392" coordorigin="22,14" coordsize="2,392">
              <v:shape style="position:absolute;left:22;top:14;width:2;height:392" coordorigin="22,14" coordsize="0,392" path="m22,14l22,406e" filled="false" stroked="true" strokeweight="1.199996pt" strokecolor="#d3d3d3">
                <v:path arrowok="t"/>
              </v:shape>
            </v:group>
            <v:group style="position:absolute;left:3712;top:14;width:2;height:392" coordorigin="3712,14" coordsize="2,392">
              <v:shape style="position:absolute;left:3712;top:14;width:2;height:392" coordorigin="3712,14" coordsize="0,392" path="m3712,14l3712,406e" filled="false" stroked="true" strokeweight="1.08pt" strokecolor="#d3d3d3">
                <v:path arrowok="t"/>
              </v:shape>
            </v:group>
            <v:group style="position:absolute;left:34;top:14;width:3668;height:392" coordorigin="34,14" coordsize="3668,392">
              <v:shape style="position:absolute;left:34;top:14;width:3668;height:392" coordorigin="34,14" coordsize="3668,392" path="m34,406l3701,406,3701,14,34,14,34,406xe" filled="true" fillcolor="#d3d3d3"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319985pt" strokecolor="#d3d3d3">
                <v:path arrowok="t"/>
              </v:shape>
            </v:group>
            <v:group style="position:absolute;left:9558;top:14;width:2;height:392" coordorigin="9558,14" coordsize="2,392">
              <v:shape style="position:absolute;left:9558;top:14;width:2;height:392" coordorigin="9558,14" coordsize="0,392" path="m9558,14l9558,406e" filled="false" stroked="true" strokeweight="1.08pt" strokecolor="#d3d3d3">
                <v:path arrowok="t"/>
              </v:shape>
            </v:group>
            <v:group style="position:absolute;left:3758;top:14;width:5789;height:392" coordorigin="3758,14" coordsize="5789,392">
              <v:shape style="position:absolute;left:3758;top:14;width:5789;height:392" coordorigin="3758,14" coordsize="5789,392" path="m3758,406l9547,406,9547,14,3758,14,3758,406xe" filled="true" fillcolor="#d3d3d3" stroked="false">
                <v:path arrowok="t"/>
                <v:fill type="solid"/>
              </v:shape>
            </v:group>
            <v:group style="position:absolute;left:10;top:10;width:3713;height:2" coordorigin="10,10" coordsize="3713,2">
              <v:shape style="position:absolute;left:10;top:10;width:3713;height:2" coordorigin="10,10" coordsize="3713,0" path="m10,10l3722,10e" filled="false" stroked="true" strokeweight=".48pt" strokecolor="#000000">
                <v:path arrowok="t"/>
              </v:shape>
            </v:group>
            <v:group style="position:absolute;left:3732;top:10;width:5837;height:2" coordorigin="3732,10" coordsize="5837,2">
              <v:shape style="position:absolute;left:3732;top:10;width:5837;height:2" coordorigin="3732,10" coordsize="5837,0" path="m3732,10l9569,10e" filled="false" stroked="true" strokeweight=".48pt" strokecolor="#000000">
                <v:path arrowok="t"/>
              </v:shape>
            </v:group>
            <v:group style="position:absolute;left:3727;top:5;width:2;height:411" coordorigin="3727,5" coordsize="2,411">
              <v:shape style="position:absolute;left:3727;top:5;width:2;height:411" coordorigin="3727,5" coordsize="0,411" path="m3727,5l3727,415e" filled="false" stroked="true" strokeweight=".48pt" strokecolor="#000000">
                <v:path arrowok="t"/>
              </v:shape>
            </v:group>
            <v:group style="position:absolute;left:22;top:418;width:2;height:392" coordorigin="22,418" coordsize="2,392">
              <v:shape style="position:absolute;left:22;top:418;width:2;height:392" coordorigin="22,418" coordsize="0,392" path="m22,418l22,809e" filled="false" stroked="true" strokeweight="1.199996pt" strokecolor="#d3d3d3">
                <v:path arrowok="t"/>
              </v:shape>
            </v:group>
            <v:group style="position:absolute;left:9558;top:418;width:2;height:392" coordorigin="9558,418" coordsize="2,392">
              <v:shape style="position:absolute;left:9558;top:418;width:2;height:392" coordorigin="9558,418" coordsize="0,392" path="m9558,418l9558,809e" filled="false" stroked="true" strokeweight="1.08pt" strokecolor="#d3d3d3">
                <v:path arrowok="t"/>
              </v:shape>
            </v:group>
            <v:group style="position:absolute;left:34;top:415;width:9514;height:394" coordorigin="34,415" coordsize="9514,394">
              <v:shape style="position:absolute;left:34;top:415;width:9514;height:394" coordorigin="34,415" coordsize="9514,394" path="m34,809l9547,809,9547,415,34,415,34,809xe" filled="true" fillcolor="#d3d3d3" stroked="false">
                <v:path arrowok="t"/>
                <v:fill type="solid"/>
              </v:shape>
            </v:group>
            <v:group style="position:absolute;left:10;top:410;width:3713;height:2" coordorigin="10,410" coordsize="3713,2">
              <v:shape style="position:absolute;left:10;top:410;width:3713;height:2" coordorigin="10,410" coordsize="3713,0" path="m10,410l3722,410e" filled="false" stroked="true" strokeweight=".48pt" strokecolor="#000000">
                <v:path arrowok="t"/>
              </v:shape>
            </v:group>
            <v:group style="position:absolute;left:3732;top:410;width:5837;height:2" coordorigin="3732,410" coordsize="5837,2">
              <v:shape style="position:absolute;left:3732;top:410;width:5837;height:2" coordorigin="3732,410" coordsize="5837,0" path="m3732,410l9569,410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9560;height:2" coordorigin="10,814" coordsize="9560,2">
              <v:shape style="position:absolute;left:10;top:814;width:9560;height:2" coordorigin="10,814" coordsize="9560,0" path="m10,814l9569,814e" filled="false" stroked="true" strokeweight=".48pt" strokecolor="#000000">
                <v:path arrowok="t"/>
              </v:shape>
            </v:group>
            <v:group style="position:absolute;left:9574;top:5;width:2;height:814" coordorigin="9574,5" coordsize="2,814">
              <v:shape style="position:absolute;left:9574;top:5;width:2;height:814" coordorigin="9574,5" coordsize="0,814" path="m9574,5l9574,818e" filled="false" stroked="true" strokeweight=".48pt" strokecolor="#000000">
                <v:path arrowok="t"/>
              </v:shape>
              <v:shape style="position:absolute;left:1687;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19;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期末数</w:t>
                      </w:r>
                    </w:p>
                  </w:txbxContent>
                </v:textbox>
                <w10:wrap type="none"/>
              </v:shape>
              <v:shape style="position:absolute;left:34;top:520;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负债：</w:t>
                      </w:r>
                    </w:p>
                  </w:txbxContent>
                </v:textbox>
                <w10:wrap type="none"/>
              </v:shape>
            </v:group>
          </v:group>
        </w:pict>
      </w:r>
      <w:r>
        <w:rPr>
          <w:rFonts w:ascii="宋体" w:hAnsi="宋体" w:cs="宋体" w:eastAsia="宋体" w:hint="default"/>
          <w:position w:val="-15"/>
          <w:sz w:val="20"/>
          <w:szCs w:val="20"/>
        </w:rPr>
      </w:r>
    </w:p>
    <w:p>
      <w:pPr>
        <w:spacing w:line="240" w:lineRule="auto" w:before="11"/>
        <w:rPr>
          <w:rFonts w:ascii="宋体" w:hAnsi="宋体" w:cs="宋体" w:eastAsia="宋体" w:hint="default"/>
          <w:sz w:val="18"/>
          <w:szCs w:val="18"/>
        </w:rPr>
      </w:pPr>
    </w:p>
    <w:p>
      <w:pPr>
        <w:pStyle w:val="BodyText"/>
        <w:spacing w:line="240" w:lineRule="auto" w:before="36"/>
        <w:ind w:right="145"/>
        <w:jc w:val="left"/>
      </w:pPr>
      <w:r>
        <w:rPr>
          <w:rFonts w:ascii="Times New Roman" w:hAnsi="Times New Roman" w:cs="Times New Roman" w:eastAsia="Times New Roman" w:hint="default"/>
          <w:b/>
          <w:bCs/>
        </w:rPr>
        <w:t>8</w:t>
      </w:r>
      <w:r>
        <w:rPr/>
        <w:t>、预付款项</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）预付款项按账龄列示</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05"/>
        <w:gridCol w:w="3185"/>
        <w:gridCol w:w="1063"/>
        <w:gridCol w:w="3053"/>
        <w:gridCol w:w="1063"/>
      </w:tblGrid>
      <w:tr>
        <w:trPr>
          <w:trHeight w:val="202" w:hRule="exact"/>
        </w:trPr>
        <w:tc>
          <w:tcPr>
            <w:tcW w:w="1205" w:type="dxa"/>
            <w:tcBorders>
              <w:top w:val="single" w:sz="4" w:space="0" w:color="000000"/>
              <w:left w:val="single" w:sz="4" w:space="0" w:color="000000"/>
              <w:bottom w:val="nil" w:sz="6" w:space="0" w:color="auto"/>
              <w:right w:val="single" w:sz="4" w:space="0" w:color="000000"/>
            </w:tcBorders>
            <w:shd w:val="clear" w:color="auto" w:fill="D3D3D3"/>
          </w:tcPr>
          <w:p>
            <w:pPr/>
          </w:p>
        </w:tc>
        <w:tc>
          <w:tcPr>
            <w:tcW w:w="42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9" w:hRule="exact"/>
        </w:trPr>
        <w:tc>
          <w:tcPr>
            <w:tcW w:w="12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8"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2" w:hRule="exact"/>
        </w:trPr>
        <w:tc>
          <w:tcPr>
            <w:tcW w:w="1205" w:type="dxa"/>
            <w:vMerge/>
            <w:tcBorders>
              <w:left w:val="single" w:sz="4" w:space="0" w:color="000000"/>
              <w:bottom w:val="nil" w:sz="6" w:space="0" w:color="auto"/>
              <w:right w:val="single" w:sz="4" w:space="0" w:color="000000"/>
            </w:tcBorders>
            <w:shd w:val="clear" w:color="auto" w:fill="D3D3D3"/>
          </w:tcPr>
          <w:p>
            <w:pPr/>
          </w:p>
        </w:tc>
        <w:tc>
          <w:tcPr>
            <w:tcW w:w="31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205"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305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8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766,304,661.96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84.49%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534,066,706.17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140,693,930.37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15.51%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1,052,510.86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906,998,592.33</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2"/>
                <w:sz w:val="18"/>
              </w:rPr>
              <w:t>535,119,217.03</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2</w:t>
      </w:r>
      <w:r>
        <w:rPr/>
        <w:t>）预付款项金额前五名单位情况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240"/>
        <w:gridCol w:w="1176"/>
        <w:gridCol w:w="2160"/>
        <w:gridCol w:w="1176"/>
        <w:gridCol w:w="1788"/>
      </w:tblGrid>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江苏苏美达国际技术贸易有限公司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代理进口商</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541,300,410.30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恒力石化（大连）有限公司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68,516,448.00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71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pacing w:val="-1"/>
                <w:sz w:val="18"/>
                <w:szCs w:val="18"/>
              </w:rPr>
              <w:t>中国石油化工股份有限公司化工销售华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东分公司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66,800,170.71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逸盛大化石化有限公司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41,513,201.73</w:t>
            </w:r>
          </w:p>
        </w:tc>
        <w:tc>
          <w:tcPr>
            <w:tcW w:w="117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宿迁市通和建筑工程有限公司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工程供应商</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22,780,000.00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740,910,230.74</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3</w:t>
      </w:r>
      <w:r>
        <w:rPr/>
        <w:t>）本报告期预付款项中持有本公司</w:t>
      </w:r>
      <w:r>
        <w:rPr>
          <w:spacing w:val="-45"/>
        </w:rPr>
        <w:t> </w:t>
      </w:r>
      <w:r>
        <w:rPr>
          <w:rFonts w:ascii="Times New Roman" w:hAnsi="Times New Roman" w:cs="Times New Roman" w:eastAsia="Times New Roman" w:hint="default"/>
          <w:b/>
          <w:bCs/>
        </w:rPr>
        <w:t>5</w:t>
      </w:r>
      <w:r>
        <w:rPr/>
        <w:t>％（含</w:t>
      </w:r>
      <w:r>
        <w:rPr>
          <w:spacing w:val="-45"/>
        </w:rPr>
        <w:t> </w:t>
      </w:r>
      <w:r>
        <w:rPr>
          <w:rFonts w:ascii="Times New Roman" w:hAnsi="Times New Roman" w:cs="Times New Roman" w:eastAsia="Times New Roman" w:hint="default"/>
          <w:b/>
          <w:bCs/>
        </w:rPr>
        <w:t>5</w:t>
      </w:r>
      <w:r>
        <w:rPr/>
        <w:t>％）以上表决权股份的股东单位情况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791"/>
        <w:gridCol w:w="1728"/>
        <w:gridCol w:w="1594"/>
        <w:gridCol w:w="1728"/>
        <w:gridCol w:w="172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4</w:t>
      </w:r>
      <w:r>
        <w:rPr/>
        <w:t>）预付款项的说明</w:t>
      </w:r>
    </w:p>
    <w:p>
      <w:pPr>
        <w:spacing w:line="240" w:lineRule="auto" w:before="10"/>
        <w:rPr>
          <w:rFonts w:ascii="宋体" w:hAnsi="宋体" w:cs="宋体" w:eastAsia="宋体" w:hint="default"/>
          <w:sz w:val="24"/>
          <w:szCs w:val="24"/>
        </w:rPr>
      </w:pPr>
    </w:p>
    <w:p>
      <w:pPr>
        <w:pStyle w:val="BodyText"/>
        <w:spacing w:line="256" w:lineRule="auto"/>
        <w:ind w:right="145"/>
        <w:jc w:val="left"/>
      </w:pPr>
      <w:r>
        <w:rPr>
          <w:spacing w:val="-4"/>
        </w:rPr>
        <w:t>预付款项期末数比期初数增加</w:t>
      </w:r>
      <w:r>
        <w:rPr>
          <w:rFonts w:ascii="Times New Roman" w:hAnsi="Times New Roman" w:cs="Times New Roman" w:eastAsia="Times New Roman" w:hint="default"/>
          <w:spacing w:val="-4"/>
        </w:rPr>
        <w:t>371,879,375.30</w:t>
      </w:r>
      <w:r>
        <w:rPr>
          <w:spacing w:val="-4"/>
        </w:rPr>
        <w:t>元，增加比例为</w:t>
      </w:r>
      <w:r>
        <w:rPr>
          <w:rFonts w:ascii="Times New Roman" w:hAnsi="Times New Roman" w:cs="Times New Roman" w:eastAsia="Times New Roman" w:hint="default"/>
          <w:spacing w:val="-4"/>
        </w:rPr>
        <w:t>69.49%</w:t>
      </w:r>
      <w:r>
        <w:rPr>
          <w:spacing w:val="-4"/>
        </w:rPr>
        <w:t>，增加原因系公司募投项目支出尚未到</w:t>
      </w:r>
      <w:r>
        <w:rPr>
          <w:spacing w:val="12"/>
        </w:rPr>
        <w:t> </w:t>
      </w:r>
      <w:r>
        <w:rPr>
          <w:spacing w:val="12"/>
        </w:rPr>
      </w:r>
      <w:r>
        <w:rPr/>
        <w:t>结算期所致。</w:t>
      </w:r>
    </w:p>
    <w:p>
      <w:pPr>
        <w:spacing w:line="240" w:lineRule="auto" w:before="8"/>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sz w:val="21"/>
          <w:szCs w:val="21"/>
        </w:rPr>
        <w:t>、存货</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）存货分类</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576"/>
        <w:gridCol w:w="1472"/>
        <w:gridCol w:w="1193"/>
        <w:gridCol w:w="1330"/>
        <w:gridCol w:w="1327"/>
        <w:gridCol w:w="1330"/>
        <w:gridCol w:w="1327"/>
      </w:tblGrid>
      <w:tr>
        <w:trPr>
          <w:trHeight w:val="166" w:hRule="exact"/>
        </w:trPr>
        <w:tc>
          <w:tcPr>
            <w:tcW w:w="157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8" w:hRule="exact"/>
        </w:trPr>
        <w:tc>
          <w:tcPr>
            <w:tcW w:w="15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5" w:type="dxa"/>
            <w:gridSpan w:val="3"/>
            <w:vMerge/>
            <w:tcBorders>
              <w:left w:val="single" w:sz="4" w:space="0" w:color="000000"/>
              <w:bottom w:val="single" w:sz="4" w:space="0" w:color="000000"/>
              <w:right w:val="single" w:sz="4" w:space="0" w:color="000000"/>
            </w:tcBorders>
            <w:shd w:val="clear" w:color="auto" w:fill="D3D3D3"/>
          </w:tcPr>
          <w:p>
            <w:pPr/>
          </w:p>
        </w:tc>
        <w:tc>
          <w:tcPr>
            <w:tcW w:w="3984" w:type="dxa"/>
            <w:gridSpan w:val="3"/>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576" w:type="dxa"/>
            <w:vMerge/>
            <w:tcBorders>
              <w:left w:val="single" w:sz="4" w:space="0" w:color="000000"/>
              <w:bottom w:val="nil" w:sz="6" w:space="0" w:color="auto"/>
              <w:right w:val="single" w:sz="4" w:space="0" w:color="000000"/>
            </w:tcBorders>
            <w:shd w:val="clear" w:color="auto" w:fill="D3D3D3"/>
          </w:tcPr>
          <w:p>
            <w:pP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3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4" w:hRule="exact"/>
        </w:trPr>
        <w:tc>
          <w:tcPr>
            <w:tcW w:w="15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1193"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r>
      <w:tr>
        <w:trPr>
          <w:trHeight w:val="330" w:hRule="exact"/>
        </w:trPr>
        <w:tc>
          <w:tcPr>
            <w:tcW w:w="1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317,722,668.79</w:t>
            </w:r>
          </w:p>
        </w:tc>
        <w:tc>
          <w:tcPr>
            <w:tcW w:w="1193" w:type="dxa"/>
            <w:tcBorders>
              <w:top w:val="single" w:sz="5" w:space="0" w:color="000000"/>
              <w:left w:val="single" w:sz="4" w:space="0" w:color="000000"/>
              <w:bottom w:val="single" w:sz="4" w:space="0" w:color="000000"/>
              <w:right w:val="single" w:sz="4" w:space="0" w:color="000000"/>
            </w:tcBorders>
          </w:tcPr>
          <w:p>
            <w:pPr/>
          </w:p>
        </w:tc>
        <w:tc>
          <w:tcPr>
            <w:tcW w:w="133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317,722,668.79</w:t>
            </w:r>
          </w:p>
        </w:tc>
        <w:tc>
          <w:tcPr>
            <w:tcW w:w="132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163,800,456.90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163,800,456.90</w:t>
            </w:r>
          </w:p>
        </w:tc>
      </w:tr>
      <w:tr>
        <w:trPr>
          <w:trHeight w:val="331" w:hRule="exact"/>
        </w:trPr>
        <w:tc>
          <w:tcPr>
            <w:tcW w:w="1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175,050,749.14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175,050,749.14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172,352,828.46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172,352,828.46</w:t>
            </w:r>
          </w:p>
        </w:tc>
      </w:tr>
      <w:tr>
        <w:trPr>
          <w:trHeight w:val="329" w:hRule="exact"/>
        </w:trPr>
        <w:tc>
          <w:tcPr>
            <w:tcW w:w="1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1,550,803.84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1,550,803.84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1,829,899.46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1,829,899.46</w:t>
            </w:r>
          </w:p>
        </w:tc>
      </w:tr>
      <w:tr>
        <w:trPr>
          <w:trHeight w:val="331" w:hRule="exact"/>
        </w:trPr>
        <w:tc>
          <w:tcPr>
            <w:tcW w:w="1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494,324,221.77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494,324,221.77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337,983,184.82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337,983,184.82</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）存货跌价准备</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38"/>
        <w:gridCol w:w="1615"/>
        <w:gridCol w:w="1615"/>
        <w:gridCol w:w="1414"/>
        <w:gridCol w:w="1430"/>
        <w:gridCol w:w="1757"/>
      </w:tblGrid>
      <w:tr>
        <w:trPr>
          <w:trHeight w:val="330"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）存货跌价准备情况</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569"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199"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auto" w:before="20"/>
              <w:ind w:left="1104" w:right="107"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w:t>
            </w:r>
            <w:r>
              <w:rPr>
                <w:rFonts w:ascii="宋体" w:hAnsi="宋体" w:cs="宋体" w:eastAsia="宋体" w:hint="default"/>
                <w:w w:val="100"/>
                <w:sz w:val="18"/>
                <w:szCs w:val="18"/>
              </w:rPr>
              <w:t> </w:t>
            </w:r>
            <w:r>
              <w:rPr>
                <w:rFonts w:ascii="宋体" w:hAnsi="宋体" w:cs="宋体" w:eastAsia="宋体" w:hint="default"/>
                <w:sz w:val="18"/>
                <w:szCs w:val="18"/>
              </w:rPr>
              <w:t>因</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auto" w:before="20"/>
              <w:ind w:left="396" w:right="110"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w:t>
            </w:r>
            <w:r>
              <w:rPr>
                <w:rFonts w:ascii="宋体" w:hAnsi="宋体" w:cs="宋体" w:eastAsia="宋体" w:hint="default"/>
                <w:w w:val="100"/>
                <w:sz w:val="18"/>
                <w:szCs w:val="18"/>
              </w:rPr>
              <w:t> </w:t>
            </w:r>
            <w:r>
              <w:rPr>
                <w:rFonts w:ascii="宋体" w:hAnsi="宋体" w:cs="宋体" w:eastAsia="宋体" w:hint="default"/>
                <w:sz w:val="18"/>
                <w:szCs w:val="18"/>
              </w:rPr>
              <w:t>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sz w:val="21"/>
          <w:szCs w:val="21"/>
        </w:rPr>
        <w:t>、其他流动资产</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446"/>
        <w:gridCol w:w="2933"/>
        <w:gridCol w:w="3190"/>
      </w:tblGrid>
      <w:tr>
        <w:trPr>
          <w:trHeight w:val="331" w:hRule="exact"/>
        </w:trPr>
        <w:tc>
          <w:tcPr>
            <w:tcW w:w="3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531"/>
              <w:jc w:val="right"/>
              <w:rPr>
                <w:rFonts w:ascii="宋体" w:hAnsi="宋体" w:cs="宋体" w:eastAsia="宋体" w:hint="default"/>
                <w:sz w:val="18"/>
                <w:szCs w:val="18"/>
              </w:rPr>
            </w:pPr>
            <w:r>
              <w:rPr>
                <w:rFonts w:ascii="宋体" w:hAnsi="宋体" w:cs="宋体" w:eastAsia="宋体" w:hint="default"/>
                <w:spacing w:val="-1"/>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9" w:hRule="exact"/>
        </w:trPr>
        <w:tc>
          <w:tcPr>
            <w:tcW w:w="3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531"/>
              <w:jc w:val="right"/>
              <w:rPr>
                <w:rFonts w:ascii="宋体" w:hAnsi="宋体" w:cs="宋体" w:eastAsia="宋体" w:hint="default"/>
                <w:sz w:val="18"/>
                <w:szCs w:val="18"/>
              </w:rPr>
            </w:pPr>
            <w:r>
              <w:rPr>
                <w:rFonts w:ascii="宋体" w:hAnsi="宋体" w:cs="宋体" w:eastAsia="宋体" w:hint="default"/>
                <w:spacing w:val="-1"/>
                <w:sz w:val="18"/>
                <w:szCs w:val="18"/>
              </w:rPr>
              <w:t>合计</w:t>
            </w:r>
          </w:p>
        </w:tc>
        <w:tc>
          <w:tcPr>
            <w:tcW w:w="29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4490"/>
        <w:jc w:val="left"/>
      </w:pPr>
      <w:r>
        <w:rPr>
          <w:rFonts w:ascii="Times New Roman" w:hAnsi="Times New Roman" w:cs="Times New Roman" w:eastAsia="Times New Roman" w:hint="default"/>
          <w:b/>
          <w:bCs/>
        </w:rPr>
        <w:t>11</w:t>
      </w:r>
      <w:r>
        <w:rPr/>
        <w:t>、可供出售金融资产</w:t>
      </w:r>
    </w:p>
    <w:p>
      <w:pPr>
        <w:spacing w:line="240" w:lineRule="auto" w:before="10"/>
        <w:rPr>
          <w:rFonts w:ascii="宋体" w:hAnsi="宋体" w:cs="宋体" w:eastAsia="宋体" w:hint="default"/>
          <w:sz w:val="24"/>
          <w:szCs w:val="24"/>
        </w:rPr>
      </w:pPr>
    </w:p>
    <w:p>
      <w:pPr>
        <w:pStyle w:val="BodyText"/>
        <w:spacing w:line="240" w:lineRule="auto"/>
        <w:ind w:right="4490"/>
        <w:jc w:val="left"/>
      </w:pPr>
      <w:r>
        <w:rPr/>
        <w:t>（</w:t>
      </w:r>
      <w:r>
        <w:rPr>
          <w:rFonts w:ascii="Times New Roman" w:hAnsi="Times New Roman" w:cs="Times New Roman" w:eastAsia="Times New Roman" w:hint="default"/>
          <w:b/>
          <w:bCs/>
        </w:rPr>
        <w:t>1</w:t>
      </w:r>
      <w:r>
        <w:rPr/>
        <w:t>）可供出售金融资产情况</w:t>
      </w:r>
    </w:p>
    <w:p>
      <w:pPr>
        <w:spacing w:line="240" w:lineRule="auto" w:before="10"/>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379"/>
        <w:gridCol w:w="2533"/>
        <w:gridCol w:w="2657"/>
      </w:tblGrid>
      <w:tr>
        <w:trPr>
          <w:trHeight w:val="401" w:hRule="exact"/>
        </w:trPr>
        <w:tc>
          <w:tcPr>
            <w:tcW w:w="4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96" w:firstLine="0"/>
        <w:jc w:val="left"/>
        <w:rPr>
          <w:rFonts w:ascii="宋体" w:hAnsi="宋体" w:cs="宋体" w:eastAsia="宋体" w:hint="default"/>
          <w:sz w:val="18"/>
          <w:szCs w:val="18"/>
        </w:rPr>
      </w:pPr>
      <w:r>
        <w:rPr>
          <w:rFonts w:ascii="宋体" w:hAnsi="宋体" w:cs="宋体" w:eastAsia="宋体" w:hint="default"/>
          <w:spacing w:val="-5"/>
          <w:w w:val="100"/>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1"/>
          <w:w w:val="100"/>
          <w:sz w:val="18"/>
          <w:szCs w:val="18"/>
        </w:rPr>
        <w:t> </w:t>
      </w:r>
      <w:r>
        <w:rPr>
          <w:rFonts w:ascii="宋体" w:hAnsi="宋体" w:cs="宋体" w:eastAsia="宋体" w:hint="default"/>
          <w:spacing w:val="-41"/>
          <w:w w:val="100"/>
          <w:sz w:val="18"/>
          <w:szCs w:val="18"/>
        </w:rPr>
      </w:r>
      <w:r>
        <w:rPr>
          <w:rFonts w:ascii="宋体" w:hAnsi="宋体" w:cs="宋体" w:eastAsia="宋体" w:hint="default"/>
          <w:sz w:val="18"/>
          <w:szCs w:val="18"/>
        </w:rPr>
        <w:t>可供出售金融资产的说明</w:t>
      </w:r>
    </w:p>
    <w:p>
      <w:pPr>
        <w:spacing w:line="240" w:lineRule="auto" w:before="6"/>
        <w:rPr>
          <w:rFonts w:ascii="宋体" w:hAnsi="宋体" w:cs="宋体" w:eastAsia="宋体" w:hint="default"/>
          <w:sz w:val="20"/>
          <w:szCs w:val="20"/>
        </w:rPr>
      </w:pPr>
    </w:p>
    <w:p>
      <w:pPr>
        <w:pStyle w:val="BodyText"/>
        <w:spacing w:line="240" w:lineRule="auto"/>
        <w:ind w:right="4490"/>
        <w:jc w:val="left"/>
      </w:pPr>
      <w:r>
        <w:rPr/>
        <w:t>（</w:t>
      </w:r>
      <w:r>
        <w:rPr>
          <w:rFonts w:ascii="Times New Roman" w:hAnsi="Times New Roman" w:cs="Times New Roman" w:eastAsia="Times New Roman" w:hint="default"/>
          <w:b/>
          <w:bCs/>
        </w:rPr>
        <w:t>2</w:t>
      </w:r>
      <w:r>
        <w:rPr/>
        <w:t>）可供出售金融资产中的长期债权投资</w:t>
      </w:r>
    </w:p>
    <w:p>
      <w:pPr>
        <w:spacing w:line="240" w:lineRule="auto" w:before="4"/>
        <w:rPr>
          <w:rFonts w:ascii="宋体" w:hAnsi="宋体" w:cs="宋体" w:eastAsia="宋体" w:hint="default"/>
          <w:sz w:val="26"/>
          <w:szCs w:val="26"/>
        </w:rPr>
      </w:pPr>
    </w:p>
    <w:p>
      <w:pPr>
        <w:spacing w:before="0"/>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3"/>
        <w:gridCol w:w="1063"/>
        <w:gridCol w:w="1066"/>
        <w:gridCol w:w="1061"/>
        <w:gridCol w:w="1063"/>
        <w:gridCol w:w="1063"/>
        <w:gridCol w:w="1063"/>
        <w:gridCol w:w="1063"/>
        <w:gridCol w:w="1063"/>
      </w:tblGrid>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4" w:right="74" w:hanging="360"/>
              <w:jc w:val="left"/>
              <w:rPr>
                <w:rFonts w:ascii="宋体" w:hAnsi="宋体" w:cs="宋体" w:eastAsia="宋体" w:hint="default"/>
                <w:sz w:val="18"/>
                <w:szCs w:val="18"/>
              </w:rPr>
            </w:pPr>
            <w:r>
              <w:rPr>
                <w:rFonts w:ascii="宋体" w:hAnsi="宋体" w:cs="宋体" w:eastAsia="宋体" w:hint="default"/>
                <w:sz w:val="18"/>
                <w:szCs w:val="18"/>
              </w:rPr>
              <w:t>初始投资成</w:t>
            </w:r>
            <w:r>
              <w:rPr>
                <w:rFonts w:ascii="宋体" w:hAnsi="宋体" w:cs="宋体" w:eastAsia="宋体" w:hint="default"/>
                <w:w w:val="100"/>
                <w:sz w:val="18"/>
                <w:szCs w:val="18"/>
              </w:rPr>
              <w:t> </w:t>
            </w:r>
            <w:r>
              <w:rPr>
                <w:rFonts w:ascii="宋体" w:hAnsi="宋体" w:cs="宋体" w:eastAsia="宋体" w:hint="default"/>
                <w:sz w:val="18"/>
                <w:szCs w:val="18"/>
              </w:rPr>
              <w:t>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8" w:right="71" w:hanging="89"/>
              <w:jc w:val="left"/>
              <w:rPr>
                <w:rFonts w:ascii="宋体" w:hAnsi="宋体" w:cs="宋体" w:eastAsia="宋体" w:hint="default"/>
                <w:sz w:val="18"/>
                <w:szCs w:val="18"/>
              </w:rPr>
            </w:pPr>
            <w:r>
              <w:rPr>
                <w:rFonts w:ascii="宋体" w:hAnsi="宋体" w:cs="宋体" w:eastAsia="宋体" w:hint="default"/>
                <w:sz w:val="18"/>
                <w:szCs w:val="18"/>
              </w:rPr>
              <w:t>累计应收或</w:t>
            </w:r>
            <w:r>
              <w:rPr>
                <w:rFonts w:ascii="宋体" w:hAnsi="宋体" w:cs="宋体" w:eastAsia="宋体" w:hint="default"/>
                <w:w w:val="100"/>
                <w:sz w:val="18"/>
                <w:szCs w:val="18"/>
              </w:rPr>
              <w:t> </w:t>
            </w:r>
            <w:r>
              <w:rPr>
                <w:rFonts w:ascii="宋体" w:hAnsi="宋体" w:cs="宋体" w:eastAsia="宋体" w:hint="default"/>
                <w:sz w:val="18"/>
                <w:szCs w:val="18"/>
              </w:rPr>
              <w:t>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4490"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0"/>
        <w:rPr>
          <w:rFonts w:ascii="宋体" w:hAnsi="宋体" w:cs="宋体" w:eastAsia="宋体" w:hint="default"/>
          <w:sz w:val="18"/>
          <w:szCs w:val="18"/>
        </w:rPr>
      </w:pPr>
    </w:p>
    <w:p>
      <w:pPr>
        <w:pStyle w:val="BodyText"/>
        <w:spacing w:line="240" w:lineRule="auto" w:before="118"/>
        <w:ind w:right="4490"/>
        <w:jc w:val="left"/>
      </w:pPr>
      <w:r>
        <w:rPr>
          <w:rFonts w:ascii="Times New Roman" w:hAnsi="Times New Roman" w:cs="Times New Roman" w:eastAsia="Times New Roman" w:hint="default"/>
          <w:b/>
          <w:bCs/>
        </w:rPr>
        <w:t>12</w:t>
      </w:r>
      <w:r>
        <w:rPr/>
        <w:t>、持有至到期投资</w:t>
      </w:r>
    </w:p>
    <w:p>
      <w:pPr>
        <w:spacing w:line="240" w:lineRule="auto" w:before="10"/>
        <w:rPr>
          <w:rFonts w:ascii="宋体" w:hAnsi="宋体" w:cs="宋体" w:eastAsia="宋体" w:hint="default"/>
          <w:sz w:val="24"/>
          <w:szCs w:val="24"/>
        </w:rPr>
      </w:pPr>
    </w:p>
    <w:p>
      <w:pPr>
        <w:pStyle w:val="BodyText"/>
        <w:spacing w:line="240" w:lineRule="auto"/>
        <w:ind w:right="4490"/>
        <w:jc w:val="left"/>
      </w:pPr>
      <w:r>
        <w:rPr/>
        <w:t>（</w:t>
      </w:r>
      <w:r>
        <w:rPr>
          <w:rFonts w:ascii="Times New Roman" w:hAnsi="Times New Roman" w:cs="Times New Roman" w:eastAsia="Times New Roman" w:hint="default"/>
          <w:b/>
          <w:bCs/>
        </w:rPr>
        <w:t>1</w:t>
      </w:r>
      <w:r>
        <w:rPr/>
        <w:t>）持有至到期投资情况</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304"/>
        <w:gridCol w:w="3064"/>
        <w:gridCol w:w="3190"/>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4" w:space="0" w:color="000000"/>
              <w:left w:val="single" w:sz="12"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449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0"/>
        <w:rPr>
          <w:rFonts w:ascii="宋体" w:hAnsi="宋体" w:cs="宋体" w:eastAsia="宋体" w:hint="default"/>
          <w:sz w:val="18"/>
          <w:szCs w:val="18"/>
        </w:rPr>
      </w:pPr>
    </w:p>
    <w:p>
      <w:pPr>
        <w:pStyle w:val="BodyText"/>
        <w:spacing w:line="240" w:lineRule="auto" w:before="118"/>
        <w:ind w:right="4490"/>
        <w:jc w:val="left"/>
      </w:pPr>
      <w:r>
        <w:rPr/>
        <w:t>（</w:t>
      </w:r>
      <w:r>
        <w:rPr>
          <w:rFonts w:ascii="Times New Roman" w:hAnsi="Times New Roman" w:cs="Times New Roman" w:eastAsia="Times New Roman" w:hint="default"/>
          <w:b/>
          <w:bCs/>
        </w:rPr>
        <w:t>2</w:t>
      </w:r>
      <w:r>
        <w:rPr/>
        <w:t>）本报告期内出售但尚未到期的持有至到期投资情况</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784"/>
        <w:gridCol w:w="2791"/>
        <w:gridCol w:w="3982"/>
      </w:tblGrid>
      <w:tr>
        <w:trPr>
          <w:trHeight w:val="401" w:hRule="exact"/>
        </w:trPr>
        <w:tc>
          <w:tcPr>
            <w:tcW w:w="2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449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spacing w:before="120"/>
        <w:ind w:left="152" w:right="4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sz w:val="21"/>
          <w:szCs w:val="21"/>
        </w:rPr>
        <w:t>、长期应收款</w:t>
      </w:r>
    </w:p>
    <w:p>
      <w:pPr>
        <w:spacing w:line="240" w:lineRule="auto" w:before="10"/>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780"/>
        <w:gridCol w:w="3335"/>
        <w:gridCol w:w="3454"/>
      </w:tblGrid>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5" w:space="0" w:color="000000"/>
              <w:left w:val="single" w:sz="12" w:space="0" w:color="D3D3D3"/>
              <w:bottom w:val="single" w:sz="4" w:space="0" w:color="000000"/>
              <w:right w:val="single" w:sz="4" w:space="0" w:color="000000"/>
            </w:tcBorders>
          </w:tcPr>
          <w:p>
            <w:pPr/>
          </w:p>
        </w:tc>
        <w:tc>
          <w:tcPr>
            <w:tcW w:w="345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BodyText"/>
        <w:spacing w:line="240" w:lineRule="auto" w:before="36"/>
        <w:ind w:right="4490"/>
        <w:jc w:val="left"/>
      </w:pPr>
      <w:r>
        <w:rPr>
          <w:rFonts w:ascii="Times New Roman" w:hAnsi="Times New Roman" w:cs="Times New Roman" w:eastAsia="Times New Roman" w:hint="default"/>
          <w:b/>
          <w:bCs/>
        </w:rPr>
        <w:t>14</w:t>
      </w:r>
      <w:r>
        <w:rPr/>
        <w:t>、对合营企业投资和联营企业投资</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25"/>
          <w:pgSz w:w="11900" w:h="16840"/>
          <w:pgMar w:footer="982" w:header="746" w:top="1060" w:bottom="1180" w:left="980" w:right="920"/>
          <w:pgNumType w:start="90"/>
        </w:sectPr>
      </w:pPr>
    </w:p>
    <w:p>
      <w:pPr>
        <w:spacing w:line="240" w:lineRule="auto" w:before="6"/>
        <w:rPr>
          <w:rFonts w:ascii="宋体" w:hAnsi="宋体" w:cs="宋体" w:eastAsia="宋体" w:hint="default"/>
          <w:sz w:val="28"/>
          <w:szCs w:val="28"/>
        </w:rPr>
      </w:pPr>
    </w:p>
    <w:tbl>
      <w:tblPr>
        <w:tblW w:w="0" w:type="auto"/>
        <w:jc w:val="left"/>
        <w:tblInd w:w="647" w:type="dxa"/>
        <w:tblLayout w:type="fixed"/>
        <w:tblCellMar>
          <w:top w:w="0" w:type="dxa"/>
          <w:left w:w="0" w:type="dxa"/>
          <w:bottom w:w="0" w:type="dxa"/>
          <w:right w:w="0" w:type="dxa"/>
        </w:tblCellMar>
        <w:tblLook w:val="01E0"/>
      </w:tblPr>
      <w:tblGrid>
        <w:gridCol w:w="1198"/>
        <w:gridCol w:w="1195"/>
        <w:gridCol w:w="1195"/>
        <w:gridCol w:w="1195"/>
        <w:gridCol w:w="1198"/>
        <w:gridCol w:w="1193"/>
        <w:gridCol w:w="1198"/>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2" w:hanging="452"/>
              <w:jc w:val="left"/>
              <w:rPr>
                <w:rFonts w:ascii="宋体" w:hAnsi="宋体" w:cs="宋体" w:eastAsia="宋体" w:hint="default"/>
                <w:sz w:val="18"/>
                <w:szCs w:val="18"/>
              </w:rPr>
            </w:pPr>
            <w:r>
              <w:rPr>
                <w:rFonts w:ascii="宋体" w:hAnsi="宋体" w:cs="宋体" w:eastAsia="宋体" w:hint="default"/>
                <w:sz w:val="18"/>
                <w:szCs w:val="18"/>
              </w:rPr>
              <w:t>被投资单位名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7" w:right="52"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 w:right="5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w:t>
            </w:r>
            <w:r>
              <w:rPr>
                <w:rFonts w:ascii="宋体" w:hAnsi="宋体" w:cs="宋体" w:eastAsia="宋体" w:hint="default"/>
                <w:w w:val="100"/>
                <w:sz w:val="18"/>
                <w:szCs w:val="18"/>
              </w:rPr>
              <w:t> </w:t>
            </w:r>
            <w:r>
              <w:rPr>
                <w:rFonts w:ascii="宋体" w:hAnsi="宋体" w:cs="宋体" w:eastAsia="宋体" w:hint="default"/>
                <w:sz w:val="18"/>
                <w:szCs w:val="18"/>
              </w:rPr>
              <w:t>资单位表决权</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7" w:hanging="449"/>
              <w:jc w:val="left"/>
              <w:rPr>
                <w:rFonts w:ascii="宋体" w:hAnsi="宋体" w:cs="宋体" w:eastAsia="宋体" w:hint="default"/>
                <w:sz w:val="18"/>
                <w:szCs w:val="18"/>
              </w:rPr>
            </w:pPr>
            <w:r>
              <w:rPr>
                <w:rFonts w:ascii="宋体" w:hAnsi="宋体" w:cs="宋体" w:eastAsia="宋体" w:hint="default"/>
                <w:sz w:val="18"/>
                <w:szCs w:val="18"/>
              </w:rPr>
              <w:t>期末净资产总</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5" w:right="50" w:hanging="360"/>
              <w:jc w:val="left"/>
              <w:rPr>
                <w:rFonts w:ascii="宋体" w:hAnsi="宋体" w:cs="宋体" w:eastAsia="宋体" w:hint="default"/>
                <w:sz w:val="18"/>
                <w:szCs w:val="18"/>
              </w:rPr>
            </w:pPr>
            <w:r>
              <w:rPr>
                <w:rFonts w:ascii="宋体" w:hAnsi="宋体" w:cs="宋体" w:eastAsia="宋体" w:hint="default"/>
                <w:sz w:val="18"/>
                <w:szCs w:val="18"/>
              </w:rPr>
              <w:t>本期营业收入</w:t>
            </w:r>
            <w:r>
              <w:rPr>
                <w:rFonts w:ascii="宋体" w:hAnsi="宋体" w:cs="宋体" w:eastAsia="宋体" w:hint="default"/>
                <w:w w:val="100"/>
                <w:sz w:val="18"/>
                <w:szCs w:val="18"/>
              </w:rPr>
              <w:t> </w:t>
            </w:r>
            <w:r>
              <w:rPr>
                <w:rFonts w:ascii="宋体" w:hAnsi="宋体" w:cs="宋体" w:eastAsia="宋体" w:hint="default"/>
                <w:sz w:val="18"/>
                <w:szCs w:val="18"/>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6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0"/>
        <w:ind w:left="652"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spacing w:before="118"/>
        <w:ind w:left="6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sz w:val="21"/>
          <w:szCs w:val="21"/>
        </w:rPr>
        <w:t>、长期股权投资</w:t>
      </w:r>
    </w:p>
    <w:p>
      <w:pPr>
        <w:spacing w:line="240" w:lineRule="auto" w:before="10"/>
        <w:rPr>
          <w:rFonts w:ascii="宋体" w:hAnsi="宋体" w:cs="宋体" w:eastAsia="宋体" w:hint="default"/>
          <w:sz w:val="24"/>
          <w:szCs w:val="24"/>
        </w:rPr>
      </w:pPr>
    </w:p>
    <w:p>
      <w:pPr>
        <w:pStyle w:val="BodyText"/>
        <w:spacing w:line="240" w:lineRule="auto"/>
        <w:ind w:left="652" w:right="0"/>
        <w:jc w:val="left"/>
      </w:pPr>
      <w:r>
        <w:rPr/>
        <w:t>（</w:t>
      </w:r>
      <w:r>
        <w:rPr>
          <w:rFonts w:ascii="Times New Roman" w:hAnsi="Times New Roman" w:cs="Times New Roman" w:eastAsia="Times New Roman" w:hint="default"/>
          <w:b/>
          <w:bCs/>
        </w:rPr>
        <w:t>1</w:t>
      </w:r>
      <w:r>
        <w:rPr/>
        <w:t>）长期股权投资明细情况</w:t>
      </w:r>
    </w:p>
    <w:p>
      <w:pPr>
        <w:spacing w:line="240" w:lineRule="auto" w:before="10"/>
        <w:rPr>
          <w:rFonts w:ascii="宋体" w:hAnsi="宋体" w:cs="宋体" w:eastAsia="宋体" w:hint="default"/>
          <w:sz w:val="22"/>
          <w:szCs w:val="22"/>
        </w:rPr>
      </w:pPr>
    </w:p>
    <w:p>
      <w:pPr>
        <w:spacing w:before="44"/>
        <w:ind w:left="0" w:right="7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080"/>
        <w:gridCol w:w="900"/>
        <w:gridCol w:w="1080"/>
        <w:gridCol w:w="1080"/>
        <w:gridCol w:w="463"/>
        <w:gridCol w:w="1054"/>
        <w:gridCol w:w="720"/>
        <w:gridCol w:w="1003"/>
        <w:gridCol w:w="1157"/>
        <w:gridCol w:w="643"/>
        <w:gridCol w:w="720"/>
        <w:gridCol w:w="900"/>
      </w:tblGrid>
      <w:tr>
        <w:trPr>
          <w:trHeight w:val="1339"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 w:right="45"/>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w w:val="100"/>
                <w:sz w:val="18"/>
                <w:szCs w:val="18"/>
              </w:rPr>
              <w:t> </w:t>
            </w:r>
            <w:r>
              <w:rPr>
                <w:rFonts w:ascii="宋体" w:hAnsi="宋体" w:cs="宋体" w:eastAsia="宋体" w:hint="default"/>
                <w:sz w:val="18"/>
                <w:szCs w:val="18"/>
              </w:rPr>
              <w:t>变动</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w:t>
            </w:r>
            <w:r>
              <w:rPr>
                <w:rFonts w:ascii="宋体" w:hAnsi="宋体" w:cs="宋体" w:eastAsia="宋体" w:hint="default"/>
                <w:w w:val="100"/>
                <w:sz w:val="18"/>
                <w:szCs w:val="18"/>
              </w:rPr>
              <w:t> </w:t>
            </w:r>
            <w:r>
              <w:rPr>
                <w:rFonts w:ascii="宋体" w:hAnsi="宋体" w:cs="宋体" w:eastAsia="宋体" w:hint="default"/>
                <w:sz w:val="18"/>
                <w:szCs w:val="18"/>
              </w:rPr>
              <w:t>资单位</w:t>
            </w:r>
            <w:r>
              <w:rPr>
                <w:rFonts w:ascii="宋体" w:hAnsi="宋体" w:cs="宋体" w:eastAsia="宋体" w:hint="default"/>
                <w:w w:val="100"/>
                <w:sz w:val="18"/>
                <w:szCs w:val="18"/>
              </w:rPr>
              <w:t> </w:t>
            </w: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w:t>
            </w:r>
            <w:r>
              <w:rPr>
                <w:rFonts w:ascii="宋体" w:hAnsi="宋体" w:cs="宋体" w:eastAsia="宋体" w:hint="default"/>
                <w:w w:val="100"/>
                <w:sz w:val="18"/>
                <w:szCs w:val="18"/>
              </w:rPr>
              <w:t> </w:t>
            </w:r>
            <w:r>
              <w:rPr>
                <w:rFonts w:ascii="宋体" w:hAnsi="宋体" w:cs="宋体" w:eastAsia="宋体" w:hint="default"/>
                <w:sz w:val="18"/>
                <w:szCs w:val="18"/>
              </w:rPr>
              <w:t>位表决权比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在被投资单位</w:t>
            </w:r>
            <w:r>
              <w:rPr>
                <w:rFonts w:ascii="宋体" w:hAnsi="宋体" w:cs="宋体" w:eastAsia="宋体" w:hint="default"/>
                <w:w w:val="100"/>
                <w:sz w:val="18"/>
                <w:szCs w:val="18"/>
              </w:rPr>
              <w:t> </w:t>
            </w:r>
            <w:r>
              <w:rPr>
                <w:rFonts w:ascii="宋体" w:hAnsi="宋体" w:cs="宋体" w:eastAsia="宋体" w:hint="default"/>
                <w:sz w:val="18"/>
                <w:szCs w:val="18"/>
              </w:rPr>
              <w:t>持股比例与表</w:t>
            </w:r>
            <w:r>
              <w:rPr>
                <w:rFonts w:ascii="宋体" w:hAnsi="宋体" w:cs="宋体" w:eastAsia="宋体" w:hint="default"/>
                <w:w w:val="100"/>
                <w:sz w:val="18"/>
                <w:szCs w:val="18"/>
              </w:rPr>
              <w:t> </w:t>
            </w:r>
            <w:r>
              <w:rPr>
                <w:rFonts w:ascii="宋体" w:hAnsi="宋体" w:cs="宋体" w:eastAsia="宋体" w:hint="default"/>
                <w:sz w:val="18"/>
                <w:szCs w:val="18"/>
              </w:rPr>
              <w:t>决权比例不一</w:t>
            </w:r>
            <w:r>
              <w:rPr>
                <w:rFonts w:ascii="宋体" w:hAnsi="宋体" w:cs="宋体" w:eastAsia="宋体" w:hint="default"/>
                <w:w w:val="100"/>
                <w:sz w:val="18"/>
                <w:szCs w:val="18"/>
              </w:rPr>
              <w:t> </w:t>
            </w:r>
            <w:r>
              <w:rPr>
                <w:rFonts w:ascii="宋体" w:hAnsi="宋体" w:cs="宋体" w:eastAsia="宋体" w:hint="default"/>
                <w:sz w:val="18"/>
                <w:szCs w:val="18"/>
              </w:rPr>
              <w:t>致的说明</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5" w:hanging="180"/>
              <w:jc w:val="left"/>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w w:val="100"/>
                <w:sz w:val="18"/>
                <w:szCs w:val="18"/>
              </w:rPr>
              <w:t> </w:t>
            </w:r>
            <w:r>
              <w:rPr>
                <w:rFonts w:ascii="宋体" w:hAnsi="宋体" w:cs="宋体" w:eastAsia="宋体" w:hint="default"/>
                <w:sz w:val="18"/>
                <w:szCs w:val="18"/>
              </w:rPr>
              <w:t>备</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sz w:val="18"/>
                <w:szCs w:val="18"/>
              </w:rPr>
              <w:t>本期计</w:t>
            </w:r>
            <w:r>
              <w:rPr>
                <w:rFonts w:ascii="宋体" w:hAnsi="宋体" w:cs="宋体" w:eastAsia="宋体" w:hint="default"/>
                <w:w w:val="100"/>
                <w:sz w:val="18"/>
                <w:szCs w:val="18"/>
              </w:rPr>
              <w:t> </w:t>
            </w:r>
            <w:r>
              <w:rPr>
                <w:rFonts w:ascii="宋体" w:hAnsi="宋体" w:cs="宋体" w:eastAsia="宋体" w:hint="default"/>
                <w:sz w:val="18"/>
                <w:szCs w:val="18"/>
              </w:rPr>
              <w:t>提减值</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6" w:right="81" w:hanging="180"/>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w w:val="100"/>
                <w:sz w:val="18"/>
                <w:szCs w:val="18"/>
              </w:rPr>
              <w:t> </w:t>
            </w:r>
            <w:r>
              <w:rPr>
                <w:rFonts w:ascii="宋体" w:hAnsi="宋体" w:cs="宋体" w:eastAsia="宋体" w:hint="default"/>
                <w:sz w:val="18"/>
                <w:szCs w:val="18"/>
              </w:rPr>
              <w:t>红利</w:t>
            </w:r>
          </w:p>
        </w:tc>
      </w:tr>
      <w:tr>
        <w:trPr>
          <w:trHeight w:val="354"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江苏宿迁民</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463"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003" w:type="dxa"/>
            <w:tcBorders>
              <w:top w:val="single" w:sz="4" w:space="0" w:color="000000"/>
              <w:left w:val="single" w:sz="4" w:space="0" w:color="000000"/>
              <w:bottom w:val="nil" w:sz="6" w:space="0" w:color="auto"/>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丰农村合作</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8" w:right="0"/>
              <w:jc w:val="center"/>
              <w:rPr>
                <w:rFonts w:ascii="Times New Roman" w:hAnsi="Times New Roman" w:cs="Times New Roman" w:eastAsia="Times New Roman" w:hint="default"/>
                <w:sz w:val="18"/>
                <w:szCs w:val="18"/>
              </w:rPr>
            </w:pPr>
            <w:r>
              <w:rPr>
                <w:rFonts w:ascii="Times New Roman"/>
                <w:sz w:val="18"/>
              </w:rPr>
              <w:t>5,194,200.00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8" w:right="0"/>
              <w:jc w:val="center"/>
              <w:rPr>
                <w:rFonts w:ascii="Times New Roman" w:hAnsi="Times New Roman" w:cs="Times New Roman" w:eastAsia="Times New Roman" w:hint="default"/>
                <w:sz w:val="18"/>
                <w:szCs w:val="18"/>
              </w:rPr>
            </w:pPr>
            <w:r>
              <w:rPr>
                <w:rFonts w:ascii="Times New Roman"/>
                <w:sz w:val="18"/>
              </w:rPr>
              <w:t>5,194,200.00</w:t>
            </w:r>
          </w:p>
        </w:tc>
        <w:tc>
          <w:tcPr>
            <w:tcW w:w="463" w:type="dxa"/>
            <w:vMerge/>
            <w:tcBorders>
              <w:left w:val="single" w:sz="4" w:space="0" w:color="000000"/>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7" w:right="0"/>
              <w:jc w:val="center"/>
              <w:rPr>
                <w:rFonts w:ascii="Times New Roman" w:hAnsi="Times New Roman" w:cs="Times New Roman" w:eastAsia="Times New Roman" w:hint="default"/>
                <w:sz w:val="18"/>
                <w:szCs w:val="18"/>
              </w:rPr>
            </w:pPr>
            <w:r>
              <w:rPr>
                <w:rFonts w:ascii="Times New Roman"/>
                <w:sz w:val="18"/>
              </w:rPr>
              <w:t>5,194,200.00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20" w:right="0"/>
              <w:jc w:val="left"/>
              <w:rPr>
                <w:rFonts w:ascii="Times New Roman" w:hAnsi="Times New Roman" w:cs="Times New Roman" w:eastAsia="Times New Roman" w:hint="default"/>
                <w:sz w:val="18"/>
                <w:szCs w:val="18"/>
              </w:rPr>
            </w:pPr>
            <w:r>
              <w:rPr>
                <w:rFonts w:ascii="Times New Roman"/>
                <w:sz w:val="18"/>
              </w:rPr>
              <w:t>1.23%</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504" w:right="0"/>
              <w:jc w:val="left"/>
              <w:rPr>
                <w:rFonts w:ascii="Times New Roman" w:hAnsi="Times New Roman" w:cs="Times New Roman" w:eastAsia="Times New Roman" w:hint="default"/>
                <w:sz w:val="18"/>
                <w:szCs w:val="18"/>
              </w:rPr>
            </w:pPr>
            <w:r>
              <w:rPr>
                <w:rFonts w:ascii="Times New Roman"/>
                <w:sz w:val="18"/>
              </w:rPr>
              <w:t>1.23%</w:t>
            </w:r>
          </w:p>
        </w:tc>
        <w:tc>
          <w:tcPr>
            <w:tcW w:w="115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924,165.00</w:t>
            </w:r>
          </w:p>
        </w:tc>
      </w:tr>
      <w:tr>
        <w:trPr>
          <w:trHeight w:val="354"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105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003" w:type="dxa"/>
            <w:tcBorders>
              <w:top w:val="nil" w:sz="6" w:space="0" w:color="auto"/>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5,194,200.00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5,194,200.00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5,194,200.00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924,165.00</w:t>
            </w:r>
          </w:p>
        </w:tc>
      </w:tr>
    </w:tbl>
    <w:p>
      <w:pPr>
        <w:spacing w:line="240" w:lineRule="auto" w:before="3"/>
        <w:rPr>
          <w:rFonts w:ascii="宋体" w:hAnsi="宋体" w:cs="宋体" w:eastAsia="宋体" w:hint="default"/>
          <w:sz w:val="19"/>
          <w:szCs w:val="19"/>
        </w:rPr>
      </w:pPr>
    </w:p>
    <w:p>
      <w:pPr>
        <w:pStyle w:val="BodyText"/>
        <w:spacing w:line="240" w:lineRule="auto" w:before="36"/>
        <w:ind w:left="652" w:right="0"/>
        <w:jc w:val="left"/>
      </w:pPr>
      <w:r>
        <w:rPr/>
        <w:t>（</w:t>
      </w:r>
      <w:r>
        <w:rPr>
          <w:rFonts w:ascii="Times New Roman" w:hAnsi="Times New Roman" w:cs="Times New Roman" w:eastAsia="Times New Roman" w:hint="default"/>
          <w:b/>
          <w:bCs/>
        </w:rPr>
        <w:t>2</w:t>
      </w:r>
      <w:r>
        <w:rPr/>
        <w:t>）向投资企业转移资金的能力受到限制的有关情况</w:t>
      </w:r>
    </w:p>
    <w:p>
      <w:pPr>
        <w:spacing w:line="240" w:lineRule="auto" w:before="10"/>
        <w:rPr>
          <w:rFonts w:ascii="宋体" w:hAnsi="宋体" w:cs="宋体" w:eastAsia="宋体" w:hint="default"/>
          <w:sz w:val="22"/>
          <w:szCs w:val="22"/>
        </w:rPr>
      </w:pPr>
    </w:p>
    <w:p>
      <w:pPr>
        <w:spacing w:before="44"/>
        <w:ind w:left="0" w:right="7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659" w:type="dxa"/>
        <w:tblLayout w:type="fixed"/>
        <w:tblCellMar>
          <w:top w:w="0" w:type="dxa"/>
          <w:left w:w="0" w:type="dxa"/>
          <w:bottom w:w="0" w:type="dxa"/>
          <w:right w:w="0" w:type="dxa"/>
        </w:tblCellMar>
        <w:tblLook w:val="01E0"/>
      </w:tblPr>
      <w:tblGrid>
        <w:gridCol w:w="3178"/>
        <w:gridCol w:w="3190"/>
        <w:gridCol w:w="3190"/>
      </w:tblGrid>
      <w:tr>
        <w:trPr>
          <w:trHeight w:val="714"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47" w:right="57" w:hanging="900"/>
              <w:jc w:val="left"/>
              <w:rPr>
                <w:rFonts w:ascii="宋体" w:hAnsi="宋体" w:cs="宋体" w:eastAsia="宋体" w:hint="default"/>
                <w:sz w:val="18"/>
                <w:szCs w:val="18"/>
              </w:rPr>
            </w:pPr>
            <w:r>
              <w:rPr>
                <w:rFonts w:ascii="宋体" w:hAnsi="宋体" w:cs="宋体" w:eastAsia="宋体" w:hint="default"/>
                <w:spacing w:val="-1"/>
                <w:sz w:val="18"/>
                <w:szCs w:val="18"/>
              </w:rPr>
              <w:t>向投资企业转移资金能力受到限制的长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50"/>
        <w:ind w:left="6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spacing w:before="118"/>
        <w:ind w:left="6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sz w:val="21"/>
          <w:szCs w:val="21"/>
        </w:rPr>
        <w:t>、投资性房地产</w:t>
      </w:r>
    </w:p>
    <w:p>
      <w:pPr>
        <w:spacing w:line="240" w:lineRule="auto" w:before="10"/>
        <w:rPr>
          <w:rFonts w:ascii="宋体" w:hAnsi="宋体" w:cs="宋体" w:eastAsia="宋体" w:hint="default"/>
          <w:sz w:val="24"/>
          <w:szCs w:val="24"/>
        </w:rPr>
      </w:pPr>
    </w:p>
    <w:p>
      <w:pPr>
        <w:pStyle w:val="BodyText"/>
        <w:spacing w:line="240" w:lineRule="auto"/>
        <w:ind w:left="652" w:right="0"/>
        <w:jc w:val="left"/>
      </w:pPr>
      <w:r>
        <w:rPr/>
        <w:t>（</w:t>
      </w:r>
      <w:r>
        <w:rPr>
          <w:rFonts w:ascii="Times New Roman" w:hAnsi="Times New Roman" w:cs="Times New Roman" w:eastAsia="Times New Roman" w:hint="default"/>
          <w:b/>
          <w:bCs/>
        </w:rPr>
        <w:t>1</w:t>
      </w:r>
      <w:r>
        <w:rPr/>
        <w:t>）按成本计量的投资性房地产</w:t>
      </w:r>
    </w:p>
    <w:p>
      <w:pPr>
        <w:spacing w:line="240" w:lineRule="auto" w:before="10"/>
        <w:rPr>
          <w:rFonts w:ascii="宋体" w:hAnsi="宋体" w:cs="宋体" w:eastAsia="宋体" w:hint="default"/>
          <w:sz w:val="22"/>
          <w:szCs w:val="22"/>
        </w:rPr>
      </w:pPr>
    </w:p>
    <w:p>
      <w:pPr>
        <w:spacing w:before="44"/>
        <w:ind w:left="0" w:right="7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659" w:type="dxa"/>
        <w:tblLayout w:type="fixed"/>
        <w:tblCellMar>
          <w:top w:w="0" w:type="dxa"/>
          <w:left w:w="0" w:type="dxa"/>
          <w:bottom w:w="0" w:type="dxa"/>
          <w:right w:w="0" w:type="dxa"/>
        </w:tblCellMar>
        <w:tblLook w:val="01E0"/>
      </w:tblPr>
      <w:tblGrid>
        <w:gridCol w:w="1718"/>
        <w:gridCol w:w="1992"/>
        <w:gridCol w:w="1862"/>
        <w:gridCol w:w="1860"/>
        <w:gridCol w:w="2126"/>
      </w:tblGrid>
      <w:tr>
        <w:trPr>
          <w:trHeight w:val="396"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6"/>
        <w:ind w:left="0" w:right="7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6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407;width:5350;height:2" coordorigin="10,407" coordsize="5350,2">
              <v:shape style="position:absolute;left:10;top:407;width:5350;height:2" coordorigin="10,407" coordsize="5350,0" path="m10,407l5359,407e" filled="false" stroked="true" strokeweight=".1pt" strokecolor="#d3d3d3">
                <v:path arrowok="t"/>
              </v:shape>
            </v:group>
            <v:group style="position:absolute;left:22;top:14;width:2;height:392" coordorigin="22,14" coordsize="2,392">
              <v:shape style="position:absolute;left:22;top:14;width:2;height:392" coordorigin="22,14" coordsize="0,392" path="m22,14l22,406e" filled="false" stroked="true" strokeweight="1.199996pt" strokecolor="#d3d3d3">
                <v:path arrowok="t"/>
              </v:shape>
            </v:group>
            <v:group style="position:absolute;left:5348;top:14;width:2;height:392" coordorigin="5348,14" coordsize="2,392">
              <v:shape style="position:absolute;left:5348;top:14;width:2;height:392" coordorigin="5348,14" coordsize="0,392" path="m5348,14l5348,406e" filled="false" stroked="true" strokeweight="1.08pt" strokecolor="#d3d3d3">
                <v:path arrowok="t"/>
              </v:shape>
            </v:group>
            <v:group style="position:absolute;left:34;top:14;width:5304;height:392" coordorigin="34,14" coordsize="5304,392">
              <v:shape style="position:absolute;left:34;top:14;width:5304;height:392" coordorigin="34,14" coordsize="5304,392" path="m34,406l5338,406,5338,14,34,14,34,406xe" filled="true" fillcolor="#d3d3d3" stroked="false">
                <v:path arrowok="t"/>
                <v:fill type="solid"/>
              </v:shape>
            </v:group>
            <v:group style="position:absolute;left:5369;top:407;width:4200;height:2" coordorigin="5369,407" coordsize="4200,2">
              <v:shape style="position:absolute;left:5369;top:407;width:4200;height:2" coordorigin="5369,407" coordsize="4200,0" path="m5369,407l9569,407e" filled="false" stroked="true" strokeweight=".1pt" strokecolor="#d3d3d3">
                <v:path arrowok="t"/>
              </v:shape>
            </v:group>
            <v:group style="position:absolute;left:5381;top:14;width:2;height:392" coordorigin="5381,14" coordsize="2,392">
              <v:shape style="position:absolute;left:5381;top:14;width:2;height:392" coordorigin="5381,14" coordsize="0,392" path="m5381,14l5381,406e" filled="false" stroked="true" strokeweight="1.19998pt" strokecolor="#d3d3d3">
                <v:path arrowok="t"/>
              </v:shape>
            </v:group>
            <v:group style="position:absolute;left:9558;top:14;width:2;height:392" coordorigin="9558,14" coordsize="2,392">
              <v:shape style="position:absolute;left:9558;top:14;width:2;height:392" coordorigin="9558,14" coordsize="0,392" path="m9558,14l9558,406e" filled="false" stroked="true" strokeweight="1.08pt" strokecolor="#d3d3d3">
                <v:path arrowok="t"/>
              </v:shape>
            </v:group>
            <v:group style="position:absolute;left:5393;top:14;width:4155;height:392" coordorigin="5393,14" coordsize="4155,392">
              <v:shape style="position:absolute;left:5393;top:14;width:4155;height:392" coordorigin="5393,14" coordsize="4155,392" path="m5393,406l9547,406,9547,14,5393,14,5393,406xe" filled="true" fillcolor="#d3d3d3" stroked="false">
                <v:path arrowok="t"/>
                <v:fill type="solid"/>
              </v:shape>
            </v:group>
            <v:group style="position:absolute;left:10;top:10;width:5350;height:2" coordorigin="10,10" coordsize="5350,2">
              <v:shape style="position:absolute;left:10;top:10;width:5350;height:2" coordorigin="10,10" coordsize="5350,0" path="m10,10l5359,10e" filled="false" stroked="true" strokeweight=".48pt" strokecolor="#000000">
                <v:path arrowok="t"/>
              </v:shape>
            </v:group>
            <v:group style="position:absolute;left:5369;top:10;width:4200;height:2" coordorigin="5369,10" coordsize="4200,2">
              <v:shape style="position:absolute;left:5369;top:10;width:4200;height:2" coordorigin="5369,10" coordsize="4200,0" path="m5369,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350;height:2" coordorigin="10,413" coordsize="5350,2">
              <v:shape style="position:absolute;left:10;top:413;width:5350;height:2" coordorigin="10,413" coordsize="5350,0" path="m10,413l5359,413e" filled="false" stroked="true" strokeweight=".48pt" strokecolor="#000000">
                <v:path arrowok="t"/>
              </v:shape>
            </v:group>
            <v:group style="position:absolute;left:5364;top:5;width:2;height:413" coordorigin="5364,5" coordsize="2,413">
              <v:shape style="position:absolute;left:5364;top:5;width:2;height:413" coordorigin="5364,5" coordsize="0,413" path="m5364,5l5364,418e" filled="false" stroked="true" strokeweight=".48pt" strokecolor="#000000">
                <v:path arrowok="t"/>
              </v:shape>
            </v:group>
            <v:group style="position:absolute;left:5369;top:413;width:4200;height:2" coordorigin="5369,413" coordsize="4200,2">
              <v:shape style="position:absolute;left:5369;top:413;width:4200;height:2" coordorigin="5369,413" coordsize="4200,0" path="m5369,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7289;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BodyText"/>
        <w:spacing w:line="240" w:lineRule="auto" w:before="36"/>
        <w:ind w:left="652" w:right="0"/>
        <w:jc w:val="left"/>
      </w:pPr>
      <w:r>
        <w:rPr/>
        <w:t>（</w:t>
      </w:r>
      <w:r>
        <w:rPr>
          <w:rFonts w:ascii="Times New Roman" w:hAnsi="Times New Roman" w:cs="Times New Roman" w:eastAsia="Times New Roman" w:hint="default"/>
          <w:b/>
          <w:bCs/>
        </w:rPr>
        <w:t>2</w:t>
      </w:r>
      <w:r>
        <w:rPr/>
        <w:t>）按公允价值计量的投资性房地产</w:t>
      </w:r>
    </w:p>
    <w:p>
      <w:pPr>
        <w:spacing w:line="240" w:lineRule="auto" w:before="10"/>
        <w:rPr>
          <w:rFonts w:ascii="宋体" w:hAnsi="宋体" w:cs="宋体" w:eastAsia="宋体" w:hint="default"/>
          <w:sz w:val="22"/>
          <w:szCs w:val="22"/>
        </w:rPr>
      </w:pPr>
    </w:p>
    <w:p>
      <w:pPr>
        <w:spacing w:before="44"/>
        <w:ind w:left="0" w:right="7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6" w:footer="982" w:top="1060" w:bottom="1180" w:left="480" w:right="3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544"/>
        <w:gridCol w:w="1010"/>
        <w:gridCol w:w="1010"/>
        <w:gridCol w:w="1010"/>
        <w:gridCol w:w="1010"/>
        <w:gridCol w:w="1010"/>
        <w:gridCol w:w="1018"/>
        <w:gridCol w:w="955"/>
      </w:tblGrid>
      <w:tr>
        <w:trPr>
          <w:trHeight w:val="402" w:hRule="exact"/>
        </w:trPr>
        <w:tc>
          <w:tcPr>
            <w:tcW w:w="25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410" w:right="47" w:hanging="360"/>
              <w:jc w:val="left"/>
              <w:rPr>
                <w:rFonts w:ascii="宋体" w:hAnsi="宋体" w:cs="宋体" w:eastAsia="宋体" w:hint="default"/>
                <w:sz w:val="18"/>
                <w:szCs w:val="18"/>
              </w:rPr>
            </w:pPr>
            <w:r>
              <w:rPr>
                <w:rFonts w:ascii="宋体" w:hAnsi="宋体" w:cs="宋体" w:eastAsia="宋体" w:hint="default"/>
                <w:sz w:val="18"/>
                <w:szCs w:val="18"/>
              </w:rPr>
              <w:t>期初公允价</w:t>
            </w:r>
            <w:r>
              <w:rPr>
                <w:rFonts w:ascii="宋体" w:hAnsi="宋体" w:cs="宋体" w:eastAsia="宋体" w:hint="default"/>
                <w:w w:val="100"/>
                <w:sz w:val="18"/>
                <w:szCs w:val="18"/>
              </w:rPr>
              <w:t> </w:t>
            </w:r>
            <w:r>
              <w:rPr>
                <w:rFonts w:ascii="宋体" w:hAnsi="宋体" w:cs="宋体" w:eastAsia="宋体" w:hint="default"/>
                <w:sz w:val="18"/>
                <w:szCs w:val="18"/>
              </w:rPr>
              <w:t>值</w:t>
            </w:r>
          </w:p>
        </w:tc>
        <w:tc>
          <w:tcPr>
            <w:tcW w:w="303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95" w:right="107" w:hanging="180"/>
              <w:jc w:val="left"/>
              <w:rPr>
                <w:rFonts w:ascii="宋体" w:hAnsi="宋体" w:cs="宋体" w:eastAsia="宋体" w:hint="default"/>
                <w:sz w:val="18"/>
                <w:szCs w:val="18"/>
              </w:rPr>
            </w:pPr>
            <w:r>
              <w:rPr>
                <w:rFonts w:ascii="宋体" w:hAnsi="宋体" w:cs="宋体" w:eastAsia="宋体" w:hint="default"/>
                <w:sz w:val="18"/>
                <w:szCs w:val="18"/>
              </w:rPr>
              <w:t>期末公允</w:t>
            </w:r>
            <w:r>
              <w:rPr>
                <w:rFonts w:ascii="宋体" w:hAnsi="宋体" w:cs="宋体" w:eastAsia="宋体" w:hint="default"/>
                <w:w w:val="100"/>
                <w:sz w:val="18"/>
                <w:szCs w:val="18"/>
              </w:rPr>
              <w:t> </w:t>
            </w:r>
            <w:r>
              <w:rPr>
                <w:rFonts w:ascii="宋体" w:hAnsi="宋体" w:cs="宋体" w:eastAsia="宋体" w:hint="default"/>
                <w:sz w:val="18"/>
                <w:szCs w:val="18"/>
              </w:rPr>
              <w:t>价值</w:t>
            </w:r>
          </w:p>
        </w:tc>
      </w:tr>
      <w:tr>
        <w:trPr>
          <w:trHeight w:val="714" w:hRule="exact"/>
        </w:trPr>
        <w:tc>
          <w:tcPr>
            <w:tcW w:w="2544"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50" w:right="47"/>
              <w:jc w:val="left"/>
              <w:rPr>
                <w:rFonts w:ascii="宋体" w:hAnsi="宋体" w:cs="宋体" w:eastAsia="宋体" w:hint="default"/>
                <w:sz w:val="18"/>
                <w:szCs w:val="18"/>
              </w:rPr>
            </w:pPr>
            <w:r>
              <w:rPr>
                <w:rFonts w:ascii="宋体" w:hAnsi="宋体" w:cs="宋体" w:eastAsia="宋体" w:hint="default"/>
                <w:sz w:val="18"/>
                <w:szCs w:val="18"/>
              </w:rPr>
              <w:t>自用房地产</w:t>
            </w:r>
            <w:r>
              <w:rPr>
                <w:rFonts w:ascii="宋体" w:hAnsi="宋体" w:cs="宋体" w:eastAsia="宋体" w:hint="default"/>
                <w:w w:val="100"/>
                <w:sz w:val="18"/>
                <w:szCs w:val="18"/>
              </w:rPr>
              <w:t> </w:t>
            </w:r>
            <w:r>
              <w:rPr>
                <w:rFonts w:ascii="宋体" w:hAnsi="宋体" w:cs="宋体" w:eastAsia="宋体" w:hint="default"/>
                <w:sz w:val="18"/>
                <w:szCs w:val="18"/>
              </w:rPr>
              <w:t>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30" w:right="47" w:hanging="180"/>
              <w:jc w:val="left"/>
              <w:rPr>
                <w:rFonts w:ascii="宋体" w:hAnsi="宋体" w:cs="宋体" w:eastAsia="宋体" w:hint="default"/>
                <w:sz w:val="18"/>
                <w:szCs w:val="18"/>
              </w:rPr>
            </w:pPr>
            <w:r>
              <w:rPr>
                <w:rFonts w:ascii="宋体" w:hAnsi="宋体" w:cs="宋体" w:eastAsia="宋体" w:hint="default"/>
                <w:sz w:val="18"/>
                <w:szCs w:val="18"/>
              </w:rPr>
              <w:t>公允价值变</w:t>
            </w:r>
            <w:r>
              <w:rPr>
                <w:rFonts w:ascii="宋体" w:hAnsi="宋体" w:cs="宋体" w:eastAsia="宋体" w:hint="default"/>
                <w:w w:val="100"/>
                <w:sz w:val="18"/>
                <w:szCs w:val="18"/>
              </w:rPr>
              <w:t> </w:t>
            </w:r>
            <w:r>
              <w:rPr>
                <w:rFonts w:ascii="宋体" w:hAnsi="宋体" w:cs="宋体" w:eastAsia="宋体" w:hint="default"/>
                <w:sz w:val="18"/>
                <w:szCs w:val="18"/>
              </w:rPr>
              <w:t>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324" w:right="50" w:hanging="269"/>
              <w:jc w:val="left"/>
              <w:rPr>
                <w:rFonts w:ascii="宋体" w:hAnsi="宋体" w:cs="宋体" w:eastAsia="宋体" w:hint="default"/>
                <w:sz w:val="18"/>
                <w:szCs w:val="18"/>
              </w:rPr>
            </w:pPr>
            <w:r>
              <w:rPr>
                <w:rFonts w:ascii="宋体" w:hAnsi="宋体" w:cs="宋体" w:eastAsia="宋体" w:hint="default"/>
                <w:sz w:val="18"/>
                <w:szCs w:val="18"/>
              </w:rPr>
              <w:t>转为自用房</w:t>
            </w:r>
            <w:r>
              <w:rPr>
                <w:rFonts w:ascii="宋体" w:hAnsi="宋体" w:cs="宋体" w:eastAsia="宋体" w:hint="default"/>
                <w:w w:val="100"/>
                <w:sz w:val="18"/>
                <w:szCs w:val="18"/>
              </w:rPr>
              <w:t> </w:t>
            </w:r>
            <w:r>
              <w:rPr>
                <w:rFonts w:ascii="宋体" w:hAnsi="宋体" w:cs="宋体" w:eastAsia="宋体" w:hint="default"/>
                <w:sz w:val="18"/>
                <w:szCs w:val="18"/>
              </w:rPr>
              <w:t>地产</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spacing w:line="316" w:lineRule="auto" w:before="49"/>
        <w:ind w:left="152" w:right="145" w:firstLine="0"/>
        <w:jc w:val="left"/>
        <w:rPr>
          <w:rFonts w:ascii="宋体" w:hAnsi="宋体" w:cs="宋体" w:eastAsia="宋体" w:hint="default"/>
          <w:sz w:val="18"/>
          <w:szCs w:val="18"/>
        </w:rPr>
      </w:pPr>
      <w:r>
        <w:rPr>
          <w:rFonts w:ascii="宋体" w:hAnsi="宋体" w:cs="宋体" w:eastAsia="宋体" w:hint="default"/>
          <w:spacing w:val="-3"/>
          <w:w w:val="100"/>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3"/>
          <w:w w:val="100"/>
          <w:sz w:val="18"/>
          <w:szCs w:val="18"/>
        </w:rPr>
        <w:t> </w:t>
      </w:r>
      <w:r>
        <w:rPr>
          <w:rFonts w:ascii="宋体" w:hAnsi="宋体" w:cs="宋体" w:eastAsia="宋体" w:hint="default"/>
          <w:spacing w:val="-63"/>
          <w:w w:val="100"/>
          <w:sz w:val="18"/>
          <w:szCs w:val="18"/>
        </w:rPr>
      </w:r>
      <w:r>
        <w:rPr>
          <w:rFonts w:ascii="宋体" w:hAnsi="宋体" w:cs="宋体" w:eastAsia="宋体" w:hint="default"/>
          <w:sz w:val="18"/>
          <w:szCs w:val="18"/>
        </w:rPr>
        <w:t>办结时间</w:t>
      </w:r>
    </w:p>
    <w:p>
      <w:pPr>
        <w:spacing w:line="240" w:lineRule="auto" w:before="8"/>
        <w:rPr>
          <w:rFonts w:ascii="宋体" w:hAnsi="宋体" w:cs="宋体" w:eastAsia="宋体" w:hint="default"/>
          <w:sz w:val="22"/>
          <w:szCs w:val="22"/>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sz w:val="21"/>
          <w:szCs w:val="21"/>
        </w:rPr>
        <w:t>、固定资产</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）固定资产情况</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1,620,763,502.21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1" w:right="0"/>
              <w:jc w:val="left"/>
              <w:rPr>
                <w:rFonts w:ascii="Times New Roman" w:hAnsi="Times New Roman" w:cs="Times New Roman" w:eastAsia="Times New Roman" w:hint="default"/>
                <w:sz w:val="18"/>
                <w:szCs w:val="18"/>
              </w:rPr>
            </w:pPr>
            <w:r>
              <w:rPr>
                <w:rFonts w:ascii="Times New Roman"/>
                <w:sz w:val="18"/>
              </w:rPr>
              <w:t>216,669,438.64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1,837,432,940.85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251,209,350.40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3,847,124.86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255,056,475.26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1,362,136,298.33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1" w:right="0"/>
              <w:jc w:val="left"/>
              <w:rPr>
                <w:rFonts w:ascii="Times New Roman" w:hAnsi="Times New Roman" w:cs="Times New Roman" w:eastAsia="Times New Roman" w:hint="default"/>
                <w:sz w:val="18"/>
                <w:szCs w:val="18"/>
              </w:rPr>
            </w:pPr>
            <w:r>
              <w:rPr>
                <w:rFonts w:ascii="Times New Roman"/>
                <w:sz w:val="18"/>
              </w:rPr>
              <w:t>210,528,980.19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1,572,665,278.52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5,801,000.12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375,111.97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6,176,112.09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1,616,853.36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1,918,221.62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3,535,074.98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356,669,673.69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144,773,797.23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501,443,470.92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20,467,271.83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12,006,662.02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33,056,015.48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332,372,251.77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131,801,142.96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463,591,313.10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2,993,553.53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635,901.48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3,629,455.01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836,596.56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330,090.77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1,166,687.33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w w:val="100"/>
                <w:sz w:val="18"/>
                <w:szCs w:val="18"/>
              </w:rPr>
              <w:t>三</w:t>
            </w:r>
            <w:r>
              <w:rPr>
                <w:rFonts w:ascii="宋体" w:hAnsi="宋体" w:cs="宋体" w:eastAsia="宋体" w:hint="default"/>
                <w:spacing w:val="-87"/>
                <w:w w:val="100"/>
                <w:sz w:val="18"/>
                <w:szCs w:val="18"/>
              </w:rPr>
              <w:t>、</w:t>
            </w:r>
            <w:r>
              <w:rPr>
                <w:rFonts w:ascii="宋体" w:hAnsi="宋体" w:cs="宋体" w:eastAsia="宋体" w:hint="default"/>
                <w:spacing w:val="-1"/>
                <w:w w:val="100"/>
                <w:sz w:val="18"/>
                <w:szCs w:val="18"/>
              </w:rPr>
              <w:t>固定资产账面净值合</w:t>
            </w:r>
            <w:r>
              <w:rPr>
                <w:rFonts w:ascii="宋体" w:hAnsi="宋体" w:cs="宋体" w:eastAsia="宋体" w:hint="default"/>
                <w:w w:val="100"/>
                <w:sz w:val="18"/>
                <w:szCs w:val="18"/>
              </w:rPr>
              <w:t>计</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1,264,093,828.52</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1,335,989,469.93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230,742,078.57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222,000,459.78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1,029,764,046.56</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1,109,073,965.42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2,807,446.59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2,546,657.08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780,256.80</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2,368,387.65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13" w:space="0" w:color="D3D3D3"/>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w w:val="100"/>
                <w:sz w:val="18"/>
                <w:szCs w:val="18"/>
              </w:rPr>
              <w:t>五</w:t>
            </w:r>
            <w:r>
              <w:rPr>
                <w:rFonts w:ascii="宋体" w:hAnsi="宋体" w:cs="宋体" w:eastAsia="宋体" w:hint="default"/>
                <w:spacing w:val="-87"/>
                <w:w w:val="100"/>
                <w:sz w:val="18"/>
                <w:szCs w:val="18"/>
              </w:rPr>
              <w:t>、</w:t>
            </w:r>
            <w:r>
              <w:rPr>
                <w:rFonts w:ascii="宋体" w:hAnsi="宋体" w:cs="宋体" w:eastAsia="宋体" w:hint="default"/>
                <w:spacing w:val="-1"/>
                <w:w w:val="100"/>
                <w:sz w:val="18"/>
                <w:szCs w:val="18"/>
              </w:rPr>
              <w:t>固定资产账面价值合</w:t>
            </w:r>
            <w:r>
              <w:rPr>
                <w:rFonts w:ascii="宋体" w:hAnsi="宋体" w:cs="宋体" w:eastAsia="宋体" w:hint="default"/>
                <w:w w:val="100"/>
                <w:sz w:val="18"/>
                <w:szCs w:val="18"/>
              </w:rPr>
              <w:t>计</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1,264,093,828.52</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1,335,989,469.93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230,742,078.57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222,000,459.78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1,029,764,046.56</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1,109,073,965.42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2,807,446.59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2,546,657.08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780,256.80</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2,368,387.65</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本期折旧额元；本期由在建工程转入固定资产原价为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144,391,617.75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）暂时闲置的固定资产情况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）通过融资租赁租入的固定资产</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81"/>
        <w:gridCol w:w="2390"/>
        <w:gridCol w:w="2393"/>
        <w:gridCol w:w="2393"/>
      </w:tblGrid>
      <w:tr>
        <w:trPr>
          <w:trHeight w:val="396"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10"/>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4</w:t>
      </w:r>
      <w:r>
        <w:rPr/>
        <w:t>）通过经营租赁租出的固定资产</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2;top:14;width:2;height:392" coordorigin="22,14" coordsize="2,392">
              <v:shape style="position:absolute;left:22;top:14;width:2;height:392" coordorigin="22,14" coordsize="0,392" path="m22,14l22,406e" filled="false" stroked="true" strokeweight="1.199996pt" strokecolor="#d3d3d3">
                <v:path arrowok="t"/>
              </v:shape>
            </v:group>
            <v:group style="position:absolute;left:4775;top:14;width:2;height:392" coordorigin="4775,14" coordsize="2,392">
              <v:shape style="position:absolute;left:4775;top:14;width:2;height:392" coordorigin="4775,14" coordsize="0,392" path="m4775,14l4775,406e" filled="false" stroked="true" strokeweight="1.08pt" strokecolor="#d3d3d3">
                <v:path arrowok="t"/>
              </v:shape>
            </v:group>
            <v:group style="position:absolute;left:34;top:14;width:4731;height:392" coordorigin="34,14" coordsize="4731,392">
              <v:shape style="position:absolute;left:34;top:14;width:4731;height:392" coordorigin="34,14" coordsize="4731,392" path="m34,406l4764,406,4764,14,34,14,34,406xe" filled="true" fillcolor="#d3d3d3"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199982pt" strokecolor="#d3d3d3">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d3d3d3">
                <v:path arrowok="t"/>
              </v:shape>
            </v:group>
            <v:group style="position:absolute;left:4819;top:14;width:4726;height:392" coordorigin="4819,14" coordsize="4726,392">
              <v:shape style="position:absolute;left:4819;top:14;width:4726;height:392" coordorigin="4819,14" coordsize="4726,392" path="m4819,406l9545,406,9545,14,4819,14,4819,406xe" filled="true" fillcolor="#d3d3d3"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6,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8;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0;top:10;width:4784;height:402"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）期末持有待售的固定资产情况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10"/>
        <w:gridCol w:w="1721"/>
        <w:gridCol w:w="1874"/>
        <w:gridCol w:w="1874"/>
        <w:gridCol w:w="1874"/>
      </w:tblGrid>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6</w:t>
      </w:r>
      <w:r>
        <w:rPr/>
        <w:t>）未办妥产权证书的固定资产情况</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178"/>
        <w:gridCol w:w="3190"/>
        <w:gridCol w:w="3190"/>
      </w:tblGrid>
      <w:tr>
        <w:trPr>
          <w:trHeight w:val="396"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before="56"/>
        <w:ind w:left="152" w:right="145"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sz w:val="21"/>
          <w:szCs w:val="21"/>
        </w:rPr>
        <w:t>、在建工程</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）在建工程情况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6"/>
        <w:gridCol w:w="1195"/>
        <w:gridCol w:w="1195"/>
        <w:gridCol w:w="1195"/>
        <w:gridCol w:w="1193"/>
        <w:gridCol w:w="1195"/>
        <w:gridCol w:w="1330"/>
      </w:tblGrid>
      <w:tr>
        <w:trPr>
          <w:trHeight w:val="397"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38,861,423.82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38,861,423.82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42,042,478.12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42,042,478.12</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16,118,014.86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16,118,014.86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14,656,147.56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14,656,147.56</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区厂房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110,089,141.87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110,089,141.87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12,137,171.62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12,137,171.62</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聚酯薄膜生产线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350,580,623.43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350,580,623.43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50,538,717.30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50,538,717.30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聚酯切片生产线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126,411,332.95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126,411,332.95</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515,649,203.98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515,649,203.98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245,785,847.55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245,785,847.55</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b/>
          <w:bCs/>
        </w:rPr>
        <w:t>2</w:t>
      </w:r>
      <w:r>
        <w:rPr/>
        <w:t>）重大在建工程项目变动情况</w:t>
      </w:r>
    </w:p>
    <w:p>
      <w:pPr>
        <w:spacing w:line="240" w:lineRule="auto" w:before="12"/>
        <w:rPr>
          <w:rFonts w:ascii="宋体" w:hAnsi="宋体" w:cs="宋体" w:eastAsia="宋体" w:hint="default"/>
          <w:sz w:val="22"/>
          <w:szCs w:val="22"/>
        </w:rPr>
      </w:pPr>
    </w:p>
    <w:p>
      <w:pPr>
        <w:spacing w:before="44"/>
        <w:ind w:left="0" w:right="4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40"/>
        <w:gridCol w:w="360"/>
        <w:gridCol w:w="1260"/>
        <w:gridCol w:w="1003"/>
        <w:gridCol w:w="1054"/>
        <w:gridCol w:w="1080"/>
        <w:gridCol w:w="720"/>
        <w:gridCol w:w="360"/>
        <w:gridCol w:w="540"/>
        <w:gridCol w:w="617"/>
        <w:gridCol w:w="643"/>
        <w:gridCol w:w="540"/>
        <w:gridCol w:w="1260"/>
      </w:tblGrid>
      <w:tr>
        <w:trPr>
          <w:trHeight w:val="1651" w:hRule="exact"/>
        </w:trPr>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w w:val="100"/>
                <w:sz w:val="18"/>
                <w:szCs w:val="18"/>
              </w:rPr>
              <w:t> </w:t>
            </w:r>
            <w:r>
              <w:rPr>
                <w:rFonts w:ascii="宋体" w:hAnsi="宋体" w:cs="宋体" w:eastAsia="宋体" w:hint="default"/>
                <w:sz w:val="18"/>
                <w:szCs w:val="18"/>
              </w:rPr>
              <w:t>名称</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1"/>
              <w:jc w:val="both"/>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w w:val="100"/>
                <w:sz w:val="18"/>
                <w:szCs w:val="18"/>
              </w:rPr>
              <w:t> </w:t>
            </w:r>
            <w:r>
              <w:rPr>
                <w:rFonts w:ascii="宋体" w:hAnsi="宋体" w:cs="宋体" w:eastAsia="宋体" w:hint="default"/>
                <w:sz w:val="18"/>
                <w:szCs w:val="18"/>
              </w:rPr>
              <w:t>算</w:t>
            </w:r>
            <w:r>
              <w:rPr>
                <w:rFonts w:ascii="宋体" w:hAnsi="宋体" w:cs="宋体" w:eastAsia="宋体" w:hint="default"/>
                <w:w w:val="100"/>
                <w:sz w:val="18"/>
                <w:szCs w:val="18"/>
              </w:rPr>
              <w:t> </w:t>
            </w:r>
            <w:r>
              <w:rPr>
                <w:rFonts w:ascii="宋体" w:hAnsi="宋体" w:cs="宋体" w:eastAsia="宋体" w:hint="default"/>
                <w:sz w:val="18"/>
                <w:szCs w:val="18"/>
              </w:rPr>
              <w:t>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29" w:right="71" w:hanging="360"/>
              <w:jc w:val="left"/>
              <w:rPr>
                <w:rFonts w:ascii="宋体" w:hAnsi="宋体" w:cs="宋体" w:eastAsia="宋体" w:hint="default"/>
                <w:sz w:val="18"/>
                <w:szCs w:val="18"/>
              </w:rPr>
            </w:pPr>
            <w:r>
              <w:rPr>
                <w:rFonts w:ascii="宋体" w:hAnsi="宋体" w:cs="宋体" w:eastAsia="宋体" w:hint="default"/>
                <w:sz w:val="18"/>
                <w:szCs w:val="18"/>
              </w:rPr>
              <w:t>转入固定资</w:t>
            </w:r>
            <w:r>
              <w:rPr>
                <w:rFonts w:ascii="宋体" w:hAnsi="宋体" w:cs="宋体" w:eastAsia="宋体" w:hint="default"/>
                <w:w w:val="100"/>
                <w:sz w:val="18"/>
                <w:szCs w:val="18"/>
              </w:rPr>
              <w:t> </w:t>
            </w:r>
            <w:r>
              <w:rPr>
                <w:rFonts w:ascii="宋体" w:hAnsi="宋体" w:cs="宋体" w:eastAsia="宋体" w:hint="default"/>
                <w:sz w:val="18"/>
                <w:szCs w:val="18"/>
              </w:rPr>
              <w:t>产</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84"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w:t>
            </w:r>
            <w:r>
              <w:rPr>
                <w:rFonts w:ascii="宋体" w:hAnsi="宋体" w:cs="宋体" w:eastAsia="宋体" w:hint="default"/>
                <w:w w:val="100"/>
                <w:sz w:val="18"/>
                <w:szCs w:val="18"/>
              </w:rPr>
              <w:t> </w:t>
            </w:r>
            <w:r>
              <w:rPr>
                <w:rFonts w:ascii="宋体" w:hAnsi="宋体" w:cs="宋体" w:eastAsia="宋体" w:hint="default"/>
                <w:sz w:val="18"/>
                <w:szCs w:val="18"/>
              </w:rPr>
              <w:t>入占预</w:t>
            </w:r>
            <w:r>
              <w:rPr>
                <w:rFonts w:ascii="宋体" w:hAnsi="宋体" w:cs="宋体" w:eastAsia="宋体" w:hint="default"/>
                <w:w w:val="100"/>
                <w:sz w:val="18"/>
                <w:szCs w:val="18"/>
              </w:rPr>
              <w:t> </w:t>
            </w:r>
            <w:r>
              <w:rPr>
                <w:rFonts w:ascii="宋体" w:hAnsi="宋体" w:cs="宋体" w:eastAsia="宋体" w:hint="default"/>
                <w:sz w:val="18"/>
                <w:szCs w:val="18"/>
              </w:rPr>
              <w:t>算比例</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3"/>
              <w:jc w:val="both"/>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w w:val="100"/>
                <w:sz w:val="18"/>
                <w:szCs w:val="18"/>
              </w:rPr>
              <w:t> </w:t>
            </w:r>
            <w:r>
              <w:rPr>
                <w:rFonts w:ascii="宋体" w:hAnsi="宋体" w:cs="宋体" w:eastAsia="宋体" w:hint="default"/>
                <w:sz w:val="18"/>
                <w:szCs w:val="18"/>
              </w:rPr>
              <w:t>程</w:t>
            </w:r>
            <w:r>
              <w:rPr>
                <w:rFonts w:ascii="宋体" w:hAnsi="宋体" w:cs="宋体" w:eastAsia="宋体" w:hint="default"/>
                <w:w w:val="100"/>
                <w:sz w:val="18"/>
                <w:szCs w:val="18"/>
              </w:rPr>
              <w:t> </w:t>
            </w:r>
            <w:r>
              <w:rPr>
                <w:rFonts w:ascii="宋体" w:hAnsi="宋体" w:cs="宋体" w:eastAsia="宋体" w:hint="default"/>
                <w:sz w:val="18"/>
                <w:szCs w:val="18"/>
              </w:rPr>
              <w:t>进</w:t>
            </w:r>
            <w:r>
              <w:rPr>
                <w:rFonts w:ascii="宋体" w:hAnsi="宋体" w:cs="宋体" w:eastAsia="宋体" w:hint="default"/>
                <w:w w:val="100"/>
                <w:sz w:val="18"/>
                <w:szCs w:val="18"/>
              </w:rPr>
              <w:t> </w:t>
            </w:r>
            <w:r>
              <w:rPr>
                <w:rFonts w:ascii="宋体" w:hAnsi="宋体" w:cs="宋体" w:eastAsia="宋体" w:hint="default"/>
                <w:sz w:val="18"/>
                <w:szCs w:val="18"/>
              </w:rPr>
              <w:t>度</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83"/>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w w:val="100"/>
                <w:sz w:val="18"/>
                <w:szCs w:val="18"/>
              </w:rPr>
              <w:t> </w:t>
            </w:r>
            <w:r>
              <w:rPr>
                <w:rFonts w:ascii="宋体" w:hAnsi="宋体" w:cs="宋体" w:eastAsia="宋体" w:hint="default"/>
                <w:sz w:val="18"/>
                <w:szCs w:val="18"/>
              </w:rPr>
              <w:t>资本</w:t>
            </w:r>
            <w:r>
              <w:rPr>
                <w:rFonts w:ascii="宋体" w:hAnsi="宋体" w:cs="宋体" w:eastAsia="宋体" w:hint="default"/>
                <w:w w:val="100"/>
                <w:sz w:val="18"/>
                <w:szCs w:val="18"/>
              </w:rPr>
              <w:t> </w:t>
            </w:r>
            <w:r>
              <w:rPr>
                <w:rFonts w:ascii="宋体" w:hAnsi="宋体" w:cs="宋体" w:eastAsia="宋体" w:hint="default"/>
                <w:sz w:val="18"/>
                <w:szCs w:val="18"/>
              </w:rPr>
              <w:t>化累</w:t>
            </w:r>
            <w:r>
              <w:rPr>
                <w:rFonts w:ascii="宋体" w:hAnsi="宋体" w:cs="宋体" w:eastAsia="宋体" w:hint="default"/>
                <w:w w:val="100"/>
                <w:sz w:val="18"/>
                <w:szCs w:val="18"/>
              </w:rPr>
              <w:t> </w:t>
            </w:r>
            <w:r>
              <w:rPr>
                <w:rFonts w:ascii="宋体" w:hAnsi="宋体" w:cs="宋体" w:eastAsia="宋体" w:hint="default"/>
                <w:sz w:val="18"/>
                <w:szCs w:val="18"/>
              </w:rPr>
              <w:t>计金</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 w:right="33"/>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w w:val="100"/>
                <w:sz w:val="18"/>
                <w:szCs w:val="18"/>
              </w:rPr>
              <w:t> </w:t>
            </w:r>
            <w:r>
              <w:rPr>
                <w:rFonts w:ascii="宋体" w:hAnsi="宋体" w:cs="宋体" w:eastAsia="宋体" w:hint="default"/>
                <w:sz w:val="18"/>
                <w:szCs w:val="18"/>
              </w:rPr>
              <w:t>本期利</w:t>
            </w:r>
            <w:r>
              <w:rPr>
                <w:rFonts w:ascii="宋体" w:hAnsi="宋体" w:cs="宋体" w:eastAsia="宋体" w:hint="default"/>
                <w:w w:val="100"/>
                <w:sz w:val="18"/>
                <w:szCs w:val="18"/>
              </w:rPr>
              <w:t> </w:t>
            </w:r>
            <w:r>
              <w:rPr>
                <w:rFonts w:ascii="宋体" w:hAnsi="宋体" w:cs="宋体" w:eastAsia="宋体" w:hint="default"/>
                <w:sz w:val="18"/>
                <w:szCs w:val="18"/>
              </w:rPr>
              <w:t>息资本</w:t>
            </w:r>
            <w:r>
              <w:rPr>
                <w:rFonts w:ascii="宋体" w:hAnsi="宋体" w:cs="宋体" w:eastAsia="宋体" w:hint="default"/>
                <w:w w:val="100"/>
                <w:sz w:val="18"/>
                <w:szCs w:val="18"/>
              </w:rPr>
              <w:t> </w:t>
            </w:r>
            <w:r>
              <w:rPr>
                <w:rFonts w:ascii="宋体" w:hAnsi="宋体" w:cs="宋体" w:eastAsia="宋体" w:hint="default"/>
                <w:sz w:val="18"/>
                <w:szCs w:val="18"/>
              </w:rPr>
              <w:t>化金额</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本期利</w:t>
            </w:r>
            <w:r>
              <w:rPr>
                <w:rFonts w:ascii="宋体" w:hAnsi="宋体" w:cs="宋体" w:eastAsia="宋体" w:hint="default"/>
                <w:w w:val="100"/>
                <w:sz w:val="18"/>
                <w:szCs w:val="18"/>
              </w:rPr>
              <w:t> </w:t>
            </w:r>
            <w:r>
              <w:rPr>
                <w:rFonts w:ascii="宋体" w:hAnsi="宋体" w:cs="宋体" w:eastAsia="宋体" w:hint="default"/>
                <w:sz w:val="18"/>
                <w:szCs w:val="18"/>
              </w:rPr>
              <w:t>息资本</w:t>
            </w:r>
            <w:r>
              <w:rPr>
                <w:rFonts w:ascii="宋体" w:hAnsi="宋体" w:cs="宋体" w:eastAsia="宋体" w:hint="default"/>
                <w:w w:val="100"/>
                <w:sz w:val="18"/>
                <w:szCs w:val="18"/>
              </w:rPr>
              <w:t> </w:t>
            </w:r>
            <w:r>
              <w:rPr>
                <w:rFonts w:ascii="宋体" w:hAnsi="宋体" w:cs="宋体" w:eastAsia="宋体" w:hint="default"/>
                <w:sz w:val="18"/>
                <w:szCs w:val="18"/>
              </w:rPr>
              <w:t>化率</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4" w:right="8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w w:val="100"/>
                <w:sz w:val="18"/>
                <w:szCs w:val="18"/>
              </w:rPr>
              <w:t> </w:t>
            </w:r>
            <w:r>
              <w:rPr>
                <w:rFonts w:ascii="宋体" w:hAnsi="宋体" w:cs="宋体" w:eastAsia="宋体" w:hint="default"/>
                <w:sz w:val="18"/>
                <w:szCs w:val="18"/>
              </w:rPr>
              <w:t>来源</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r>
              <w:rPr>
                <w:rFonts w:ascii="宋体" w:hAnsi="宋体" w:cs="宋体" w:eastAsia="宋体" w:hint="default"/>
                <w:w w:val="100"/>
                <w:sz w:val="18"/>
                <w:szCs w:val="18"/>
              </w:rPr>
              <w:t> </w:t>
            </w:r>
            <w:r>
              <w:rPr>
                <w:rFonts w:ascii="宋体" w:hAnsi="宋体" w:cs="宋体" w:eastAsia="宋体" w:hint="default"/>
                <w:sz w:val="18"/>
                <w:szCs w:val="18"/>
              </w:rPr>
              <w:t>厂房</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42,042,478.12</w:t>
            </w:r>
          </w:p>
        </w:tc>
        <w:tc>
          <w:tcPr>
            <w:tcW w:w="100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3,181,054.30</w:t>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6"/>
              <w:jc w:val="both"/>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w w:val="100"/>
                <w:sz w:val="18"/>
                <w:szCs w:val="18"/>
              </w:rPr>
              <w:t> </w:t>
            </w:r>
            <w:r>
              <w:rPr>
                <w:rFonts w:ascii="宋体" w:hAnsi="宋体" w:cs="宋体" w:eastAsia="宋体" w:hint="default"/>
                <w:sz w:val="18"/>
                <w:szCs w:val="18"/>
              </w:rPr>
              <w:t>市场</w:t>
            </w:r>
            <w:r>
              <w:rPr>
                <w:rFonts w:ascii="宋体" w:hAnsi="宋体" w:cs="宋体" w:eastAsia="宋体" w:hint="default"/>
                <w:w w:val="100"/>
                <w:sz w:val="18"/>
                <w:szCs w:val="18"/>
              </w:rPr>
              <w:t> </w:t>
            </w:r>
            <w:r>
              <w:rPr>
                <w:rFonts w:ascii="宋体" w:hAnsi="宋体" w:cs="宋体" w:eastAsia="宋体" w:hint="default"/>
                <w:sz w:val="18"/>
                <w:szCs w:val="18"/>
              </w:rPr>
              <w:t>融资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38,861,423.82</w:t>
            </w:r>
          </w:p>
        </w:tc>
      </w:tr>
      <w:tr>
        <w:trPr>
          <w:trHeight w:val="102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C </w:t>
            </w:r>
            <w:r>
              <w:rPr>
                <w:rFonts w:ascii="宋体" w:hAnsi="宋体" w:cs="宋体" w:eastAsia="宋体" w:hint="default"/>
                <w:sz w:val="18"/>
                <w:szCs w:val="18"/>
              </w:rPr>
              <w:t>区</w:t>
            </w:r>
            <w:r>
              <w:rPr>
                <w:rFonts w:ascii="宋体" w:hAnsi="宋体" w:cs="宋体" w:eastAsia="宋体" w:hint="default"/>
                <w:w w:val="100"/>
                <w:sz w:val="18"/>
                <w:szCs w:val="18"/>
              </w:rPr>
              <w:t> </w:t>
            </w:r>
            <w:r>
              <w:rPr>
                <w:rFonts w:ascii="宋体" w:hAnsi="宋体" w:cs="宋体" w:eastAsia="宋体" w:hint="default"/>
                <w:sz w:val="18"/>
                <w:szCs w:val="18"/>
              </w:rPr>
              <w:t>厂房</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14,656,147.56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1,461,867.30</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6"/>
              <w:jc w:val="both"/>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w w:val="100"/>
                <w:sz w:val="18"/>
                <w:szCs w:val="18"/>
              </w:rPr>
              <w:t> </w:t>
            </w:r>
            <w:r>
              <w:rPr>
                <w:rFonts w:ascii="宋体" w:hAnsi="宋体" w:cs="宋体" w:eastAsia="宋体" w:hint="default"/>
                <w:sz w:val="18"/>
                <w:szCs w:val="18"/>
              </w:rPr>
              <w:t>市场</w:t>
            </w:r>
            <w:r>
              <w:rPr>
                <w:rFonts w:ascii="宋体" w:hAnsi="宋体" w:cs="宋体" w:eastAsia="宋体" w:hint="default"/>
                <w:w w:val="100"/>
                <w:sz w:val="18"/>
                <w:szCs w:val="18"/>
              </w:rPr>
              <w:t> </w:t>
            </w:r>
            <w:r>
              <w:rPr>
                <w:rFonts w:ascii="宋体" w:hAnsi="宋体" w:cs="宋体" w:eastAsia="宋体" w:hint="default"/>
                <w:sz w:val="18"/>
                <w:szCs w:val="18"/>
              </w:rPr>
              <w:t>融资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16,118,014.86</w:t>
            </w:r>
          </w:p>
        </w:tc>
      </w:tr>
      <w:tr>
        <w:trPr>
          <w:trHeight w:val="102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r>
              <w:rPr>
                <w:rFonts w:ascii="宋体" w:hAnsi="宋体" w:cs="宋体" w:eastAsia="宋体" w:hint="default"/>
                <w:w w:val="100"/>
                <w:sz w:val="18"/>
                <w:szCs w:val="18"/>
              </w:rPr>
              <w:t> </w:t>
            </w:r>
            <w:r>
              <w:rPr>
                <w:rFonts w:ascii="宋体" w:hAnsi="宋体" w:cs="宋体" w:eastAsia="宋体" w:hint="default"/>
                <w:sz w:val="18"/>
                <w:szCs w:val="18"/>
              </w:rPr>
              <w:t>厂房</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12,137,171.62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97,951,970.25</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6"/>
              <w:jc w:val="both"/>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w w:val="100"/>
                <w:sz w:val="18"/>
                <w:szCs w:val="18"/>
              </w:rPr>
              <w:t> </w:t>
            </w:r>
            <w:r>
              <w:rPr>
                <w:rFonts w:ascii="宋体" w:hAnsi="宋体" w:cs="宋体" w:eastAsia="宋体" w:hint="default"/>
                <w:sz w:val="18"/>
                <w:szCs w:val="18"/>
              </w:rPr>
              <w:t>市场</w:t>
            </w:r>
            <w:r>
              <w:rPr>
                <w:rFonts w:ascii="宋体" w:hAnsi="宋体" w:cs="宋体" w:eastAsia="宋体" w:hint="default"/>
                <w:w w:val="100"/>
                <w:sz w:val="18"/>
                <w:szCs w:val="18"/>
              </w:rPr>
              <w:t> </w:t>
            </w:r>
            <w:r>
              <w:rPr>
                <w:rFonts w:ascii="宋体" w:hAnsi="宋体" w:cs="宋体" w:eastAsia="宋体" w:hint="default"/>
                <w:sz w:val="18"/>
                <w:szCs w:val="18"/>
              </w:rPr>
              <w:t>融资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110,089,141.87</w:t>
            </w:r>
          </w:p>
        </w:tc>
      </w:tr>
      <w:tr>
        <w:trPr>
          <w:trHeight w:val="1339"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聚酯</w:t>
            </w:r>
            <w:r>
              <w:rPr>
                <w:rFonts w:ascii="宋体" w:hAnsi="宋体" w:cs="宋体" w:eastAsia="宋体" w:hint="default"/>
                <w:w w:val="100"/>
                <w:sz w:val="18"/>
                <w:szCs w:val="18"/>
              </w:rPr>
              <w:t> </w:t>
            </w:r>
            <w:r>
              <w:rPr>
                <w:rFonts w:ascii="宋体" w:hAnsi="宋体" w:cs="宋体" w:eastAsia="宋体" w:hint="default"/>
                <w:sz w:val="18"/>
                <w:szCs w:val="18"/>
              </w:rPr>
              <w:t>薄膜</w:t>
            </w:r>
            <w:r>
              <w:rPr>
                <w:rFonts w:ascii="宋体" w:hAnsi="宋体" w:cs="宋体" w:eastAsia="宋体" w:hint="default"/>
                <w:w w:val="100"/>
                <w:sz w:val="18"/>
                <w:szCs w:val="18"/>
              </w:rPr>
              <w:t> </w:t>
            </w:r>
            <w:r>
              <w:rPr>
                <w:rFonts w:ascii="宋体" w:hAnsi="宋体" w:cs="宋体" w:eastAsia="宋体" w:hint="default"/>
                <w:sz w:val="18"/>
                <w:szCs w:val="18"/>
              </w:rPr>
              <w:t>生产</w:t>
            </w:r>
            <w:r>
              <w:rPr>
                <w:rFonts w:ascii="宋体" w:hAnsi="宋体" w:cs="宋体" w:eastAsia="宋体" w:hint="default"/>
                <w:w w:val="100"/>
                <w:sz w:val="18"/>
                <w:szCs w:val="18"/>
              </w:rPr>
              <w:t> </w:t>
            </w:r>
            <w:r>
              <w:rPr>
                <w:rFonts w:ascii="宋体" w:hAnsi="宋体" w:cs="宋体" w:eastAsia="宋体" w:hint="default"/>
                <w:sz w:val="18"/>
                <w:szCs w:val="18"/>
              </w:rPr>
              <w:t>线</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50,538,717.30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300,041,906.13</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46"/>
              <w:jc w:val="both"/>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w w:val="100"/>
                <w:sz w:val="18"/>
                <w:szCs w:val="18"/>
              </w:rPr>
              <w:t> </w:t>
            </w:r>
            <w:r>
              <w:rPr>
                <w:rFonts w:ascii="宋体" w:hAnsi="宋体" w:cs="宋体" w:eastAsia="宋体" w:hint="default"/>
                <w:sz w:val="18"/>
                <w:szCs w:val="18"/>
              </w:rPr>
              <w:t>市场</w:t>
            </w:r>
            <w:r>
              <w:rPr>
                <w:rFonts w:ascii="宋体" w:hAnsi="宋体" w:cs="宋体" w:eastAsia="宋体" w:hint="default"/>
                <w:w w:val="100"/>
                <w:sz w:val="18"/>
                <w:szCs w:val="18"/>
              </w:rPr>
              <w:t> </w:t>
            </w:r>
            <w:r>
              <w:rPr>
                <w:rFonts w:ascii="宋体" w:hAnsi="宋体" w:cs="宋体" w:eastAsia="宋体" w:hint="default"/>
                <w:sz w:val="18"/>
                <w:szCs w:val="18"/>
              </w:rPr>
              <w:t>融资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350,580,623.43</w:t>
            </w:r>
          </w:p>
        </w:tc>
      </w:tr>
      <w:tr>
        <w:trPr>
          <w:trHeight w:val="133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聚酯</w:t>
            </w:r>
            <w:r>
              <w:rPr>
                <w:rFonts w:ascii="宋体" w:hAnsi="宋体" w:cs="宋体" w:eastAsia="宋体" w:hint="default"/>
                <w:w w:val="100"/>
                <w:sz w:val="18"/>
                <w:szCs w:val="18"/>
              </w:rPr>
              <w:t> </w:t>
            </w:r>
            <w:r>
              <w:rPr>
                <w:rFonts w:ascii="宋体" w:hAnsi="宋体" w:cs="宋体" w:eastAsia="宋体" w:hint="default"/>
                <w:sz w:val="18"/>
                <w:szCs w:val="18"/>
              </w:rPr>
              <w:t>切片</w:t>
            </w:r>
            <w:r>
              <w:rPr>
                <w:rFonts w:ascii="宋体" w:hAnsi="宋体" w:cs="宋体" w:eastAsia="宋体" w:hint="default"/>
                <w:w w:val="100"/>
                <w:sz w:val="18"/>
                <w:szCs w:val="18"/>
              </w:rPr>
              <w:t> </w:t>
            </w:r>
            <w:r>
              <w:rPr>
                <w:rFonts w:ascii="宋体" w:hAnsi="宋体" w:cs="宋体" w:eastAsia="宋体" w:hint="default"/>
                <w:sz w:val="18"/>
                <w:szCs w:val="18"/>
              </w:rPr>
              <w:t>生产</w:t>
            </w:r>
            <w:r>
              <w:rPr>
                <w:rFonts w:ascii="宋体" w:hAnsi="宋体" w:cs="宋体" w:eastAsia="宋体" w:hint="default"/>
                <w:w w:val="100"/>
                <w:sz w:val="18"/>
                <w:szCs w:val="18"/>
              </w:rPr>
              <w:t> </w:t>
            </w:r>
            <w:r>
              <w:rPr>
                <w:rFonts w:ascii="宋体" w:hAnsi="宋体" w:cs="宋体" w:eastAsia="宋体" w:hint="default"/>
                <w:sz w:val="18"/>
                <w:szCs w:val="18"/>
              </w:rPr>
              <w:t>线</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126,411,332.95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17,980,284.80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144,391,617.75</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46"/>
              <w:jc w:val="both"/>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w w:val="100"/>
                <w:sz w:val="18"/>
                <w:szCs w:val="18"/>
              </w:rPr>
              <w:t> </w:t>
            </w:r>
            <w:r>
              <w:rPr>
                <w:rFonts w:ascii="宋体" w:hAnsi="宋体" w:cs="宋体" w:eastAsia="宋体" w:hint="default"/>
                <w:sz w:val="18"/>
                <w:szCs w:val="18"/>
              </w:rPr>
              <w:t>市场</w:t>
            </w:r>
            <w:r>
              <w:rPr>
                <w:rFonts w:ascii="宋体" w:hAnsi="宋体" w:cs="宋体" w:eastAsia="宋体" w:hint="default"/>
                <w:w w:val="100"/>
                <w:sz w:val="18"/>
                <w:szCs w:val="18"/>
              </w:rPr>
              <w:t> </w:t>
            </w:r>
            <w:r>
              <w:rPr>
                <w:rFonts w:ascii="宋体" w:hAnsi="宋体" w:cs="宋体" w:eastAsia="宋体" w:hint="default"/>
                <w:sz w:val="18"/>
                <w:szCs w:val="18"/>
              </w:rPr>
              <w:t>融资</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245,785,847.55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417,436,028.48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4" w:right="0"/>
              <w:jc w:val="center"/>
              <w:rPr>
                <w:rFonts w:ascii="Times New Roman" w:hAnsi="Times New Roman" w:cs="Times New Roman" w:eastAsia="Times New Roman" w:hint="default"/>
                <w:sz w:val="15"/>
                <w:szCs w:val="15"/>
              </w:rPr>
            </w:pPr>
            <w:r>
              <w:rPr>
                <w:rFonts w:ascii="Times New Roman"/>
                <w:sz w:val="15"/>
              </w:rPr>
              <w:t>144,391,617.75</w:t>
            </w:r>
          </w:p>
        </w:tc>
        <w:tc>
          <w:tcPr>
            <w:tcW w:w="1080"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109"/>
              <w:ind w:right="12"/>
              <w:jc w:val="right"/>
              <w:rPr>
                <w:rFonts w:ascii="Times New Roman" w:hAnsi="Times New Roman" w:cs="Times New Roman" w:eastAsia="Times New Roman" w:hint="default"/>
                <w:sz w:val="15"/>
                <w:szCs w:val="15"/>
              </w:rPr>
            </w:pPr>
            <w:r>
              <w:rPr>
                <w:rFonts w:ascii="Times New Roman"/>
                <w:spacing w:val="-1"/>
                <w:sz w:val="15"/>
              </w:rPr>
              <w:t>3,181,054.30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12" w:space="0" w:color="D3D3D3"/>
            </w:tcBorders>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515,649,203.98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pStyle w:val="BodyText"/>
        <w:spacing w:line="256" w:lineRule="auto" w:before="94"/>
        <w:ind w:right="0"/>
        <w:jc w:val="left"/>
      </w:pPr>
      <w:r>
        <w:rPr>
          <w:spacing w:val="-2"/>
        </w:rPr>
        <w:t>在建工程期末数比期初数增加</w:t>
      </w:r>
      <w:r>
        <w:rPr>
          <w:rFonts w:ascii="Times New Roman" w:hAnsi="Times New Roman" w:cs="Times New Roman" w:eastAsia="Times New Roman" w:hint="default"/>
          <w:spacing w:val="-2"/>
        </w:rPr>
        <w:t>269,863,356.43</w:t>
      </w:r>
      <w:r>
        <w:rPr>
          <w:spacing w:val="-2"/>
        </w:rPr>
        <w:t>元，增加比例为</w:t>
      </w:r>
      <w:r>
        <w:rPr>
          <w:rFonts w:ascii="Times New Roman" w:hAnsi="Times New Roman" w:cs="Times New Roman" w:eastAsia="Times New Roman" w:hint="default"/>
          <w:spacing w:val="-2"/>
        </w:rPr>
        <w:t>109.80%</w:t>
      </w:r>
      <w:r>
        <w:rPr>
          <w:spacing w:val="-2"/>
        </w:rPr>
        <w:t>，增加原因系公司本期超募项目建设</w:t>
      </w:r>
      <w:r>
        <w:rPr>
          <w:spacing w:val="-11"/>
        </w:rPr>
        <w:t> </w:t>
      </w:r>
      <w:r>
        <w:rPr>
          <w:spacing w:val="-11"/>
        </w:rPr>
      </w:r>
      <w:r>
        <w:rPr/>
        <w:t>未到验收完工期所致。</w:t>
      </w:r>
    </w:p>
    <w:p>
      <w:pPr>
        <w:spacing w:line="240" w:lineRule="auto" w:before="8"/>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b/>
          <w:bCs/>
        </w:rPr>
        <w:t>3</w:t>
      </w:r>
      <w:r>
        <w:rPr/>
        <w:t>）在建工程减值准备</w:t>
      </w:r>
    </w:p>
    <w:p>
      <w:pPr>
        <w:spacing w:line="240" w:lineRule="auto" w:before="4"/>
        <w:rPr>
          <w:rFonts w:ascii="宋体" w:hAnsi="宋体" w:cs="宋体" w:eastAsia="宋体" w:hint="default"/>
          <w:sz w:val="26"/>
          <w:szCs w:val="26"/>
        </w:rPr>
      </w:pPr>
    </w:p>
    <w:p>
      <w:pPr>
        <w:spacing w:before="0"/>
        <w:ind w:left="0" w:right="4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584"/>
        <w:gridCol w:w="1596"/>
        <w:gridCol w:w="1594"/>
        <w:gridCol w:w="1594"/>
        <w:gridCol w:w="1596"/>
        <w:gridCol w:w="1591"/>
      </w:tblGrid>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b/>
          <w:bCs/>
        </w:rPr>
        <w:t>4</w:t>
      </w:r>
      <w:r>
        <w:rPr/>
        <w:t>）重大在建工程的工程进度情况</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178"/>
        <w:gridCol w:w="3190"/>
        <w:gridCol w:w="3190"/>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00" w:h="16840"/>
          <w:pgMar w:header="746" w:footer="982" w:top="1060" w:bottom="1180" w:left="980" w:right="6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）在建工程的说明</w:t>
      </w:r>
    </w:p>
    <w:p>
      <w:pPr>
        <w:spacing w:line="240" w:lineRule="auto" w:before="10"/>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sz w:val="21"/>
          <w:szCs w:val="21"/>
        </w:rPr>
        <w:t>、工程物资</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049"/>
        <w:gridCol w:w="1604"/>
        <w:gridCol w:w="1462"/>
        <w:gridCol w:w="1594"/>
        <w:gridCol w:w="1860"/>
      </w:tblGrid>
      <w:tr>
        <w:trPr>
          <w:trHeight w:val="401"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sz w:val="21"/>
          <w:szCs w:val="21"/>
        </w:rPr>
        <w:t>、固定资产清理</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17"/>
        <w:gridCol w:w="2003"/>
        <w:gridCol w:w="2126"/>
        <w:gridCol w:w="2522"/>
      </w:tblGrid>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年的固定资产清理进展情况</w:t>
      </w:r>
    </w:p>
    <w:p>
      <w:pPr>
        <w:spacing w:line="240" w:lineRule="auto" w:before="13"/>
        <w:rPr>
          <w:rFonts w:ascii="宋体" w:hAnsi="宋体" w:cs="宋体" w:eastAsia="宋体" w:hint="default"/>
          <w:sz w:val="25"/>
          <w:szCs w:val="25"/>
        </w:rPr>
      </w:pPr>
    </w:p>
    <w:p>
      <w:pPr>
        <w:pStyle w:val="BodyText"/>
        <w:spacing w:line="240" w:lineRule="auto"/>
        <w:ind w:right="145"/>
        <w:jc w:val="left"/>
      </w:pPr>
      <w:r>
        <w:rPr>
          <w:rFonts w:ascii="Times New Roman" w:hAnsi="Times New Roman" w:cs="Times New Roman" w:eastAsia="Times New Roman" w:hint="default"/>
          <w:b/>
          <w:bCs/>
        </w:rPr>
        <w:t>21</w:t>
      </w:r>
      <w:r>
        <w:rPr/>
        <w:t>、生产性生物资产</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）以成本计量</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85"/>
        <w:gridCol w:w="1726"/>
        <w:gridCol w:w="1860"/>
        <w:gridCol w:w="2126"/>
        <w:gridCol w:w="1860"/>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）以公允价值计量</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85"/>
        <w:gridCol w:w="1726"/>
        <w:gridCol w:w="1860"/>
        <w:gridCol w:w="2126"/>
        <w:gridCol w:w="1860"/>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sz w:val="21"/>
          <w:szCs w:val="21"/>
        </w:rPr>
        <w:t>、油气资产</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46"/>
              <w:jc w:val="left"/>
              <w:rPr>
                <w:rFonts w:ascii="宋体" w:hAnsi="宋体" w:cs="宋体" w:eastAsia="宋体" w:hint="default"/>
                <w:sz w:val="18"/>
                <w:szCs w:val="18"/>
              </w:rPr>
            </w:pPr>
            <w:r>
              <w:rPr>
                <w:rFonts w:ascii="宋体" w:hAnsi="宋体" w:cs="宋体" w:eastAsia="宋体" w:hint="default"/>
                <w:sz w:val="18"/>
                <w:szCs w:val="18"/>
              </w:rPr>
              <w:t>四、油气资产账面价值合</w:t>
            </w:r>
            <w:r>
              <w:rPr>
                <w:rFonts w:ascii="宋体" w:hAnsi="宋体" w:cs="宋体" w:eastAsia="宋体" w:hint="default"/>
                <w:w w:val="100"/>
                <w:sz w:val="18"/>
                <w:szCs w:val="18"/>
              </w:rPr>
              <w:t> </w:t>
            </w:r>
            <w:r>
              <w:rPr>
                <w:rFonts w:ascii="宋体" w:hAnsi="宋体" w:cs="宋体" w:eastAsia="宋体" w:hint="default"/>
                <w:sz w:val="18"/>
                <w:szCs w:val="18"/>
              </w:rPr>
              <w:t>计</w:t>
            </w:r>
          </w:p>
        </w:tc>
        <w:tc>
          <w:tcPr>
            <w:tcW w:w="17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sz w:val="21"/>
          <w:szCs w:val="21"/>
        </w:rPr>
        <w:t>、无形资产</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）无形资产情况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92,985,810.06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93,985,810.06</w:t>
            </w:r>
          </w:p>
        </w:tc>
      </w:tr>
      <w:tr>
        <w:trPr>
          <w:trHeight w:val="401" w:hRule="exact"/>
        </w:trPr>
        <w:tc>
          <w:tcPr>
            <w:tcW w:w="219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85,985,810.06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85,985,810.06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6,481,791.70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3,286,296.40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9,768,088.10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3,681,792.00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1,748,796.36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5,430,588.36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2,799,999.70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1,537,500.04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4,337,499.74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86,504,018.36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-2,286,296.40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84,217,721.96</w:t>
            </w:r>
          </w:p>
        </w:tc>
      </w:tr>
      <w:tr>
        <w:trPr>
          <w:trHeight w:val="401" w:hRule="exact"/>
        </w:trPr>
        <w:tc>
          <w:tcPr>
            <w:tcW w:w="219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82,304,018.06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-1,748,796.36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80,555,221.70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-537,500.04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3,662,500.26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86,504,018.36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-2,286,296.40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84,217,721.96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82,304,018.06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-1,748,796.36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80,555,221.70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-537,500.04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3,662,500.26</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本期摊销额元。</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2</w:t>
      </w:r>
      <w:r>
        <w:rPr/>
        <w:t>）公司开发项目支出</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8"/>
        <w:gridCol w:w="1596"/>
        <w:gridCol w:w="1594"/>
        <w:gridCol w:w="1591"/>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bl>
    <w:p>
      <w:pPr>
        <w:spacing w:line="360" w:lineRule="auto" w:before="49"/>
        <w:ind w:left="152" w:right="3248"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w w:val="100"/>
          <w:sz w:val="18"/>
          <w:szCs w:val="18"/>
        </w:rPr>
        <w:t> </w:t>
      </w:r>
      <w:r>
        <w:rPr>
          <w:rFonts w:ascii="宋体" w:hAnsi="宋体" w:cs="宋体" w:eastAsia="宋体" w:hint="default"/>
          <w:spacing w:val="-1"/>
          <w:sz w:val="18"/>
          <w:szCs w:val="18"/>
        </w:rPr>
        <w:t>通过公司内部研发形成的无形资产占无形资产期末账面价值的比例。</w:t>
      </w:r>
    </w:p>
    <w:p>
      <w:pPr>
        <w:spacing w:before="25"/>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公司开发项目的说明，包括本期发生的单项价值在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万元以上且以评估值为入账依据的，应披露评估机构名称、评估方法</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sz w:val="21"/>
          <w:szCs w:val="21"/>
        </w:rPr>
        <w:t>、商誉</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515"/>
        <w:gridCol w:w="1462"/>
        <w:gridCol w:w="1459"/>
        <w:gridCol w:w="1459"/>
        <w:gridCol w:w="1462"/>
        <w:gridCol w:w="1198"/>
      </w:tblGrid>
      <w:tr>
        <w:trPr>
          <w:trHeight w:val="715" w:hRule="exact"/>
        </w:trPr>
        <w:tc>
          <w:tcPr>
            <w:tcW w:w="2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67" w:right="86"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w:t>
            </w:r>
            <w:r>
              <w:rPr>
                <w:rFonts w:ascii="宋体" w:hAnsi="宋体" w:cs="宋体" w:eastAsia="宋体" w:hint="default"/>
                <w:w w:val="100"/>
                <w:sz w:val="18"/>
                <w:szCs w:val="18"/>
              </w:rPr>
              <w:t> </w:t>
            </w:r>
            <w:r>
              <w:rPr>
                <w:rFonts w:ascii="宋体" w:hAnsi="宋体" w:cs="宋体" w:eastAsia="宋体" w:hint="default"/>
                <w:sz w:val="18"/>
                <w:szCs w:val="18"/>
              </w:rPr>
              <w:t>事项</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sz w:val="21"/>
          <w:szCs w:val="21"/>
        </w:rPr>
        <w:t>、长期待摊费用</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58"/>
        <w:gridCol w:w="1378"/>
        <w:gridCol w:w="1368"/>
        <w:gridCol w:w="1366"/>
        <w:gridCol w:w="1368"/>
        <w:gridCol w:w="1366"/>
        <w:gridCol w:w="1368"/>
      </w:tblGrid>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26</w:t>
      </w:r>
      <w:r>
        <w:rPr/>
        <w:t>、递延所得税资产和递延所得税负债</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）递延所得税资产和递延所得税负债不以抵销后的净额列示</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704"/>
        <w:gridCol w:w="2930"/>
        <w:gridCol w:w="2920"/>
      </w:tblGrid>
      <w:tr>
        <w:trPr>
          <w:trHeight w:val="406"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718,283.65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506,473.30</w:t>
            </w:r>
          </w:p>
        </w:tc>
      </w:tr>
      <w:tr>
        <w:trPr>
          <w:trHeight w:val="403"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718,283.65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506,473.30</w:t>
            </w:r>
          </w:p>
        </w:tc>
      </w:tr>
      <w:tr>
        <w:trPr>
          <w:trHeight w:val="401" w:hRule="exact"/>
        </w:trPr>
        <w:tc>
          <w:tcPr>
            <w:tcW w:w="95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710"/>
        <w:gridCol w:w="2923"/>
        <w:gridCol w:w="2921"/>
      </w:tblGrid>
      <w:tr>
        <w:trPr>
          <w:trHeight w:val="396"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6"/>
        <w:ind w:left="152" w:right="145"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85"/>
        <w:gridCol w:w="2258"/>
        <w:gridCol w:w="1994"/>
        <w:gridCol w:w="3319"/>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854"/>
        <w:gridCol w:w="2926"/>
        <w:gridCol w:w="2786"/>
      </w:tblGrid>
      <w:tr>
        <w:trPr>
          <w:trHeight w:val="403" w:hRule="exact"/>
        </w:trPr>
        <w:tc>
          <w:tcPr>
            <w:tcW w:w="3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0" w:hRule="exact"/>
        </w:trPr>
        <w:tc>
          <w:tcPr>
            <w:tcW w:w="3854" w:type="dxa"/>
            <w:vMerge/>
            <w:tcBorders>
              <w:left w:val="single" w:sz="4" w:space="0" w:color="000000"/>
              <w:bottom w:val="single" w:sz="4" w:space="0" w:color="000000"/>
              <w:right w:val="single" w:sz="4" w:space="0" w:color="000000"/>
            </w:tcBorders>
            <w:shd w:val="clear" w:color="auto" w:fill="D3D3D3"/>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4"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）递延所得税资产和递延所得税负债以抵销后的净额列示</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050"/>
        <w:gridCol w:w="1625"/>
        <w:gridCol w:w="1627"/>
        <w:gridCol w:w="1627"/>
        <w:gridCol w:w="1630"/>
      </w:tblGrid>
      <w:tr>
        <w:trPr>
          <w:trHeight w:val="317"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6" w:right="86"/>
              <w:jc w:val="center"/>
              <w:rPr>
                <w:rFonts w:ascii="宋体" w:hAnsi="宋体" w:cs="宋体" w:eastAsia="宋体" w:hint="default"/>
                <w:sz w:val="18"/>
                <w:szCs w:val="18"/>
              </w:rPr>
            </w:pPr>
            <w:r>
              <w:rPr>
                <w:rFonts w:ascii="宋体" w:hAnsi="宋体" w:cs="宋体" w:eastAsia="宋体" w:hint="default"/>
                <w:spacing w:val="-1"/>
                <w:sz w:val="18"/>
                <w:szCs w:val="18"/>
              </w:rPr>
              <w:t>报告期末互抵后的</w:t>
            </w:r>
            <w:r>
              <w:rPr>
                <w:rFonts w:ascii="宋体" w:hAnsi="宋体" w:cs="宋体" w:eastAsia="宋体" w:hint="default"/>
                <w:w w:val="100"/>
                <w:sz w:val="18"/>
                <w:szCs w:val="18"/>
              </w:rPr>
              <w:t> </w:t>
            </w:r>
            <w:r>
              <w:rPr>
                <w:rFonts w:ascii="宋体" w:hAnsi="宋体" w:cs="宋体" w:eastAsia="宋体" w:hint="default"/>
                <w:spacing w:val="-1"/>
                <w:sz w:val="18"/>
                <w:szCs w:val="18"/>
              </w:rPr>
              <w:t>递延所得税资产或</w:t>
            </w:r>
            <w:r>
              <w:rPr>
                <w:rFonts w:ascii="宋体" w:hAnsi="宋体" w:cs="宋体" w:eastAsia="宋体" w:hint="default"/>
                <w:w w:val="100"/>
                <w:sz w:val="18"/>
                <w:szCs w:val="18"/>
              </w:rPr>
              <w:t> </w:t>
            </w:r>
            <w:r>
              <w:rPr>
                <w:rFonts w:ascii="宋体" w:hAnsi="宋体" w:cs="宋体" w:eastAsia="宋体" w:hint="default"/>
                <w:sz w:val="18"/>
                <w:szCs w:val="18"/>
              </w:rPr>
              <w:t>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91" w:right="83"/>
              <w:jc w:val="center"/>
              <w:rPr>
                <w:rFonts w:ascii="宋体" w:hAnsi="宋体" w:cs="宋体" w:eastAsia="宋体" w:hint="default"/>
                <w:sz w:val="18"/>
                <w:szCs w:val="18"/>
              </w:rPr>
            </w:pPr>
            <w:r>
              <w:rPr>
                <w:rFonts w:ascii="宋体" w:hAnsi="宋体" w:cs="宋体" w:eastAsia="宋体" w:hint="default"/>
                <w:spacing w:val="-1"/>
                <w:sz w:val="18"/>
                <w:szCs w:val="18"/>
              </w:rPr>
              <w:t>报告期末互抵后的</w:t>
            </w:r>
            <w:r>
              <w:rPr>
                <w:rFonts w:ascii="宋体" w:hAnsi="宋体" w:cs="宋体" w:eastAsia="宋体" w:hint="default"/>
                <w:w w:val="100"/>
                <w:sz w:val="18"/>
                <w:szCs w:val="18"/>
              </w:rPr>
              <w:t> </w:t>
            </w:r>
            <w:r>
              <w:rPr>
                <w:rFonts w:ascii="宋体" w:hAnsi="宋体" w:cs="宋体" w:eastAsia="宋体" w:hint="default"/>
                <w:spacing w:val="-1"/>
                <w:sz w:val="18"/>
                <w:szCs w:val="18"/>
              </w:rPr>
              <w:t>可抵扣或应纳税暂</w:t>
            </w:r>
            <w:r>
              <w:rPr>
                <w:rFonts w:ascii="宋体" w:hAnsi="宋体" w:cs="宋体" w:eastAsia="宋体" w:hint="default"/>
                <w:w w:val="100"/>
                <w:sz w:val="18"/>
                <w:szCs w:val="18"/>
              </w:rPr>
              <w:t> </w:t>
            </w:r>
            <w:r>
              <w:rPr>
                <w:rFonts w:ascii="宋体" w:hAnsi="宋体" w:cs="宋体" w:eastAsia="宋体" w:hint="default"/>
                <w:sz w:val="18"/>
                <w:szCs w:val="18"/>
              </w:rPr>
              <w:t>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pacing w:val="-1"/>
                <w:sz w:val="18"/>
                <w:szCs w:val="18"/>
              </w:rPr>
              <w:t>报告期初互抵后的</w:t>
            </w:r>
            <w:r>
              <w:rPr>
                <w:rFonts w:ascii="宋体" w:hAnsi="宋体" w:cs="宋体" w:eastAsia="宋体" w:hint="default"/>
                <w:w w:val="100"/>
                <w:sz w:val="18"/>
                <w:szCs w:val="18"/>
              </w:rPr>
              <w:t> </w:t>
            </w:r>
            <w:r>
              <w:rPr>
                <w:rFonts w:ascii="宋体" w:hAnsi="宋体" w:cs="宋体" w:eastAsia="宋体" w:hint="default"/>
                <w:spacing w:val="-1"/>
                <w:sz w:val="18"/>
                <w:szCs w:val="18"/>
              </w:rPr>
              <w:t>递延所得税资产或</w:t>
            </w:r>
            <w:r>
              <w:rPr>
                <w:rFonts w:ascii="宋体" w:hAnsi="宋体" w:cs="宋体" w:eastAsia="宋体" w:hint="default"/>
                <w:w w:val="100"/>
                <w:sz w:val="18"/>
                <w:szCs w:val="18"/>
              </w:rPr>
              <w:t> </w:t>
            </w:r>
            <w:r>
              <w:rPr>
                <w:rFonts w:ascii="宋体" w:hAnsi="宋体" w:cs="宋体" w:eastAsia="宋体" w:hint="default"/>
                <w:sz w:val="18"/>
                <w:szCs w:val="18"/>
              </w:rPr>
              <w:t>负债</w:t>
            </w:r>
          </w:p>
        </w:tc>
        <w:tc>
          <w:tcPr>
            <w:tcW w:w="16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8" w:right="88"/>
              <w:jc w:val="center"/>
              <w:rPr>
                <w:rFonts w:ascii="宋体" w:hAnsi="宋体" w:cs="宋体" w:eastAsia="宋体" w:hint="default"/>
                <w:sz w:val="18"/>
                <w:szCs w:val="18"/>
              </w:rPr>
            </w:pPr>
            <w:r>
              <w:rPr>
                <w:rFonts w:ascii="宋体" w:hAnsi="宋体" w:cs="宋体" w:eastAsia="宋体" w:hint="default"/>
                <w:spacing w:val="-1"/>
                <w:sz w:val="18"/>
                <w:szCs w:val="18"/>
              </w:rPr>
              <w:t>报告期初互抵后的</w:t>
            </w:r>
            <w:r>
              <w:rPr>
                <w:rFonts w:ascii="宋体" w:hAnsi="宋体" w:cs="宋体" w:eastAsia="宋体" w:hint="default"/>
                <w:w w:val="100"/>
                <w:sz w:val="18"/>
                <w:szCs w:val="18"/>
              </w:rPr>
              <w:t> </w:t>
            </w:r>
            <w:r>
              <w:rPr>
                <w:rFonts w:ascii="宋体" w:hAnsi="宋体" w:cs="宋体" w:eastAsia="宋体" w:hint="default"/>
                <w:spacing w:val="-1"/>
                <w:sz w:val="18"/>
                <w:szCs w:val="18"/>
              </w:rPr>
              <w:t>可抵扣或应纳税暂</w:t>
            </w:r>
            <w:r>
              <w:rPr>
                <w:rFonts w:ascii="宋体" w:hAnsi="宋体" w:cs="宋体" w:eastAsia="宋体" w:hint="default"/>
                <w:w w:val="100"/>
                <w:sz w:val="18"/>
                <w:szCs w:val="18"/>
              </w:rPr>
              <w:t> </w:t>
            </w:r>
            <w:r>
              <w:rPr>
                <w:rFonts w:ascii="宋体" w:hAnsi="宋体" w:cs="宋体" w:eastAsia="宋体" w:hint="default"/>
                <w:sz w:val="18"/>
                <w:szCs w:val="18"/>
              </w:rPr>
              <w:t>时性差异</w:t>
            </w:r>
          </w:p>
        </w:tc>
      </w:tr>
      <w:tr>
        <w:trPr>
          <w:trHeight w:val="392"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30" w:type="dxa"/>
            <w:vMerge/>
            <w:tcBorders>
              <w:left w:val="single" w:sz="4" w:space="0" w:color="000000"/>
              <w:right w:val="single" w:sz="4" w:space="0" w:color="000000"/>
            </w:tcBorders>
            <w:shd w:val="clear" w:color="auto" w:fill="D3D3D3"/>
          </w:tcPr>
          <w:p>
            <w:pPr/>
          </w:p>
        </w:tc>
      </w:tr>
      <w:tr>
        <w:trPr>
          <w:trHeight w:val="316"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5"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3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718,283.65</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506,473.30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2;top:14;width:2;height:392" coordorigin="22,14" coordsize="2,392">
              <v:shape style="position:absolute;left:22;top:14;width:2;height:392" coordorigin="22,14" coordsize="0,392" path="m22,14l22,406e" filled="false" stroked="true" strokeweight="1.199996pt" strokecolor="#d3d3d3">
                <v:path arrowok="t"/>
              </v:shape>
            </v:group>
            <v:group style="position:absolute;left:3846;top:14;width:2;height:392" coordorigin="3846,14" coordsize="2,392">
              <v:shape style="position:absolute;left:3846;top:14;width:2;height:392" coordorigin="3846,14" coordsize="0,392" path="m3846,14l3846,406e" filled="false" stroked="true" strokeweight="1.08pt" strokecolor="#d3d3d3">
                <v:path arrowok="t"/>
              </v:shape>
            </v:group>
            <v:group style="position:absolute;left:34;top:14;width:3802;height:392" coordorigin="34,14" coordsize="3802,392">
              <v:shape style="position:absolute;left:34;top:14;width:3802;height:392" coordorigin="34,14" coordsize="3802,392" path="m34,406l3835,406,3835,14,34,14,34,406xe" filled="true" fillcolor="#d3d3d3" stroked="false">
                <v:path arrowok="t"/>
                <v:fill type="solid"/>
              </v:shape>
            </v:group>
            <v:group style="position:absolute;left:3877;top:14;width:2;height:392" coordorigin="3877,14" coordsize="2,392">
              <v:shape style="position:absolute;left:3877;top:14;width:2;height:392" coordorigin="3877,14" coordsize="0,392" path="m3877,14l3877,406e" filled="false" stroked="true" strokeweight="1.079985pt" strokecolor="#d3d3d3">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d3d3d3">
                <v:path arrowok="t"/>
              </v:shape>
            </v:group>
            <v:group style="position:absolute;left:3888;top:14;width:5657;height:392" coordorigin="3888,14" coordsize="5657,392">
              <v:shape style="position:absolute;left:3888;top:14;width:5657;height:392" coordorigin="3888,14" coordsize="5657,392" path="m3888,406l9545,406,9545,14,3888,14,3888,406xe" filled="true" fillcolor="#d3d3d3" stroked="false">
                <v:path arrowok="t"/>
                <v:fill type="solid"/>
              </v:shape>
            </v:group>
            <v:group style="position:absolute;left:10;top:10;width:3848;height:2" coordorigin="10,10" coordsize="3848,2">
              <v:shape style="position:absolute;left:10;top:10;width:3848;height:2" coordorigin="10,10" coordsize="3848,0" path="m10,10l3857,10e" filled="false" stroked="true" strokeweight=".48pt" strokecolor="#000000">
                <v:path arrowok="t"/>
              </v:shape>
            </v:group>
            <v:group style="position:absolute;left:3866;top:10;width:5703;height:2" coordorigin="3866,10" coordsize="5703,2">
              <v:shape style="position:absolute;left:3866;top:10;width:5703;height:2" coordorigin="3866,10" coordsize="5703,0" path="m3866,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3848;height:2" coordorigin="10,410" coordsize="3848,2">
              <v:shape style="position:absolute;left:10;top:410;width:3848;height:2" coordorigin="10,410" coordsize="3848,0" path="m10,410l3857,410e" filled="false" stroked="true" strokeweight=".48pt" strokecolor="#000000">
                <v:path arrowok="t"/>
              </v:shape>
            </v:group>
            <v:group style="position:absolute;left:3862;top:5;width:2;height:411" coordorigin="3862,5" coordsize="2,411">
              <v:shape style="position:absolute;left:3862;top:5;width:2;height:411" coordorigin="3862,5" coordsize="0,411" path="m3862,5l3862,415e" filled="false" stroked="true" strokeweight=".48pt" strokecolor="#000000">
                <v:path arrowok="t"/>
              </v:shape>
            </v:group>
            <v:group style="position:absolute;left:3866;top:410;width:5703;height:2" coordorigin="3866,410" coordsize="5703,2">
              <v:shape style="position:absolute;left:3866;top:410;width:5703;height:2" coordorigin="3866,410" coordsize="5703,0" path="m3866,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1752;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2;top:10;width:5712;height:401" type="#_x0000_t202" filled="false" stroked="false">
                <v:textbox inset="0,0,0,0">
                  <w:txbxContent>
                    <w:p>
                      <w:pPr>
                        <w:spacing w:before="53"/>
                        <w:ind w:left="0" w:right="2"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27</w:t>
      </w:r>
      <w:r>
        <w:rPr/>
        <w:t>、资产减值准备明细</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54"/>
        <w:gridCol w:w="1526"/>
        <w:gridCol w:w="1529"/>
        <w:gridCol w:w="1399"/>
        <w:gridCol w:w="1397"/>
        <w:gridCol w:w="1452"/>
      </w:tblGrid>
      <w:tr>
        <w:trPr>
          <w:trHeight w:val="202"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1" w:space="0" w:color="FFFFFF"/>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5"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6" w:type="dxa"/>
            <w:vMerge/>
            <w:tcBorders>
              <w:left w:val="single" w:sz="4" w:space="0" w:color="000000"/>
              <w:bottom w:val="nil" w:sz="6" w:space="0" w:color="auto"/>
              <w:right w:val="single" w:sz="4" w:space="0" w:color="000000"/>
            </w:tcBorders>
            <w:shd w:val="clear" w:color="auto" w:fill="D3D3D3"/>
          </w:tcPr>
          <w:p>
            <w:pPr/>
          </w:p>
        </w:tc>
        <w:tc>
          <w:tcPr>
            <w:tcW w:w="1529" w:type="dxa"/>
            <w:vMerge/>
            <w:tcBorders>
              <w:left w:val="single" w:sz="4" w:space="0" w:color="000000"/>
              <w:bottom w:val="nil" w:sz="6" w:space="0" w:color="auto"/>
              <w:right w:val="single" w:sz="4" w:space="0" w:color="000000"/>
            </w:tcBorders>
            <w:shd w:val="clear" w:color="auto" w:fill="D3D3D3"/>
          </w:tcPr>
          <w:p>
            <w:pPr/>
          </w:p>
        </w:tc>
        <w:tc>
          <w:tcPr>
            <w:tcW w:w="1399"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9" w:type="dxa"/>
            <w:vMerge/>
            <w:tcBorders>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2,025,893.21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2,025,893.21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4,788,557.66</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2,025,893.21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2,025,893.21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4,788,557.66</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28</w:t>
      </w:r>
      <w:r>
        <w:rPr/>
        <w:t>、其他非流动资产</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580"/>
        <w:gridCol w:w="2932"/>
        <w:gridCol w:w="3058"/>
      </w:tblGrid>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sz w:val="21"/>
          <w:szCs w:val="21"/>
        </w:rPr>
        <w:t>、短期借款</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）短期借款分类</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68"/>
        <w:gridCol w:w="2932"/>
        <w:gridCol w:w="3058"/>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26,144,552.96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26,144,552.96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）已到期未偿还的短期借款情况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596"/>
        <w:gridCol w:w="1282"/>
        <w:gridCol w:w="1279"/>
        <w:gridCol w:w="1654"/>
        <w:gridCol w:w="1752"/>
        <w:gridCol w:w="19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57" w:lineRule="auto" w:before="49"/>
        <w:ind w:left="152" w:right="3248"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w:t>
      </w:r>
      <w:r>
        <w:rPr>
          <w:rFonts w:ascii="宋体" w:hAnsi="宋体" w:cs="宋体" w:eastAsia="宋体" w:hint="default"/>
          <w:w w:val="100"/>
          <w:sz w:val="18"/>
          <w:szCs w:val="18"/>
        </w:rPr>
        <w:t> </w:t>
      </w:r>
      <w:r>
        <w:rPr>
          <w:rFonts w:ascii="宋体" w:hAnsi="宋体" w:cs="宋体" w:eastAsia="宋体" w:hint="default"/>
          <w:spacing w:val="-1"/>
          <w:sz w:val="18"/>
          <w:szCs w:val="18"/>
        </w:rPr>
        <w:t>短期借款的说明，包括已到期短期借款获展期的，说明展期条件、新的到期日</w:t>
      </w:r>
    </w:p>
    <w:p>
      <w:pPr>
        <w:spacing w:line="240" w:lineRule="auto" w:before="6"/>
        <w:rPr>
          <w:rFonts w:ascii="宋体" w:hAnsi="宋体" w:cs="宋体" w:eastAsia="宋体" w:hint="default"/>
          <w:sz w:val="20"/>
          <w:szCs w:val="20"/>
        </w:rPr>
      </w:pPr>
    </w:p>
    <w:p>
      <w:pPr>
        <w:pStyle w:val="BodyText"/>
        <w:spacing w:line="240" w:lineRule="auto"/>
        <w:ind w:right="145"/>
        <w:jc w:val="left"/>
      </w:pPr>
      <w:r>
        <w:rPr>
          <w:rFonts w:ascii="Times New Roman" w:hAnsi="Times New Roman" w:cs="Times New Roman" w:eastAsia="Times New Roman" w:hint="default"/>
          <w:b/>
          <w:bCs/>
        </w:rPr>
        <w:t>30</w:t>
      </w:r>
      <w:r>
        <w:rPr/>
        <w:t>、交易性金融负债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582"/>
        <w:gridCol w:w="2932"/>
        <w:gridCol w:w="3053"/>
      </w:tblGrid>
      <w:tr>
        <w:trPr>
          <w:trHeight w:val="403" w:hRule="exact"/>
        </w:trPr>
        <w:tc>
          <w:tcPr>
            <w:tcW w:w="3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79"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3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sz w:val="21"/>
          <w:szCs w:val="21"/>
        </w:rPr>
        <w:t>、应付票据</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68"/>
        <w:gridCol w:w="2932"/>
        <w:gridCol w:w="3058"/>
      </w:tblGrid>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380,239,710.85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314,525,500.00</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380,239,710.85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314,525,500.00</w:t>
            </w:r>
          </w:p>
        </w:tc>
      </w:tr>
    </w:tbl>
    <w:p>
      <w:pPr>
        <w:spacing w:line="357" w:lineRule="auto" w:before="49"/>
        <w:ind w:left="152" w:right="7262" w:firstLine="0"/>
        <w:jc w:val="left"/>
        <w:rPr>
          <w:rFonts w:ascii="宋体" w:hAnsi="宋体" w:cs="宋体" w:eastAsia="宋体" w:hint="default"/>
          <w:sz w:val="18"/>
          <w:szCs w:val="18"/>
        </w:rPr>
      </w:pPr>
      <w:r>
        <w:rPr>
          <w:rFonts w:ascii="宋体" w:hAnsi="宋体" w:cs="宋体" w:eastAsia="宋体" w:hint="default"/>
          <w:spacing w:val="-1"/>
          <w:sz w:val="18"/>
          <w:szCs w:val="18"/>
        </w:rPr>
        <w:t>下一会计期间将到期的金额元。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应付票据的说明</w:t>
      </w:r>
    </w:p>
    <w:p>
      <w:pPr>
        <w:spacing w:line="240" w:lineRule="auto" w:before="6"/>
        <w:rPr>
          <w:rFonts w:ascii="宋体" w:hAnsi="宋体" w:cs="宋体" w:eastAsia="宋体" w:hint="default"/>
          <w:sz w:val="20"/>
          <w:szCs w:val="20"/>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sz w:val="21"/>
          <w:szCs w:val="21"/>
        </w:rPr>
        <w:t>、应付账款</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）应付账款情况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37,196,242.92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25,512,646.14</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443,313.73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1,445,699.09</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1,044,879.89</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38,684,436.54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26,958,345.23</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）本报告期应付账款中应付持有公司</w:t>
      </w:r>
      <w:r>
        <w:rPr>
          <w:spacing w:val="-45"/>
        </w:rPr>
        <w:t> </w:t>
      </w:r>
      <w:r>
        <w:rPr>
          <w:rFonts w:ascii="Times New Roman" w:hAnsi="Times New Roman" w:cs="Times New Roman" w:eastAsia="Times New Roman" w:hint="default"/>
          <w:b/>
          <w:bCs/>
        </w:rPr>
        <w:t>5</w:t>
      </w:r>
      <w:r>
        <w:rPr/>
        <w:t>％（含</w:t>
      </w:r>
      <w:r>
        <w:rPr>
          <w:spacing w:val="-45"/>
        </w:rPr>
        <w:t> </w:t>
      </w:r>
      <w:r>
        <w:rPr>
          <w:rFonts w:ascii="Times New Roman" w:hAnsi="Times New Roman" w:cs="Times New Roman" w:eastAsia="Times New Roman" w:hint="default"/>
          <w:b/>
          <w:bCs/>
        </w:rPr>
        <w:t>5</w:t>
      </w:r>
      <w:r>
        <w:rPr/>
        <w:t>％）以上表决权股份的股东单位款项</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78"/>
        <w:gridCol w:w="2921"/>
        <w:gridCol w:w="3058"/>
      </w:tblGrid>
      <w:tr>
        <w:trPr>
          <w:trHeight w:val="396"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）账龄超过一年的大额应付账款情况的说明</w:t>
      </w:r>
    </w:p>
    <w:p>
      <w:pPr>
        <w:spacing w:line="240" w:lineRule="auto" w:before="9"/>
        <w:rPr>
          <w:rFonts w:ascii="宋体" w:hAnsi="宋体" w:cs="宋体" w:eastAsia="宋体" w:hint="default"/>
          <w:sz w:val="22"/>
          <w:szCs w:val="22"/>
        </w:rPr>
      </w:pPr>
    </w:p>
    <w:tbl>
      <w:tblPr>
        <w:tblW w:w="0" w:type="auto"/>
        <w:jc w:val="left"/>
        <w:tblInd w:w="1180" w:type="dxa"/>
        <w:tblLayout w:type="fixed"/>
        <w:tblCellMar>
          <w:top w:w="0" w:type="dxa"/>
          <w:left w:w="0" w:type="dxa"/>
          <w:bottom w:w="0" w:type="dxa"/>
          <w:right w:w="0" w:type="dxa"/>
        </w:tblCellMar>
        <w:tblLook w:val="01E0"/>
      </w:tblPr>
      <w:tblGrid>
        <w:gridCol w:w="2751"/>
        <w:gridCol w:w="3067"/>
        <w:gridCol w:w="1764"/>
      </w:tblGrid>
      <w:tr>
        <w:trPr>
          <w:trHeight w:val="377"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4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hAnsi="宋体" w:cs="宋体" w:eastAsia="宋体" w:hint="default"/>
                <w:spacing w:val="-2"/>
                <w:sz w:val="21"/>
                <w:szCs w:val="21"/>
              </w:rPr>
              <w:t>未偿付原因</w:t>
            </w:r>
          </w:p>
        </w:tc>
      </w:tr>
      <w:tr>
        <w:trPr>
          <w:trHeight w:val="375"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57" w:lineRule="exact"/>
              <w:ind w:right="880"/>
              <w:jc w:val="center"/>
              <w:rPr>
                <w:rFonts w:ascii="宋体" w:hAnsi="宋体" w:cs="宋体" w:eastAsia="宋体" w:hint="default"/>
                <w:sz w:val="20"/>
                <w:szCs w:val="20"/>
              </w:rPr>
            </w:pPr>
            <w:r>
              <w:rPr>
                <w:rFonts w:ascii="宋体" w:hAnsi="宋体" w:cs="宋体" w:eastAsia="宋体" w:hint="default"/>
                <w:sz w:val="20"/>
                <w:szCs w:val="20"/>
              </w:rPr>
              <w:t>珠海市智明有限公司</w:t>
            </w:r>
          </w:p>
        </w:tc>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2" w:right="0"/>
              <w:jc w:val="center"/>
              <w:rPr>
                <w:rFonts w:ascii="Times New Roman" w:hAnsi="Times New Roman" w:cs="Times New Roman" w:eastAsia="Times New Roman" w:hint="default"/>
                <w:sz w:val="21"/>
                <w:szCs w:val="21"/>
              </w:rPr>
            </w:pPr>
            <w:r>
              <w:rPr>
                <w:rFonts w:ascii="Times New Roman"/>
                <w:sz w:val="21"/>
              </w:rPr>
              <w:t>1,000,000.00</w:t>
            </w:r>
          </w:p>
        </w:tc>
        <w:tc>
          <w:tcPr>
            <w:tcW w:w="1764" w:type="dxa"/>
            <w:tcBorders>
              <w:top w:val="nil" w:sz="6" w:space="0" w:color="auto"/>
              <w:left w:val="nil" w:sz="6" w:space="0" w:color="auto"/>
              <w:bottom w:val="nil" w:sz="6" w:space="0" w:color="auto"/>
              <w:right w:val="nil" w:sz="6" w:space="0" w:color="auto"/>
            </w:tcBorders>
          </w:tcPr>
          <w:p>
            <w:pPr>
              <w:pStyle w:val="TableParagraph"/>
              <w:spacing w:line="265" w:lineRule="exact"/>
              <w:ind w:right="33"/>
              <w:jc w:val="right"/>
              <w:rPr>
                <w:rFonts w:ascii="宋体" w:hAnsi="宋体" w:cs="宋体" w:eastAsia="宋体" w:hint="default"/>
                <w:sz w:val="21"/>
                <w:szCs w:val="21"/>
              </w:rPr>
            </w:pPr>
            <w:r>
              <w:rPr>
                <w:rFonts w:ascii="宋体" w:hAnsi="宋体" w:cs="宋体" w:eastAsia="宋体" w:hint="default"/>
                <w:spacing w:val="-2"/>
                <w:sz w:val="21"/>
                <w:szCs w:val="21"/>
              </w:rPr>
              <w:t>未到结算期</w:t>
            </w:r>
          </w:p>
        </w:tc>
      </w:tr>
    </w:tbl>
    <w:p>
      <w:pPr>
        <w:spacing w:line="240" w:lineRule="auto" w:before="4"/>
        <w:rPr>
          <w:rFonts w:ascii="宋体" w:hAnsi="宋体" w:cs="宋体" w:eastAsia="宋体" w:hint="default"/>
          <w:sz w:val="16"/>
          <w:szCs w:val="16"/>
        </w:rPr>
      </w:pPr>
    </w:p>
    <w:p>
      <w:pPr>
        <w:pStyle w:val="BodyText"/>
        <w:spacing w:line="256" w:lineRule="auto" w:before="36"/>
        <w:ind w:right="145" w:firstLine="252"/>
        <w:jc w:val="left"/>
      </w:pPr>
      <w:r>
        <w:rPr>
          <w:spacing w:val="-3"/>
        </w:rPr>
        <w:t>应付账款年末数比年初数增加</w:t>
      </w:r>
      <w:r>
        <w:rPr>
          <w:rFonts w:ascii="Times New Roman" w:hAnsi="Times New Roman" w:cs="Times New Roman" w:eastAsia="Times New Roman" w:hint="default"/>
          <w:spacing w:val="-3"/>
        </w:rPr>
        <w:t>11,726,091.31</w:t>
      </w:r>
      <w:r>
        <w:rPr>
          <w:spacing w:val="-3"/>
        </w:rPr>
        <w:t>元，增加比例为</w:t>
      </w:r>
      <w:r>
        <w:rPr>
          <w:rFonts w:ascii="Times New Roman" w:hAnsi="Times New Roman" w:cs="Times New Roman" w:eastAsia="Times New Roman" w:hint="default"/>
          <w:spacing w:val="-3"/>
        </w:rPr>
        <w:t>43.50</w:t>
      </w:r>
      <w:r>
        <w:rPr>
          <w:spacing w:val="-3"/>
        </w:rPr>
        <w:t>％，增加原因系公司本期应付供应商的</w:t>
      </w:r>
      <w:r>
        <w:rPr>
          <w:w w:val="100"/>
        </w:rPr>
        <w:t> </w:t>
      </w:r>
      <w:r>
        <w:rPr/>
        <w:t>货款尚未到结算期所致。</w:t>
      </w:r>
    </w:p>
    <w:p>
      <w:pPr>
        <w:spacing w:line="240" w:lineRule="auto" w:before="8"/>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sz w:val="21"/>
          <w:szCs w:val="21"/>
        </w:rPr>
        <w:t>、预收账款</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）预收账款情况</w:t>
      </w:r>
    </w:p>
    <w:p>
      <w:pPr>
        <w:spacing w:line="240" w:lineRule="auto" w:before="2"/>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854"/>
        <w:gridCol w:w="2791"/>
        <w:gridCol w:w="2921"/>
      </w:tblGrid>
      <w:tr>
        <w:trPr>
          <w:trHeight w:val="329"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26,679,867.25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28,293,628.69</w:t>
            </w:r>
          </w:p>
        </w:tc>
      </w:tr>
      <w:tr>
        <w:trPr>
          <w:trHeight w:val="329"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730,246.07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750,952.08</w:t>
            </w:r>
          </w:p>
        </w:tc>
      </w:tr>
      <w:tr>
        <w:trPr>
          <w:trHeight w:val="33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402,633.49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27,812,746.81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29,044,580.77</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）本报告期预收账款中预收持有公司</w:t>
      </w:r>
      <w:r>
        <w:rPr>
          <w:spacing w:val="-45"/>
        </w:rPr>
        <w:t> </w:t>
      </w:r>
      <w:r>
        <w:rPr>
          <w:rFonts w:ascii="Times New Roman" w:hAnsi="Times New Roman" w:cs="Times New Roman" w:eastAsia="Times New Roman" w:hint="default"/>
          <w:b/>
          <w:bCs/>
        </w:rPr>
        <w:t>5</w:t>
      </w:r>
      <w:r>
        <w:rPr/>
        <w:t>％（含</w:t>
      </w:r>
      <w:r>
        <w:rPr>
          <w:spacing w:val="-45"/>
        </w:rPr>
        <w:t> </w:t>
      </w:r>
      <w:r>
        <w:rPr>
          <w:rFonts w:ascii="Times New Roman" w:hAnsi="Times New Roman" w:cs="Times New Roman" w:eastAsia="Times New Roman" w:hint="default"/>
          <w:b/>
          <w:bCs/>
        </w:rPr>
        <w:t>5</w:t>
      </w:r>
      <w:r>
        <w:rPr/>
        <w:t>％）以上表决权股份的股东单位款项</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842"/>
        <w:gridCol w:w="2791"/>
        <w:gridCol w:w="2921"/>
      </w:tblGrid>
      <w:tr>
        <w:trPr>
          <w:trHeight w:val="401" w:hRule="exact"/>
        </w:trPr>
        <w:tc>
          <w:tcPr>
            <w:tcW w:w="3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）账龄超过一年的大额预收账款情况的说明</w:t>
      </w:r>
    </w:p>
    <w:p>
      <w:pPr>
        <w:spacing w:line="240" w:lineRule="auto" w:before="9"/>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4583"/>
        <w:gridCol w:w="2448"/>
        <w:gridCol w:w="2678"/>
      </w:tblGrid>
      <w:tr>
        <w:trPr>
          <w:trHeight w:val="11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9" w:right="0"/>
              <w:jc w:val="center"/>
              <w:rPr>
                <w:rFonts w:ascii="宋体" w:hAnsi="宋体" w:cs="宋体" w:eastAsia="宋体" w:hint="default"/>
                <w:sz w:val="21"/>
                <w:szCs w:val="21"/>
              </w:rPr>
            </w:pPr>
            <w:r>
              <w:rPr>
                <w:rFonts w:ascii="宋体" w:hAnsi="宋体" w:cs="宋体" w:eastAsia="宋体" w:hint="default"/>
                <w:sz w:val="21"/>
                <w:szCs w:val="21"/>
              </w:rPr>
              <w:t>单位名称</w:t>
            </w: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9" w:right="0"/>
              <w:jc w:val="center"/>
              <w:rPr>
                <w:rFonts w:ascii="宋体" w:hAnsi="宋体" w:cs="宋体" w:eastAsia="宋体" w:hint="default"/>
                <w:sz w:val="21"/>
                <w:szCs w:val="21"/>
              </w:rPr>
            </w:pPr>
            <w:r>
              <w:rPr>
                <w:rFonts w:ascii="宋体" w:hAnsi="宋体" w:cs="宋体" w:eastAsia="宋体" w:hint="default"/>
                <w:sz w:val="21"/>
                <w:szCs w:val="21"/>
              </w:rPr>
              <w:t>潍坊乐港食品股份有限公司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1"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81" w:right="0"/>
              <w:jc w:val="center"/>
              <w:rPr>
                <w:rFonts w:ascii="Times New Roman" w:hAnsi="Times New Roman" w:cs="Times New Roman" w:eastAsia="Times New Roman" w:hint="default"/>
                <w:sz w:val="21"/>
                <w:szCs w:val="21"/>
              </w:rPr>
            </w:pPr>
            <w:r>
              <w:rPr>
                <w:rFonts w:ascii="Times New Roman"/>
                <w:sz w:val="21"/>
              </w:rPr>
              <w:t>295,231.39</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88" w:right="0"/>
              <w:jc w:val="left"/>
              <w:rPr>
                <w:rFonts w:ascii="宋体" w:hAnsi="宋体" w:cs="宋体" w:eastAsia="宋体" w:hint="default"/>
                <w:sz w:val="21"/>
                <w:szCs w:val="21"/>
              </w:rPr>
            </w:pPr>
            <w:r>
              <w:rPr>
                <w:rFonts w:ascii="宋体" w:hAnsi="宋体" w:cs="宋体" w:eastAsia="宋体" w:hint="default"/>
                <w:sz w:val="21"/>
                <w:szCs w:val="21"/>
              </w:rPr>
              <w:t>未结转原因</w:t>
            </w: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1107"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sz w:val="21"/>
                <w:szCs w:val="21"/>
              </w:rPr>
              <w:t>、应付职工薪酬</w:t>
            </w:r>
          </w:p>
        </w:tc>
        <w:tc>
          <w:tcPr>
            <w:tcW w:w="2448" w:type="dxa"/>
            <w:tcBorders>
              <w:top w:val="nil" w:sz="6" w:space="0" w:color="auto"/>
              <w:left w:val="nil" w:sz="6" w:space="0" w:color="auto"/>
              <w:bottom w:val="nil" w:sz="6" w:space="0" w:color="auto"/>
              <w:right w:val="nil" w:sz="6" w:space="0" w:color="auto"/>
            </w:tcBorders>
          </w:tcPr>
          <w:p>
            <w:pP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c>
      </w:tr>
    </w:tbl>
    <w:tbl>
      <w:tblPr>
        <w:tblW w:w="0" w:type="auto"/>
        <w:jc w:val="left"/>
        <w:tblInd w:w="159" w:type="dxa"/>
        <w:tblLayout w:type="fixed"/>
        <w:tblCellMar>
          <w:top w:w="0" w:type="dxa"/>
          <w:left w:w="0" w:type="dxa"/>
          <w:bottom w:w="0" w:type="dxa"/>
          <w:right w:w="0" w:type="dxa"/>
        </w:tblCellMar>
        <w:tblLook w:val="01E0"/>
      </w:tblPr>
      <w:tblGrid>
        <w:gridCol w:w="1574"/>
        <w:gridCol w:w="1872"/>
        <w:gridCol w:w="1992"/>
        <w:gridCol w:w="2258"/>
        <w:gridCol w:w="1860"/>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0"/>
                <w:sz w:val="18"/>
                <w:szCs w:val="18"/>
              </w:rPr>
              <w:t>一、工资、奖金、津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贴和补贴</w:t>
            </w:r>
          </w:p>
        </w:tc>
        <w:tc>
          <w:tcPr>
            <w:tcW w:w="18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6,048,736.42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36,223,730.95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35,396,847.50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6,875,619.87</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2" w:type="dxa"/>
            <w:tcBorders>
              <w:top w:val="single" w:sz="4" w:space="0" w:color="000000"/>
              <w:left w:val="single" w:sz="12" w:space="0" w:color="D3D3D3"/>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3,144,474.08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3,144,474.08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111,174.59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3,042,661.99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2,655,461.12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498,375.46</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259,560.00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519,120.00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-255,420.00</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2" w:type="dxa"/>
            <w:tcBorders>
              <w:top w:val="single" w:sz="4" w:space="0" w:color="000000"/>
              <w:left w:val="single" w:sz="12" w:space="0" w:color="D3D3D3"/>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344,863.98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344,863.98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6,164,051.01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43,015,291.00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42,060,766.68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7,118,575.33</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00" w:h="16840"/>
          <w:pgMar w:footer="982" w:header="746" w:top="1060" w:bottom="1180" w:left="980" w:right="980"/>
          <w:pgNumType w:start="100"/>
        </w:sectPr>
      </w:pPr>
    </w:p>
    <w:p>
      <w:pPr>
        <w:spacing w:line="240" w:lineRule="auto" w:before="9"/>
        <w:rPr>
          <w:rFonts w:ascii="宋体" w:hAnsi="宋体" w:cs="宋体" w:eastAsia="宋体" w:hint="default"/>
          <w:sz w:val="25"/>
          <w:szCs w:val="25"/>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338" w:lineRule="auto" w:before="103"/>
        <w:ind w:left="152" w:right="145"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344,863.98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元，非货币性福利金额元，因解除劳动关系给予补偿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w w:val="100"/>
          <w:sz w:val="18"/>
          <w:szCs w:val="18"/>
        </w:rPr>
        <w:t> </w:t>
      </w:r>
      <w:r>
        <w:rPr>
          <w:rFonts w:ascii="宋体" w:hAnsi="宋体" w:cs="宋体" w:eastAsia="宋体" w:hint="default"/>
          <w:sz w:val="18"/>
          <w:szCs w:val="18"/>
        </w:rPr>
        <w:t>应付职工薪酬预计发放时间、金额等安排</w:t>
      </w:r>
    </w:p>
    <w:p>
      <w:pPr>
        <w:spacing w:line="240" w:lineRule="auto" w:before="7"/>
        <w:rPr>
          <w:rFonts w:ascii="宋体" w:hAnsi="宋体" w:cs="宋体" w:eastAsia="宋体" w:hint="default"/>
          <w:sz w:val="21"/>
          <w:szCs w:val="21"/>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sz w:val="21"/>
          <w:szCs w:val="21"/>
        </w:rPr>
        <w:t>、应交税费</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123"/>
        <w:gridCol w:w="2789"/>
        <w:gridCol w:w="2657"/>
      </w:tblGrid>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-134,700,375.71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-75,651,466.03</w:t>
            </w:r>
          </w:p>
        </w:tc>
      </w:tr>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158,500.00</w:t>
            </w:r>
          </w:p>
        </w:tc>
      </w:tr>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-7,034,974.32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55,687,309.03</w:t>
            </w:r>
          </w:p>
        </w:tc>
      </w:tr>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8,903.33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-63,021.33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427,138.94</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305,099.25</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493,760.15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484,119.23</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574,359.27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359,999.40</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47,634.00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43,577.30</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-140,610,693.28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-18,248,744.21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pStyle w:val="BodyText"/>
        <w:spacing w:line="256" w:lineRule="auto" w:before="96"/>
        <w:ind w:right="145" w:firstLine="336"/>
        <w:jc w:val="left"/>
      </w:pPr>
      <w:r>
        <w:rPr>
          <w:spacing w:val="-2"/>
        </w:rPr>
        <w:t>应交税费期末数比期初数减少</w:t>
      </w:r>
      <w:r>
        <w:rPr>
          <w:rFonts w:ascii="Times New Roman" w:hAnsi="Times New Roman" w:cs="Times New Roman" w:eastAsia="Times New Roman" w:hint="default"/>
          <w:spacing w:val="-2"/>
        </w:rPr>
        <w:t>122,361,949.07</w:t>
      </w:r>
      <w:r>
        <w:rPr>
          <w:spacing w:val="-2"/>
        </w:rPr>
        <w:t>元，减少比例为</w:t>
      </w:r>
      <w:r>
        <w:rPr>
          <w:rFonts w:ascii="Times New Roman" w:hAnsi="Times New Roman" w:cs="Times New Roman" w:eastAsia="Times New Roman" w:hint="default"/>
          <w:spacing w:val="-2"/>
        </w:rPr>
        <w:t>670.52%</w:t>
      </w:r>
      <w:r>
        <w:rPr>
          <w:spacing w:val="-2"/>
        </w:rPr>
        <w:t>，减少原因系公司本期超募项目</w:t>
      </w:r>
      <w:r>
        <w:rPr>
          <w:w w:val="100"/>
        </w:rPr>
        <w:t> </w:t>
      </w:r>
      <w:r>
        <w:rPr/>
        <w:t>建设采购量较上年同期加大而相应增加的进项税待抵扣额所致</w:t>
      </w:r>
    </w:p>
    <w:p>
      <w:pPr>
        <w:spacing w:line="240" w:lineRule="auto" w:before="8"/>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sz w:val="21"/>
          <w:szCs w:val="21"/>
        </w:rPr>
        <w:t>、应付利息</w:t>
      </w:r>
    </w:p>
    <w:p>
      <w:pPr>
        <w:spacing w:line="240" w:lineRule="auto" w:before="2"/>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123"/>
        <w:gridCol w:w="2789"/>
        <w:gridCol w:w="2657"/>
      </w:tblGrid>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21,663.67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38,208.33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65,151.09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84,582.73</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86,814.76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122,791.06</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sz w:val="21"/>
          <w:szCs w:val="21"/>
        </w:rPr>
        <w:t>、应付股利</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780"/>
        <w:gridCol w:w="2005"/>
        <w:gridCol w:w="2137"/>
        <w:gridCol w:w="2634"/>
      </w:tblGrid>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137"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sz w:val="21"/>
          <w:szCs w:val="21"/>
        </w:rPr>
        <w:t>、其他应付款</w:t>
      </w:r>
    </w:p>
    <w:p>
      <w:pPr>
        <w:spacing w:line="240" w:lineRule="auto" w:before="10"/>
        <w:rPr>
          <w:rFonts w:ascii="宋体" w:hAnsi="宋体" w:cs="宋体" w:eastAsia="宋体" w:hint="default"/>
          <w:sz w:val="24"/>
          <w:szCs w:val="24"/>
        </w:rPr>
      </w:pPr>
    </w:p>
    <w:p>
      <w:pPr>
        <w:pStyle w:val="BodyText"/>
        <w:spacing w:line="240" w:lineRule="auto"/>
        <w:ind w:left="212" w:right="0"/>
        <w:jc w:val="left"/>
      </w:pPr>
      <w:r>
        <w:rPr/>
        <w:t>（</w:t>
      </w:r>
      <w:r>
        <w:rPr>
          <w:rFonts w:ascii="Times New Roman" w:hAnsi="Times New Roman" w:cs="Times New Roman" w:eastAsia="Times New Roman" w:hint="default"/>
          <w:b/>
          <w:bCs/>
        </w:rPr>
        <w:t>1</w:t>
      </w:r>
      <w:r>
        <w:rPr/>
        <w:t>）其他应付款情况</w:t>
      </w:r>
    </w:p>
    <w:p>
      <w:pPr>
        <w:spacing w:line="240" w:lineRule="auto" w:before="10"/>
        <w:rPr>
          <w:rFonts w:ascii="宋体" w:hAnsi="宋体" w:cs="宋体" w:eastAsia="宋体" w:hint="default"/>
          <w:sz w:val="22"/>
          <w:szCs w:val="22"/>
        </w:rPr>
      </w:pPr>
    </w:p>
    <w:p>
      <w:pPr>
        <w:spacing w:before="44"/>
        <w:ind w:left="0" w:right="18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71,556,496.78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27,880,230.65</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1,742,003.91</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73,298,500.69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27,880,230.65</w:t>
            </w:r>
          </w:p>
        </w:tc>
      </w:tr>
    </w:tbl>
    <w:p>
      <w:pPr>
        <w:spacing w:line="240" w:lineRule="auto" w:before="3"/>
        <w:rPr>
          <w:rFonts w:ascii="宋体" w:hAnsi="宋体" w:cs="宋体" w:eastAsia="宋体" w:hint="default"/>
          <w:sz w:val="19"/>
          <w:szCs w:val="19"/>
        </w:rPr>
      </w:pPr>
    </w:p>
    <w:p>
      <w:pPr>
        <w:pStyle w:val="BodyText"/>
        <w:spacing w:line="240" w:lineRule="auto" w:before="36"/>
        <w:ind w:left="212" w:right="0"/>
        <w:jc w:val="left"/>
      </w:pPr>
      <w:r>
        <w:rPr/>
        <w:t>（</w:t>
      </w:r>
      <w:r>
        <w:rPr>
          <w:rFonts w:ascii="Times New Roman" w:hAnsi="Times New Roman" w:cs="Times New Roman" w:eastAsia="Times New Roman" w:hint="default"/>
          <w:b/>
          <w:bCs/>
        </w:rPr>
        <w:t>2</w:t>
      </w:r>
      <w:r>
        <w:rPr/>
        <w:t>）本报告期其他应付款中应付持有公司</w:t>
      </w:r>
      <w:r>
        <w:rPr>
          <w:spacing w:val="-45"/>
        </w:rPr>
        <w:t> </w:t>
      </w:r>
      <w:r>
        <w:rPr>
          <w:rFonts w:ascii="Times New Roman" w:hAnsi="Times New Roman" w:cs="Times New Roman" w:eastAsia="Times New Roman" w:hint="default"/>
          <w:b/>
          <w:bCs/>
        </w:rPr>
        <w:t>5</w:t>
      </w:r>
      <w:r>
        <w:rPr/>
        <w:t>％（含</w:t>
      </w:r>
      <w:r>
        <w:rPr>
          <w:spacing w:val="-45"/>
        </w:rPr>
        <w:t> </w:t>
      </w:r>
      <w:r>
        <w:rPr>
          <w:rFonts w:ascii="Times New Roman" w:hAnsi="Times New Roman" w:cs="Times New Roman" w:eastAsia="Times New Roman" w:hint="default"/>
          <w:b/>
          <w:bCs/>
        </w:rPr>
        <w:t>5</w:t>
      </w:r>
      <w:r>
        <w:rPr/>
        <w:t>％）以上表决权股份的股东单位款项</w:t>
      </w:r>
    </w:p>
    <w:p>
      <w:pPr>
        <w:spacing w:line="240" w:lineRule="auto" w:before="10"/>
        <w:rPr>
          <w:rFonts w:ascii="宋体" w:hAnsi="宋体" w:cs="宋体" w:eastAsia="宋体" w:hint="default"/>
          <w:sz w:val="22"/>
          <w:szCs w:val="22"/>
        </w:rPr>
      </w:pPr>
    </w:p>
    <w:p>
      <w:pPr>
        <w:spacing w:before="44"/>
        <w:ind w:left="0" w:right="18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19" w:type="dxa"/>
        <w:tblLayout w:type="fixed"/>
        <w:tblCellMar>
          <w:top w:w="0" w:type="dxa"/>
          <w:left w:w="0" w:type="dxa"/>
          <w:bottom w:w="0" w:type="dxa"/>
          <w:right w:w="0" w:type="dxa"/>
        </w:tblCellMar>
        <w:tblLook w:val="01E0"/>
      </w:tblPr>
      <w:tblGrid>
        <w:gridCol w:w="3710"/>
        <w:gridCol w:w="3058"/>
        <w:gridCol w:w="2789"/>
      </w:tblGrid>
      <w:tr>
        <w:trPr>
          <w:trHeight w:val="396"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10"/>
        <w:rPr>
          <w:rFonts w:ascii="宋体" w:hAnsi="宋体" w:cs="宋体" w:eastAsia="宋体" w:hint="default"/>
          <w:sz w:val="19"/>
          <w:szCs w:val="19"/>
        </w:rPr>
      </w:pPr>
    </w:p>
    <w:p>
      <w:pPr>
        <w:pStyle w:val="BodyText"/>
        <w:spacing w:line="240" w:lineRule="auto" w:before="36"/>
        <w:ind w:left="212" w:right="0"/>
        <w:jc w:val="left"/>
      </w:pPr>
      <w:r>
        <w:rPr/>
        <w:t>（</w:t>
      </w:r>
      <w:r>
        <w:rPr>
          <w:rFonts w:ascii="Times New Roman" w:hAnsi="Times New Roman" w:cs="Times New Roman" w:eastAsia="Times New Roman" w:hint="default"/>
          <w:b/>
          <w:bCs/>
        </w:rPr>
        <w:t>3</w:t>
      </w:r>
      <w:r>
        <w:rPr/>
        <w:t>）账龄超过一年的大额其他应付款情况的说明</w:t>
      </w:r>
    </w:p>
    <w:p>
      <w:pPr>
        <w:spacing w:line="240" w:lineRule="auto" w:before="7"/>
        <w:rPr>
          <w:rFonts w:ascii="宋体" w:hAnsi="宋体" w:cs="宋体" w:eastAsia="宋体" w:hint="default"/>
          <w:sz w:val="24"/>
          <w:szCs w:val="24"/>
        </w:rPr>
      </w:pPr>
    </w:p>
    <w:p>
      <w:pPr>
        <w:pStyle w:val="BodyText"/>
        <w:spacing w:line="240" w:lineRule="auto"/>
        <w:ind w:left="212" w:right="0"/>
        <w:jc w:val="left"/>
      </w:pPr>
      <w:r>
        <w:rPr/>
        <w:t>（</w:t>
      </w:r>
      <w:r>
        <w:rPr>
          <w:rFonts w:ascii="Times New Roman" w:hAnsi="Times New Roman" w:cs="Times New Roman" w:eastAsia="Times New Roman" w:hint="default"/>
          <w:b/>
          <w:bCs/>
        </w:rPr>
        <w:t>4</w:t>
      </w:r>
      <w:r>
        <w:rPr/>
        <w:t>）金额较大的其他应付款说明内容</w:t>
      </w:r>
    </w:p>
    <w:p>
      <w:pPr>
        <w:spacing w:line="240" w:lineRule="auto" w:before="10"/>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4836"/>
        <w:gridCol w:w="258"/>
        <w:gridCol w:w="2344"/>
        <w:gridCol w:w="254"/>
        <w:gridCol w:w="2129"/>
      </w:tblGrid>
      <w:tr>
        <w:trPr>
          <w:trHeight w:val="375" w:hRule="exact"/>
        </w:trPr>
        <w:tc>
          <w:tcPr>
            <w:tcW w:w="48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8"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4"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44"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276" w:hRule="exact"/>
        </w:trPr>
        <w:tc>
          <w:tcPr>
            <w:tcW w:w="4836" w:type="dxa"/>
            <w:tcBorders>
              <w:top w:val="single" w:sz="4"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江苏金土木建设集团有限公司钢结构工程公司</w:t>
            </w:r>
          </w:p>
        </w:tc>
        <w:tc>
          <w:tcPr>
            <w:tcW w:w="258" w:type="dxa"/>
            <w:tcBorders>
              <w:top w:val="nil" w:sz="6" w:space="0" w:color="auto"/>
              <w:left w:val="nil" w:sz="6" w:space="0" w:color="auto"/>
              <w:bottom w:val="nil" w:sz="6" w:space="0" w:color="auto"/>
              <w:right w:val="nil" w:sz="6" w:space="0" w:color="auto"/>
            </w:tcBorders>
          </w:tcPr>
          <w:p>
            <w:pPr/>
          </w:p>
        </w:tc>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61" w:right="0"/>
              <w:jc w:val="left"/>
              <w:rPr>
                <w:rFonts w:ascii="Times New Roman" w:hAnsi="Times New Roman" w:cs="Times New Roman" w:eastAsia="Times New Roman" w:hint="default"/>
                <w:sz w:val="18"/>
                <w:szCs w:val="18"/>
              </w:rPr>
            </w:pPr>
            <w:r>
              <w:rPr>
                <w:rFonts w:ascii="Times New Roman"/>
                <w:sz w:val="18"/>
              </w:rPr>
              <w:t>20,147,295.30</w:t>
            </w:r>
          </w:p>
        </w:tc>
        <w:tc>
          <w:tcPr>
            <w:tcW w:w="254"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17" w:lineRule="exact"/>
              <w:ind w:left="14"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300"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sz w:val="18"/>
                <w:szCs w:val="18"/>
              </w:rPr>
              <w:t>宿迁市恒星建筑工程有限公司</w:t>
            </w:r>
          </w:p>
        </w:tc>
        <w:tc>
          <w:tcPr>
            <w:tcW w:w="258"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8" w:right="0"/>
              <w:jc w:val="left"/>
              <w:rPr>
                <w:rFonts w:ascii="Times New Roman" w:hAnsi="Times New Roman" w:cs="Times New Roman" w:eastAsia="Times New Roman" w:hint="default"/>
                <w:sz w:val="18"/>
                <w:szCs w:val="18"/>
              </w:rPr>
            </w:pPr>
            <w:r>
              <w:rPr>
                <w:rFonts w:ascii="Times New Roman"/>
                <w:sz w:val="18"/>
              </w:rPr>
              <w:t>10,769,700.00</w:t>
            </w:r>
          </w:p>
        </w:tc>
        <w:tc>
          <w:tcPr>
            <w:tcW w:w="254"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24" w:lineRule="exact"/>
              <w:ind w:left="115" w:right="0"/>
              <w:jc w:val="left"/>
              <w:rPr>
                <w:rFonts w:ascii="宋体" w:hAnsi="宋体" w:cs="宋体" w:eastAsia="宋体" w:hint="default"/>
                <w:sz w:val="18"/>
                <w:szCs w:val="18"/>
              </w:rPr>
            </w:pPr>
            <w:r>
              <w:rPr>
                <w:rFonts w:ascii="宋体" w:hAnsi="宋体" w:cs="宋体" w:eastAsia="宋体" w:hint="default"/>
                <w:sz w:val="18"/>
                <w:szCs w:val="18"/>
              </w:rPr>
              <w:t>工程款</w:t>
            </w:r>
          </w:p>
        </w:tc>
      </w:tr>
      <w:tr>
        <w:trPr>
          <w:trHeight w:val="320"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南通华荣建设集团有限公司</w:t>
            </w:r>
          </w:p>
        </w:tc>
        <w:tc>
          <w:tcPr>
            <w:tcW w:w="258"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8" w:right="0"/>
              <w:jc w:val="left"/>
              <w:rPr>
                <w:rFonts w:ascii="Times New Roman" w:hAnsi="Times New Roman" w:cs="Times New Roman" w:eastAsia="Times New Roman" w:hint="default"/>
                <w:sz w:val="18"/>
                <w:szCs w:val="18"/>
              </w:rPr>
            </w:pPr>
            <w:r>
              <w:rPr>
                <w:rFonts w:ascii="Times New Roman"/>
                <w:sz w:val="18"/>
              </w:rPr>
              <w:t>10,408,000.00</w:t>
            </w:r>
          </w:p>
        </w:tc>
        <w:tc>
          <w:tcPr>
            <w:tcW w:w="254"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工程款</w:t>
            </w:r>
          </w:p>
        </w:tc>
      </w:tr>
      <w:tr>
        <w:trPr>
          <w:trHeight w:val="319"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18"/>
                <w:szCs w:val="18"/>
              </w:rPr>
            </w:pPr>
            <w:r>
              <w:rPr>
                <w:rFonts w:ascii="宋体" w:hAnsi="宋体" w:cs="宋体" w:eastAsia="宋体" w:hint="default"/>
                <w:sz w:val="18"/>
                <w:szCs w:val="18"/>
              </w:rPr>
              <w:t>无锡北人协民印刷机械有限公司</w:t>
            </w:r>
          </w:p>
        </w:tc>
        <w:tc>
          <w:tcPr>
            <w:tcW w:w="258"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8" w:right="0"/>
              <w:jc w:val="left"/>
              <w:rPr>
                <w:rFonts w:ascii="Times New Roman" w:hAnsi="Times New Roman" w:cs="Times New Roman" w:eastAsia="Times New Roman" w:hint="default"/>
                <w:sz w:val="18"/>
                <w:szCs w:val="18"/>
              </w:rPr>
            </w:pPr>
            <w:r>
              <w:rPr>
                <w:rFonts w:ascii="Times New Roman"/>
                <w:sz w:val="18"/>
              </w:rPr>
              <w:t>6,033,478.18</w:t>
            </w:r>
          </w:p>
        </w:tc>
        <w:tc>
          <w:tcPr>
            <w:tcW w:w="254"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5" w:right="0"/>
              <w:jc w:val="left"/>
              <w:rPr>
                <w:rFonts w:ascii="宋体" w:hAnsi="宋体" w:cs="宋体" w:eastAsia="宋体" w:hint="default"/>
                <w:sz w:val="18"/>
                <w:szCs w:val="18"/>
              </w:rPr>
            </w:pPr>
            <w:r>
              <w:rPr>
                <w:rFonts w:ascii="宋体" w:hAnsi="宋体" w:cs="宋体" w:eastAsia="宋体" w:hint="default"/>
                <w:sz w:val="18"/>
                <w:szCs w:val="18"/>
              </w:rPr>
              <w:t>设备款</w:t>
            </w:r>
          </w:p>
        </w:tc>
      </w:tr>
      <w:tr>
        <w:trPr>
          <w:trHeight w:val="315"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18"/>
                <w:szCs w:val="18"/>
              </w:rPr>
            </w:pPr>
            <w:r>
              <w:rPr>
                <w:rFonts w:ascii="宋体" w:hAnsi="宋体" w:cs="宋体" w:eastAsia="宋体" w:hint="default"/>
                <w:sz w:val="18"/>
                <w:szCs w:val="18"/>
              </w:rPr>
              <w:t>江苏东源电器集团有限公司</w:t>
            </w:r>
          </w:p>
        </w:tc>
        <w:tc>
          <w:tcPr>
            <w:tcW w:w="258"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18" w:right="0"/>
              <w:jc w:val="left"/>
              <w:rPr>
                <w:rFonts w:ascii="Times New Roman" w:hAnsi="Times New Roman" w:cs="Times New Roman" w:eastAsia="Times New Roman" w:hint="default"/>
                <w:sz w:val="18"/>
                <w:szCs w:val="18"/>
              </w:rPr>
            </w:pPr>
            <w:r>
              <w:rPr>
                <w:rFonts w:ascii="Times New Roman"/>
                <w:sz w:val="18"/>
              </w:rPr>
              <w:t>2,866,854.23</w:t>
            </w:r>
          </w:p>
        </w:tc>
        <w:tc>
          <w:tcPr>
            <w:tcW w:w="254"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5" w:right="0"/>
              <w:jc w:val="left"/>
              <w:rPr>
                <w:rFonts w:ascii="宋体" w:hAnsi="宋体" w:cs="宋体" w:eastAsia="宋体" w:hint="default"/>
                <w:sz w:val="18"/>
                <w:szCs w:val="18"/>
              </w:rPr>
            </w:pPr>
            <w:r>
              <w:rPr>
                <w:rFonts w:ascii="宋体" w:hAnsi="宋体" w:cs="宋体" w:eastAsia="宋体" w:hint="default"/>
                <w:sz w:val="18"/>
                <w:szCs w:val="18"/>
              </w:rPr>
              <w:t>设备款</w:t>
            </w:r>
          </w:p>
        </w:tc>
      </w:tr>
    </w:tbl>
    <w:p>
      <w:pPr>
        <w:spacing w:line="240" w:lineRule="auto" w:before="10"/>
        <w:rPr>
          <w:rFonts w:ascii="宋体" w:hAnsi="宋体" w:cs="宋体" w:eastAsia="宋体" w:hint="default"/>
          <w:sz w:val="19"/>
          <w:szCs w:val="19"/>
        </w:rPr>
      </w:pPr>
    </w:p>
    <w:p>
      <w:pPr>
        <w:pStyle w:val="BodyText"/>
        <w:spacing w:line="256" w:lineRule="auto" w:before="36"/>
        <w:ind w:left="212" w:right="0"/>
        <w:jc w:val="left"/>
      </w:pPr>
      <w:r>
        <w:rPr>
          <w:spacing w:val="-4"/>
        </w:rPr>
        <w:t>其他应付款期末数与期初数增加</w:t>
      </w:r>
      <w:r>
        <w:rPr>
          <w:rFonts w:ascii="Times New Roman" w:hAnsi="Times New Roman" w:cs="Times New Roman" w:eastAsia="Times New Roman" w:hint="default"/>
          <w:spacing w:val="-4"/>
        </w:rPr>
        <w:t>45,418,270.04</w:t>
      </w:r>
      <w:r>
        <w:rPr>
          <w:spacing w:val="-4"/>
        </w:rPr>
        <w:t>元，增加比例为</w:t>
      </w:r>
      <w:r>
        <w:rPr>
          <w:rFonts w:ascii="Times New Roman" w:hAnsi="Times New Roman" w:cs="Times New Roman" w:eastAsia="Times New Roman" w:hint="default"/>
          <w:spacing w:val="-4"/>
        </w:rPr>
        <w:t>162.90%</w:t>
      </w:r>
      <w:r>
        <w:rPr>
          <w:spacing w:val="-4"/>
        </w:rPr>
        <w:t>，增加主要原因系公司本期应付设备</w:t>
      </w:r>
      <w:r>
        <w:rPr>
          <w:spacing w:val="10"/>
        </w:rPr>
        <w:t> </w:t>
      </w:r>
      <w:r>
        <w:rPr>
          <w:spacing w:val="10"/>
        </w:rPr>
      </w:r>
      <w:r>
        <w:rPr/>
        <w:t>工程款较上年同期大幅增加所致。</w:t>
      </w:r>
    </w:p>
    <w:p>
      <w:pPr>
        <w:spacing w:line="240" w:lineRule="auto" w:before="8"/>
        <w:rPr>
          <w:rFonts w:ascii="宋体" w:hAnsi="宋体" w:cs="宋体" w:eastAsia="宋体" w:hint="default"/>
          <w:sz w:val="24"/>
          <w:szCs w:val="24"/>
        </w:rPr>
      </w:pPr>
    </w:p>
    <w:p>
      <w:pPr>
        <w:spacing w:before="0"/>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sz w:val="21"/>
          <w:szCs w:val="21"/>
        </w:rPr>
        <w:t>、预计负债</w:t>
      </w:r>
    </w:p>
    <w:p>
      <w:pPr>
        <w:spacing w:line="240" w:lineRule="auto" w:before="2"/>
        <w:rPr>
          <w:rFonts w:ascii="宋体" w:hAnsi="宋体" w:cs="宋体" w:eastAsia="宋体" w:hint="default"/>
          <w:sz w:val="26"/>
          <w:szCs w:val="26"/>
        </w:rPr>
      </w:pPr>
    </w:p>
    <w:p>
      <w:pPr>
        <w:spacing w:before="0"/>
        <w:ind w:left="0" w:right="18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86"/>
        <w:gridCol w:w="1871"/>
        <w:gridCol w:w="1860"/>
        <w:gridCol w:w="1860"/>
        <w:gridCol w:w="1994"/>
      </w:tblGrid>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212"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after="0"/>
        <w:jc w:val="left"/>
        <w:rPr>
          <w:rFonts w:ascii="宋体" w:hAnsi="宋体" w:cs="宋体" w:eastAsia="宋体" w:hint="default"/>
          <w:sz w:val="18"/>
          <w:szCs w:val="18"/>
        </w:rPr>
        <w:sectPr>
          <w:pgSz w:w="11900" w:h="16840"/>
          <w:pgMar w:header="746" w:footer="982" w:top="1060" w:bottom="1180" w:left="920" w:right="94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40</w:t>
      </w:r>
      <w:r>
        <w:rPr/>
        <w:t>、一年内到期的非流动负债</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）一年内到期的非流动负债情况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68"/>
        <w:gridCol w:w="2800"/>
        <w:gridCol w:w="3190"/>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44,500,208.92</w:t>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44,500,208.92</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）一年内到期的长期借款</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68"/>
        <w:gridCol w:w="2800"/>
        <w:gridCol w:w="3190"/>
      </w:tblGrid>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00" w:type="dxa"/>
            <w:tcBorders>
              <w:top w:val="single" w:sz="4" w:space="0" w:color="000000"/>
              <w:left w:val="single" w:sz="12"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14,500,208.92</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44,500,208.92</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360" w:lineRule="auto" w:before="49"/>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一年内到期的长期借款中属于逾期借款获得展期的金额元。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4834" w:space="3993"/>
            <w:col w:w="111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3"/>
        <w:gridCol w:w="1277"/>
        <w:gridCol w:w="1260"/>
        <w:gridCol w:w="900"/>
        <w:gridCol w:w="900"/>
        <w:gridCol w:w="900"/>
        <w:gridCol w:w="1147"/>
        <w:gridCol w:w="900"/>
        <w:gridCol w:w="1109"/>
      </w:tblGrid>
      <w:tr>
        <w:trPr>
          <w:trHeight w:val="398"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3"/>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47" w:type="dxa"/>
            <w:gridSpan w:val="2"/>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09" w:type="dxa"/>
            <w:gridSpan w:val="2"/>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8"/>
              <w:ind w:left="8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47"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900"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8"/>
              <w:ind w:left="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09"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中国工商银</w:t>
            </w:r>
            <w:r>
              <w:rPr>
                <w:rFonts w:ascii="宋体" w:hAnsi="宋体" w:cs="宋体" w:eastAsia="宋体" w:hint="default"/>
                <w:w w:val="100"/>
                <w:sz w:val="18"/>
                <w:szCs w:val="18"/>
              </w:rPr>
              <w:t> </w:t>
            </w:r>
            <w:r>
              <w:rPr>
                <w:rFonts w:ascii="宋体" w:hAnsi="宋体" w:cs="宋体" w:eastAsia="宋体" w:hint="default"/>
                <w:sz w:val="18"/>
                <w:szCs w:val="18"/>
              </w:rPr>
              <w:t>行宿迁分行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44,500,208.92</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356"/>
        <w:gridCol w:w="1366"/>
        <w:gridCol w:w="1368"/>
        <w:gridCol w:w="1368"/>
        <w:gridCol w:w="1366"/>
        <w:gridCol w:w="1368"/>
        <w:gridCol w:w="1368"/>
      </w:tblGrid>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60" w:lineRule="auto" w:before="49"/>
        <w:ind w:left="152" w:right="7083" w:firstLine="0"/>
        <w:jc w:val="left"/>
        <w:rPr>
          <w:rFonts w:ascii="宋体" w:hAnsi="宋体" w:cs="宋体" w:eastAsia="宋体" w:hint="default"/>
          <w:sz w:val="18"/>
          <w:szCs w:val="18"/>
        </w:rPr>
      </w:pPr>
      <w:r>
        <w:rPr>
          <w:rFonts w:ascii="宋体" w:hAnsi="宋体" w:cs="宋体" w:eastAsia="宋体" w:hint="default"/>
          <w:spacing w:val="-1"/>
          <w:sz w:val="18"/>
          <w:szCs w:val="18"/>
        </w:rPr>
        <w:t>资产负债表日后已偿还的金额元。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一年内到期的长期借款说明</w:t>
      </w:r>
    </w:p>
    <w:p>
      <w:pPr>
        <w:spacing w:line="240" w:lineRule="auto" w:before="2"/>
        <w:rPr>
          <w:rFonts w:ascii="宋体" w:hAnsi="宋体" w:cs="宋体" w:eastAsia="宋体" w:hint="default"/>
          <w:sz w:val="20"/>
          <w:szCs w:val="20"/>
        </w:rPr>
      </w:pPr>
    </w:p>
    <w:p>
      <w:pPr>
        <w:pStyle w:val="BodyText"/>
        <w:spacing w:line="240" w:lineRule="auto"/>
        <w:ind w:right="145"/>
        <w:jc w:val="left"/>
      </w:pPr>
      <w:r>
        <w:rPr/>
        <w:t>（</w:t>
      </w:r>
      <w:r>
        <w:rPr>
          <w:rFonts w:ascii="Times New Roman" w:hAnsi="Times New Roman" w:cs="Times New Roman" w:eastAsia="Times New Roman" w:hint="default"/>
          <w:b/>
          <w:bCs/>
        </w:rPr>
        <w:t>3</w:t>
      </w:r>
      <w:r>
        <w:rPr/>
        <w:t>）一年内到期的应付债券</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58"/>
        <w:gridCol w:w="958"/>
        <w:gridCol w:w="955"/>
        <w:gridCol w:w="958"/>
        <w:gridCol w:w="958"/>
        <w:gridCol w:w="958"/>
        <w:gridCol w:w="955"/>
        <w:gridCol w:w="958"/>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4" w:right="21" w:hanging="360"/>
              <w:jc w:val="left"/>
              <w:rPr>
                <w:rFonts w:ascii="宋体" w:hAnsi="宋体" w:cs="宋体" w:eastAsia="宋体" w:hint="default"/>
                <w:sz w:val="18"/>
                <w:szCs w:val="18"/>
              </w:rPr>
            </w:pPr>
            <w:r>
              <w:rPr>
                <w:rFonts w:ascii="宋体" w:hAnsi="宋体" w:cs="宋体" w:eastAsia="宋体" w:hint="default"/>
                <w:sz w:val="18"/>
                <w:szCs w:val="18"/>
              </w:rPr>
              <w:t>期初应付利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1" w:right="21" w:hanging="360"/>
              <w:jc w:val="left"/>
              <w:rPr>
                <w:rFonts w:ascii="宋体" w:hAnsi="宋体" w:cs="宋体" w:eastAsia="宋体" w:hint="default"/>
                <w:sz w:val="18"/>
                <w:szCs w:val="18"/>
              </w:rPr>
            </w:pPr>
            <w:r>
              <w:rPr>
                <w:rFonts w:ascii="宋体" w:hAnsi="宋体" w:cs="宋体" w:eastAsia="宋体" w:hint="default"/>
                <w:sz w:val="18"/>
                <w:szCs w:val="18"/>
              </w:rPr>
              <w:t>本期应计利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6" w:right="19" w:hanging="360"/>
              <w:jc w:val="left"/>
              <w:rPr>
                <w:rFonts w:ascii="宋体" w:hAnsi="宋体" w:cs="宋体" w:eastAsia="宋体" w:hint="default"/>
                <w:sz w:val="18"/>
                <w:szCs w:val="18"/>
              </w:rPr>
            </w:pPr>
            <w:r>
              <w:rPr>
                <w:rFonts w:ascii="宋体" w:hAnsi="宋体" w:cs="宋体" w:eastAsia="宋体" w:hint="default"/>
                <w:sz w:val="18"/>
                <w:szCs w:val="18"/>
              </w:rPr>
              <w:t>本期已付利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4" w:right="21" w:hanging="360"/>
              <w:jc w:val="left"/>
              <w:rPr>
                <w:rFonts w:ascii="宋体" w:hAnsi="宋体" w:cs="宋体" w:eastAsia="宋体" w:hint="default"/>
                <w:sz w:val="18"/>
                <w:szCs w:val="18"/>
              </w:rPr>
            </w:pPr>
            <w:r>
              <w:rPr>
                <w:rFonts w:ascii="宋体" w:hAnsi="宋体" w:cs="宋体" w:eastAsia="宋体" w:hint="default"/>
                <w:sz w:val="18"/>
                <w:szCs w:val="18"/>
              </w:rPr>
              <w:t>期末应付利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after="0"/>
        <w:jc w:val="left"/>
        <w:rPr>
          <w:rFonts w:ascii="宋体" w:hAnsi="宋体" w:cs="宋体" w:eastAsia="宋体" w:hint="default"/>
          <w:sz w:val="18"/>
          <w:szCs w:val="18"/>
        </w:rPr>
        <w:sectPr>
          <w:type w:val="continuous"/>
          <w:pgSz w:w="11900" w:h="16840"/>
          <w:pgMar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4</w:t>
      </w:r>
      <w:r>
        <w:rPr/>
        <w:t>）一年内到期的长期应付款</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356"/>
        <w:gridCol w:w="1366"/>
        <w:gridCol w:w="1366"/>
        <w:gridCol w:w="1368"/>
        <w:gridCol w:w="1368"/>
        <w:gridCol w:w="1368"/>
        <w:gridCol w:w="1368"/>
      </w:tblGrid>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sz w:val="21"/>
          <w:szCs w:val="21"/>
        </w:rPr>
        <w:t>、其他流动负债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580"/>
        <w:gridCol w:w="2932"/>
        <w:gridCol w:w="3058"/>
      </w:tblGrid>
      <w:tr>
        <w:trPr>
          <w:trHeight w:val="401"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sz w:val="21"/>
          <w:szCs w:val="21"/>
        </w:rPr>
        <w:t>、长期借款</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）长期借款分类</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68"/>
        <w:gridCol w:w="2932"/>
        <w:gridCol w:w="3058"/>
      </w:tblGrid>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12" w:space="0" w:color="D3D3D3"/>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2</w:t>
      </w:r>
      <w:r>
        <w:rPr/>
        <w:t>）金额前五名的长期借款</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3"/>
        <w:gridCol w:w="1066"/>
        <w:gridCol w:w="1063"/>
        <w:gridCol w:w="1063"/>
        <w:gridCol w:w="1066"/>
        <w:gridCol w:w="1063"/>
        <w:gridCol w:w="1063"/>
        <w:gridCol w:w="1066"/>
        <w:gridCol w:w="1056"/>
      </w:tblGrid>
      <w:tr>
        <w:trPr>
          <w:trHeight w:val="401"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6"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6" w:type="dxa"/>
            <w:vMerge/>
            <w:tcBorders>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sz w:val="21"/>
          <w:szCs w:val="21"/>
        </w:rPr>
        <w:t>、应付债券</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58"/>
        <w:gridCol w:w="958"/>
        <w:gridCol w:w="955"/>
        <w:gridCol w:w="958"/>
        <w:gridCol w:w="958"/>
        <w:gridCol w:w="958"/>
        <w:gridCol w:w="955"/>
        <w:gridCol w:w="958"/>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4" w:right="21" w:hanging="360"/>
              <w:jc w:val="left"/>
              <w:rPr>
                <w:rFonts w:ascii="宋体" w:hAnsi="宋体" w:cs="宋体" w:eastAsia="宋体" w:hint="default"/>
                <w:sz w:val="18"/>
                <w:szCs w:val="18"/>
              </w:rPr>
            </w:pPr>
            <w:r>
              <w:rPr>
                <w:rFonts w:ascii="宋体" w:hAnsi="宋体" w:cs="宋体" w:eastAsia="宋体" w:hint="default"/>
                <w:sz w:val="18"/>
                <w:szCs w:val="18"/>
              </w:rPr>
              <w:t>期初应付利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1" w:right="21" w:hanging="360"/>
              <w:jc w:val="left"/>
              <w:rPr>
                <w:rFonts w:ascii="宋体" w:hAnsi="宋体" w:cs="宋体" w:eastAsia="宋体" w:hint="default"/>
                <w:sz w:val="18"/>
                <w:szCs w:val="18"/>
              </w:rPr>
            </w:pPr>
            <w:r>
              <w:rPr>
                <w:rFonts w:ascii="宋体" w:hAnsi="宋体" w:cs="宋体" w:eastAsia="宋体" w:hint="default"/>
                <w:sz w:val="18"/>
                <w:szCs w:val="18"/>
              </w:rPr>
              <w:t>本期应计利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6" w:right="19" w:hanging="360"/>
              <w:jc w:val="left"/>
              <w:rPr>
                <w:rFonts w:ascii="宋体" w:hAnsi="宋体" w:cs="宋体" w:eastAsia="宋体" w:hint="default"/>
                <w:sz w:val="18"/>
                <w:szCs w:val="18"/>
              </w:rPr>
            </w:pPr>
            <w:r>
              <w:rPr>
                <w:rFonts w:ascii="宋体" w:hAnsi="宋体" w:cs="宋体" w:eastAsia="宋体" w:hint="default"/>
                <w:sz w:val="18"/>
                <w:szCs w:val="18"/>
              </w:rPr>
              <w:t>本期已付利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4" w:right="21" w:hanging="360"/>
              <w:jc w:val="left"/>
              <w:rPr>
                <w:rFonts w:ascii="宋体" w:hAnsi="宋体" w:cs="宋体" w:eastAsia="宋体" w:hint="default"/>
                <w:sz w:val="18"/>
                <w:szCs w:val="18"/>
              </w:rPr>
            </w:pPr>
            <w:r>
              <w:rPr>
                <w:rFonts w:ascii="宋体" w:hAnsi="宋体" w:cs="宋体" w:eastAsia="宋体" w:hint="default"/>
                <w:sz w:val="18"/>
                <w:szCs w:val="18"/>
              </w:rPr>
              <w:t>期末应付利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4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sz w:val="21"/>
          <w:szCs w:val="21"/>
        </w:rPr>
        <w:t>、长期应付款</w:t>
      </w:r>
    </w:p>
    <w:p>
      <w:pPr>
        <w:spacing w:line="240" w:lineRule="auto" w:before="10"/>
        <w:rPr>
          <w:rFonts w:ascii="宋体" w:hAnsi="宋体" w:cs="宋体" w:eastAsia="宋体" w:hint="default"/>
          <w:sz w:val="24"/>
          <w:szCs w:val="24"/>
        </w:rPr>
      </w:pPr>
    </w:p>
    <w:p>
      <w:pPr>
        <w:pStyle w:val="BodyText"/>
        <w:spacing w:line="240" w:lineRule="auto"/>
        <w:ind w:right="4490"/>
        <w:jc w:val="left"/>
      </w:pPr>
      <w:r>
        <w:rPr/>
        <w:t>（</w:t>
      </w:r>
      <w:r>
        <w:rPr>
          <w:rFonts w:ascii="Times New Roman" w:hAnsi="Times New Roman" w:cs="Times New Roman" w:eastAsia="Times New Roman" w:hint="default"/>
          <w:b/>
          <w:bCs/>
        </w:rPr>
        <w:t>1</w:t>
      </w:r>
      <w:r>
        <w:rPr/>
        <w:t>）金额前五名长期应付款情况</w:t>
      </w:r>
    </w:p>
    <w:p>
      <w:pPr>
        <w:spacing w:line="240" w:lineRule="auto" w:before="10"/>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单位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BodyText"/>
        <w:spacing w:line="240" w:lineRule="auto" w:before="36"/>
        <w:ind w:right="4490"/>
        <w:jc w:val="left"/>
      </w:pPr>
      <w:r>
        <w:rPr/>
        <w:t>（</w:t>
      </w:r>
      <w:r>
        <w:rPr>
          <w:rFonts w:ascii="Times New Roman" w:hAnsi="Times New Roman" w:cs="Times New Roman" w:eastAsia="Times New Roman" w:hint="default"/>
          <w:b/>
          <w:bCs/>
        </w:rPr>
        <w:t>2</w:t>
      </w:r>
      <w:r>
        <w:rPr/>
        <w:t>）长期应付款中的应付融资租赁款明细</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26"/>
        <w:gridCol w:w="1728"/>
        <w:gridCol w:w="1726"/>
        <w:gridCol w:w="1594"/>
        <w:gridCol w:w="1594"/>
      </w:tblGrid>
      <w:tr>
        <w:trPr>
          <w:trHeight w:val="401"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9"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57" w:lineRule="auto" w:before="53"/>
        <w:ind w:left="152" w:right="4490" w:firstLine="0"/>
        <w:jc w:val="left"/>
        <w:rPr>
          <w:rFonts w:ascii="宋体" w:hAnsi="宋体" w:cs="宋体" w:eastAsia="宋体" w:hint="default"/>
          <w:sz w:val="18"/>
          <w:szCs w:val="18"/>
        </w:rPr>
      </w:pPr>
      <w:r>
        <w:rPr>
          <w:rFonts w:ascii="宋体" w:hAnsi="宋体" w:cs="宋体" w:eastAsia="宋体" w:hint="default"/>
          <w:spacing w:val="-1"/>
          <w:sz w:val="18"/>
          <w:szCs w:val="18"/>
        </w:rPr>
        <w:t>由独立第三方为公司融资租赁提供担保的金额元。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长期应付款的说明</w:t>
      </w:r>
    </w:p>
    <w:p>
      <w:pPr>
        <w:spacing w:line="240" w:lineRule="auto" w:before="6"/>
        <w:rPr>
          <w:rFonts w:ascii="宋体" w:hAnsi="宋体" w:cs="宋体" w:eastAsia="宋体" w:hint="default"/>
          <w:sz w:val="20"/>
          <w:szCs w:val="20"/>
        </w:rPr>
      </w:pPr>
    </w:p>
    <w:p>
      <w:pPr>
        <w:spacing w:before="0"/>
        <w:ind w:left="152" w:right="4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sz w:val="21"/>
          <w:szCs w:val="21"/>
        </w:rPr>
        <w:t>、专项应付款</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2"/>
        <w:gridCol w:w="1338"/>
        <w:gridCol w:w="1330"/>
        <w:gridCol w:w="1198"/>
        <w:gridCol w:w="1327"/>
        <w:gridCol w:w="1994"/>
      </w:tblGrid>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449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0"/>
        <w:rPr>
          <w:rFonts w:ascii="宋体" w:hAnsi="宋体" w:cs="宋体" w:eastAsia="宋体" w:hint="default"/>
          <w:sz w:val="18"/>
          <w:szCs w:val="18"/>
        </w:rPr>
      </w:pPr>
    </w:p>
    <w:p>
      <w:pPr>
        <w:pStyle w:val="BodyText"/>
        <w:spacing w:line="240" w:lineRule="auto" w:before="120"/>
        <w:ind w:right="4490"/>
        <w:jc w:val="left"/>
      </w:pPr>
      <w:r>
        <w:rPr>
          <w:rFonts w:ascii="Times New Roman" w:hAnsi="Times New Roman" w:cs="Times New Roman" w:eastAsia="Times New Roman" w:hint="default"/>
          <w:b/>
          <w:bCs/>
        </w:rPr>
        <w:t>46</w:t>
      </w:r>
      <w:r>
        <w:rPr/>
        <w:t>、其他非流动负债</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712"/>
        <w:gridCol w:w="2800"/>
        <w:gridCol w:w="3058"/>
      </w:tblGrid>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318"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line="240" w:lineRule="auto" w:before="0"/>
        <w:rPr>
          <w:rFonts w:ascii="宋体" w:hAnsi="宋体" w:cs="宋体" w:eastAsia="宋体" w:hint="default"/>
          <w:sz w:val="18"/>
          <w:szCs w:val="18"/>
        </w:rPr>
      </w:pPr>
    </w:p>
    <w:p>
      <w:pPr>
        <w:spacing w:before="118"/>
        <w:ind w:left="152" w:right="4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sz w:val="21"/>
          <w:szCs w:val="21"/>
        </w:rPr>
        <w:t>、股本</w:t>
      </w:r>
    </w:p>
    <w:p>
      <w:pPr>
        <w:spacing w:line="240" w:lineRule="auto" w:before="12"/>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183"/>
        <w:gridCol w:w="1208"/>
        <w:gridCol w:w="1184"/>
        <w:gridCol w:w="1195"/>
        <w:gridCol w:w="1198"/>
        <w:gridCol w:w="1195"/>
        <w:gridCol w:w="1184"/>
        <w:gridCol w:w="1208"/>
      </w:tblGrid>
      <w:tr>
        <w:trPr>
          <w:trHeight w:val="202" w:hRule="exact"/>
        </w:trPr>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981"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183" w:type="dxa"/>
            <w:vMerge w:val="restart"/>
            <w:tcBorders>
              <w:top w:val="nil" w:sz="6" w:space="0" w:color="auto"/>
              <w:left w:val="single" w:sz="4" w:space="0" w:color="000000"/>
              <w:right w:val="single" w:sz="4" w:space="0" w:color="000000"/>
            </w:tcBorders>
            <w:shd w:val="clear" w:color="auto" w:fill="D3D3D3"/>
          </w:tcPr>
          <w:p>
            <w:pPr/>
          </w:p>
        </w:tc>
        <w:tc>
          <w:tcPr>
            <w:tcW w:w="12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3D3D3"/>
          </w:tcPr>
          <w:p>
            <w:pPr/>
          </w:p>
        </w:tc>
        <w:tc>
          <w:tcPr>
            <w:tcW w:w="12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7" w:hRule="exact"/>
        </w:trPr>
        <w:tc>
          <w:tcPr>
            <w:tcW w:w="1183" w:type="dxa"/>
            <w:vMerge/>
            <w:tcBorders>
              <w:left w:val="single" w:sz="4" w:space="0" w:color="000000"/>
              <w:bottom w:val="nil" w:sz="6" w:space="0" w:color="auto"/>
              <w:right w:val="single" w:sz="4" w:space="0" w:color="000000"/>
            </w:tcBorders>
            <w:shd w:val="clear" w:color="auto" w:fill="D3D3D3"/>
          </w:tcPr>
          <w:p>
            <w:pPr/>
          </w:p>
        </w:tc>
        <w:tc>
          <w:tcPr>
            <w:tcW w:w="1208"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1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208,000,000.00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208,000,000.00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208,000,000.00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416,000,000.00</w:t>
            </w:r>
          </w:p>
        </w:tc>
      </w:tr>
    </w:tbl>
    <w:p>
      <w:pPr>
        <w:spacing w:before="49"/>
        <w:ind w:left="152" w:right="96"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股本变动情况说明，本报告期内有增资或减资行为的，应披露执行验资的会计师事务所名称和验资报告文号；运行不足</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3</w:t>
      </w:r>
    </w:p>
    <w:p>
      <w:pPr>
        <w:spacing w:before="63"/>
        <w:ind w:left="152" w:right="96"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2"/>
        <w:rPr>
          <w:rFonts w:ascii="宋体" w:hAnsi="宋体" w:cs="宋体" w:eastAsia="宋体" w:hint="default"/>
          <w:sz w:val="16"/>
          <w:szCs w:val="16"/>
        </w:rPr>
      </w:pPr>
    </w:p>
    <w:p>
      <w:pPr>
        <w:pStyle w:val="BodyText"/>
        <w:spacing w:line="256" w:lineRule="auto"/>
        <w:ind w:right="96" w:firstLine="588"/>
        <w:jc w:val="left"/>
      </w:pP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18</w:t>
      </w:r>
      <w:r>
        <w:rPr>
          <w:spacing w:val="-4"/>
        </w:rPr>
        <w:t>日，根据</w:t>
      </w:r>
      <w:r>
        <w:rPr>
          <w:rFonts w:ascii="Times New Roman" w:hAnsi="Times New Roman" w:cs="Times New Roman" w:eastAsia="Times New Roman" w:hint="default"/>
          <w:spacing w:val="-4"/>
        </w:rPr>
        <w:t>2011</w:t>
      </w:r>
      <w:r>
        <w:rPr>
          <w:spacing w:val="-4"/>
        </w:rPr>
        <w:t>年度股东大会决议和修改后章程的规定，双星新材申请转增注册资本人民</w:t>
      </w:r>
      <w:r>
        <w:rPr>
          <w:w w:val="100"/>
        </w:rPr>
        <w:t> </w:t>
      </w:r>
      <w:r>
        <w:rPr/>
        <w:t>币</w:t>
      </w:r>
      <w:r>
        <w:rPr>
          <w:rFonts w:ascii="Times New Roman" w:hAnsi="Times New Roman" w:cs="Times New Roman" w:eastAsia="Times New Roman" w:hint="default"/>
        </w:rPr>
        <w:t>208,000,000</w:t>
      </w:r>
      <w:r>
        <w:rPr/>
        <w:t>元，以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日的总股本</w:t>
      </w:r>
      <w:r>
        <w:rPr>
          <w:rFonts w:ascii="Times New Roman" w:hAnsi="Times New Roman" w:cs="Times New Roman" w:eastAsia="Times New Roman" w:hint="default"/>
        </w:rPr>
        <w:t>208,000,000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w w:val="100"/>
        </w:rPr>
        <w:t> </w:t>
      </w:r>
      <w:r>
        <w:rPr>
          <w:spacing w:val="-3"/>
        </w:rPr>
        <w:t>股，共计转增</w:t>
      </w:r>
      <w:r>
        <w:rPr>
          <w:rFonts w:ascii="Times New Roman" w:hAnsi="Times New Roman" w:cs="Times New Roman" w:eastAsia="Times New Roman" w:hint="default"/>
          <w:spacing w:val="-3"/>
        </w:rPr>
        <w:t>208,000,000</w:t>
      </w:r>
      <w:r>
        <w:rPr>
          <w:spacing w:val="-3"/>
        </w:rPr>
        <w:t>股。资本公积金转增股本实施后，公司股本总数为</w:t>
      </w:r>
      <w:r>
        <w:rPr>
          <w:rFonts w:ascii="Times New Roman" w:hAnsi="Times New Roman" w:cs="Times New Roman" w:eastAsia="Times New Roman" w:hint="default"/>
          <w:spacing w:val="-3"/>
        </w:rPr>
        <w:t>416,000,000</w:t>
      </w:r>
      <w:r>
        <w:rPr>
          <w:spacing w:val="-3"/>
        </w:rPr>
        <w:t>股，每股面值</w:t>
      </w:r>
      <w:r>
        <w:rPr>
          <w:rFonts w:ascii="Times New Roman" w:hAnsi="Times New Roman" w:cs="Times New Roman" w:eastAsia="Times New Roman" w:hint="default"/>
          <w:spacing w:val="-3"/>
        </w:rPr>
        <w:t>1</w:t>
      </w:r>
      <w:r>
        <w:rPr>
          <w:spacing w:val="-3"/>
        </w:rPr>
        <w:t>元，</w:t>
      </w:r>
    </w:p>
    <w:p>
      <w:pPr>
        <w:spacing w:after="0" w:line="256" w:lineRule="auto"/>
        <w:jc w:val="left"/>
        <w:sectPr>
          <w:pgSz w:w="11900" w:h="16840"/>
          <w:pgMar w:header="746" w:footer="982" w:top="1060" w:bottom="118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146"/>
        <w:jc w:val="both"/>
      </w:pPr>
      <w:r>
        <w:rPr>
          <w:spacing w:val="-2"/>
        </w:rPr>
        <w:t>共计</w:t>
      </w:r>
      <w:r>
        <w:rPr>
          <w:rFonts w:ascii="Times New Roman" w:hAnsi="Times New Roman" w:cs="Times New Roman" w:eastAsia="Times New Roman" w:hint="default"/>
          <w:spacing w:val="-2"/>
        </w:rPr>
        <w:t>416,000,000</w:t>
      </w:r>
      <w:r>
        <w:rPr>
          <w:spacing w:val="-2"/>
        </w:rPr>
        <w:t>元。此次转增资本业经上海众华沪银会计师事务所出具的沪众会验字</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2514</w:t>
      </w:r>
      <w:r>
        <w:rPr>
          <w:spacing w:val="-2"/>
        </w:rPr>
        <w:t>号《验</w:t>
      </w:r>
      <w:r>
        <w:rPr>
          <w:spacing w:val="-8"/>
        </w:rPr>
        <w:t> </w:t>
      </w:r>
      <w:r>
        <w:rPr>
          <w:spacing w:val="-8"/>
        </w:rPr>
      </w:r>
      <w:r>
        <w:rPr>
          <w:spacing w:val="-3"/>
        </w:rPr>
        <w:t>资报告》验证。双星新材于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日取得江苏省宿迁工商行政管理局核发的</w:t>
      </w:r>
      <w:r>
        <w:rPr>
          <w:rFonts w:ascii="Times New Roman" w:hAnsi="Times New Roman" w:cs="Times New Roman" w:eastAsia="Times New Roman" w:hint="default"/>
          <w:spacing w:val="-3"/>
        </w:rPr>
        <w:t>321300000005816</w:t>
      </w:r>
      <w:r>
        <w:rPr>
          <w:spacing w:val="-3"/>
        </w:rPr>
        <w:t>号《企</w:t>
      </w:r>
      <w:r>
        <w:rPr>
          <w:spacing w:val="21"/>
        </w:rPr>
        <w:t> </w:t>
      </w:r>
      <w:r>
        <w:rPr>
          <w:spacing w:val="21"/>
        </w:rPr>
      </w:r>
      <w:r>
        <w:rPr/>
        <w:t>业法人营业执照》。</w:t>
      </w:r>
    </w:p>
    <w:p>
      <w:pPr>
        <w:spacing w:line="240" w:lineRule="auto" w:before="8"/>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sz w:val="21"/>
          <w:szCs w:val="21"/>
        </w:rPr>
        <w:t>、库存股</w:t>
      </w:r>
    </w:p>
    <w:p>
      <w:pPr>
        <w:spacing w:line="240" w:lineRule="auto" w:before="4"/>
        <w:rPr>
          <w:rFonts w:ascii="宋体" w:hAnsi="宋体" w:cs="宋体" w:eastAsia="宋体" w:hint="default"/>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sz w:val="21"/>
          <w:szCs w:val="21"/>
        </w:rPr>
        <w:t>、专项储备</w:t>
      </w:r>
    </w:p>
    <w:p>
      <w:pPr>
        <w:spacing w:line="240" w:lineRule="auto" w:before="4"/>
        <w:rPr>
          <w:rFonts w:ascii="宋体" w:hAnsi="宋体" w:cs="宋体" w:eastAsia="宋体" w:hint="default"/>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sz w:val="21"/>
          <w:szCs w:val="21"/>
        </w:rPr>
        <w:t>、资本公积</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72"/>
        <w:gridCol w:w="1871"/>
        <w:gridCol w:w="1992"/>
        <w:gridCol w:w="1728"/>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2,778,126,816.24</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208,000,000.00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2,570,126,816.20</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2,778,126,816.24</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208,000,000.00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2,570,126,816.24</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40" w:lineRule="auto" w:before="94"/>
        <w:ind w:right="145"/>
        <w:jc w:val="left"/>
      </w:pPr>
      <w:r>
        <w:rPr/>
        <w:t>本期资本公积变动系公司资本公积金转增股本所致。</w:t>
      </w:r>
    </w:p>
    <w:p>
      <w:pPr>
        <w:spacing w:line="240" w:lineRule="auto" w:before="10"/>
        <w:rPr>
          <w:rFonts w:ascii="宋体" w:hAnsi="宋体" w:cs="宋体" w:eastAsia="宋体" w:hint="default"/>
          <w:sz w:val="25"/>
          <w:szCs w:val="25"/>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sz w:val="21"/>
          <w:szCs w:val="21"/>
        </w:rPr>
        <w:t>、盈余公积</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72"/>
        <w:gridCol w:w="1871"/>
        <w:gridCol w:w="1992"/>
        <w:gridCol w:w="1728"/>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66,385,915.00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11,883,343.52</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78,269,258.52</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7,715,823.92</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7,715,823.92</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74,101,738.92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11,883,343.52</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85,985,082.44</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pStyle w:val="BodyText"/>
        <w:spacing w:line="240" w:lineRule="auto" w:before="94"/>
        <w:ind w:right="145"/>
        <w:jc w:val="left"/>
      </w:pPr>
      <w:r>
        <w:rPr/>
        <w:t>公司盈余公积按照税后利润的</w:t>
      </w:r>
      <w:r>
        <w:rPr>
          <w:rFonts w:ascii="Times New Roman" w:hAnsi="Times New Roman" w:cs="Times New Roman" w:eastAsia="Times New Roman" w:hint="default"/>
        </w:rPr>
        <w:t>10%</w:t>
      </w:r>
      <w:r>
        <w:rPr/>
        <w:t>计提。</w:t>
      </w:r>
    </w:p>
    <w:p>
      <w:pPr>
        <w:spacing w:line="240" w:lineRule="auto" w:before="7"/>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sz w:val="21"/>
          <w:szCs w:val="21"/>
        </w:rPr>
        <w:t>、一般风险准备</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spacing w:before="118"/>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sz w:val="21"/>
          <w:szCs w:val="21"/>
        </w:rPr>
        <w:t>、未分配利润</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695"/>
        <w:gridCol w:w="3751"/>
        <w:gridCol w:w="2099"/>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1"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646,753,177.87</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1"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646,753,177.87</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718"/>
        <w:gridCol w:w="3730"/>
        <w:gridCol w:w="2122"/>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118,833,435.20</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11,883,343.52</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208,000,000.00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545,703,269.55</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1"/>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6" w:lineRule="auto" w:before="10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w:t>
      </w:r>
      <w:r>
        <w:rPr>
          <w:rFonts w:ascii="宋体" w:hAnsi="宋体" w:cs="宋体" w:eastAsia="宋体" w:hint="default"/>
          <w:w w:val="100"/>
          <w:sz w:val="18"/>
          <w:szCs w:val="18"/>
        </w:rPr>
        <w:t> </w:t>
      </w:r>
      <w:r>
        <w:rPr>
          <w:rFonts w:ascii="宋体" w:hAnsi="宋体" w:cs="宋体" w:eastAsia="宋体" w:hint="default"/>
          <w:spacing w:val="-3"/>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经审计的利润数</w:t>
      </w:r>
    </w:p>
    <w:p>
      <w:pPr>
        <w:spacing w:line="240" w:lineRule="auto" w:before="1"/>
        <w:rPr>
          <w:rFonts w:ascii="宋体" w:hAnsi="宋体" w:cs="宋体" w:eastAsia="宋体" w:hint="default"/>
          <w:sz w:val="22"/>
          <w:szCs w:val="22"/>
        </w:rPr>
      </w:pPr>
    </w:p>
    <w:p>
      <w:pPr>
        <w:pStyle w:val="BodyText"/>
        <w:spacing w:line="240" w:lineRule="auto"/>
        <w:ind w:right="145"/>
        <w:jc w:val="left"/>
      </w:pPr>
      <w:r>
        <w:rPr>
          <w:rFonts w:ascii="Times New Roman" w:hAnsi="Times New Roman" w:cs="Times New Roman" w:eastAsia="Times New Roman" w:hint="default"/>
          <w:b/>
          <w:bCs/>
        </w:rPr>
        <w:t>54</w:t>
      </w:r>
      <w:r>
        <w:rPr/>
        <w:t>、营业收入、营业成本</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）营业收入、营业成本</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299"/>
        <w:gridCol w:w="3068"/>
        <w:gridCol w:w="3190"/>
      </w:tblGrid>
      <w:tr>
        <w:trPr>
          <w:trHeight w:val="329"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2,088,609,782.41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1,944,939,559.85</w:t>
            </w:r>
          </w:p>
        </w:tc>
      </w:tr>
      <w:tr>
        <w:trPr>
          <w:trHeight w:val="329"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16,161,092.56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10,983,053.47</w:t>
            </w:r>
          </w:p>
        </w:tc>
      </w:tr>
      <w:tr>
        <w:trPr>
          <w:trHeight w:val="331"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1,884,687,490.26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1,475,774,568.97</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）主营业务（分行业）</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329"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9"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塑料薄膜制造业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2,088,609,782.41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8" w:right="0"/>
              <w:jc w:val="left"/>
              <w:rPr>
                <w:rFonts w:ascii="Times New Roman" w:hAnsi="Times New Roman" w:cs="Times New Roman" w:eastAsia="Times New Roman" w:hint="default"/>
                <w:sz w:val="18"/>
                <w:szCs w:val="18"/>
              </w:rPr>
            </w:pPr>
            <w:r>
              <w:rPr>
                <w:rFonts w:ascii="Times New Roman"/>
                <w:sz w:val="18"/>
              </w:rPr>
              <w:t>1,884,668,389.77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2" w:right="0"/>
              <w:jc w:val="left"/>
              <w:rPr>
                <w:rFonts w:ascii="Times New Roman" w:hAnsi="Times New Roman" w:cs="Times New Roman" w:eastAsia="Times New Roman" w:hint="default"/>
                <w:sz w:val="18"/>
                <w:szCs w:val="18"/>
              </w:rPr>
            </w:pPr>
            <w:r>
              <w:rPr>
                <w:rFonts w:ascii="Times New Roman"/>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2" w:right="0"/>
              <w:jc w:val="left"/>
              <w:rPr>
                <w:rFonts w:ascii="Times New Roman" w:hAnsi="Times New Roman" w:cs="Times New Roman" w:eastAsia="Times New Roman" w:hint="default"/>
                <w:sz w:val="18"/>
                <w:szCs w:val="18"/>
              </w:rPr>
            </w:pPr>
            <w:r>
              <w:rPr>
                <w:rFonts w:ascii="Times New Roman"/>
                <w:sz w:val="18"/>
              </w:rPr>
              <w:t>1,475,773,466.41</w:t>
            </w: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2,088,609,782.41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8" w:right="0"/>
              <w:jc w:val="left"/>
              <w:rPr>
                <w:rFonts w:ascii="Times New Roman" w:hAnsi="Times New Roman" w:cs="Times New Roman" w:eastAsia="Times New Roman" w:hint="default"/>
                <w:sz w:val="18"/>
                <w:szCs w:val="18"/>
              </w:rPr>
            </w:pPr>
            <w:r>
              <w:rPr>
                <w:rFonts w:ascii="Times New Roman"/>
                <w:sz w:val="18"/>
              </w:rPr>
              <w:t>1,884,668,389.77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2" w:right="0"/>
              <w:jc w:val="left"/>
              <w:rPr>
                <w:rFonts w:ascii="Times New Roman" w:hAnsi="Times New Roman" w:cs="Times New Roman" w:eastAsia="Times New Roman" w:hint="default"/>
                <w:sz w:val="18"/>
                <w:szCs w:val="18"/>
              </w:rPr>
            </w:pPr>
            <w:r>
              <w:rPr>
                <w:rFonts w:ascii="Times New Roman"/>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2" w:right="0"/>
              <w:jc w:val="left"/>
              <w:rPr>
                <w:rFonts w:ascii="Times New Roman" w:hAnsi="Times New Roman" w:cs="Times New Roman" w:eastAsia="Times New Roman" w:hint="default"/>
                <w:sz w:val="18"/>
                <w:szCs w:val="18"/>
              </w:rPr>
            </w:pPr>
            <w:r>
              <w:rPr>
                <w:rFonts w:ascii="Times New Roman"/>
                <w:sz w:val="18"/>
              </w:rPr>
              <w:t>1,475,773,466.41</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）主营业务（分产品）</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33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1,769,739,690.74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1,607,260,586.48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1,569,660,859.85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1,179,476,936.19</w:t>
            </w:r>
          </w:p>
        </w:tc>
      </w:tr>
      <w:tr>
        <w:trPr>
          <w:trHeight w:val="329"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213,349,224.08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197,661,811.54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248,741,159.71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201,453,327.24</w:t>
            </w: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105,520,867.59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79,745,991.75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126,537,540.29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94,843,202.98</w:t>
            </w:r>
          </w:p>
        </w:tc>
      </w:tr>
      <w:tr>
        <w:trPr>
          <w:trHeight w:val="329"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2,088,609,782.41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1,884,668,389.77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1,475,773,466.41</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4</w:t>
      </w:r>
      <w:r>
        <w:rPr/>
        <w:t>）主营业务（分地区）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3"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1,088,516,374.10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990,438,307.52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957,473,011.49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724,994,105.68</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155,126,896.35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141,082,627.08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82,086,116.69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61,912,093.35</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20,303,299.87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18,505,155.89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18,163,760.57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13,723,788.57</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5,190,467.42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4,725,875.94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4,461,944.27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3,364,625.30</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503,574,670.78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459,200,195.46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453,659,343.04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347,747,006.36</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19,766,359.63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18,011,263.06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48,939,869.51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36,862,013.52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296,131,714.26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252,704,964.82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380,155,514.28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287,169,833.63</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2,088,609,782.41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1,884,668,389.77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1,475,773,466.41</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）公司前五名客户的营业收入情况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94"/>
        <w:gridCol w:w="2849"/>
        <w:gridCol w:w="4126"/>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海宁市天裕包装材料有限公司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73,818,371.71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S.E.Holdings</w:t>
            </w:r>
            <w:r>
              <w:rPr>
                <w:rFonts w:ascii="Times New Roman"/>
                <w:spacing w:val="-13"/>
                <w:sz w:val="18"/>
              </w:rPr>
              <w:t> </w:t>
            </w:r>
            <w:r>
              <w:rPr>
                <w:rFonts w:ascii="Times New Roman"/>
                <w:sz w:val="18"/>
              </w:rPr>
              <w:t>Limited</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60,567,255.48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昆山市张浦彩印厂</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37,216,883.79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惠州艺都文化用品有限公司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37,038,452.05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w:t>
            </w:r>
          </w:p>
        </w:tc>
      </w:tr>
      <w:tr>
        <w:trPr>
          <w:trHeight w:val="715"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pacing w:val="-1"/>
                <w:sz w:val="18"/>
                <w:szCs w:val="18"/>
              </w:rPr>
              <w:t>宜兴市宇龙塑胶包装制品有限公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27,174,063.68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235,815,026.71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sz w:val="21"/>
          <w:szCs w:val="21"/>
        </w:rPr>
        <w:t>、合同项目收入</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6"/>
        <w:gridCol w:w="1594"/>
        <w:gridCol w:w="1591"/>
        <w:gridCol w:w="1596"/>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pacing w:val="-1"/>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 w:right="21" w:hanging="17"/>
              <w:jc w:val="left"/>
              <w:rPr>
                <w:rFonts w:ascii="宋体" w:hAnsi="宋体" w:cs="宋体" w:eastAsia="宋体" w:hint="default"/>
                <w:sz w:val="18"/>
                <w:szCs w:val="18"/>
              </w:rPr>
            </w:pPr>
            <w:r>
              <w:rPr>
                <w:rFonts w:ascii="宋体" w:hAnsi="宋体" w:cs="宋体" w:eastAsia="宋体" w:hint="default"/>
                <w:spacing w:val="-11"/>
                <w:w w:val="100"/>
                <w:sz w:val="18"/>
                <w:szCs w:val="18"/>
              </w:rPr>
              <w:t>累计已确认毛利（亏</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pacing w:val="-1"/>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8"/>
              <w:ind w:left="38" w:right="21" w:hanging="17"/>
              <w:jc w:val="left"/>
              <w:rPr>
                <w:rFonts w:ascii="宋体" w:hAnsi="宋体" w:cs="宋体" w:eastAsia="宋体" w:hint="default"/>
                <w:sz w:val="18"/>
                <w:szCs w:val="18"/>
              </w:rPr>
            </w:pPr>
            <w:r>
              <w:rPr>
                <w:rFonts w:ascii="宋体" w:hAnsi="宋体" w:cs="宋体" w:eastAsia="宋体" w:hint="default"/>
                <w:spacing w:val="-11"/>
                <w:w w:val="100"/>
                <w:sz w:val="18"/>
                <w:szCs w:val="18"/>
              </w:rPr>
              <w:t>累计已确认毛利（亏</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56</w:t>
      </w:r>
      <w:r>
        <w:rPr/>
        <w:t>、营业税金及附加</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771"/>
        <w:gridCol w:w="2003"/>
        <w:gridCol w:w="1862"/>
        <w:gridCol w:w="2921"/>
      </w:tblGrid>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12" w:space="0" w:color="D3D3D3"/>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396,204.64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1,989,771.87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283,003.32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1,361,302.47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679,207.96</w:t>
            </w:r>
          </w:p>
        </w:tc>
        <w:tc>
          <w:tcPr>
            <w:tcW w:w="1862"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3,509,574.34</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pStyle w:val="BodyText"/>
        <w:spacing w:line="256" w:lineRule="auto" w:before="94"/>
        <w:ind w:right="145" w:firstLine="252"/>
        <w:jc w:val="left"/>
      </w:pPr>
      <w:r>
        <w:rPr>
          <w:spacing w:val="-2"/>
        </w:rPr>
        <w:t>营业税金及附加本年发生数比上年发生数减少</w:t>
      </w:r>
      <w:r>
        <w:rPr>
          <w:rFonts w:ascii="Times New Roman" w:hAnsi="Times New Roman" w:cs="Times New Roman" w:eastAsia="Times New Roman" w:hint="default"/>
          <w:spacing w:val="-2"/>
        </w:rPr>
        <w:t>2,830,366.38</w:t>
      </w:r>
      <w:r>
        <w:rPr>
          <w:spacing w:val="-2"/>
        </w:rPr>
        <w:t>元，减少比例为</w:t>
      </w:r>
      <w:r>
        <w:rPr>
          <w:rFonts w:ascii="Times New Roman" w:hAnsi="Times New Roman" w:cs="Times New Roman" w:eastAsia="Times New Roman" w:hint="default"/>
          <w:spacing w:val="-2"/>
        </w:rPr>
        <w:t>80.65%</w:t>
      </w:r>
      <w:r>
        <w:rPr>
          <w:spacing w:val="-2"/>
        </w:rPr>
        <w:t>，减少原因系本期可</w:t>
      </w:r>
      <w:r>
        <w:rPr>
          <w:w w:val="100"/>
        </w:rPr>
        <w:t> </w:t>
      </w:r>
      <w:r>
        <w:rPr/>
        <w:t>抵扣进项税额增加比例远大于销项税额增加的比例，应纳流转税额下降与附加税同向下降所致。</w:t>
      </w:r>
    </w:p>
    <w:p>
      <w:pPr>
        <w:spacing w:line="240" w:lineRule="auto" w:before="8"/>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sz w:val="21"/>
          <w:szCs w:val="21"/>
        </w:rPr>
        <w:t>、销售费用</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26,373,751.22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16,092,205.77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26,373,751.22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16,092,205.77</w:t>
            </w:r>
          </w:p>
        </w:tc>
      </w:tr>
    </w:tbl>
    <w:p>
      <w:pPr>
        <w:spacing w:line="240" w:lineRule="auto" w:before="3"/>
        <w:rPr>
          <w:rFonts w:ascii="宋体" w:hAnsi="宋体" w:cs="宋体" w:eastAsia="宋体" w:hint="default"/>
          <w:sz w:val="19"/>
          <w:szCs w:val="19"/>
        </w:rPr>
      </w:pPr>
    </w:p>
    <w:p>
      <w:pPr>
        <w:spacing w:before="36"/>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sz w:val="21"/>
          <w:szCs w:val="21"/>
        </w:rPr>
        <w:t>、管理费用</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88,483,006.27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82,744,825.51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88,483,006.27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82,744,825.51</w:t>
            </w:r>
          </w:p>
        </w:tc>
      </w:tr>
    </w:tbl>
    <w:p>
      <w:pPr>
        <w:spacing w:line="240" w:lineRule="auto" w:before="3"/>
        <w:rPr>
          <w:rFonts w:ascii="宋体" w:hAnsi="宋体" w:cs="宋体" w:eastAsia="宋体" w:hint="default"/>
          <w:sz w:val="19"/>
          <w:szCs w:val="19"/>
        </w:rPr>
      </w:pPr>
    </w:p>
    <w:p>
      <w:pPr>
        <w:spacing w:before="36"/>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sz w:val="21"/>
          <w:szCs w:val="21"/>
        </w:rPr>
        <w:t>、财务费用</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6,668,588.69</w:t>
            </w:r>
          </w:p>
        </w:tc>
        <w:tc>
          <w:tcPr>
            <w:tcW w:w="31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11,809,022.40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-18,351,076.43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-30,368,806.95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-2,314,495.64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1,292,212.08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1,358,990.01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1,107,492.19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-12,637,993.37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-16,160,080.28</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60</w:t>
      </w:r>
      <w:r>
        <w:rPr/>
        <w:t>、公允价值变动收益</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846"/>
        <w:gridCol w:w="2800"/>
        <w:gridCol w:w="2921"/>
      </w:tblGrid>
      <w:tr>
        <w:trPr>
          <w:trHeight w:val="403" w:hRule="exact"/>
        </w:trPr>
        <w:tc>
          <w:tcPr>
            <w:tcW w:w="3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sz w:val="21"/>
          <w:szCs w:val="21"/>
        </w:rPr>
        <w:t>、投资收益</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）投资收益明细情况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834"/>
        <w:gridCol w:w="2800"/>
        <w:gridCol w:w="2921"/>
      </w:tblGrid>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）按成本法核算的长期股权投资收益</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16"/>
        <w:gridCol w:w="1992"/>
        <w:gridCol w:w="1728"/>
        <w:gridCol w:w="2921"/>
      </w:tblGrid>
      <w:tr>
        <w:trPr>
          <w:trHeight w:val="401" w:hRule="exact"/>
        </w:trPr>
        <w:tc>
          <w:tcPr>
            <w:tcW w:w="2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）按权益法核算的长期股权投资收益</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16"/>
        <w:gridCol w:w="1992"/>
        <w:gridCol w:w="1728"/>
        <w:gridCol w:w="2921"/>
      </w:tblGrid>
      <w:tr>
        <w:trPr>
          <w:trHeight w:val="401" w:hRule="exact"/>
        </w:trPr>
        <w:tc>
          <w:tcPr>
            <w:tcW w:w="2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sz w:val="21"/>
          <w:szCs w:val="21"/>
        </w:rPr>
        <w:t>、资产减值损失</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232"/>
        <w:gridCol w:w="2536"/>
        <w:gridCol w:w="2789"/>
      </w:tblGrid>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2,762,664.45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-927,803.14</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2,762,664.45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-927,803.14</w:t>
            </w:r>
          </w:p>
        </w:tc>
      </w:tr>
    </w:tbl>
    <w:p>
      <w:pPr>
        <w:spacing w:line="240" w:lineRule="auto" w:before="3"/>
        <w:rPr>
          <w:rFonts w:ascii="宋体" w:hAnsi="宋体" w:cs="宋体" w:eastAsia="宋体" w:hint="default"/>
          <w:sz w:val="19"/>
          <w:szCs w:val="19"/>
        </w:rPr>
      </w:pPr>
    </w:p>
    <w:p>
      <w:pPr>
        <w:spacing w:before="36"/>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sz w:val="21"/>
          <w:szCs w:val="21"/>
        </w:rPr>
        <w:t>、营业外收入</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）营业外收入情况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281"/>
        <w:gridCol w:w="1956"/>
        <w:gridCol w:w="2160"/>
        <w:gridCol w:w="2160"/>
      </w:tblGrid>
      <w:tr>
        <w:trPr>
          <w:trHeight w:val="403"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8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w:t>
            </w:r>
          </w:p>
        </w:tc>
      </w:tr>
    </w:tbl>
    <w:p>
      <w:pPr>
        <w:spacing w:after="0" w:line="240" w:lineRule="auto"/>
        <w:jc w:val="left"/>
        <w:rPr>
          <w:rFonts w:ascii="宋体" w:hAnsi="宋体" w:cs="宋体" w:eastAsia="宋体" w:hint="default"/>
          <w:sz w:val="18"/>
          <w:szCs w:val="18"/>
        </w:rPr>
        <w:sectPr>
          <w:footerReference w:type="default" r:id="rId27"/>
          <w:pgSz w:w="11900" w:h="16840"/>
          <w:pgMar w:footer="982" w:header="746" w:top="1060" w:bottom="1180" w:left="980" w:right="980"/>
          <w:pgNumType w:start="11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293"/>
        <w:gridCol w:w="1956"/>
        <w:gridCol w:w="2160"/>
        <w:gridCol w:w="2160"/>
      </w:tblGrid>
      <w:tr>
        <w:trPr>
          <w:trHeight w:val="36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19,424,000.00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94,330,315.56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19,424,000.00</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17,747.00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4,526,000.00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17,747.00</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19,441,747.00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98,856,315.56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19,441,747.00</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）政府补助明细</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59"/>
        <w:gridCol w:w="1994"/>
        <w:gridCol w:w="1994"/>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综合性项目相关的政府补助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19,340,555.56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主要收到技术研发等补助</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18,249,000.00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73,195,760.00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成果转化、产业振兴等政府补助</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科技奖励及其他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19,424,000.00</w:t>
            </w:r>
          </w:p>
        </w:tc>
        <w:tc>
          <w:tcPr>
            <w:tcW w:w="1994"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94,330,315.56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sz w:val="21"/>
          <w:szCs w:val="21"/>
        </w:rPr>
        <w:t>、营业外支出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697"/>
        <w:gridCol w:w="2032"/>
        <w:gridCol w:w="1915"/>
        <w:gridCol w:w="1913"/>
      </w:tblGrid>
      <w:tr>
        <w:trPr>
          <w:trHeight w:val="160"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81" w:right="47"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w:t>
            </w:r>
            <w:r>
              <w:rPr>
                <w:rFonts w:ascii="宋体" w:hAnsi="宋体" w:cs="宋体" w:eastAsia="宋体" w:hint="default"/>
                <w:w w:val="100"/>
                <w:sz w:val="18"/>
                <w:szCs w:val="18"/>
              </w:rPr>
              <w:t> </w:t>
            </w:r>
            <w:r>
              <w:rPr>
                <w:rFonts w:ascii="宋体" w:hAnsi="宋体" w:cs="宋体" w:eastAsia="宋体" w:hint="default"/>
                <w:sz w:val="18"/>
                <w:szCs w:val="18"/>
              </w:rPr>
              <w:t>的金额</w:t>
            </w:r>
          </w:p>
        </w:tc>
      </w:tr>
      <w:tr>
        <w:trPr>
          <w:trHeight w:val="394"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spacing w:before="12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sz w:val="21"/>
          <w:szCs w:val="21"/>
        </w:rPr>
        <w:t>、所得税费用</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633"/>
        <w:gridCol w:w="2533"/>
        <w:gridCol w:w="2390"/>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15,917,035.33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110,777,363.34</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-211,810.35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-63,418.83</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15,705,224.98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110,713,944.51</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66</w:t>
      </w:r>
      <w:r>
        <w:rPr/>
        <w:t>、基本每股收益和稀释每股收益的计算过程</w:t>
      </w:r>
    </w:p>
    <w:p>
      <w:pPr>
        <w:spacing w:line="240" w:lineRule="auto" w:before="8"/>
        <w:rPr>
          <w:rFonts w:ascii="宋体" w:hAnsi="宋体" w:cs="宋体" w:eastAsia="宋体" w:hint="default"/>
          <w:sz w:val="30"/>
          <w:szCs w:val="30"/>
        </w:rPr>
      </w:pPr>
    </w:p>
    <w:p>
      <w:pPr>
        <w:pStyle w:val="BodyText"/>
        <w:spacing w:line="240" w:lineRule="auto"/>
        <w:ind w:left="320" w:right="145"/>
        <w:jc w:val="left"/>
      </w:pPr>
      <w:r>
        <w:rPr>
          <w:rFonts w:ascii="Times New Roman" w:hAnsi="Times New Roman" w:cs="Times New Roman" w:eastAsia="Times New Roman" w:hint="default"/>
        </w:rPr>
        <w:t>2012</w:t>
      </w:r>
      <w:r>
        <w:rPr/>
        <w:t>年度基本每股收益计算过程</w:t>
      </w:r>
    </w:p>
    <w:p>
      <w:pPr>
        <w:spacing w:after="0" w:line="240" w:lineRule="auto"/>
        <w:jc w:val="left"/>
        <w:sectPr>
          <w:pgSz w:w="11900" w:h="16840"/>
          <w:pgMar w:header="746" w:footer="982" w:top="1060" w:bottom="1180" w:left="980" w:right="980"/>
        </w:sectPr>
      </w:pPr>
    </w:p>
    <w:p>
      <w:pPr>
        <w:spacing w:line="240" w:lineRule="auto" w:before="0"/>
        <w:rPr>
          <w:rFonts w:ascii="宋体" w:hAnsi="宋体" w:cs="宋体" w:eastAsia="宋体" w:hint="default"/>
          <w:sz w:val="25"/>
          <w:szCs w:val="25"/>
        </w:rPr>
      </w:pPr>
    </w:p>
    <w:tbl>
      <w:tblPr>
        <w:tblW w:w="0" w:type="auto"/>
        <w:jc w:val="left"/>
        <w:tblInd w:w="211" w:type="dxa"/>
        <w:tblLayout w:type="fixed"/>
        <w:tblCellMar>
          <w:top w:w="0" w:type="dxa"/>
          <w:left w:w="0" w:type="dxa"/>
          <w:bottom w:w="0" w:type="dxa"/>
          <w:right w:w="0" w:type="dxa"/>
        </w:tblCellMar>
        <w:tblLook w:val="01E0"/>
      </w:tblPr>
      <w:tblGrid>
        <w:gridCol w:w="3399"/>
        <w:gridCol w:w="1898"/>
        <w:gridCol w:w="2747"/>
        <w:gridCol w:w="2052"/>
      </w:tblGrid>
      <w:tr>
        <w:trPr>
          <w:trHeight w:val="356"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65"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8"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2052" w:type="dxa"/>
            <w:tcBorders>
              <w:top w:val="nil" w:sz="6" w:space="0" w:color="auto"/>
              <w:left w:val="nil" w:sz="6" w:space="0" w:color="auto"/>
              <w:bottom w:val="nil" w:sz="6" w:space="0" w:color="auto"/>
              <w:right w:val="nil" w:sz="6" w:space="0" w:color="auto"/>
            </w:tcBorders>
          </w:tcPr>
          <w:p>
            <w:pPr/>
          </w:p>
        </w:tc>
      </w:tr>
      <w:tr>
        <w:trPr>
          <w:trHeight w:val="328"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归属于本公司普通股股东的净利润</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65" w:right="0"/>
              <w:jc w:val="lef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747"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14" w:right="0"/>
              <w:jc w:val="left"/>
              <w:rPr>
                <w:rFonts w:ascii="Times New Roman" w:hAnsi="Times New Roman" w:cs="Times New Roman" w:eastAsia="Times New Roman" w:hint="default"/>
                <w:sz w:val="16"/>
                <w:szCs w:val="16"/>
              </w:rPr>
            </w:pPr>
            <w:r>
              <w:rPr>
                <w:rFonts w:ascii="Times New Roman"/>
                <w:sz w:val="16"/>
              </w:rPr>
              <w:t>118,833,435.20</w:t>
            </w:r>
          </w:p>
        </w:tc>
      </w:tr>
    </w:tbl>
    <w:p>
      <w:pPr>
        <w:spacing w:after="0" w:line="240" w:lineRule="auto"/>
        <w:jc w:val="left"/>
        <w:rPr>
          <w:rFonts w:ascii="Times New Roman" w:hAnsi="Times New Roman" w:cs="Times New Roman" w:eastAsia="Times New Roman" w:hint="default"/>
          <w:sz w:val="16"/>
          <w:szCs w:val="16"/>
        </w:rPr>
        <w:sectPr>
          <w:pgSz w:w="11900" w:h="16840"/>
          <w:pgMar w:header="746" w:footer="982" w:top="1060" w:bottom="1180" w:left="980" w:right="500"/>
        </w:sectPr>
      </w:pPr>
    </w:p>
    <w:p>
      <w:pPr>
        <w:spacing w:line="239" w:lineRule="exact" w:before="0"/>
        <w:ind w:left="246" w:right="0" w:firstLine="0"/>
        <w:jc w:val="left"/>
        <w:rPr>
          <w:rFonts w:ascii="宋体" w:hAnsi="宋体" w:cs="宋体" w:eastAsia="宋体" w:hint="default"/>
          <w:sz w:val="20"/>
          <w:szCs w:val="20"/>
        </w:rPr>
      </w:pPr>
      <w:r>
        <w:rPr>
          <w:rFonts w:ascii="宋体" w:hAnsi="宋体" w:cs="宋体" w:eastAsia="宋体" w:hint="default"/>
          <w:sz w:val="20"/>
          <w:szCs w:val="20"/>
        </w:rPr>
        <w:t>扣除所得税影响后归属于母公司普通股</w:t>
      </w:r>
    </w:p>
    <w:p>
      <w:pPr>
        <w:spacing w:line="285" w:lineRule="auto" w:before="50"/>
        <w:ind w:left="246" w:right="0" w:firstLine="0"/>
        <w:jc w:val="left"/>
        <w:rPr>
          <w:rFonts w:ascii="宋体" w:hAnsi="宋体" w:cs="宋体" w:eastAsia="宋体" w:hint="default"/>
          <w:sz w:val="20"/>
          <w:szCs w:val="20"/>
        </w:rPr>
      </w:pPr>
      <w:r>
        <w:rPr>
          <w:rFonts w:ascii="宋体" w:hAnsi="宋体" w:cs="宋体" w:eastAsia="宋体" w:hint="default"/>
          <w:sz w:val="20"/>
          <w:szCs w:val="20"/>
        </w:rPr>
        <w:t>股东净利润的非经常性损益</w:t>
      </w:r>
      <w:r>
        <w:rPr>
          <w:rFonts w:ascii="宋体" w:hAnsi="宋体" w:cs="宋体" w:eastAsia="宋体" w:hint="default"/>
          <w:w w:val="99"/>
          <w:sz w:val="20"/>
          <w:szCs w:val="20"/>
        </w:rPr>
        <w:t> </w:t>
      </w:r>
      <w:r>
        <w:rPr>
          <w:rFonts w:ascii="宋体" w:hAnsi="宋体" w:cs="宋体" w:eastAsia="宋体" w:hint="default"/>
          <w:spacing w:val="-6"/>
          <w:w w:val="99"/>
          <w:sz w:val="20"/>
          <w:szCs w:val="20"/>
        </w:rPr>
        <w:t>归属于本公司普通股股东、扣除非经常性</w:t>
      </w:r>
      <w:r>
        <w:rPr>
          <w:rFonts w:ascii="宋体" w:hAnsi="宋体" w:cs="宋体" w:eastAsia="宋体" w:hint="default"/>
          <w:spacing w:val="-85"/>
          <w:w w:val="99"/>
          <w:sz w:val="20"/>
          <w:szCs w:val="20"/>
        </w:rPr>
        <w:t> </w:t>
      </w:r>
      <w:r>
        <w:rPr>
          <w:rFonts w:ascii="宋体" w:hAnsi="宋体" w:cs="宋体" w:eastAsia="宋体" w:hint="default"/>
          <w:spacing w:val="-85"/>
          <w:w w:val="99"/>
          <w:sz w:val="20"/>
          <w:szCs w:val="20"/>
        </w:rPr>
      </w:r>
      <w:r>
        <w:rPr>
          <w:rFonts w:ascii="宋体" w:hAnsi="宋体" w:cs="宋体" w:eastAsia="宋体" w:hint="default"/>
          <w:sz w:val="20"/>
          <w:szCs w:val="20"/>
        </w:rPr>
        <w:t>损益后的净利润</w:t>
      </w:r>
    </w:p>
    <w:p>
      <w:pPr>
        <w:spacing w:line="240" w:lineRule="auto" w:before="10"/>
        <w:rPr>
          <w:rFonts w:ascii="宋体" w:hAnsi="宋体" w:cs="宋体" w:eastAsia="宋体" w:hint="default"/>
          <w:sz w:val="13"/>
          <w:szCs w:val="13"/>
        </w:rPr>
      </w:pPr>
      <w:r>
        <w:rPr/>
        <w:br w:type="column"/>
      </w:r>
      <w:r>
        <w:rPr>
          <w:rFonts w:ascii="宋体"/>
          <w:sz w:val="13"/>
        </w:rPr>
      </w:r>
    </w:p>
    <w:p>
      <w:pPr>
        <w:tabs>
          <w:tab w:pos="5551" w:val="left" w:leader="none"/>
        </w:tabs>
        <w:spacing w:before="0"/>
        <w:ind w:left="177" w:right="0" w:firstLine="0"/>
        <w:jc w:val="left"/>
        <w:rPr>
          <w:rFonts w:ascii="Times New Roman" w:hAnsi="Times New Roman" w:cs="Times New Roman" w:eastAsia="Times New Roman" w:hint="default"/>
          <w:sz w:val="16"/>
          <w:szCs w:val="16"/>
        </w:rPr>
      </w:pPr>
      <w:r>
        <w:rPr>
          <w:rFonts w:ascii="Times New Roman"/>
          <w:w w:val="95"/>
          <w:sz w:val="20"/>
        </w:rPr>
        <w:t>2</w:t>
        <w:tab/>
      </w:r>
      <w:r>
        <w:rPr>
          <w:rFonts w:ascii="Times New Roman"/>
          <w:position w:val="1"/>
          <w:sz w:val="16"/>
        </w:rPr>
        <w:t>16,312,984.95</w:t>
      </w:r>
      <w:r>
        <w:rPr>
          <w:rFonts w:ascii="Times New Roman"/>
          <w:sz w:val="16"/>
        </w:rPr>
      </w:r>
    </w:p>
    <w:p>
      <w:pPr>
        <w:spacing w:line="240" w:lineRule="auto" w:before="0"/>
        <w:rPr>
          <w:rFonts w:ascii="Times New Roman" w:hAnsi="Times New Roman" w:cs="Times New Roman" w:eastAsia="Times New Roman" w:hint="default"/>
          <w:sz w:val="20"/>
          <w:szCs w:val="20"/>
        </w:rPr>
      </w:pPr>
    </w:p>
    <w:p>
      <w:pPr>
        <w:tabs>
          <w:tab w:pos="5472" w:val="left" w:leader="none"/>
        </w:tabs>
        <w:spacing w:before="164"/>
        <w:ind w:left="177" w:right="0" w:firstLine="0"/>
        <w:jc w:val="left"/>
        <w:rPr>
          <w:rFonts w:ascii="Times New Roman" w:hAnsi="Times New Roman" w:cs="Times New Roman" w:eastAsia="Times New Roman" w:hint="default"/>
          <w:sz w:val="16"/>
          <w:szCs w:val="16"/>
        </w:rPr>
      </w:pPr>
      <w:r>
        <w:rPr>
          <w:rFonts w:ascii="Times New Roman"/>
          <w:spacing w:val="-1"/>
          <w:sz w:val="20"/>
        </w:rPr>
        <w:t>3=1-2</w:t>
        <w:tab/>
      </w:r>
      <w:r>
        <w:rPr>
          <w:rFonts w:ascii="Times New Roman"/>
          <w:spacing w:val="-1"/>
          <w:position w:val="1"/>
          <w:sz w:val="16"/>
        </w:rPr>
        <w:t>102,520,450.25</w:t>
      </w:r>
      <w:r>
        <w:rPr>
          <w:rFonts w:ascii="Times New Roman"/>
          <w:spacing w:val="-1"/>
          <w:sz w:val="16"/>
        </w:rPr>
      </w:r>
    </w:p>
    <w:p>
      <w:pPr>
        <w:spacing w:after="0"/>
        <w:jc w:val="left"/>
        <w:rPr>
          <w:rFonts w:ascii="Times New Roman" w:hAnsi="Times New Roman" w:cs="Times New Roman" w:eastAsia="Times New Roman" w:hint="default"/>
          <w:sz w:val="16"/>
          <w:szCs w:val="16"/>
        </w:rPr>
        <w:sectPr>
          <w:type w:val="continuous"/>
          <w:pgSz w:w="11900" w:h="16840"/>
          <w:pgMar w:top="1060" w:bottom="1180" w:left="980" w:right="500"/>
          <w:cols w:num="2" w:equalWidth="0">
            <w:col w:w="3759" w:space="40"/>
            <w:col w:w="6621"/>
          </w:cols>
        </w:sectPr>
      </w:pPr>
    </w:p>
    <w:p>
      <w:pPr>
        <w:tabs>
          <w:tab w:pos="3975" w:val="left" w:leader="none"/>
          <w:tab w:pos="9270" w:val="left" w:leader="none"/>
        </w:tabs>
        <w:spacing w:before="12"/>
        <w:ind w:left="246" w:right="0" w:firstLine="0"/>
        <w:jc w:val="left"/>
        <w:rPr>
          <w:rFonts w:ascii="Times New Roman" w:hAnsi="Times New Roman" w:cs="Times New Roman" w:eastAsia="Times New Roman" w:hint="default"/>
          <w:sz w:val="16"/>
          <w:szCs w:val="16"/>
        </w:rPr>
      </w:pPr>
      <w:r>
        <w:rPr>
          <w:rFonts w:ascii="宋体" w:hAnsi="宋体" w:cs="宋体" w:eastAsia="宋体" w:hint="default"/>
          <w:spacing w:val="-1"/>
          <w:sz w:val="20"/>
          <w:szCs w:val="20"/>
        </w:rPr>
        <w:t>年初股份总数</w:t>
        <w:tab/>
      </w:r>
      <w:r>
        <w:rPr>
          <w:rFonts w:ascii="Times New Roman" w:hAnsi="Times New Roman" w:cs="Times New Roman" w:eastAsia="Times New Roman" w:hint="default"/>
          <w:w w:val="95"/>
          <w:sz w:val="20"/>
          <w:szCs w:val="20"/>
        </w:rPr>
        <w:t>4</w:t>
        <w:tab/>
      </w:r>
      <w:r>
        <w:rPr>
          <w:rFonts w:ascii="Times New Roman" w:hAnsi="Times New Roman" w:cs="Times New Roman" w:eastAsia="Times New Roman" w:hint="default"/>
          <w:spacing w:val="-1"/>
          <w:position w:val="1"/>
          <w:sz w:val="16"/>
          <w:szCs w:val="16"/>
        </w:rPr>
        <w:t>208,000,000.00</w:t>
      </w:r>
      <w:r>
        <w:rPr>
          <w:rFonts w:ascii="Times New Roman" w:hAnsi="Times New Roman" w:cs="Times New Roman" w:eastAsia="Times New Roman" w:hint="default"/>
          <w:spacing w:val="-1"/>
          <w:sz w:val="16"/>
          <w:szCs w:val="16"/>
        </w:rPr>
      </w:r>
    </w:p>
    <w:p>
      <w:pPr>
        <w:tabs>
          <w:tab w:pos="4241" w:val="right" w:leader="none"/>
        </w:tabs>
        <w:spacing w:before="35"/>
        <w:ind w:left="24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发行新股或债转股等增加股份数</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5-1</w:t>
      </w:r>
    </w:p>
    <w:p>
      <w:pPr>
        <w:spacing w:line="229" w:lineRule="exact" w:before="35"/>
        <w:ind w:left="246" w:right="0" w:firstLine="0"/>
        <w:jc w:val="left"/>
        <w:rPr>
          <w:rFonts w:ascii="宋体" w:hAnsi="宋体" w:cs="宋体" w:eastAsia="宋体" w:hint="default"/>
          <w:sz w:val="20"/>
          <w:szCs w:val="20"/>
        </w:rPr>
      </w:pPr>
      <w:r>
        <w:rPr>
          <w:rFonts w:ascii="宋体" w:hAnsi="宋体" w:cs="宋体" w:eastAsia="宋体" w:hint="default"/>
          <w:sz w:val="20"/>
          <w:szCs w:val="20"/>
        </w:rPr>
        <w:t>发行新股或债转股等增加股份下一月份</w:t>
      </w:r>
    </w:p>
    <w:p>
      <w:pPr>
        <w:spacing w:after="0" w:line="229" w:lineRule="exact"/>
        <w:jc w:val="left"/>
        <w:rPr>
          <w:rFonts w:ascii="宋体" w:hAnsi="宋体" w:cs="宋体" w:eastAsia="宋体" w:hint="default"/>
          <w:sz w:val="20"/>
          <w:szCs w:val="20"/>
        </w:rPr>
        <w:sectPr>
          <w:type w:val="continuous"/>
          <w:pgSz w:w="11900" w:h="16840"/>
          <w:pgMar w:top="1060" w:bottom="1180" w:left="980" w:right="500"/>
        </w:sectPr>
      </w:pPr>
    </w:p>
    <w:p>
      <w:pPr>
        <w:spacing w:before="82"/>
        <w:ind w:left="246" w:right="0" w:firstLine="0"/>
        <w:jc w:val="left"/>
        <w:rPr>
          <w:rFonts w:ascii="宋体" w:hAnsi="宋体" w:cs="宋体" w:eastAsia="宋体" w:hint="default"/>
          <w:sz w:val="20"/>
          <w:szCs w:val="20"/>
        </w:rPr>
      </w:pPr>
      <w:r>
        <w:rPr>
          <w:rFonts w:ascii="宋体" w:hAnsi="宋体" w:cs="宋体" w:eastAsia="宋体" w:hint="default"/>
          <w:w w:val="95"/>
          <w:sz w:val="20"/>
          <w:szCs w:val="20"/>
        </w:rPr>
        <w:t>起至报告期年末的月份数</w:t>
      </w:r>
      <w:r>
        <w:rPr>
          <w:rFonts w:ascii="宋体" w:hAnsi="宋体" w:cs="宋体" w:eastAsia="宋体" w:hint="default"/>
          <w:sz w:val="20"/>
          <w:szCs w:val="20"/>
        </w:rPr>
      </w:r>
    </w:p>
    <w:p>
      <w:pPr>
        <w:spacing w:line="178" w:lineRule="exact" w:before="0"/>
        <w:ind w:left="246" w:right="0" w:firstLine="0"/>
        <w:jc w:val="left"/>
        <w:rPr>
          <w:rFonts w:ascii="Times New Roman" w:hAnsi="Times New Roman" w:cs="Times New Roman" w:eastAsia="Times New Roman" w:hint="default"/>
          <w:sz w:val="20"/>
          <w:szCs w:val="20"/>
        </w:rPr>
      </w:pPr>
      <w:r>
        <w:rPr/>
        <w:br w:type="column"/>
      </w:r>
      <w:r>
        <w:rPr>
          <w:rFonts w:ascii="Times New Roman"/>
          <w:sz w:val="20"/>
        </w:rPr>
        <w:t>6-1</w:t>
      </w:r>
    </w:p>
    <w:p>
      <w:pPr>
        <w:spacing w:line="158" w:lineRule="exact" w:before="0"/>
        <w:ind w:left="0" w:right="145" w:firstLine="0"/>
        <w:jc w:val="right"/>
        <w:rPr>
          <w:rFonts w:ascii="Times New Roman" w:hAnsi="Times New Roman" w:cs="Times New Roman" w:eastAsia="Times New Roman" w:hint="default"/>
          <w:sz w:val="16"/>
          <w:szCs w:val="16"/>
        </w:rPr>
      </w:pPr>
      <w:r>
        <w:rPr>
          <w:rFonts w:ascii="Times New Roman"/>
          <w:w w:val="100"/>
          <w:sz w:val="16"/>
        </w:rPr>
        <w:t>-</w:t>
      </w:r>
    </w:p>
    <w:p>
      <w:pPr>
        <w:spacing w:after="0" w:line="158" w:lineRule="exact"/>
        <w:jc w:val="right"/>
        <w:rPr>
          <w:rFonts w:ascii="Times New Roman" w:hAnsi="Times New Roman" w:cs="Times New Roman" w:eastAsia="Times New Roman" w:hint="default"/>
          <w:sz w:val="16"/>
          <w:szCs w:val="16"/>
        </w:rPr>
        <w:sectPr>
          <w:type w:val="continuous"/>
          <w:pgSz w:w="11900" w:h="16840"/>
          <w:pgMar w:top="1060" w:bottom="1180" w:left="980" w:right="500"/>
          <w:cols w:num="2" w:equalWidth="0">
            <w:col w:w="2446" w:space="1284"/>
            <w:col w:w="6690"/>
          </w:cols>
        </w:sectPr>
      </w:pPr>
    </w:p>
    <w:p>
      <w:pPr>
        <w:tabs>
          <w:tab w:pos="4241" w:val="right" w:leader="none"/>
        </w:tabs>
        <w:spacing w:before="50"/>
        <w:ind w:left="24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发行新股或债转股等增加股份数</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5-2</w:t>
      </w:r>
    </w:p>
    <w:p>
      <w:pPr>
        <w:spacing w:line="229" w:lineRule="exact" w:before="35"/>
        <w:ind w:left="246" w:right="0" w:firstLine="0"/>
        <w:jc w:val="left"/>
        <w:rPr>
          <w:rFonts w:ascii="宋体" w:hAnsi="宋体" w:cs="宋体" w:eastAsia="宋体" w:hint="default"/>
          <w:sz w:val="20"/>
          <w:szCs w:val="20"/>
        </w:rPr>
      </w:pPr>
      <w:r>
        <w:rPr>
          <w:rFonts w:ascii="宋体" w:hAnsi="宋体" w:cs="宋体" w:eastAsia="宋体" w:hint="default"/>
          <w:sz w:val="20"/>
          <w:szCs w:val="20"/>
        </w:rPr>
        <w:t>发行新股或债转股等增加股份下一月份</w:t>
      </w:r>
    </w:p>
    <w:p>
      <w:pPr>
        <w:spacing w:after="0" w:line="229" w:lineRule="exact"/>
        <w:jc w:val="left"/>
        <w:rPr>
          <w:rFonts w:ascii="宋体" w:hAnsi="宋体" w:cs="宋体" w:eastAsia="宋体" w:hint="default"/>
          <w:sz w:val="20"/>
          <w:szCs w:val="20"/>
        </w:rPr>
        <w:sectPr>
          <w:type w:val="continuous"/>
          <w:pgSz w:w="11900" w:h="16840"/>
          <w:pgMar w:top="1060" w:bottom="1180" w:left="980" w:right="500"/>
        </w:sectPr>
      </w:pPr>
    </w:p>
    <w:p>
      <w:pPr>
        <w:spacing w:before="82"/>
        <w:ind w:left="246" w:right="0" w:firstLine="0"/>
        <w:jc w:val="left"/>
        <w:rPr>
          <w:rFonts w:ascii="宋体" w:hAnsi="宋体" w:cs="宋体" w:eastAsia="宋体" w:hint="default"/>
          <w:sz w:val="20"/>
          <w:szCs w:val="20"/>
        </w:rPr>
      </w:pPr>
      <w:r>
        <w:rPr>
          <w:rFonts w:ascii="宋体" w:hAnsi="宋体" w:cs="宋体" w:eastAsia="宋体" w:hint="default"/>
          <w:w w:val="95"/>
          <w:sz w:val="20"/>
          <w:szCs w:val="20"/>
        </w:rPr>
        <w:t>起至报告期年末的月份数</w:t>
      </w:r>
      <w:r>
        <w:rPr>
          <w:rFonts w:ascii="宋体" w:hAnsi="宋体" w:cs="宋体" w:eastAsia="宋体" w:hint="default"/>
          <w:sz w:val="20"/>
          <w:szCs w:val="20"/>
        </w:rPr>
      </w:r>
    </w:p>
    <w:p>
      <w:pPr>
        <w:spacing w:line="204" w:lineRule="exact" w:before="0"/>
        <w:ind w:left="246" w:right="0" w:firstLine="0"/>
        <w:jc w:val="left"/>
        <w:rPr>
          <w:rFonts w:ascii="Times New Roman" w:hAnsi="Times New Roman" w:cs="Times New Roman" w:eastAsia="Times New Roman" w:hint="default"/>
          <w:sz w:val="20"/>
          <w:szCs w:val="20"/>
        </w:rPr>
      </w:pPr>
      <w:r>
        <w:rPr/>
        <w:br w:type="column"/>
      </w:r>
      <w:r>
        <w:rPr>
          <w:rFonts w:ascii="Times New Roman"/>
          <w:sz w:val="20"/>
        </w:rPr>
        <w:t>6-2</w:t>
      </w:r>
    </w:p>
    <w:p>
      <w:pPr>
        <w:spacing w:after="0" w:line="204" w:lineRule="exact"/>
        <w:jc w:val="left"/>
        <w:rPr>
          <w:rFonts w:ascii="Times New Roman" w:hAnsi="Times New Roman" w:cs="Times New Roman" w:eastAsia="Times New Roman" w:hint="default"/>
          <w:sz w:val="20"/>
          <w:szCs w:val="20"/>
        </w:rPr>
        <w:sectPr>
          <w:type w:val="continuous"/>
          <w:pgSz w:w="11900" w:h="16840"/>
          <w:pgMar w:top="1060" w:bottom="1180" w:left="980" w:right="500"/>
          <w:cols w:num="2" w:equalWidth="0">
            <w:col w:w="2446" w:space="1284"/>
            <w:col w:w="6690"/>
          </w:cols>
        </w:sectPr>
      </w:pPr>
    </w:p>
    <w:p>
      <w:pPr>
        <w:tabs>
          <w:tab w:pos="4075" w:val="right" w:leader="none"/>
        </w:tabs>
        <w:spacing w:before="50"/>
        <w:ind w:left="24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报告期因回购或缩股等减少股份数</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7</w:t>
      </w:r>
    </w:p>
    <w:p>
      <w:pPr>
        <w:spacing w:line="229" w:lineRule="exact" w:before="35"/>
        <w:ind w:left="246" w:right="0" w:firstLine="0"/>
        <w:jc w:val="left"/>
        <w:rPr>
          <w:rFonts w:ascii="宋体" w:hAnsi="宋体" w:cs="宋体" w:eastAsia="宋体" w:hint="default"/>
          <w:sz w:val="20"/>
          <w:szCs w:val="20"/>
        </w:rPr>
      </w:pPr>
      <w:r>
        <w:rPr>
          <w:rFonts w:ascii="宋体" w:hAnsi="宋体" w:cs="宋体" w:eastAsia="宋体" w:hint="default"/>
          <w:sz w:val="20"/>
          <w:szCs w:val="20"/>
        </w:rPr>
        <w:t>减少股份下一月份起至报告期年末的月</w:t>
      </w:r>
    </w:p>
    <w:p>
      <w:pPr>
        <w:spacing w:after="0" w:line="229" w:lineRule="exact"/>
        <w:jc w:val="left"/>
        <w:rPr>
          <w:rFonts w:ascii="宋体" w:hAnsi="宋体" w:cs="宋体" w:eastAsia="宋体" w:hint="default"/>
          <w:sz w:val="20"/>
          <w:szCs w:val="20"/>
        </w:rPr>
        <w:sectPr>
          <w:type w:val="continuous"/>
          <w:pgSz w:w="11900" w:h="16840"/>
          <w:pgMar w:top="1060" w:bottom="1180" w:left="980" w:right="500"/>
        </w:sectPr>
      </w:pPr>
    </w:p>
    <w:p>
      <w:pPr>
        <w:spacing w:line="285" w:lineRule="auto" w:before="82"/>
        <w:ind w:left="246" w:right="0" w:firstLine="0"/>
        <w:jc w:val="left"/>
        <w:rPr>
          <w:rFonts w:ascii="宋体" w:hAnsi="宋体" w:cs="宋体" w:eastAsia="宋体" w:hint="default"/>
          <w:sz w:val="20"/>
          <w:szCs w:val="20"/>
        </w:rPr>
      </w:pPr>
      <w:r>
        <w:rPr>
          <w:rFonts w:ascii="宋体" w:hAnsi="宋体" w:cs="宋体" w:eastAsia="宋体" w:hint="default"/>
          <w:sz w:val="20"/>
          <w:szCs w:val="20"/>
        </w:rPr>
        <w:t>份数</w:t>
      </w:r>
      <w:r>
        <w:rPr>
          <w:rFonts w:ascii="宋体" w:hAnsi="宋体" w:cs="宋体" w:eastAsia="宋体" w:hint="default"/>
          <w:w w:val="99"/>
          <w:sz w:val="20"/>
          <w:szCs w:val="20"/>
        </w:rPr>
        <w:t> </w:t>
      </w:r>
      <w:r>
        <w:rPr>
          <w:rFonts w:ascii="宋体" w:hAnsi="宋体" w:cs="宋体" w:eastAsia="宋体" w:hint="default"/>
          <w:w w:val="95"/>
          <w:sz w:val="20"/>
          <w:szCs w:val="20"/>
        </w:rPr>
        <w:t>公积金转增股本或股票股利分配等增加</w:t>
      </w:r>
      <w:r>
        <w:rPr>
          <w:rFonts w:ascii="宋体" w:hAnsi="宋体" w:cs="宋体" w:eastAsia="宋体" w:hint="default"/>
          <w:spacing w:val="64"/>
          <w:w w:val="95"/>
          <w:sz w:val="20"/>
          <w:szCs w:val="20"/>
        </w:rPr>
        <w:t> </w:t>
      </w:r>
      <w:r>
        <w:rPr>
          <w:rFonts w:ascii="宋体" w:hAnsi="宋体" w:cs="宋体" w:eastAsia="宋体" w:hint="default"/>
          <w:spacing w:val="64"/>
          <w:w w:val="95"/>
          <w:sz w:val="20"/>
          <w:szCs w:val="20"/>
        </w:rPr>
      </w:r>
      <w:r>
        <w:rPr>
          <w:rFonts w:ascii="宋体" w:hAnsi="宋体" w:cs="宋体" w:eastAsia="宋体" w:hint="default"/>
          <w:sz w:val="20"/>
          <w:szCs w:val="20"/>
        </w:rPr>
        <w:t>股份数</w:t>
      </w:r>
      <w:r>
        <w:rPr>
          <w:rFonts w:ascii="宋体" w:hAnsi="宋体" w:cs="宋体" w:eastAsia="宋体" w:hint="default"/>
          <w:w w:val="99"/>
          <w:sz w:val="20"/>
          <w:szCs w:val="20"/>
        </w:rPr>
        <w:t> </w:t>
      </w:r>
      <w:r>
        <w:rPr>
          <w:rFonts w:ascii="宋体" w:hAnsi="宋体" w:cs="宋体" w:eastAsia="宋体" w:hint="default"/>
          <w:w w:val="95"/>
          <w:sz w:val="20"/>
          <w:szCs w:val="20"/>
        </w:rPr>
        <w:t>公积金转增股本或股票股利分配等的比</w:t>
      </w:r>
      <w:r>
        <w:rPr>
          <w:rFonts w:ascii="宋体" w:hAnsi="宋体" w:cs="宋体" w:eastAsia="宋体" w:hint="default"/>
          <w:spacing w:val="64"/>
          <w:w w:val="95"/>
          <w:sz w:val="20"/>
          <w:szCs w:val="20"/>
        </w:rPr>
        <w:t> </w:t>
      </w:r>
      <w:r>
        <w:rPr>
          <w:rFonts w:ascii="宋体" w:hAnsi="宋体" w:cs="宋体" w:eastAsia="宋体" w:hint="default"/>
          <w:spacing w:val="64"/>
          <w:w w:val="95"/>
          <w:sz w:val="20"/>
          <w:szCs w:val="20"/>
        </w:rPr>
      </w:r>
      <w:r>
        <w:rPr>
          <w:rFonts w:ascii="宋体" w:hAnsi="宋体" w:cs="宋体" w:eastAsia="宋体" w:hint="default"/>
          <w:sz w:val="20"/>
          <w:szCs w:val="20"/>
        </w:rPr>
        <w:t>例</w:t>
      </w:r>
    </w:p>
    <w:p>
      <w:pPr>
        <w:spacing w:line="204" w:lineRule="exact" w:before="0"/>
        <w:ind w:left="246" w:right="0" w:firstLine="0"/>
        <w:jc w:val="left"/>
        <w:rPr>
          <w:rFonts w:ascii="Times New Roman" w:hAnsi="Times New Roman" w:cs="Times New Roman" w:eastAsia="Times New Roman" w:hint="default"/>
          <w:sz w:val="20"/>
          <w:szCs w:val="20"/>
        </w:rPr>
      </w:pPr>
      <w:r>
        <w:rPr/>
        <w:br w:type="column"/>
      </w:r>
      <w:r>
        <w:rPr>
          <w:rFonts w:ascii="Times New Roman"/>
          <w:sz w:val="20"/>
        </w:rPr>
        <w:t>8</w:t>
      </w:r>
    </w:p>
    <w:p>
      <w:pPr>
        <w:spacing w:line="240" w:lineRule="auto" w:before="0"/>
        <w:rPr>
          <w:rFonts w:ascii="Times New Roman" w:hAnsi="Times New Roman" w:cs="Times New Roman" w:eastAsia="Times New Roman" w:hint="default"/>
          <w:sz w:val="20"/>
          <w:szCs w:val="20"/>
        </w:rPr>
      </w:pPr>
    </w:p>
    <w:p>
      <w:pPr>
        <w:tabs>
          <w:tab w:pos="5540" w:val="left" w:leader="none"/>
        </w:tabs>
        <w:spacing w:before="164"/>
        <w:ind w:left="246" w:right="0" w:firstLine="0"/>
        <w:jc w:val="left"/>
        <w:rPr>
          <w:rFonts w:ascii="Times New Roman" w:hAnsi="Times New Roman" w:cs="Times New Roman" w:eastAsia="Times New Roman" w:hint="default"/>
          <w:sz w:val="16"/>
          <w:szCs w:val="16"/>
        </w:rPr>
      </w:pPr>
      <w:r>
        <w:rPr>
          <w:rFonts w:ascii="Times New Roman"/>
          <w:w w:val="95"/>
          <w:sz w:val="20"/>
        </w:rPr>
        <w:t>9</w:t>
        <w:tab/>
      </w:r>
      <w:r>
        <w:rPr>
          <w:rFonts w:ascii="Times New Roman"/>
          <w:position w:val="1"/>
          <w:sz w:val="16"/>
        </w:rPr>
        <w:t>208,000,000.00</w:t>
      </w:r>
      <w:r>
        <w:rPr>
          <w:rFonts w:ascii="Times New Roman"/>
          <w:sz w:val="16"/>
        </w:rPr>
      </w:r>
    </w:p>
    <w:p>
      <w:pPr>
        <w:spacing w:line="240" w:lineRule="auto" w:before="0"/>
        <w:rPr>
          <w:rFonts w:ascii="Times New Roman" w:hAnsi="Times New Roman" w:cs="Times New Roman" w:eastAsia="Times New Roman" w:hint="default"/>
          <w:sz w:val="20"/>
          <w:szCs w:val="20"/>
        </w:rPr>
      </w:pPr>
    </w:p>
    <w:p>
      <w:pPr>
        <w:spacing w:before="164"/>
        <w:ind w:left="246" w:right="0" w:firstLine="0"/>
        <w:jc w:val="left"/>
        <w:rPr>
          <w:rFonts w:ascii="Times New Roman" w:hAnsi="Times New Roman" w:cs="Times New Roman" w:eastAsia="Times New Roman" w:hint="default"/>
          <w:sz w:val="20"/>
          <w:szCs w:val="20"/>
        </w:rPr>
      </w:pPr>
      <w:r>
        <w:rPr>
          <w:rFonts w:ascii="Times New Roman"/>
          <w:sz w:val="20"/>
        </w:rPr>
        <w:t>10</w:t>
      </w:r>
    </w:p>
    <w:p>
      <w:pPr>
        <w:spacing w:after="0"/>
        <w:jc w:val="left"/>
        <w:rPr>
          <w:rFonts w:ascii="Times New Roman" w:hAnsi="Times New Roman" w:cs="Times New Roman" w:eastAsia="Times New Roman" w:hint="default"/>
          <w:sz w:val="20"/>
          <w:szCs w:val="20"/>
        </w:rPr>
        <w:sectPr>
          <w:type w:val="continuous"/>
          <w:pgSz w:w="11900" w:h="16840"/>
          <w:pgMar w:top="1060" w:bottom="1180" w:left="980" w:right="500"/>
          <w:cols w:num="2" w:equalWidth="0">
            <w:col w:w="3646" w:space="84"/>
            <w:col w:w="6690"/>
          </w:cols>
        </w:sectPr>
      </w:pPr>
    </w:p>
    <w:p>
      <w:pPr>
        <w:tabs>
          <w:tab w:pos="3975" w:val="left" w:leader="none"/>
          <w:tab w:pos="10272" w:val="right" w:leader="none"/>
        </w:tabs>
        <w:spacing w:before="12"/>
        <w:ind w:left="246" w:right="0" w:firstLine="0"/>
        <w:jc w:val="left"/>
        <w:rPr>
          <w:rFonts w:ascii="Times New Roman" w:hAnsi="Times New Roman" w:cs="Times New Roman" w:eastAsia="Times New Roman" w:hint="default"/>
          <w:sz w:val="16"/>
          <w:szCs w:val="16"/>
        </w:rPr>
      </w:pPr>
      <w:r>
        <w:rPr>
          <w:rFonts w:ascii="宋体" w:hAnsi="宋体" w:cs="宋体" w:eastAsia="宋体" w:hint="default"/>
          <w:spacing w:val="-1"/>
          <w:sz w:val="20"/>
          <w:szCs w:val="20"/>
        </w:rPr>
        <w:t>报告期月份数</w:t>
        <w:tab/>
      </w:r>
      <w:r>
        <w:rPr>
          <w:rFonts w:ascii="Times New Roman" w:hAnsi="Times New Roman" w:cs="Times New Roman" w:eastAsia="Times New Roman" w:hint="default"/>
          <w:sz w:val="20"/>
          <w:szCs w:val="20"/>
        </w:rPr>
        <w:t>11</w:t>
      </w:r>
      <w:r>
        <w:rPr>
          <w:rFonts w:ascii="Times New Roman" w:hAnsi="Times New Roman" w:cs="Times New Roman" w:eastAsia="Times New Roman" w:hint="default"/>
          <w:position w:val="1"/>
          <w:sz w:val="16"/>
          <w:szCs w:val="16"/>
        </w:rPr>
        <w:tab/>
      </w:r>
      <w:r>
        <w:rPr>
          <w:rFonts w:ascii="Times New Roman" w:hAnsi="Times New Roman" w:cs="Times New Roman" w:eastAsia="Times New Roman" w:hint="default"/>
          <w:position w:val="1"/>
          <w:sz w:val="16"/>
          <w:szCs w:val="16"/>
        </w:rPr>
        <w:t>12</w:t>
      </w:r>
      <w:r>
        <w:rPr>
          <w:rFonts w:ascii="Times New Roman" w:hAnsi="Times New Roman" w:cs="Times New Roman" w:eastAsia="Times New Roman" w:hint="default"/>
          <w:sz w:val="16"/>
          <w:szCs w:val="16"/>
        </w:rPr>
      </w:r>
    </w:p>
    <w:p>
      <w:pPr>
        <w:tabs>
          <w:tab w:pos="3975" w:val="left" w:leader="none"/>
          <w:tab w:pos="9270" w:val="left" w:leader="none"/>
        </w:tabs>
        <w:spacing w:before="35"/>
        <w:ind w:left="246" w:right="0" w:firstLine="0"/>
        <w:jc w:val="left"/>
        <w:rPr>
          <w:rFonts w:ascii="Times New Roman" w:hAnsi="Times New Roman" w:cs="Times New Roman" w:eastAsia="Times New Roman" w:hint="default"/>
          <w:sz w:val="16"/>
          <w:szCs w:val="16"/>
        </w:rPr>
      </w:pPr>
      <w:r>
        <w:rPr>
          <w:rFonts w:ascii="宋体" w:hAnsi="宋体" w:cs="宋体" w:eastAsia="宋体" w:hint="default"/>
          <w:spacing w:val="-1"/>
          <w:sz w:val="20"/>
          <w:szCs w:val="20"/>
        </w:rPr>
        <w:t>发行在外的普通股加权平均数</w:t>
        <w:tab/>
      </w:r>
      <w:r>
        <w:rPr>
          <w:rFonts w:ascii="Times New Roman" w:hAnsi="Times New Roman" w:cs="Times New Roman" w:eastAsia="Times New Roman" w:hint="default"/>
          <w:spacing w:val="-1"/>
          <w:sz w:val="20"/>
          <w:szCs w:val="20"/>
        </w:rPr>
        <w:t>12=4*10+5×6×10÷11-7×8÷11</w:t>
        <w:tab/>
      </w:r>
      <w:r>
        <w:rPr>
          <w:rFonts w:ascii="Times New Roman" w:hAnsi="Times New Roman" w:cs="Times New Roman" w:eastAsia="Times New Roman" w:hint="default"/>
          <w:spacing w:val="-1"/>
          <w:position w:val="1"/>
          <w:sz w:val="16"/>
          <w:szCs w:val="16"/>
        </w:rPr>
        <w:t>416,000,000.00</w:t>
      </w:r>
      <w:r>
        <w:rPr>
          <w:rFonts w:ascii="Times New Roman" w:hAnsi="Times New Roman" w:cs="Times New Roman" w:eastAsia="Times New Roman" w:hint="default"/>
          <w:spacing w:val="-1"/>
          <w:sz w:val="16"/>
          <w:szCs w:val="16"/>
        </w:rPr>
      </w:r>
    </w:p>
    <w:p>
      <w:pPr>
        <w:spacing w:after="0"/>
        <w:jc w:val="left"/>
        <w:rPr>
          <w:rFonts w:ascii="Times New Roman" w:hAnsi="Times New Roman" w:cs="Times New Roman" w:eastAsia="Times New Roman" w:hint="default"/>
          <w:sz w:val="16"/>
          <w:szCs w:val="16"/>
        </w:rPr>
        <w:sectPr>
          <w:type w:val="continuous"/>
          <w:pgSz w:w="11900" w:h="16840"/>
          <w:pgMar w:top="1060" w:bottom="1180" w:left="980" w:right="500"/>
        </w:sectPr>
      </w:pPr>
    </w:p>
    <w:p>
      <w:pPr>
        <w:tabs>
          <w:tab w:pos="3975" w:val="left" w:leader="none"/>
        </w:tabs>
        <w:spacing w:before="191"/>
        <w:ind w:left="246" w:right="-11"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基本每股收益</w:t>
        <w:tab/>
      </w:r>
      <w:r>
        <w:rPr>
          <w:rFonts w:ascii="Times New Roman" w:hAnsi="Times New Roman" w:cs="Times New Roman" w:eastAsia="Times New Roman" w:hint="default"/>
          <w:spacing w:val="-1"/>
          <w:sz w:val="20"/>
          <w:szCs w:val="20"/>
        </w:rPr>
        <w:t>12=1÷11</w:t>
      </w:r>
    </w:p>
    <w:p>
      <w:pPr>
        <w:spacing w:before="417"/>
        <w:ind w:left="246" w:right="0" w:firstLine="0"/>
        <w:jc w:val="left"/>
        <w:rPr>
          <w:rFonts w:ascii="Times New Roman" w:hAnsi="Times New Roman" w:cs="Times New Roman" w:eastAsia="Times New Roman" w:hint="default"/>
          <w:sz w:val="16"/>
          <w:szCs w:val="16"/>
        </w:rPr>
      </w:pPr>
      <w:r>
        <w:rPr/>
        <w:br w:type="column"/>
      </w:r>
      <w:r>
        <w:rPr>
          <w:rFonts w:ascii="Times New Roman"/>
          <w:sz w:val="16"/>
        </w:rPr>
        <w:t>0.29</w:t>
      </w:r>
    </w:p>
    <w:p>
      <w:pPr>
        <w:spacing w:after="0"/>
        <w:jc w:val="left"/>
        <w:rPr>
          <w:rFonts w:ascii="Times New Roman" w:hAnsi="Times New Roman" w:cs="Times New Roman" w:eastAsia="Times New Roman" w:hint="default"/>
          <w:sz w:val="16"/>
          <w:szCs w:val="16"/>
        </w:rPr>
        <w:sectPr>
          <w:type w:val="continuous"/>
          <w:pgSz w:w="11900" w:h="16840"/>
          <w:pgMar w:top="1060" w:bottom="1180" w:left="980" w:right="500"/>
          <w:cols w:num="2" w:equalWidth="0">
            <w:col w:w="4700" w:space="5044"/>
            <w:col w:w="676"/>
          </w:cols>
        </w:sectPr>
      </w:pPr>
    </w:p>
    <w:p>
      <w:pPr>
        <w:tabs>
          <w:tab w:pos="4076" w:val="left" w:leader="none"/>
        </w:tabs>
        <w:spacing w:before="214"/>
        <w:ind w:left="246" w:right="-11"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扣除非经常性损益基本每股收益</w:t>
        <w:tab/>
      </w:r>
      <w:r>
        <w:rPr>
          <w:rFonts w:ascii="Times New Roman" w:hAnsi="Times New Roman" w:cs="Times New Roman" w:eastAsia="Times New Roman" w:hint="default"/>
          <w:spacing w:val="-1"/>
          <w:sz w:val="20"/>
          <w:szCs w:val="20"/>
        </w:rPr>
        <w:t>13=3÷11</w:t>
      </w:r>
    </w:p>
    <w:p>
      <w:pPr>
        <w:spacing w:before="440"/>
        <w:ind w:left="246" w:right="0" w:firstLine="0"/>
        <w:jc w:val="left"/>
        <w:rPr>
          <w:rFonts w:ascii="Times New Roman" w:hAnsi="Times New Roman" w:cs="Times New Roman" w:eastAsia="Times New Roman" w:hint="default"/>
          <w:sz w:val="16"/>
          <w:szCs w:val="16"/>
        </w:rPr>
      </w:pPr>
      <w:r>
        <w:rPr/>
        <w:br w:type="column"/>
      </w:r>
      <w:r>
        <w:rPr>
          <w:rFonts w:ascii="Times New Roman"/>
          <w:sz w:val="16"/>
        </w:rPr>
        <w:t>0.25</w:t>
      </w:r>
    </w:p>
    <w:p>
      <w:pPr>
        <w:spacing w:after="0"/>
        <w:jc w:val="left"/>
        <w:rPr>
          <w:rFonts w:ascii="Times New Roman" w:hAnsi="Times New Roman" w:cs="Times New Roman" w:eastAsia="Times New Roman" w:hint="default"/>
          <w:sz w:val="16"/>
          <w:szCs w:val="16"/>
        </w:rPr>
        <w:sectPr>
          <w:type w:val="continuous"/>
          <w:pgSz w:w="11900" w:h="16840"/>
          <w:pgMar w:top="1060" w:bottom="1180" w:left="980" w:right="500"/>
          <w:cols w:num="2" w:equalWidth="0">
            <w:col w:w="4801" w:space="4943"/>
            <w:col w:w="676"/>
          </w:cols>
        </w:sectPr>
      </w:pPr>
    </w:p>
    <w:p>
      <w:pPr>
        <w:pStyle w:val="BodyText"/>
        <w:spacing w:line="240" w:lineRule="auto" w:before="209"/>
        <w:ind w:right="0"/>
        <w:jc w:val="left"/>
      </w:pPr>
      <w:r>
        <w:rPr/>
        <w:t>稀释每股收益的计算过程同上。</w:t>
      </w:r>
    </w:p>
    <w:p>
      <w:pPr>
        <w:spacing w:before="337"/>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sz w:val="21"/>
          <w:szCs w:val="21"/>
        </w:rPr>
        <w:t>、其他综合收益</w:t>
      </w:r>
    </w:p>
    <w:p>
      <w:pPr>
        <w:spacing w:before="344"/>
        <w:ind w:left="0" w:right="626" w:firstLine="0"/>
        <w:jc w:val="right"/>
        <w:rPr>
          <w:rFonts w:ascii="宋体" w:hAnsi="宋体" w:cs="宋体" w:eastAsia="宋体" w:hint="default"/>
          <w:sz w:val="18"/>
          <w:szCs w:val="18"/>
        </w:rPr>
      </w:pPr>
      <w:r>
        <w:rPr/>
        <w:pict>
          <v:shape style="position:absolute;margin-left:56.999039pt;margin-top:34.311817pt;width:478.6pt;height:20.6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39"/>
                    <w:gridCol w:w="2525"/>
                    <w:gridCol w:w="2393"/>
                  </w:tblGrid>
                  <w:tr>
                    <w:trPr>
                      <w:trHeight w:val="403" w:hRule="exact"/>
                    </w:trPr>
                    <w:tc>
                      <w:tcPr>
                        <w:tcW w:w="46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
              </w:txbxContent>
            </v:textbox>
            <w10:wrap type="non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before="568"/>
        <w:ind w:left="152"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after="0"/>
        <w:jc w:val="left"/>
        <w:rPr>
          <w:rFonts w:ascii="宋体" w:hAnsi="宋体" w:cs="宋体" w:eastAsia="宋体" w:hint="default"/>
          <w:sz w:val="18"/>
          <w:szCs w:val="18"/>
        </w:rPr>
        <w:sectPr>
          <w:type w:val="continuous"/>
          <w:pgSz w:w="11900" w:h="16840"/>
          <w:pgMar w:top="1060" w:bottom="1180" w:left="980" w:right="50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68</w:t>
      </w:r>
      <w:r>
        <w:rPr/>
        <w:t>、现金流量表附注</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）收到的其他与经营活动有关的现金</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pacing w:val="-1"/>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2,438,617.40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19,441,747.00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61,418,587.35</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pacing w:val="-1"/>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83,298,951.75</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2</w:t>
      </w:r>
      <w:r>
        <w:rPr/>
        <w:t>）支付的其他与经营活动有关的现金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pacing w:val="-1"/>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75,086,422.47</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70,952,652.77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pacing w:val="-1"/>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146,289,075.24</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3</w:t>
      </w:r>
      <w:r>
        <w:rPr/>
        <w:t>）收到的其他与投资活动有关的现金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pacing w:val="-1"/>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募集资金定期存款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1,025,300,000.00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募集资金利息净收入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31,442,593.83</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pacing w:val="-1"/>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1,056,742,593.83</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4</w:t>
      </w:r>
      <w:r>
        <w:rPr/>
        <w:t>）支付的其他与投资活动有关的现金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74"/>
        <w:gridCol w:w="3995"/>
      </w:tblGrid>
      <w:tr>
        <w:trPr>
          <w:trHeight w:val="401" w:hRule="exact"/>
        </w:trPr>
        <w:tc>
          <w:tcPr>
            <w:tcW w:w="5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）收到的其他与筹资活动有关的现金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74"/>
        <w:gridCol w:w="3995"/>
      </w:tblGrid>
      <w:tr>
        <w:trPr>
          <w:trHeight w:val="403" w:hRule="exact"/>
        </w:trPr>
        <w:tc>
          <w:tcPr>
            <w:tcW w:w="5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6</w:t>
      </w:r>
      <w:r>
        <w:rPr/>
        <w:t>）支付的其他与筹资活动有关的现金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74"/>
        <w:gridCol w:w="3995"/>
      </w:tblGrid>
      <w:tr>
        <w:trPr>
          <w:trHeight w:val="403" w:hRule="exact"/>
        </w:trPr>
        <w:tc>
          <w:tcPr>
            <w:tcW w:w="5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69</w:t>
      </w:r>
      <w:r>
        <w:rPr/>
        <w:t>、现金流量表补充资料</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）现金流量表补充资料</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367"/>
        <w:gridCol w:w="2533"/>
        <w:gridCol w:w="2657"/>
      </w:tblGrid>
      <w:tr>
        <w:trPr>
          <w:trHeight w:val="349"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9"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2,762,664.45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-927,803.14</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144,773,797.23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88,097,941.30</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3,286,296.40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2,784,734.41</w:t>
            </w:r>
          </w:p>
        </w:tc>
      </w:tr>
      <w:tr>
        <w:trPr>
          <w:trHeight w:val="349"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-12,510,707.93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-13,305,488.47</w:t>
            </w:r>
          </w:p>
        </w:tc>
      </w:tr>
      <w:tr>
        <w:trPr>
          <w:trHeight w:val="349"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2"/>
                <w:sz w:val="18"/>
              </w:rPr>
              <w:t>-211,810.35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-63,418.83</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-156,341,036.95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-205,258,734.20</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-99,677,262.29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-188,387,600.56</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80,473,277.67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-22,340,075.28</w:t>
            </w:r>
          </w:p>
        </w:tc>
      </w:tr>
      <w:tr>
        <w:trPr>
          <w:trHeight w:val="349"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9,120,000.00</w:t>
            </w:r>
          </w:p>
        </w:tc>
      </w:tr>
      <w:tr>
        <w:trPr>
          <w:trHeight w:val="349"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80,464,488.43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52,621,248.43</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9"/>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9"/>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152,700,674.24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2"/>
                <w:sz w:val="18"/>
              </w:rPr>
              <w:t>140,226,595.11</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2"/>
                <w:sz w:val="18"/>
              </w:rPr>
              <w:t>140,226,595.11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96,616,646.47</w:t>
            </w:r>
          </w:p>
        </w:tc>
      </w:tr>
      <w:tr>
        <w:trPr>
          <w:trHeight w:val="35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12,474,079.13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43,609,948.64</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）本报告期取得或处置子公司及其他营业单位的相关信息</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367"/>
        <w:gridCol w:w="2533"/>
        <w:gridCol w:w="2657"/>
      </w:tblGrid>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）现金和现金等价物的构成</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152,700,674.24</w:t>
            </w:r>
          </w:p>
        </w:tc>
        <w:tc>
          <w:tcPr>
            <w:tcW w:w="265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140,226,595.11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35,330.33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66,742.77</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372,985,468.19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1,353,460,637.13</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54,679,875.72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86,999,215.21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152,700,674.24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140,226,595.11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rFonts w:ascii="Times New Roman" w:hAnsi="Times New Roman" w:cs="Times New Roman" w:eastAsia="Times New Roman" w:hint="default"/>
          <w:b/>
          <w:bCs/>
        </w:rPr>
        <w:t>70</w:t>
      </w:r>
      <w:r>
        <w:rPr/>
        <w:t>、所有者权益变动表项目注释</w:t>
      </w:r>
    </w:p>
    <w:p>
      <w:pPr>
        <w:spacing w:line="240" w:lineRule="auto" w:before="2"/>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说明对上年年末余额进行调整的“其他”项目名称及调整金额、由同一控制下企业合并产生的追溯调整等事项</w:t>
      </w:r>
    </w:p>
    <w:p>
      <w:pPr>
        <w:spacing w:line="240" w:lineRule="auto" w:before="3"/>
        <w:rPr>
          <w:rFonts w:ascii="宋体" w:hAnsi="宋体" w:cs="宋体" w:eastAsia="宋体" w:hint="default"/>
          <w:sz w:val="25"/>
          <w:szCs w:val="25"/>
        </w:rPr>
      </w:pPr>
    </w:p>
    <w:p>
      <w:pPr>
        <w:pStyle w:val="Heading2"/>
        <w:spacing w:line="240" w:lineRule="auto"/>
        <w:ind w:right="145"/>
        <w:jc w:val="left"/>
      </w:pPr>
      <w:r>
        <w:rPr/>
        <w:t>八、资产证券化业务的会计处理</w:t>
      </w:r>
    </w:p>
    <w:p>
      <w:pPr>
        <w:spacing w:line="240" w:lineRule="auto" w:before="12"/>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、说明资产证券化业务的主要交易安排及其会计处理、破产隔离条款</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2</w:t>
      </w:r>
      <w:r>
        <w:rPr/>
        <w:t>、公司不具有控制权但实质上承担其风险的特殊目的主体情况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九、关联方及关联交易</w:t>
      </w:r>
    </w:p>
    <w:p>
      <w:pPr>
        <w:spacing w:line="240" w:lineRule="auto" w:before="12"/>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、本企业的母公司情况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862"/>
        <w:gridCol w:w="869"/>
        <w:gridCol w:w="871"/>
        <w:gridCol w:w="869"/>
        <w:gridCol w:w="871"/>
        <w:gridCol w:w="869"/>
        <w:gridCol w:w="871"/>
        <w:gridCol w:w="869"/>
        <w:gridCol w:w="871"/>
        <w:gridCol w:w="869"/>
        <w:gridCol w:w="862"/>
      </w:tblGrid>
      <w:tr>
        <w:trPr>
          <w:trHeight w:val="715" w:hRule="exact"/>
        </w:trPr>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8" w:right="69" w:hanging="269"/>
              <w:jc w:val="left"/>
              <w:rPr>
                <w:rFonts w:ascii="宋体" w:hAnsi="宋体" w:cs="宋体" w:eastAsia="宋体" w:hint="default"/>
                <w:sz w:val="18"/>
                <w:szCs w:val="18"/>
              </w:rPr>
            </w:pPr>
            <w:r>
              <w:rPr>
                <w:rFonts w:ascii="宋体" w:hAnsi="宋体" w:cs="宋体" w:eastAsia="宋体" w:hint="default"/>
                <w:sz w:val="18"/>
                <w:szCs w:val="18"/>
              </w:rPr>
              <w:t>母公司名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67" w:hanging="272"/>
              <w:jc w:val="left"/>
              <w:rPr>
                <w:rFonts w:ascii="宋体" w:hAnsi="宋体" w:cs="宋体" w:eastAsia="宋体" w:hint="default"/>
                <w:sz w:val="18"/>
                <w:szCs w:val="18"/>
              </w:rPr>
            </w:pPr>
            <w:r>
              <w:rPr>
                <w:rFonts w:ascii="宋体" w:hAnsi="宋体" w:cs="宋体" w:eastAsia="宋体" w:hint="default"/>
                <w:sz w:val="18"/>
                <w:szCs w:val="18"/>
              </w:rPr>
              <w:t>法定代表</w:t>
            </w:r>
            <w:r>
              <w:rPr>
                <w:rFonts w:ascii="宋体" w:hAnsi="宋体" w:cs="宋体" w:eastAsia="宋体" w:hint="default"/>
                <w:w w:val="100"/>
                <w:sz w:val="18"/>
                <w:szCs w:val="18"/>
              </w:rPr>
              <w:t> </w:t>
            </w:r>
            <w:r>
              <w:rPr>
                <w:rFonts w:ascii="宋体" w:hAnsi="宋体" w:cs="宋体" w:eastAsia="宋体" w:hint="default"/>
                <w:sz w:val="18"/>
                <w:szCs w:val="18"/>
              </w:rPr>
              <w:t>人</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8"/>
              <w:ind w:left="67" w:right="69"/>
              <w:jc w:val="left"/>
              <w:rPr>
                <w:rFonts w:ascii="宋体" w:hAnsi="宋体" w:cs="宋体" w:eastAsia="宋体" w:hint="default"/>
                <w:sz w:val="18"/>
                <w:szCs w:val="18"/>
              </w:rPr>
            </w:pPr>
            <w:r>
              <w:rPr>
                <w:rFonts w:ascii="宋体" w:hAnsi="宋体" w:cs="宋体" w:eastAsia="宋体" w:hint="default"/>
                <w:sz w:val="18"/>
                <w:szCs w:val="18"/>
              </w:rPr>
              <w:t>母公司对</w:t>
            </w:r>
            <w:r>
              <w:rPr>
                <w:rFonts w:ascii="宋体" w:hAnsi="宋体" w:cs="宋体" w:eastAsia="宋体" w:hint="default"/>
                <w:w w:val="100"/>
                <w:sz w:val="18"/>
                <w:szCs w:val="18"/>
              </w:rPr>
              <w:t> </w:t>
            </w:r>
            <w:r>
              <w:rPr>
                <w:rFonts w:ascii="宋体" w:hAnsi="宋体" w:cs="宋体" w:eastAsia="宋体" w:hint="default"/>
                <w:sz w:val="18"/>
                <w:szCs w:val="18"/>
              </w:rPr>
              <w:t>本企业的</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8"/>
              <w:ind w:left="72" w:right="67"/>
              <w:jc w:val="left"/>
              <w:rPr>
                <w:rFonts w:ascii="宋体" w:hAnsi="宋体" w:cs="宋体" w:eastAsia="宋体" w:hint="default"/>
                <w:sz w:val="18"/>
                <w:szCs w:val="18"/>
              </w:rPr>
            </w:pPr>
            <w:r>
              <w:rPr>
                <w:rFonts w:ascii="宋体" w:hAnsi="宋体" w:cs="宋体" w:eastAsia="宋体" w:hint="default"/>
                <w:sz w:val="18"/>
                <w:szCs w:val="18"/>
              </w:rPr>
              <w:t>母公司对</w:t>
            </w:r>
            <w:r>
              <w:rPr>
                <w:rFonts w:ascii="宋体" w:hAnsi="宋体" w:cs="宋体" w:eastAsia="宋体" w:hint="default"/>
                <w:w w:val="100"/>
                <w:sz w:val="18"/>
                <w:szCs w:val="18"/>
              </w:rPr>
              <w:t> </w:t>
            </w:r>
            <w:r>
              <w:rPr>
                <w:rFonts w:ascii="宋体" w:hAnsi="宋体" w:cs="宋体" w:eastAsia="宋体" w:hint="default"/>
                <w:sz w:val="18"/>
                <w:szCs w:val="18"/>
              </w:rPr>
              <w:t>本企业的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7" w:right="69"/>
              <w:jc w:val="left"/>
              <w:rPr>
                <w:rFonts w:ascii="宋体" w:hAnsi="宋体" w:cs="宋体" w:eastAsia="宋体" w:hint="default"/>
                <w:sz w:val="18"/>
                <w:szCs w:val="18"/>
              </w:rPr>
            </w:pPr>
            <w:r>
              <w:rPr>
                <w:rFonts w:ascii="宋体" w:hAnsi="宋体" w:cs="宋体" w:eastAsia="宋体" w:hint="default"/>
                <w:sz w:val="18"/>
                <w:szCs w:val="18"/>
              </w:rPr>
              <w:t>本企业最</w:t>
            </w:r>
            <w:r>
              <w:rPr>
                <w:rFonts w:ascii="宋体" w:hAnsi="宋体" w:cs="宋体" w:eastAsia="宋体" w:hint="default"/>
                <w:w w:val="100"/>
                <w:sz w:val="18"/>
                <w:szCs w:val="18"/>
              </w:rPr>
              <w:t> </w:t>
            </w:r>
            <w:r>
              <w:rPr>
                <w:rFonts w:ascii="宋体" w:hAnsi="宋体" w:cs="宋体" w:eastAsia="宋体" w:hint="default"/>
                <w:sz w:val="18"/>
                <w:szCs w:val="18"/>
              </w:rPr>
              <w:t>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7" w:right="62" w:hanging="180"/>
              <w:jc w:val="left"/>
              <w:rPr>
                <w:rFonts w:ascii="宋体" w:hAnsi="宋体" w:cs="宋体" w:eastAsia="宋体" w:hint="default"/>
                <w:sz w:val="18"/>
                <w:szCs w:val="18"/>
              </w:rPr>
            </w:pPr>
            <w:r>
              <w:rPr>
                <w:rFonts w:ascii="宋体" w:hAnsi="宋体" w:cs="宋体" w:eastAsia="宋体" w:hint="default"/>
                <w:sz w:val="18"/>
                <w:szCs w:val="18"/>
              </w:rPr>
              <w:t>组织机构</w:t>
            </w:r>
            <w:r>
              <w:rPr>
                <w:rFonts w:ascii="宋体" w:hAnsi="宋体" w:cs="宋体" w:eastAsia="宋体" w:hint="default"/>
                <w:w w:val="100"/>
                <w:sz w:val="18"/>
                <w:szCs w:val="18"/>
              </w:rPr>
              <w:t> </w:t>
            </w:r>
            <w:r>
              <w:rPr>
                <w:rFonts w:ascii="宋体" w:hAnsi="宋体" w:cs="宋体" w:eastAsia="宋体" w:hint="default"/>
                <w:sz w:val="18"/>
                <w:szCs w:val="18"/>
              </w:rPr>
              <w:t>代码</w:t>
            </w:r>
          </w:p>
        </w:tc>
      </w:tr>
    </w:tbl>
    <w:p>
      <w:pPr>
        <w:spacing w:after="0" w:line="316"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1"/>
        <w:gridCol w:w="869"/>
        <w:gridCol w:w="862"/>
      </w:tblGrid>
      <w:tr>
        <w:trPr>
          <w:trHeight w:val="674"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2"/>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08" w:right="67"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2</w:t>
      </w:r>
      <w:r>
        <w:rPr/>
        <w:t>、本企业的子公司情况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1" w:right="23" w:hanging="360"/>
              <w:jc w:val="left"/>
              <w:rPr>
                <w:rFonts w:ascii="宋体" w:hAnsi="宋体" w:cs="宋体" w:eastAsia="宋体" w:hint="default"/>
                <w:sz w:val="18"/>
                <w:szCs w:val="18"/>
              </w:rPr>
            </w:pPr>
            <w:r>
              <w:rPr>
                <w:rFonts w:ascii="宋体" w:hAnsi="宋体" w:cs="宋体" w:eastAsia="宋体" w:hint="default"/>
                <w:sz w:val="18"/>
                <w:szCs w:val="18"/>
              </w:rPr>
              <w:t>组织机构代</w:t>
            </w:r>
            <w:r>
              <w:rPr>
                <w:rFonts w:ascii="宋体" w:hAnsi="宋体" w:cs="宋体" w:eastAsia="宋体" w:hint="default"/>
                <w:w w:val="100"/>
                <w:sz w:val="18"/>
                <w:szCs w:val="18"/>
              </w:rPr>
              <w:t> </w:t>
            </w:r>
            <w:r>
              <w:rPr>
                <w:rFonts w:ascii="宋体" w:hAnsi="宋体" w:cs="宋体" w:eastAsia="宋体" w:hint="default"/>
                <w:sz w:val="18"/>
                <w:szCs w:val="18"/>
              </w:rPr>
              <w:t>码</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3</w:t>
      </w:r>
      <w:r>
        <w:rPr/>
        <w:t>、本企业的合营和联营企业情况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55"/>
        <w:gridCol w:w="953"/>
        <w:gridCol w:w="960"/>
        <w:gridCol w:w="955"/>
        <w:gridCol w:w="955"/>
        <w:gridCol w:w="960"/>
        <w:gridCol w:w="958"/>
        <w:gridCol w:w="958"/>
        <w:gridCol w:w="958"/>
        <w:gridCol w:w="960"/>
      </w:tblGrid>
      <w:tr>
        <w:trPr>
          <w:trHeight w:val="354" w:hRule="exact"/>
        </w:trPr>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3" w:type="dxa"/>
            <w:tcBorders>
              <w:top w:val="single" w:sz="4" w:space="0" w:color="000000"/>
              <w:left w:val="single" w:sz="4" w:space="0" w:color="000000"/>
              <w:bottom w:val="nil" w:sz="6" w:space="0" w:color="auto"/>
              <w:right w:val="single" w:sz="4" w:space="0" w:color="000000"/>
            </w:tcBorders>
            <w:shd w:val="clear" w:color="auto" w:fill="D3D3D3"/>
          </w:tcPr>
          <w:p>
            <w:pPr/>
          </w:p>
        </w:tc>
        <w:tc>
          <w:tcPr>
            <w:tcW w:w="960"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60"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1"/>
              <w:ind w:left="201" w:right="110" w:hanging="8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w w:val="100"/>
                <w:sz w:val="18"/>
                <w:szCs w:val="18"/>
              </w:rPr>
              <w:t> </w:t>
            </w:r>
            <w:r>
              <w:rPr>
                <w:rFonts w:ascii="宋体" w:hAnsi="宋体" w:cs="宋体" w:eastAsia="宋体" w:hint="default"/>
                <w:sz w:val="18"/>
                <w:szCs w:val="18"/>
              </w:rPr>
              <w:t>位名称</w:t>
            </w:r>
          </w:p>
        </w:tc>
        <w:tc>
          <w:tcPr>
            <w:tcW w:w="9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1"/>
              <w:ind w:left="381" w:right="112" w:hanging="272"/>
              <w:jc w:val="left"/>
              <w:rPr>
                <w:rFonts w:ascii="宋体" w:hAnsi="宋体" w:cs="宋体" w:eastAsia="宋体" w:hint="default"/>
                <w:sz w:val="18"/>
                <w:szCs w:val="18"/>
              </w:rPr>
            </w:pPr>
            <w:r>
              <w:rPr>
                <w:rFonts w:ascii="宋体" w:hAnsi="宋体" w:cs="宋体" w:eastAsia="宋体" w:hint="default"/>
                <w:sz w:val="18"/>
                <w:szCs w:val="18"/>
              </w:rPr>
              <w:t>法定代表</w:t>
            </w:r>
            <w:r>
              <w:rPr>
                <w:rFonts w:ascii="宋体" w:hAnsi="宋体" w:cs="宋体" w:eastAsia="宋体" w:hint="default"/>
                <w:w w:val="100"/>
                <w:sz w:val="18"/>
                <w:szCs w:val="18"/>
              </w:rPr>
              <w:t> </w:t>
            </w:r>
            <w:r>
              <w:rPr>
                <w:rFonts w:ascii="宋体" w:hAnsi="宋体" w:cs="宋体" w:eastAsia="宋体" w:hint="default"/>
                <w:sz w:val="18"/>
                <w:szCs w:val="18"/>
              </w:rPr>
              <w:t>人</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1"/>
              <w:ind w:left="163" w:right="19"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112" w:right="21" w:hanging="89"/>
              <w:jc w:val="left"/>
              <w:rPr>
                <w:rFonts w:ascii="宋体" w:hAnsi="宋体" w:cs="宋体" w:eastAsia="宋体" w:hint="default"/>
                <w:sz w:val="18"/>
                <w:szCs w:val="18"/>
              </w:rPr>
            </w:pPr>
            <w:r>
              <w:rPr>
                <w:rFonts w:ascii="宋体" w:hAnsi="宋体" w:cs="宋体" w:eastAsia="宋体" w:hint="default"/>
                <w:sz w:val="18"/>
                <w:szCs w:val="18"/>
              </w:rPr>
              <w:t>投资单位表</w:t>
            </w:r>
            <w:r>
              <w:rPr>
                <w:rFonts w:ascii="宋体" w:hAnsi="宋体" w:cs="宋体" w:eastAsia="宋体" w:hint="default"/>
                <w:w w:val="100"/>
                <w:sz w:val="18"/>
                <w:szCs w:val="18"/>
              </w:rPr>
              <w:t> </w:t>
            </w:r>
            <w:r>
              <w:rPr>
                <w:rFonts w:ascii="宋体" w:hAnsi="宋体" w:cs="宋体" w:eastAsia="宋体" w:hint="default"/>
                <w:sz w:val="18"/>
                <w:szCs w:val="18"/>
              </w:rPr>
              <w:t>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1"/>
              <w:ind w:left="384" w:right="23" w:hanging="360"/>
              <w:jc w:val="left"/>
              <w:rPr>
                <w:rFonts w:ascii="宋体" w:hAnsi="宋体" w:cs="宋体" w:eastAsia="宋体" w:hint="default"/>
                <w:sz w:val="18"/>
                <w:szCs w:val="18"/>
              </w:rPr>
            </w:pPr>
            <w:r>
              <w:rPr>
                <w:rFonts w:ascii="宋体" w:hAnsi="宋体" w:cs="宋体" w:eastAsia="宋体" w:hint="default"/>
                <w:sz w:val="18"/>
                <w:szCs w:val="18"/>
              </w:rPr>
              <w:t>组织机构代</w:t>
            </w:r>
            <w:r>
              <w:rPr>
                <w:rFonts w:ascii="宋体" w:hAnsi="宋体" w:cs="宋体" w:eastAsia="宋体" w:hint="default"/>
                <w:w w:val="100"/>
                <w:sz w:val="18"/>
                <w:szCs w:val="18"/>
              </w:rPr>
              <w:t> </w:t>
            </w:r>
            <w:r>
              <w:rPr>
                <w:rFonts w:ascii="宋体" w:hAnsi="宋体" w:cs="宋体" w:eastAsia="宋体" w:hint="default"/>
                <w:sz w:val="18"/>
                <w:szCs w:val="18"/>
              </w:rPr>
              <w:t>码</w:t>
            </w:r>
          </w:p>
        </w:tc>
      </w:tr>
      <w:tr>
        <w:trPr>
          <w:trHeight w:val="350" w:hRule="exact"/>
        </w:trPr>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3" w:type="dxa"/>
            <w:tcBorders>
              <w:top w:val="nil" w:sz="6" w:space="0" w:color="auto"/>
              <w:left w:val="single" w:sz="4" w:space="0" w:color="000000"/>
              <w:bottom w:val="single" w:sz="4" w:space="0" w:color="000000"/>
              <w:right w:val="single" w:sz="4" w:space="0" w:color="000000"/>
            </w:tcBorders>
            <w:shd w:val="clear" w:color="auto" w:fill="D3D3D3"/>
          </w:tcPr>
          <w:p>
            <w:pPr/>
          </w:p>
        </w:tc>
        <w:tc>
          <w:tcPr>
            <w:tcW w:w="960"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60"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4"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4</w:t>
      </w:r>
      <w:r>
        <w:rPr/>
        <w:t>、本企业的其他关联方情况</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175"/>
        <w:gridCol w:w="3192"/>
        <w:gridCol w:w="3190"/>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4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5</w:t>
      </w:r>
      <w:r>
        <w:rPr/>
        <w:t>、关联方交易</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）采购商品、接受劳务情况表</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728"/>
        <w:gridCol w:w="1462"/>
        <w:gridCol w:w="1154"/>
        <w:gridCol w:w="1236"/>
        <w:gridCol w:w="1104"/>
        <w:gridCol w:w="1286"/>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84" w:right="93" w:hanging="89"/>
              <w:jc w:val="left"/>
              <w:rPr>
                <w:rFonts w:ascii="宋体" w:hAnsi="宋体" w:cs="宋体" w:eastAsia="宋体" w:hint="default"/>
                <w:sz w:val="18"/>
                <w:szCs w:val="18"/>
              </w:rPr>
            </w:pPr>
            <w:r>
              <w:rPr>
                <w:rFonts w:ascii="宋体" w:hAnsi="宋体" w:cs="宋体" w:eastAsia="宋体" w:hint="default"/>
                <w:sz w:val="18"/>
                <w:szCs w:val="18"/>
              </w:rPr>
              <w:t>关联交易定价方</w:t>
            </w:r>
            <w:r>
              <w:rPr>
                <w:rFonts w:ascii="宋体" w:hAnsi="宋体" w:cs="宋体" w:eastAsia="宋体" w:hint="default"/>
                <w:w w:val="100"/>
                <w:sz w:val="18"/>
                <w:szCs w:val="18"/>
              </w:rPr>
              <w:t> </w:t>
            </w:r>
            <w:r>
              <w:rPr>
                <w:rFonts w:ascii="宋体" w:hAnsi="宋体" w:cs="宋体" w:eastAsia="宋体" w:hint="default"/>
                <w:sz w:val="18"/>
                <w:szCs w:val="18"/>
              </w:rPr>
              <w:t>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728"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4" w:right="-27" w:firstLine="50"/>
              <w:jc w:val="left"/>
              <w:rPr>
                <w:rFonts w:ascii="宋体" w:hAnsi="宋体" w:cs="宋体" w:eastAsia="宋体" w:hint="default"/>
                <w:sz w:val="18"/>
                <w:szCs w:val="18"/>
              </w:rPr>
            </w:pPr>
            <w:r>
              <w:rPr>
                <w:rFonts w:ascii="宋体" w:hAnsi="宋体" w:cs="宋体" w:eastAsia="宋体" w:hint="default"/>
                <w:sz w:val="18"/>
                <w:szCs w:val="18"/>
              </w:rPr>
              <w:t>占同类交易金</w:t>
            </w:r>
            <w:r>
              <w:rPr>
                <w:rFonts w:ascii="宋体" w:hAnsi="宋体" w:cs="宋体" w:eastAsia="宋体" w:hint="default"/>
                <w:w w:val="100"/>
                <w:sz w:val="18"/>
                <w:szCs w:val="18"/>
              </w:rPr>
              <w:t> </w:t>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4" w:right="21" w:firstLine="74"/>
              <w:jc w:val="left"/>
              <w:rPr>
                <w:rFonts w:ascii="宋体" w:hAnsi="宋体" w:cs="宋体" w:eastAsia="宋体" w:hint="default"/>
                <w:sz w:val="18"/>
                <w:szCs w:val="18"/>
              </w:rPr>
            </w:pPr>
            <w:r>
              <w:rPr>
                <w:rFonts w:ascii="宋体" w:hAnsi="宋体" w:cs="宋体" w:eastAsia="宋体" w:hint="default"/>
                <w:sz w:val="18"/>
                <w:szCs w:val="18"/>
              </w:rPr>
              <w:t>占同类交易金</w:t>
            </w:r>
            <w:r>
              <w:rPr>
                <w:rFonts w:ascii="宋体" w:hAnsi="宋体" w:cs="宋体" w:eastAsia="宋体" w:hint="default"/>
                <w:w w:val="100"/>
                <w:sz w:val="18"/>
                <w:szCs w:val="18"/>
              </w:rPr>
              <w:t> </w:t>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728"/>
        <w:gridCol w:w="1462"/>
        <w:gridCol w:w="1154"/>
        <w:gridCol w:w="1236"/>
        <w:gridCol w:w="1104"/>
        <w:gridCol w:w="1387"/>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84" w:right="93" w:hanging="89"/>
              <w:jc w:val="left"/>
              <w:rPr>
                <w:rFonts w:ascii="宋体" w:hAnsi="宋体" w:cs="宋体" w:eastAsia="宋体" w:hint="default"/>
                <w:sz w:val="18"/>
                <w:szCs w:val="18"/>
              </w:rPr>
            </w:pPr>
            <w:r>
              <w:rPr>
                <w:rFonts w:ascii="宋体" w:hAnsi="宋体" w:cs="宋体" w:eastAsia="宋体" w:hint="default"/>
                <w:sz w:val="18"/>
                <w:szCs w:val="18"/>
              </w:rPr>
              <w:t>关联交易定价方</w:t>
            </w:r>
            <w:r>
              <w:rPr>
                <w:rFonts w:ascii="宋体" w:hAnsi="宋体" w:cs="宋体" w:eastAsia="宋体" w:hint="default"/>
                <w:w w:val="100"/>
                <w:sz w:val="18"/>
                <w:szCs w:val="18"/>
              </w:rPr>
              <w:t> </w:t>
            </w:r>
            <w:r>
              <w:rPr>
                <w:rFonts w:ascii="宋体" w:hAnsi="宋体" w:cs="宋体" w:eastAsia="宋体" w:hint="default"/>
                <w:sz w:val="18"/>
                <w:szCs w:val="18"/>
              </w:rPr>
              <w:t>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728"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8"/>
              <w:ind w:left="24" w:right="-27" w:firstLine="50"/>
              <w:jc w:val="left"/>
              <w:rPr>
                <w:rFonts w:ascii="宋体" w:hAnsi="宋体" w:cs="宋体" w:eastAsia="宋体" w:hint="default"/>
                <w:sz w:val="18"/>
                <w:szCs w:val="18"/>
              </w:rPr>
            </w:pPr>
            <w:r>
              <w:rPr>
                <w:rFonts w:ascii="宋体" w:hAnsi="宋体" w:cs="宋体" w:eastAsia="宋体" w:hint="default"/>
                <w:sz w:val="18"/>
                <w:szCs w:val="18"/>
              </w:rPr>
              <w:t>占同类交易金</w:t>
            </w:r>
            <w:r>
              <w:rPr>
                <w:rFonts w:ascii="宋体" w:hAnsi="宋体" w:cs="宋体" w:eastAsia="宋体" w:hint="default"/>
                <w:w w:val="100"/>
                <w:sz w:val="18"/>
                <w:szCs w:val="18"/>
              </w:rPr>
              <w:t> </w:t>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8"/>
              <w:ind w:left="163" w:right="57" w:hanging="106"/>
              <w:jc w:val="left"/>
              <w:rPr>
                <w:rFonts w:ascii="宋体" w:hAnsi="宋体" w:cs="宋体" w:eastAsia="宋体" w:hint="default"/>
                <w:sz w:val="18"/>
                <w:szCs w:val="18"/>
              </w:rPr>
            </w:pPr>
            <w:r>
              <w:rPr>
                <w:rFonts w:ascii="宋体" w:hAnsi="宋体" w:cs="宋体" w:eastAsia="宋体" w:hint="default"/>
                <w:sz w:val="18"/>
                <w:szCs w:val="18"/>
              </w:rPr>
              <w:t>占同类交易金额</w:t>
            </w:r>
            <w:r>
              <w:rPr>
                <w:rFonts w:ascii="宋体" w:hAnsi="宋体" w:cs="宋体" w:eastAsia="宋体" w:hint="default"/>
                <w:w w:val="100"/>
                <w:sz w:val="18"/>
                <w:szCs w:val="18"/>
              </w:rPr>
              <w:t> </w:t>
            </w: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14"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）关联托管</w:t>
      </w:r>
      <w:r>
        <w:rPr>
          <w:rFonts w:ascii="Times New Roman" w:hAnsi="Times New Roman" w:cs="Times New Roman" w:eastAsia="Times New Roman" w:hint="default"/>
          <w:b/>
          <w:bCs/>
        </w:rPr>
        <w:t>/</w:t>
      </w:r>
      <w:r>
        <w:rPr/>
        <w:t>承包情况</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351"/>
        <w:gridCol w:w="1368"/>
        <w:gridCol w:w="1370"/>
        <w:gridCol w:w="1370"/>
        <w:gridCol w:w="1008"/>
        <w:gridCol w:w="1260"/>
        <w:gridCol w:w="1829"/>
      </w:tblGrid>
      <w:tr>
        <w:trPr>
          <w:trHeight w:val="714" w:hRule="exact"/>
        </w:trPr>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484" w:right="107"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r>
              <w:rPr>
                <w:rFonts w:ascii="宋体" w:hAnsi="宋体" w:cs="宋体" w:eastAsia="宋体" w:hint="default"/>
                <w:w w:val="100"/>
                <w:sz w:val="18"/>
                <w:szCs w:val="18"/>
              </w:rPr>
              <w:t> </w:t>
            </w: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19"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w:t>
            </w:r>
            <w:r>
              <w:rPr>
                <w:rFonts w:ascii="宋体" w:hAnsi="宋体" w:cs="宋体" w:eastAsia="宋体" w:hint="default"/>
                <w:w w:val="100"/>
                <w:sz w:val="18"/>
                <w:szCs w:val="18"/>
              </w:rPr>
              <w:t> </w:t>
            </w:r>
            <w:r>
              <w:rPr>
                <w:rFonts w:ascii="宋体" w:hAnsi="宋体" w:cs="宋体" w:eastAsia="宋体" w:hint="default"/>
                <w:sz w:val="18"/>
                <w:szCs w:val="18"/>
              </w:rPr>
              <w:t>型</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316" w:right="23" w:hanging="29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w:t>
            </w:r>
            <w:r>
              <w:rPr>
                <w:rFonts w:ascii="宋体" w:hAnsi="宋体" w:cs="宋体" w:eastAsia="宋体" w:hint="default"/>
                <w:w w:val="100"/>
                <w:sz w:val="18"/>
                <w:szCs w:val="18"/>
              </w:rPr>
              <w:t> </w:t>
            </w:r>
            <w:r>
              <w:rPr>
                <w:rFonts w:ascii="宋体" w:hAnsi="宋体" w:cs="宋体" w:eastAsia="宋体" w:hint="default"/>
                <w:sz w:val="18"/>
                <w:szCs w:val="18"/>
              </w:rPr>
              <w:t>止日</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86" w:right="57"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w:t>
            </w:r>
            <w:r>
              <w:rPr>
                <w:rFonts w:ascii="宋体" w:hAnsi="宋体" w:cs="宋体" w:eastAsia="宋体" w:hint="default"/>
                <w:w w:val="100"/>
                <w:sz w:val="18"/>
                <w:szCs w:val="18"/>
              </w:rPr>
              <w:t> </w:t>
            </w:r>
            <w:r>
              <w:rPr>
                <w:rFonts w:ascii="宋体" w:hAnsi="宋体" w:cs="宋体" w:eastAsia="宋体" w:hint="default"/>
                <w:sz w:val="18"/>
                <w:szCs w:val="18"/>
              </w:rPr>
              <w:t>收益定价依据</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5" w:right="95" w:hanging="245"/>
              <w:jc w:val="left"/>
              <w:rPr>
                <w:rFonts w:ascii="宋体" w:hAnsi="宋体" w:cs="宋体" w:eastAsia="宋体" w:hint="default"/>
                <w:sz w:val="18"/>
                <w:szCs w:val="18"/>
              </w:rPr>
            </w:pPr>
            <w:r>
              <w:rPr>
                <w:rFonts w:ascii="宋体" w:hAnsi="宋体" w:cs="宋体" w:eastAsia="宋体" w:hint="default"/>
                <w:sz w:val="18"/>
                <w:szCs w:val="18"/>
              </w:rPr>
              <w:t>本报告期确认的托管</w:t>
            </w:r>
            <w:r>
              <w:rPr>
                <w:rFonts w:ascii="宋体" w:hAnsi="宋体" w:cs="宋体" w:eastAsia="宋体" w:hint="default"/>
                <w:w w:val="100"/>
                <w:sz w:val="18"/>
                <w:szCs w:val="18"/>
              </w:rPr>
              <w:t> </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351"/>
        <w:gridCol w:w="1368"/>
        <w:gridCol w:w="1370"/>
        <w:gridCol w:w="1370"/>
        <w:gridCol w:w="1008"/>
        <w:gridCol w:w="1260"/>
        <w:gridCol w:w="1829"/>
      </w:tblGrid>
      <w:tr>
        <w:trPr>
          <w:trHeight w:val="713" w:hRule="exact"/>
        </w:trPr>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484" w:right="107"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r>
              <w:rPr>
                <w:rFonts w:ascii="宋体" w:hAnsi="宋体" w:cs="宋体" w:eastAsia="宋体" w:hint="default"/>
                <w:w w:val="100"/>
                <w:sz w:val="18"/>
                <w:szCs w:val="18"/>
              </w:rPr>
              <w:t> </w:t>
            </w: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90" w:right="19"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w:t>
            </w:r>
            <w:r>
              <w:rPr>
                <w:rFonts w:ascii="宋体" w:hAnsi="宋体" w:cs="宋体" w:eastAsia="宋体" w:hint="default"/>
                <w:w w:val="100"/>
                <w:sz w:val="18"/>
                <w:szCs w:val="18"/>
              </w:rPr>
              <w:t> </w:t>
            </w:r>
            <w:r>
              <w:rPr>
                <w:rFonts w:ascii="宋体" w:hAnsi="宋体" w:cs="宋体" w:eastAsia="宋体" w:hint="default"/>
                <w:sz w:val="18"/>
                <w:szCs w:val="18"/>
              </w:rPr>
              <w:t>型</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316" w:right="23" w:hanging="29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w:t>
            </w:r>
            <w:r>
              <w:rPr>
                <w:rFonts w:ascii="宋体" w:hAnsi="宋体" w:cs="宋体" w:eastAsia="宋体" w:hint="default"/>
                <w:w w:val="100"/>
                <w:sz w:val="18"/>
                <w:szCs w:val="18"/>
              </w:rPr>
              <w:t> </w:t>
            </w:r>
            <w:r>
              <w:rPr>
                <w:rFonts w:ascii="宋体" w:hAnsi="宋体" w:cs="宋体" w:eastAsia="宋体" w:hint="default"/>
                <w:sz w:val="18"/>
                <w:szCs w:val="18"/>
              </w:rPr>
              <w:t>止日</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66" w:right="57" w:hanging="20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r>
              <w:rPr>
                <w:rFonts w:ascii="宋体" w:hAnsi="宋体" w:cs="宋体" w:eastAsia="宋体" w:hint="default"/>
                <w:w w:val="100"/>
                <w:sz w:val="18"/>
                <w:szCs w:val="18"/>
              </w:rPr>
              <w:t> </w:t>
            </w:r>
            <w:r>
              <w:rPr>
                <w:rFonts w:ascii="宋体" w:hAnsi="宋体" w:cs="宋体" w:eastAsia="宋体" w:hint="default"/>
                <w:sz w:val="18"/>
                <w:szCs w:val="18"/>
              </w:rPr>
              <w:t>定价依据</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25" w:right="95" w:hanging="425"/>
              <w:jc w:val="left"/>
              <w:rPr>
                <w:rFonts w:ascii="宋体" w:hAnsi="宋体" w:cs="宋体" w:eastAsia="宋体" w:hint="default"/>
                <w:sz w:val="18"/>
                <w:szCs w:val="18"/>
              </w:rPr>
            </w:pPr>
            <w:r>
              <w:rPr>
                <w:rFonts w:ascii="宋体" w:hAnsi="宋体" w:cs="宋体" w:eastAsia="宋体" w:hint="default"/>
                <w:sz w:val="18"/>
                <w:szCs w:val="18"/>
              </w:rPr>
              <w:t>本报告期确认的托管</w:t>
            </w:r>
            <w:r>
              <w:rPr>
                <w:rFonts w:ascii="宋体" w:hAnsi="宋体" w:cs="宋体" w:eastAsia="宋体" w:hint="default"/>
                <w:w w:val="100"/>
                <w:sz w:val="18"/>
                <w:szCs w:val="18"/>
              </w:rPr>
              <w:t> </w:t>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2"/>
        <w:rPr>
          <w:rFonts w:ascii="宋体" w:hAnsi="宋体" w:cs="宋体" w:eastAsia="宋体" w:hint="default"/>
          <w:sz w:val="26"/>
          <w:szCs w:val="26"/>
        </w:rPr>
      </w:pPr>
    </w:p>
    <w:p>
      <w:pPr>
        <w:pStyle w:val="BodyText"/>
        <w:spacing w:line="240" w:lineRule="auto"/>
        <w:ind w:right="145"/>
        <w:jc w:val="left"/>
      </w:pPr>
      <w:r>
        <w:rPr/>
        <w:t>（</w:t>
      </w:r>
      <w:r>
        <w:rPr>
          <w:rFonts w:ascii="Times New Roman" w:hAnsi="Times New Roman" w:cs="Times New Roman" w:eastAsia="Times New Roman" w:hint="default"/>
          <w:b/>
          <w:bCs/>
        </w:rPr>
        <w:t>3</w:t>
      </w:r>
      <w:r>
        <w:rPr/>
        <w:t>）关联租赁情况</w:t>
      </w:r>
    </w:p>
    <w:p>
      <w:pPr>
        <w:spacing w:line="240" w:lineRule="auto" w:before="10"/>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3"/>
        <w:gridCol w:w="1363"/>
        <w:gridCol w:w="1373"/>
        <w:gridCol w:w="1368"/>
        <w:gridCol w:w="1370"/>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92" w:right="45" w:hanging="540"/>
              <w:jc w:val="left"/>
              <w:rPr>
                <w:rFonts w:ascii="宋体" w:hAnsi="宋体" w:cs="宋体" w:eastAsia="宋体" w:hint="default"/>
                <w:sz w:val="18"/>
                <w:szCs w:val="18"/>
              </w:rPr>
            </w:pPr>
            <w:r>
              <w:rPr>
                <w:rFonts w:ascii="宋体" w:hAnsi="宋体" w:cs="宋体" w:eastAsia="宋体" w:hint="default"/>
                <w:sz w:val="18"/>
                <w:szCs w:val="18"/>
              </w:rPr>
              <w:t>租赁收益定价依</w:t>
            </w:r>
            <w:r>
              <w:rPr>
                <w:rFonts w:ascii="宋体" w:hAnsi="宋体" w:cs="宋体" w:eastAsia="宋体" w:hint="default"/>
                <w:w w:val="100"/>
                <w:sz w:val="18"/>
                <w:szCs w:val="18"/>
              </w:rPr>
              <w:t> </w:t>
            </w:r>
            <w:r>
              <w:rPr>
                <w:rFonts w:ascii="宋体" w:hAnsi="宋体" w:cs="宋体" w:eastAsia="宋体" w:hint="default"/>
                <w:sz w:val="18"/>
                <w:szCs w:val="18"/>
              </w:rPr>
              <w:t>据</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16" w:right="40" w:hanging="269"/>
              <w:jc w:val="left"/>
              <w:rPr>
                <w:rFonts w:ascii="宋体" w:hAnsi="宋体" w:cs="宋体" w:eastAsia="宋体" w:hint="default"/>
                <w:sz w:val="18"/>
                <w:szCs w:val="18"/>
              </w:rPr>
            </w:pPr>
            <w:r>
              <w:rPr>
                <w:rFonts w:ascii="宋体" w:hAnsi="宋体" w:cs="宋体" w:eastAsia="宋体" w:hint="default"/>
                <w:sz w:val="18"/>
                <w:szCs w:val="18"/>
              </w:rPr>
              <w:t>本报告期确认的</w:t>
            </w:r>
            <w:r>
              <w:rPr>
                <w:rFonts w:ascii="宋体" w:hAnsi="宋体" w:cs="宋体" w:eastAsia="宋体" w:hint="default"/>
                <w:w w:val="100"/>
                <w:sz w:val="18"/>
                <w:szCs w:val="18"/>
              </w:rPr>
              <w:t> </w:t>
            </w:r>
            <w:r>
              <w:rPr>
                <w:rFonts w:ascii="宋体" w:hAnsi="宋体" w:cs="宋体" w:eastAsia="宋体" w:hint="default"/>
                <w:sz w:val="18"/>
                <w:szCs w:val="18"/>
              </w:rPr>
              <w:t>租赁收益</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73"/>
        <w:gridCol w:w="1370"/>
        <w:gridCol w:w="1373"/>
        <w:gridCol w:w="1368"/>
        <w:gridCol w:w="1368"/>
        <w:gridCol w:w="1368"/>
        <w:gridCol w:w="1351"/>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w:t>
            </w:r>
            <w:r>
              <w:rPr>
                <w:rFonts w:ascii="宋体" w:hAnsi="宋体" w:cs="宋体" w:eastAsia="宋体" w:hint="default"/>
                <w:w w:val="100"/>
                <w:sz w:val="18"/>
                <w:szCs w:val="18"/>
              </w:rPr>
              <w:t> </w:t>
            </w:r>
            <w:r>
              <w:rPr>
                <w:rFonts w:ascii="宋体" w:hAnsi="宋体" w:cs="宋体" w:eastAsia="宋体" w:hint="default"/>
                <w:sz w:val="18"/>
                <w:szCs w:val="18"/>
              </w:rPr>
              <w:t>租赁费</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4</w:t>
      </w:r>
      <w:r>
        <w:rPr/>
        <w:t>）关联担保情况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09"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w:t>
            </w:r>
            <w:r>
              <w:rPr>
                <w:rFonts w:ascii="宋体" w:hAnsi="宋体" w:cs="宋体" w:eastAsia="宋体" w:hint="default"/>
                <w:w w:val="100"/>
                <w:sz w:val="18"/>
                <w:szCs w:val="18"/>
              </w:rPr>
              <w:t> </w:t>
            </w:r>
            <w:r>
              <w:rPr>
                <w:rFonts w:ascii="宋体" w:hAnsi="宋体" w:cs="宋体" w:eastAsia="宋体" w:hint="default"/>
                <w:sz w:val="18"/>
                <w:szCs w:val="18"/>
              </w:rPr>
              <w:t>完毕</w:t>
            </w:r>
          </w:p>
        </w:tc>
      </w:tr>
    </w:tbl>
    <w:p>
      <w:pPr>
        <w:spacing w:before="50"/>
        <w:ind w:left="152" w:right="145"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5</w:t>
      </w:r>
      <w:r>
        <w:rPr/>
        <w:t>）关联方资金拆借</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6</w:t>
      </w:r>
      <w:r>
        <w:rPr/>
        <w:t>）关联方资产转让、债务重组情况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32"/>
        <w:gridCol w:w="931"/>
        <w:gridCol w:w="1459"/>
        <w:gridCol w:w="1330"/>
        <w:gridCol w:w="1068"/>
        <w:gridCol w:w="1190"/>
        <w:gridCol w:w="970"/>
        <w:gridCol w:w="1289"/>
      </w:tblGrid>
      <w:tr>
        <w:trPr>
          <w:trHeight w:val="403" w:hRule="exact"/>
        </w:trPr>
        <w:tc>
          <w:tcPr>
            <w:tcW w:w="13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类型</w:t>
            </w:r>
          </w:p>
        </w:tc>
        <w:tc>
          <w:tcPr>
            <w:tcW w:w="14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571" w:right="26" w:hanging="540"/>
              <w:jc w:val="left"/>
              <w:rPr>
                <w:rFonts w:ascii="宋体" w:hAnsi="宋体" w:cs="宋体" w:eastAsia="宋体" w:hint="default"/>
                <w:sz w:val="18"/>
                <w:szCs w:val="18"/>
              </w:rPr>
            </w:pPr>
            <w:r>
              <w:rPr>
                <w:rFonts w:ascii="宋体" w:hAnsi="宋体" w:cs="宋体" w:eastAsia="宋体" w:hint="default"/>
                <w:sz w:val="18"/>
                <w:szCs w:val="18"/>
              </w:rPr>
              <w:t>关联交易定价原</w:t>
            </w:r>
            <w:r>
              <w:rPr>
                <w:rFonts w:ascii="宋体" w:hAnsi="宋体" w:cs="宋体" w:eastAsia="宋体" w:hint="default"/>
                <w:w w:val="100"/>
                <w:sz w:val="18"/>
                <w:szCs w:val="18"/>
              </w:rPr>
              <w:t> </w:t>
            </w:r>
            <w:r>
              <w:rPr>
                <w:rFonts w:ascii="宋体" w:hAnsi="宋体" w:cs="宋体" w:eastAsia="宋体" w:hint="default"/>
                <w:sz w:val="18"/>
                <w:szCs w:val="18"/>
              </w:rPr>
              <w:t>则</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332"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47" w:firstLine="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w:t>
            </w:r>
            <w:r>
              <w:rPr>
                <w:rFonts w:ascii="宋体" w:hAnsi="宋体" w:cs="宋体" w:eastAsia="宋体" w:hint="default"/>
                <w:w w:val="100"/>
                <w:sz w:val="18"/>
                <w:szCs w:val="18"/>
              </w:rPr>
              <w:t> </w:t>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5" w:lineRule="exact"/>
              <w:ind w:left="300"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23" w:firstLine="74"/>
              <w:jc w:val="left"/>
              <w:rPr>
                <w:rFonts w:ascii="宋体" w:hAnsi="宋体" w:cs="宋体" w:eastAsia="宋体" w:hint="default"/>
                <w:sz w:val="18"/>
                <w:szCs w:val="18"/>
              </w:rPr>
            </w:pPr>
            <w:r>
              <w:rPr>
                <w:rFonts w:ascii="宋体" w:hAnsi="宋体" w:cs="宋体" w:eastAsia="宋体" w:hint="default"/>
                <w:sz w:val="18"/>
                <w:szCs w:val="18"/>
              </w:rPr>
              <w:t>占同类交易金</w:t>
            </w:r>
            <w:r>
              <w:rPr>
                <w:rFonts w:ascii="宋体" w:hAnsi="宋体" w:cs="宋体" w:eastAsia="宋体" w:hint="default"/>
                <w:w w:val="100"/>
                <w:sz w:val="18"/>
                <w:szCs w:val="18"/>
              </w:rPr>
              <w:t> </w:t>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7</w:t>
      </w:r>
      <w:r>
        <w:rPr/>
        <w:t>）其他关联交易</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6</w:t>
      </w:r>
      <w:r>
        <w:rPr/>
        <w:t>、关联方应收应付款项</w:t>
      </w:r>
    </w:p>
    <w:p>
      <w:pPr>
        <w:spacing w:line="240" w:lineRule="auto" w:before="10"/>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059"/>
        <w:gridCol w:w="1666"/>
        <w:gridCol w:w="1462"/>
        <w:gridCol w:w="1462"/>
        <w:gridCol w:w="1459"/>
        <w:gridCol w:w="1459"/>
      </w:tblGrid>
      <w:tr>
        <w:trPr>
          <w:trHeight w:val="401" w:hRule="exact"/>
        </w:trPr>
        <w:tc>
          <w:tcPr>
            <w:tcW w:w="20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9" w:type="dxa"/>
            <w:vMerge/>
            <w:tcBorders>
              <w:left w:val="single" w:sz="4" w:space="0" w:color="000000"/>
              <w:bottom w:val="single" w:sz="4" w:space="0" w:color="000000"/>
              <w:right w:val="single" w:sz="4" w:space="0" w:color="000000"/>
            </w:tcBorders>
            <w:shd w:val="clear" w:color="auto" w:fill="D3D3D3"/>
          </w:tcPr>
          <w:p>
            <w:pPr/>
          </w:p>
        </w:tc>
        <w:tc>
          <w:tcPr>
            <w:tcW w:w="1666"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782"/>
        <w:gridCol w:w="2258"/>
        <w:gridCol w:w="2258"/>
        <w:gridCol w:w="2258"/>
      </w:tblGrid>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pStyle w:val="Heading2"/>
        <w:spacing w:line="240" w:lineRule="auto" w:before="26"/>
        <w:ind w:right="145"/>
        <w:jc w:val="left"/>
      </w:pPr>
      <w:r>
        <w:rPr/>
        <w:t>十、股份支付</w:t>
      </w:r>
    </w:p>
    <w:p>
      <w:pPr>
        <w:spacing w:line="240" w:lineRule="auto" w:before="9"/>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、股份支付总体情况</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746" w:footer="982" w:top="1060" w:bottom="1180" w:left="980" w:right="980"/>
        </w:sect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rFonts w:ascii="Times New Roman" w:hAnsi="Times New Roman" w:cs="Times New Roman" w:eastAsia="Times New Roman" w:hint="default"/>
          <w:b/>
          <w:bCs/>
          <w:spacing w:val="-2"/>
        </w:rPr>
        <w:t>2</w:t>
      </w:r>
      <w:r>
        <w:rPr>
          <w:spacing w:val="-2"/>
        </w:rPr>
        <w:t>、以权益结算的股份支付情况</w:t>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3000" w:space="5827"/>
            <w:col w:w="1113"/>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00" w:h="16840"/>
          <w:pgMar w:top="1060" w:bottom="1180" w:left="980" w:right="980"/>
        </w:sectPr>
      </w:pP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rFonts w:ascii="Times New Roman" w:hAnsi="Times New Roman" w:cs="Times New Roman" w:eastAsia="Times New Roman" w:hint="default"/>
          <w:b/>
          <w:bCs/>
          <w:spacing w:val="-2"/>
        </w:rPr>
        <w:t>3</w:t>
      </w:r>
      <w:r>
        <w:rPr>
          <w:spacing w:val="-2"/>
        </w:rPr>
        <w:t>、以现金结算的股份支付情况</w:t>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3000" w:space="5827"/>
            <w:col w:w="1113"/>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00" w:h="16840"/>
          <w:pgMar w:top="1060" w:bottom="1180" w:left="980" w:right="980"/>
        </w:sectPr>
      </w:pPr>
    </w:p>
    <w:p>
      <w:pPr>
        <w:spacing w:line="240" w:lineRule="auto" w:before="0"/>
        <w:rPr>
          <w:rFonts w:ascii="宋体" w:hAnsi="宋体" w:cs="宋体" w:eastAsia="宋体" w:hint="default"/>
          <w:sz w:val="18"/>
          <w:szCs w:val="18"/>
        </w:rPr>
      </w:pPr>
    </w:p>
    <w:p>
      <w:pPr>
        <w:spacing w:before="161"/>
        <w:ind w:left="152" w:right="-6" w:firstLine="0"/>
        <w:jc w:val="left"/>
        <w:rPr>
          <w:rFonts w:ascii="宋体" w:hAnsi="宋体" w:cs="宋体" w:eastAsia="宋体" w:hint="default"/>
          <w:sz w:val="18"/>
          <w:szCs w:val="18"/>
        </w:rPr>
      </w:pPr>
      <w:r>
        <w:rPr>
          <w:rFonts w:ascii="宋体" w:hAnsi="宋体" w:cs="宋体" w:eastAsia="宋体" w:hint="default"/>
          <w:spacing w:val="-1"/>
          <w:sz w:val="18"/>
          <w:szCs w:val="18"/>
        </w:rPr>
        <w:t>以现金结算的股份支付的说明</w:t>
      </w:r>
    </w:p>
    <w:p>
      <w:pPr>
        <w:spacing w:line="240" w:lineRule="auto" w:before="0"/>
        <w:rPr>
          <w:rFonts w:ascii="宋体" w:hAnsi="宋体" w:cs="宋体" w:eastAsia="宋体" w:hint="default"/>
          <w:sz w:val="18"/>
          <w:szCs w:val="18"/>
        </w:rPr>
      </w:pPr>
    </w:p>
    <w:p>
      <w:pPr>
        <w:pStyle w:val="BodyText"/>
        <w:spacing w:line="240" w:lineRule="auto" w:before="118"/>
        <w:ind w:right="-6"/>
        <w:jc w:val="left"/>
      </w:pPr>
      <w:r>
        <w:rPr>
          <w:rFonts w:ascii="Times New Roman" w:hAnsi="Times New Roman" w:cs="Times New Roman" w:eastAsia="Times New Roman" w:hint="default"/>
          <w:b/>
          <w:bCs/>
        </w:rPr>
        <w:t>4</w:t>
      </w:r>
      <w:r>
        <w:rPr/>
        <w:t>、以股份支付服务情况</w:t>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2494" w:space="6334"/>
            <w:col w:w="1112"/>
          </w:cols>
        </w:sectPr>
      </w:pP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00" w:h="16840"/>
          <w:pgMar w:top="1060" w:bottom="1180" w:left="980" w:right="980"/>
        </w:sectPr>
      </w:pPr>
    </w:p>
    <w:p>
      <w:pPr>
        <w:spacing w:line="240" w:lineRule="auto" w:before="10"/>
        <w:rPr>
          <w:rFonts w:ascii="宋体" w:hAnsi="宋体" w:cs="宋体" w:eastAsia="宋体" w:hint="default"/>
          <w:sz w:val="24"/>
          <w:szCs w:val="24"/>
        </w:rPr>
      </w:pPr>
    </w:p>
    <w:p>
      <w:pPr>
        <w:spacing w:line="487" w:lineRule="auto" w:before="36"/>
        <w:ind w:left="152" w:right="52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sz w:val="21"/>
          <w:szCs w:val="21"/>
        </w:rPr>
        <w:t>、股份支付的修改、终止情况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4"/>
          <w:szCs w:val="24"/>
        </w:rPr>
        <w:t>十一、或有事项</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Times New Roman" w:hAnsi="Times New Roman" w:cs="Times New Roman" w:eastAsia="Times New Roman" w:hint="default"/>
          <w:b/>
          <w:bCs/>
          <w:spacing w:val="-2"/>
          <w:sz w:val="21"/>
          <w:szCs w:val="21"/>
        </w:rPr>
        <w:t>1</w:t>
      </w:r>
      <w:r>
        <w:rPr>
          <w:rFonts w:ascii="宋体" w:hAnsi="宋体" w:cs="宋体" w:eastAsia="宋体" w:hint="default"/>
          <w:spacing w:val="-2"/>
          <w:sz w:val="21"/>
          <w:szCs w:val="21"/>
        </w:rPr>
        <w:t>、未决诉讼或仲裁形成的或有负债及其财务影响</w:t>
      </w:r>
    </w:p>
    <w:p>
      <w:pPr>
        <w:pStyle w:val="BodyText"/>
        <w:spacing w:line="240" w:lineRule="auto" w:before="84"/>
        <w:ind w:right="145"/>
        <w:jc w:val="left"/>
      </w:pPr>
      <w:r>
        <w:rPr>
          <w:rFonts w:ascii="Times New Roman" w:hAnsi="Times New Roman" w:cs="Times New Roman" w:eastAsia="Times New Roman" w:hint="default"/>
          <w:b/>
          <w:bCs/>
        </w:rPr>
        <w:t>2</w:t>
      </w:r>
      <w:r>
        <w:rPr/>
        <w:t>、为其他单位提供债务担保形成的或有负债及其财务影响</w:t>
      </w:r>
    </w:p>
    <w:p>
      <w:pPr>
        <w:spacing w:line="240" w:lineRule="auto" w:before="2"/>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3"/>
        <w:rPr>
          <w:rFonts w:ascii="宋体" w:hAnsi="宋体" w:cs="宋体" w:eastAsia="宋体" w:hint="default"/>
          <w:sz w:val="25"/>
          <w:szCs w:val="25"/>
        </w:rPr>
      </w:pPr>
    </w:p>
    <w:p>
      <w:pPr>
        <w:pStyle w:val="Heading2"/>
        <w:spacing w:line="240" w:lineRule="auto"/>
        <w:ind w:right="145"/>
        <w:jc w:val="left"/>
      </w:pPr>
      <w:r>
        <w:rPr/>
        <w:t>十二、承诺事项</w:t>
      </w:r>
    </w:p>
    <w:p>
      <w:pPr>
        <w:spacing w:line="240" w:lineRule="auto" w:before="12"/>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、重大承诺事项</w:t>
      </w:r>
    </w:p>
    <w:p>
      <w:pPr>
        <w:spacing w:line="240" w:lineRule="auto" w:before="7"/>
        <w:rPr>
          <w:rFonts w:ascii="宋体" w:hAnsi="宋体" w:cs="宋体" w:eastAsia="宋体" w:hint="default"/>
          <w:sz w:val="24"/>
          <w:szCs w:val="24"/>
        </w:rPr>
      </w:pPr>
    </w:p>
    <w:p>
      <w:pPr>
        <w:spacing w:line="487" w:lineRule="auto" w:before="0"/>
        <w:ind w:left="152" w:right="52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、前期承诺履行情况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4"/>
          <w:szCs w:val="24"/>
        </w:rPr>
        <w:t>十三、资产负债表日后事项</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Times New Roman" w:hAnsi="Times New Roman" w:cs="Times New Roman" w:eastAsia="Times New Roman" w:hint="default"/>
          <w:b/>
          <w:bCs/>
          <w:spacing w:val="-2"/>
          <w:sz w:val="21"/>
          <w:szCs w:val="21"/>
        </w:rPr>
        <w:t>1</w:t>
      </w:r>
      <w:r>
        <w:rPr>
          <w:rFonts w:ascii="宋体" w:hAnsi="宋体" w:cs="宋体" w:eastAsia="宋体" w:hint="default"/>
          <w:spacing w:val="-2"/>
          <w:sz w:val="21"/>
          <w:szCs w:val="21"/>
        </w:rPr>
        <w:t>、重要的资产负债表日后事项说明</w:t>
      </w:r>
    </w:p>
    <w:p>
      <w:pPr>
        <w:spacing w:before="10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012" w:right="107"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w:t>
            </w:r>
            <w:r>
              <w:rPr>
                <w:rFonts w:ascii="宋体" w:hAnsi="宋体" w:cs="宋体" w:eastAsia="宋体" w:hint="default"/>
                <w:w w:val="100"/>
                <w:sz w:val="18"/>
                <w:szCs w:val="18"/>
              </w:rPr>
              <w:t> </w:t>
            </w:r>
            <w:r>
              <w:rPr>
                <w:rFonts w:ascii="宋体" w:hAnsi="宋体" w:cs="宋体" w:eastAsia="宋体" w:hint="default"/>
                <w:sz w:val="18"/>
                <w:szCs w:val="18"/>
              </w:rPr>
              <w:t>响数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2</w:t>
      </w:r>
      <w:r>
        <w:rPr/>
        <w:t>、资产负债表日后利润分配情况说明</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spacing w:line="487" w:lineRule="auto" w:before="36"/>
        <w:ind w:left="152" w:right="6183" w:firstLine="0"/>
        <w:jc w:val="left"/>
        <w:rPr>
          <w:rFonts w:ascii="宋体" w:hAnsi="宋体" w:cs="宋体" w:eastAsia="宋体" w:hint="default"/>
          <w:sz w:val="21"/>
          <w:szCs w:val="21"/>
        </w:rPr>
      </w:pPr>
      <w:r>
        <w:rPr>
          <w:rFonts w:ascii="Times New Roman" w:hAnsi="Times New Roman" w:cs="Times New Roman" w:eastAsia="Times New Roman" w:hint="default"/>
          <w:b/>
          <w:bCs/>
          <w:spacing w:val="-2"/>
          <w:sz w:val="21"/>
          <w:szCs w:val="21"/>
        </w:rPr>
        <w:t>3</w:t>
      </w:r>
      <w:r>
        <w:rPr>
          <w:rFonts w:ascii="宋体" w:hAnsi="宋体" w:cs="宋体" w:eastAsia="宋体" w:hint="default"/>
          <w:spacing w:val="-2"/>
          <w:sz w:val="21"/>
          <w:szCs w:val="21"/>
        </w:rPr>
        <w:t>、其他资产负债表日后事项说明</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4"/>
          <w:szCs w:val="24"/>
        </w:rPr>
        <w:t>十四、其他重要事项</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sz w:val="21"/>
          <w:szCs w:val="21"/>
        </w:rPr>
        <w:t>、非货币性资产交换</w:t>
      </w:r>
    </w:p>
    <w:p>
      <w:pPr>
        <w:pStyle w:val="BodyText"/>
        <w:spacing w:line="240" w:lineRule="auto" w:before="81"/>
        <w:ind w:right="145"/>
        <w:jc w:val="left"/>
      </w:pPr>
      <w:r>
        <w:rPr>
          <w:rFonts w:ascii="Times New Roman" w:hAnsi="Times New Roman" w:cs="Times New Roman" w:eastAsia="Times New Roman" w:hint="default"/>
          <w:b/>
          <w:bCs/>
        </w:rPr>
        <w:t>2</w:t>
      </w:r>
      <w:r>
        <w:rPr/>
        <w:t>、债务重组</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3</w:t>
      </w:r>
      <w:r>
        <w:rPr/>
        <w:t>、企业合并</w:t>
      </w:r>
    </w:p>
    <w:p>
      <w:pPr>
        <w:spacing w:line="240" w:lineRule="auto" w:before="7"/>
        <w:rPr>
          <w:rFonts w:ascii="宋体" w:hAnsi="宋体" w:cs="宋体" w:eastAsia="宋体" w:hint="default"/>
          <w:sz w:val="24"/>
          <w:szCs w:val="24"/>
        </w:rPr>
      </w:pPr>
    </w:p>
    <w:p>
      <w:pPr>
        <w:spacing w:before="0"/>
        <w:ind w:left="152" w:right="1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sz w:val="21"/>
          <w:szCs w:val="21"/>
        </w:rPr>
        <w:t>、租赁</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5</w:t>
      </w:r>
      <w:r>
        <w:rPr/>
        <w:t>、期末发行在外的、可转换为股份的金融工具</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6</w:t>
      </w:r>
      <w:r>
        <w:rPr/>
        <w:t>、以公允价值计量的资产和负债</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61"/>
        <w:gridCol w:w="1519"/>
        <w:gridCol w:w="1524"/>
        <w:gridCol w:w="1522"/>
        <w:gridCol w:w="1522"/>
        <w:gridCol w:w="1522"/>
      </w:tblGrid>
      <w:tr>
        <w:trPr>
          <w:trHeight w:val="713"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76"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w:t>
            </w:r>
            <w:r>
              <w:rPr>
                <w:rFonts w:ascii="宋体" w:hAnsi="宋体" w:cs="宋体" w:eastAsia="宋体" w:hint="default"/>
                <w:w w:val="100"/>
                <w:sz w:val="18"/>
                <w:szCs w:val="18"/>
              </w:rPr>
              <w:t> </w:t>
            </w:r>
            <w:r>
              <w:rPr>
                <w:rFonts w:ascii="宋体" w:hAnsi="宋体" w:cs="宋体" w:eastAsia="宋体" w:hint="default"/>
                <w:sz w:val="18"/>
                <w:szCs w:val="18"/>
              </w:rPr>
              <w:t>损益</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计入权益的累计公</w:t>
            </w:r>
            <w:r>
              <w:rPr>
                <w:rFonts w:ascii="宋体" w:hAnsi="宋体" w:cs="宋体" w:eastAsia="宋体" w:hint="default"/>
                <w:w w:val="100"/>
                <w:sz w:val="18"/>
                <w:szCs w:val="18"/>
              </w:rPr>
              <w:t> </w:t>
            </w:r>
            <w:r>
              <w:rPr>
                <w:rFonts w:ascii="宋体" w:hAnsi="宋体" w:cs="宋体" w:eastAsia="宋体" w:hint="default"/>
                <w:sz w:val="18"/>
                <w:szCs w:val="18"/>
              </w:rPr>
              <w:t>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3"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7</w:t>
      </w:r>
      <w:r>
        <w:rPr/>
        <w:t>、外币金融资产和外币金融负债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63"/>
        <w:gridCol w:w="1529"/>
        <w:gridCol w:w="1511"/>
        <w:gridCol w:w="1511"/>
        <w:gridCol w:w="1523"/>
        <w:gridCol w:w="1517"/>
      </w:tblGrid>
      <w:tr>
        <w:trPr>
          <w:trHeight w:val="160" w:hRule="exact"/>
        </w:trPr>
        <w:tc>
          <w:tcPr>
            <w:tcW w:w="19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565" w:right="33" w:hanging="540"/>
              <w:jc w:val="left"/>
              <w:rPr>
                <w:rFonts w:ascii="宋体" w:hAnsi="宋体" w:cs="宋体" w:eastAsia="宋体" w:hint="default"/>
                <w:sz w:val="18"/>
                <w:szCs w:val="18"/>
              </w:rPr>
            </w:pPr>
            <w:r>
              <w:rPr>
                <w:rFonts w:ascii="宋体" w:hAnsi="宋体" w:cs="宋体" w:eastAsia="宋体" w:hint="default"/>
                <w:sz w:val="18"/>
                <w:szCs w:val="18"/>
              </w:rPr>
              <w:t>本期公允价值变动</w:t>
            </w:r>
            <w:r>
              <w:rPr>
                <w:rFonts w:ascii="宋体" w:hAnsi="宋体" w:cs="宋体" w:eastAsia="宋体" w:hint="default"/>
                <w:w w:val="100"/>
                <w:sz w:val="18"/>
                <w:szCs w:val="18"/>
              </w:rPr>
              <w:t> </w:t>
            </w:r>
            <w:r>
              <w:rPr>
                <w:rFonts w:ascii="宋体" w:hAnsi="宋体" w:cs="宋体" w:eastAsia="宋体" w:hint="default"/>
                <w:sz w:val="18"/>
                <w:szCs w:val="18"/>
              </w:rPr>
              <w:t>损益</w:t>
            </w: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04" w:right="25" w:hanging="272"/>
              <w:jc w:val="left"/>
              <w:rPr>
                <w:rFonts w:ascii="宋体" w:hAnsi="宋体" w:cs="宋体" w:eastAsia="宋体" w:hint="default"/>
                <w:sz w:val="18"/>
                <w:szCs w:val="18"/>
              </w:rPr>
            </w:pPr>
            <w:r>
              <w:rPr>
                <w:rFonts w:ascii="宋体" w:hAnsi="宋体" w:cs="宋体" w:eastAsia="宋体" w:hint="default"/>
                <w:sz w:val="18"/>
                <w:szCs w:val="18"/>
              </w:rPr>
              <w:t>计入权益的累计公</w:t>
            </w:r>
            <w:r>
              <w:rPr>
                <w:rFonts w:ascii="宋体" w:hAnsi="宋体" w:cs="宋体" w:eastAsia="宋体" w:hint="default"/>
                <w:w w:val="100"/>
                <w:sz w:val="18"/>
                <w:szCs w:val="18"/>
              </w:rPr>
              <w:t> </w:t>
            </w:r>
            <w:r>
              <w:rPr>
                <w:rFonts w:ascii="宋体" w:hAnsi="宋体" w:cs="宋体" w:eastAsia="宋体" w:hint="default"/>
                <w:sz w:val="18"/>
                <w:szCs w:val="18"/>
              </w:rPr>
              <w:t>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3D3D3"/>
          </w:tcPr>
          <w:p>
            <w:pPr/>
          </w:p>
        </w:tc>
        <w:tc>
          <w:tcPr>
            <w:tcW w:w="1511" w:type="dxa"/>
            <w:vMerge/>
            <w:tcBorders>
              <w:left w:val="single" w:sz="4" w:space="0" w:color="000000"/>
              <w:right w:val="single" w:sz="4" w:space="0" w:color="000000"/>
            </w:tcBorders>
            <w:shd w:val="clear" w:color="auto" w:fill="D3D3D3"/>
          </w:tcPr>
          <w:p>
            <w:pPr/>
          </w:p>
        </w:tc>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96"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8</w:t>
      </w:r>
      <w:r>
        <w:rPr/>
        <w:t>、年金计划主要内容及重大变化</w:t>
      </w:r>
    </w:p>
    <w:p>
      <w:pPr>
        <w:spacing w:line="240" w:lineRule="auto" w:before="7"/>
        <w:rPr>
          <w:rFonts w:ascii="宋体" w:hAnsi="宋体" w:cs="宋体" w:eastAsia="宋体" w:hint="default"/>
          <w:sz w:val="24"/>
          <w:szCs w:val="24"/>
        </w:rPr>
      </w:pPr>
    </w:p>
    <w:p>
      <w:pPr>
        <w:spacing w:line="487" w:lineRule="auto" w:before="0"/>
        <w:ind w:left="152" w:right="59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sz w:val="21"/>
          <w:szCs w:val="21"/>
        </w:rPr>
        <w:t>、其他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4"/>
          <w:szCs w:val="24"/>
        </w:rPr>
        <w:t>十五、母公司财务报表主要项目注释</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Times New Roman" w:hAnsi="Times New Roman" w:cs="Times New Roman" w:eastAsia="Times New Roman" w:hint="default"/>
          <w:b/>
          <w:bCs/>
          <w:sz w:val="21"/>
          <w:szCs w:val="21"/>
        </w:rPr>
        <w:t>1</w:t>
      </w:r>
      <w:r>
        <w:rPr>
          <w:rFonts w:ascii="宋体" w:hAnsi="宋体" w:cs="宋体" w:eastAsia="宋体" w:hint="default"/>
          <w:sz w:val="21"/>
          <w:szCs w:val="21"/>
        </w:rPr>
        <w:t>、应收账款</w:t>
      </w:r>
    </w:p>
    <w:p>
      <w:pPr>
        <w:pStyle w:val="BodyText"/>
        <w:spacing w:line="240" w:lineRule="auto" w:before="84"/>
        <w:ind w:right="145"/>
        <w:jc w:val="left"/>
      </w:pPr>
      <w:r>
        <w:rPr/>
        <w:t>（</w:t>
      </w:r>
      <w:r>
        <w:rPr>
          <w:rFonts w:ascii="Times New Roman" w:hAnsi="Times New Roman" w:cs="Times New Roman" w:eastAsia="Times New Roman" w:hint="default"/>
          <w:b/>
          <w:bCs/>
        </w:rPr>
        <w:t>1</w:t>
      </w:r>
      <w:r>
        <w:rPr/>
        <w:t>）应收账款</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9"/>
        <w:gridCol w:w="1193"/>
        <w:gridCol w:w="533"/>
        <w:gridCol w:w="1327"/>
        <w:gridCol w:w="665"/>
        <w:gridCol w:w="1195"/>
        <w:gridCol w:w="665"/>
        <w:gridCol w:w="1327"/>
        <w:gridCol w:w="665"/>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9" w:type="dxa"/>
            <w:vMerge/>
            <w:tcBorders>
              <w:left w:val="single" w:sz="4" w:space="0" w:color="000000"/>
              <w:right w:val="single" w:sz="4" w:space="0" w:color="000000"/>
            </w:tcBorders>
            <w:shd w:val="clear" w:color="auto" w:fill="D3D3D3"/>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2"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）按款项性质的组合</w:t>
            </w:r>
          </w:p>
        </w:tc>
        <w:tc>
          <w:tcPr>
            <w:tcW w:w="11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）按款项账龄的组合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80,086,643.05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4,487,977.34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24,677,591.42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1,789,784.38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80,086,643.05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4,487,977.34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24,677,591.42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1,789,784.38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80,086,643.05</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4,487,977.34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24,677,591.42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1,789,784.38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line="240" w:lineRule="auto" w:before="2"/>
        <w:rPr>
          <w:rFonts w:ascii="宋体" w:hAnsi="宋体" w:cs="宋体" w:eastAsia="宋体" w:hint="default"/>
          <w:sz w:val="16"/>
          <w:szCs w:val="16"/>
        </w:rPr>
      </w:pPr>
    </w:p>
    <w:p>
      <w:pPr>
        <w:pStyle w:val="BodyText"/>
        <w:spacing w:line="273" w:lineRule="auto"/>
        <w:ind w:right="143" w:firstLine="420"/>
        <w:jc w:val="both"/>
      </w:pPr>
      <w:r>
        <w:rPr/>
        <w:t>单项金额重大并单项计提坏账准备的应收账款确定依据为应收账款余额前五名中单项计提坏账准备</w:t>
      </w:r>
      <w:r>
        <w:rPr>
          <w:w w:val="100"/>
        </w:rPr>
        <w:t> </w:t>
      </w:r>
      <w:r>
        <w:rPr/>
        <w:t>的应收账款；</w:t>
      </w:r>
    </w:p>
    <w:p>
      <w:pPr>
        <w:pStyle w:val="BodyText"/>
        <w:spacing w:line="273" w:lineRule="auto" w:before="163"/>
        <w:ind w:right="141" w:firstLine="420"/>
        <w:jc w:val="both"/>
      </w:pPr>
      <w:r>
        <w:rPr/>
        <w:t>按组合计提坏账准备的应收账款确定依据为除单项金额重大并单项计提坏账准备和单项金额虽不重</w:t>
      </w:r>
      <w:r>
        <w:rPr>
          <w:w w:val="100"/>
        </w:rPr>
        <w:t> </w:t>
      </w:r>
      <w:r>
        <w:rPr>
          <w:spacing w:val="-3"/>
        </w:rPr>
        <w:t>大但单项计提坏账准备外的应收款项（含单项金额重大、单独进行减值测试未发生减值，包含在具有类似</w:t>
      </w:r>
      <w:r>
        <w:rPr>
          <w:spacing w:val="3"/>
        </w:rPr>
        <w:t> </w:t>
      </w:r>
      <w:r>
        <w:rPr>
          <w:spacing w:val="3"/>
        </w:rPr>
      </w:r>
      <w:r>
        <w:rPr/>
        <w:t>信用风险特征的应收款项组合中进行减值测试的应收账款）；</w:t>
      </w:r>
    </w:p>
    <w:p>
      <w:pPr>
        <w:spacing w:after="0" w:line="273" w:lineRule="auto"/>
        <w:jc w:val="both"/>
        <w:sectPr>
          <w:footerReference w:type="default" r:id="rId28"/>
          <w:pgSz w:w="11900" w:h="16840"/>
          <w:pgMar w:footer="982" w:header="746" w:top="1060" w:bottom="1180" w:left="980" w:right="980"/>
          <w:pgNumType w:start="120"/>
        </w:sectPr>
      </w:pPr>
    </w:p>
    <w:p>
      <w:pPr>
        <w:spacing w:line="240" w:lineRule="auto" w:before="10"/>
        <w:rPr>
          <w:rFonts w:ascii="宋体" w:hAnsi="宋体" w:cs="宋体" w:eastAsia="宋体" w:hint="default"/>
          <w:sz w:val="24"/>
          <w:szCs w:val="24"/>
        </w:rPr>
      </w:pPr>
    </w:p>
    <w:p>
      <w:pPr>
        <w:pStyle w:val="BodyText"/>
        <w:spacing w:line="273" w:lineRule="auto" w:before="36"/>
        <w:ind w:right="145" w:firstLine="420"/>
        <w:jc w:val="left"/>
      </w:pPr>
      <w:r>
        <w:rPr>
          <w:spacing w:val="-2"/>
        </w:rPr>
        <w:t>单项金额虽不重大但单项计提坏账准备的应收账款确定依据为除单项金额重大并单项计提坏账准备</w:t>
      </w:r>
      <w:r>
        <w:rPr>
          <w:w w:val="100"/>
        </w:rPr>
        <w:t> </w:t>
      </w:r>
      <w:r>
        <w:rPr/>
        <w:t>外单项认定进行减值测试计提坏账准备的应收账款</w:t>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746" w:footer="982" w:top="1060" w:bottom="1180" w:left="980" w:right="980"/>
        </w:sect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期末单项金额重大并单项计提坏账准备的应收账款</w:t>
      </w:r>
    </w:p>
    <w:p>
      <w:pPr>
        <w:spacing w:line="338" w:lineRule="auto"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不适用</w:t>
      </w:r>
      <w:r>
        <w:rPr>
          <w:rFonts w:ascii="宋体" w:hAnsi="宋体" w:cs="宋体" w:eastAsia="宋体" w:hint="default"/>
          <w:w w:val="100"/>
          <w:sz w:val="18"/>
          <w:szCs w:val="18"/>
        </w:rPr>
        <w:t> </w:t>
      </w:r>
      <w:r>
        <w:rPr>
          <w:rFonts w:ascii="宋体" w:hAnsi="宋体" w:cs="宋体" w:eastAsia="宋体" w:hint="default"/>
          <w:spacing w:val="-1"/>
          <w:sz w:val="18"/>
          <w:szCs w:val="18"/>
        </w:rPr>
        <w:t>组合中，采用账龄分析法计提坏账准备的应收账款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4114" w:space="4713"/>
            <w:col w:w="1113"/>
          </w:cols>
        </w:sectPr>
      </w:pP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049"/>
        <w:gridCol w:w="2005"/>
        <w:gridCol w:w="651"/>
        <w:gridCol w:w="1473"/>
        <w:gridCol w:w="2126"/>
        <w:gridCol w:w="653"/>
        <w:gridCol w:w="1599"/>
      </w:tblGrid>
      <w:tr>
        <w:trPr>
          <w:trHeight w:val="403" w:hRule="exact"/>
        </w:trPr>
        <w:tc>
          <w:tcPr>
            <w:tcW w:w="1049" w:type="dxa"/>
            <w:vMerge w:val="restart"/>
            <w:tcBorders>
              <w:top w:val="single" w:sz="4" w:space="0" w:color="000000"/>
              <w:left w:val="single" w:sz="4" w:space="0" w:color="000000"/>
              <w:right w:val="single" w:sz="4" w:space="0" w:color="000000"/>
            </w:tcBorders>
            <w:shd w:val="clear" w:color="auto" w:fill="D3D3D3"/>
          </w:tcPr>
          <w:p>
            <w:pP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4" w:hRule="exact"/>
        </w:trPr>
        <w:tc>
          <w:tcPr>
            <w:tcW w:w="1049" w:type="dxa"/>
            <w:vMerge/>
            <w:tcBorders>
              <w:left w:val="single" w:sz="4" w:space="0" w:color="000000"/>
              <w:bottom w:val="nil" w:sz="6" w:space="0" w:color="auto"/>
              <w:right w:val="single" w:sz="4" w:space="0" w:color="000000"/>
            </w:tcBorders>
            <w:shd w:val="clear" w:color="auto" w:fill="D3D3D3"/>
          </w:tcPr>
          <w:p>
            <w:pPr/>
          </w:p>
        </w:tc>
        <w:tc>
          <w:tcPr>
            <w:tcW w:w="265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3" w:type="dxa"/>
            <w:vMerge w:val="restart"/>
            <w:tcBorders>
              <w:top w:val="single" w:sz="4" w:space="0" w:color="000000"/>
              <w:left w:val="single" w:sz="4" w:space="0" w:color="000000"/>
              <w:right w:val="single" w:sz="4" w:space="0" w:color="000000"/>
            </w:tcBorders>
            <w:shd w:val="clear" w:color="auto" w:fill="D3D3D3"/>
          </w:tcPr>
          <w:p>
            <w:pPr/>
          </w:p>
        </w:tc>
        <w:tc>
          <w:tcPr>
            <w:tcW w:w="27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0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6" w:type="dxa"/>
            <w:gridSpan w:val="2"/>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4" w:space="0" w:color="000000"/>
              <w:bottom w:val="nil" w:sz="6" w:space="0" w:color="auto"/>
              <w:right w:val="single" w:sz="4" w:space="0" w:color="000000"/>
            </w:tcBorders>
            <w:shd w:val="clear" w:color="auto" w:fill="D3D3D3"/>
          </w:tcPr>
          <w:p>
            <w:pPr/>
          </w:p>
        </w:tc>
        <w:tc>
          <w:tcPr>
            <w:tcW w:w="2780" w:type="dxa"/>
            <w:gridSpan w:val="2"/>
            <w:vMerge/>
            <w:tcBorders>
              <w:left w:val="single" w:sz="4" w:space="0" w:color="000000"/>
              <w:bottom w:val="single" w:sz="4" w:space="0" w:color="000000"/>
              <w:right w:val="single" w:sz="4" w:space="0" w:color="000000"/>
            </w:tcBorders>
            <w:shd w:val="clear" w:color="auto" w:fill="D3D3D3"/>
          </w:tcPr>
          <w:p>
            <w:pPr/>
          </w:p>
        </w:tc>
        <w:tc>
          <w:tcPr>
            <w:tcW w:w="1599"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3D3D3"/>
          </w:tcPr>
          <w:p>
            <w:pPr/>
          </w:p>
        </w:tc>
        <w:tc>
          <w:tcPr>
            <w:tcW w:w="2005"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4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7" w:hRule="exact"/>
        </w:trPr>
        <w:tc>
          <w:tcPr>
            <w:tcW w:w="1049" w:type="dxa"/>
            <w:vMerge w:val="restart"/>
            <w:tcBorders>
              <w:top w:val="nil" w:sz="6" w:space="0" w:color="auto"/>
              <w:left w:val="single" w:sz="4" w:space="0" w:color="000000"/>
              <w:right w:val="single" w:sz="4" w:space="0" w:color="000000"/>
            </w:tcBorders>
            <w:shd w:val="clear" w:color="auto" w:fill="D3D3D3"/>
          </w:tcPr>
          <w:p>
            <w:pPr/>
          </w:p>
        </w:tc>
        <w:tc>
          <w:tcPr>
            <w:tcW w:w="20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3D3D3"/>
          </w:tcPr>
          <w:p>
            <w:pPr/>
          </w:p>
        </w:tc>
        <w:tc>
          <w:tcPr>
            <w:tcW w:w="1473" w:type="dxa"/>
            <w:vMerge/>
            <w:tcBorders>
              <w:left w:val="single" w:sz="4" w:space="0" w:color="000000"/>
              <w:bottom w:val="nil" w:sz="6" w:space="0" w:color="auto"/>
              <w:right w:val="single" w:sz="4" w:space="0" w:color="000000"/>
            </w:tcBorders>
            <w:shd w:val="clear" w:color="auto" w:fill="D3D3D3"/>
          </w:tcPr>
          <w:p>
            <w:pPr/>
          </w:p>
        </w:tc>
        <w:tc>
          <w:tcPr>
            <w:tcW w:w="21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599"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049" w:type="dxa"/>
            <w:vMerge/>
            <w:tcBorders>
              <w:left w:val="single" w:sz="4" w:space="0" w:color="000000"/>
              <w:right w:val="single" w:sz="4" w:space="0" w:color="000000"/>
            </w:tcBorders>
            <w:shd w:val="clear" w:color="auto" w:fill="D3D3D3"/>
          </w:tcPr>
          <w:p>
            <w:pPr/>
          </w:p>
        </w:tc>
        <w:tc>
          <w:tcPr>
            <w:tcW w:w="2005" w:type="dxa"/>
            <w:vMerge/>
            <w:tcBorders>
              <w:left w:val="single" w:sz="4" w:space="0" w:color="000000"/>
              <w:bottom w:val="nil" w:sz="6" w:space="0" w:color="auto"/>
              <w:right w:val="single" w:sz="4" w:space="0" w:color="000000"/>
            </w:tcBorders>
            <w:shd w:val="clear" w:color="auto" w:fill="D3D3D3"/>
          </w:tcPr>
          <w:p>
            <w:pPr/>
          </w:p>
        </w:tc>
        <w:tc>
          <w:tcPr>
            <w:tcW w:w="651" w:type="dxa"/>
            <w:vMerge/>
            <w:tcBorders>
              <w:left w:val="single" w:sz="4" w:space="0" w:color="000000"/>
              <w:right w:val="single" w:sz="4" w:space="0" w:color="000000"/>
            </w:tcBorders>
            <w:shd w:val="clear" w:color="auto" w:fill="D3D3D3"/>
          </w:tcPr>
          <w:p>
            <w:pPr/>
          </w:p>
        </w:tc>
        <w:tc>
          <w:tcPr>
            <w:tcW w:w="1473" w:type="dxa"/>
            <w:vMerge w:val="restart"/>
            <w:tcBorders>
              <w:top w:val="nil" w:sz="6" w:space="0" w:color="auto"/>
              <w:left w:val="single" w:sz="4" w:space="0" w:color="000000"/>
              <w:right w:val="single" w:sz="4" w:space="0" w:color="000000"/>
            </w:tcBorders>
            <w:shd w:val="clear" w:color="auto" w:fill="D3D3D3"/>
          </w:tcPr>
          <w:p>
            <w:pPr/>
          </w:p>
        </w:tc>
        <w:tc>
          <w:tcPr>
            <w:tcW w:w="2126"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599" w:type="dxa"/>
            <w:vMerge w:val="restart"/>
            <w:tcBorders>
              <w:top w:val="nil" w:sz="6" w:space="0" w:color="auto"/>
              <w:left w:val="single" w:sz="4" w:space="0" w:color="000000"/>
              <w:right w:val="single" w:sz="4" w:space="0" w:color="000000"/>
            </w:tcBorders>
            <w:shd w:val="clear" w:color="auto" w:fill="D3D3D3"/>
          </w:tcPr>
          <w:p>
            <w:pPr/>
          </w:p>
        </w:tc>
      </w:tr>
      <w:tr>
        <w:trPr>
          <w:trHeight w:val="165" w:hRule="exact"/>
        </w:trPr>
        <w:tc>
          <w:tcPr>
            <w:tcW w:w="1049" w:type="dxa"/>
            <w:vMerge/>
            <w:tcBorders>
              <w:left w:val="single" w:sz="4" w:space="0" w:color="000000"/>
              <w:bottom w:val="single" w:sz="4" w:space="0" w:color="000000"/>
              <w:right w:val="single" w:sz="4" w:space="0" w:color="000000"/>
            </w:tcBorders>
            <w:shd w:val="clear" w:color="auto" w:fill="D3D3D3"/>
          </w:tcPr>
          <w:p>
            <w:pPr/>
          </w:p>
        </w:tc>
        <w:tc>
          <w:tcPr>
            <w:tcW w:w="2005"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 w:type="dxa"/>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599" w:type="dxa"/>
            <w:vMerge/>
            <w:tcBorders>
              <w:left w:val="single" w:sz="4" w:space="0" w:color="000000"/>
              <w:bottom w:val="single" w:sz="4" w:space="0" w:color="000000"/>
              <w:right w:val="single" w:sz="4" w:space="0" w:color="000000"/>
            </w:tcBorders>
            <w:shd w:val="clear" w:color="auto" w:fill="D3D3D3"/>
          </w:tcPr>
          <w:p>
            <w:pPr/>
          </w:p>
        </w:tc>
      </w:tr>
      <w:tr>
        <w:trPr>
          <w:trHeight w:val="391"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8" w:hRule="exact"/>
        </w:trPr>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12"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w:t>
            </w:r>
            <w:r>
              <w:rPr>
                <w:rFonts w:ascii="宋体" w:hAnsi="宋体" w:cs="宋体" w:eastAsia="宋体" w:hint="default"/>
                <w:w w:val="100"/>
                <w:sz w:val="18"/>
                <w:szCs w:val="18"/>
              </w:rPr>
              <w:t> </w:t>
            </w:r>
            <w:r>
              <w:rPr>
                <w:rFonts w:ascii="宋体" w:hAnsi="宋体" w:cs="宋体" w:eastAsia="宋体" w:hint="default"/>
                <w:sz w:val="18"/>
                <w:szCs w:val="18"/>
              </w:rPr>
              <w:t>计</w:t>
            </w:r>
          </w:p>
        </w:tc>
        <w:tc>
          <w:tcPr>
            <w:tcW w:w="20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79,302,028.96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99.02%</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3,965,101.45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23,293,974.88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94.39%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1,164,698.75</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191,146.55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0.24%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38,229.31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866,643.86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173,328.77</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217,641.93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0.27%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108,820.97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130,431.64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65,215.82</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00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375,825.61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0.47%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375,825.61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386,541.04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386,541.04</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80,086,643.05</w:t>
            </w:r>
          </w:p>
        </w:tc>
        <w:tc>
          <w:tcPr>
            <w:tcW w:w="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4,487,977.34</w:t>
            </w:r>
          </w:p>
        </w:tc>
        <w:tc>
          <w:tcPr>
            <w:tcW w:w="212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24,677,591.42</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1,789,784.38</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2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不适用</w:t>
      </w:r>
      <w:r>
        <w:rPr>
          <w:rFonts w:ascii="宋体" w:hAnsi="宋体" w:cs="宋体" w:eastAsia="宋体" w:hint="default"/>
          <w:w w:val="100"/>
          <w:sz w:val="18"/>
          <w:szCs w:val="18"/>
        </w:rPr>
        <w:t> </w:t>
      </w:r>
      <w:r>
        <w:rPr>
          <w:rFonts w:ascii="宋体" w:hAnsi="宋体" w:cs="宋体" w:eastAsia="宋体" w:hint="default"/>
          <w:spacing w:val="-1"/>
          <w:sz w:val="18"/>
          <w:szCs w:val="18"/>
        </w:rPr>
        <w:t>组合中，采用其他方法计提坏账准备的应收账款</w:t>
      </w:r>
    </w:p>
    <w:p>
      <w:pPr>
        <w:spacing w:line="340" w:lineRule="auto" w:before="43"/>
        <w:ind w:left="152" w:right="52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不适用</w:t>
      </w:r>
      <w:r>
        <w:rPr>
          <w:rFonts w:ascii="宋体" w:hAnsi="宋体" w:cs="宋体" w:eastAsia="宋体" w:hint="default"/>
          <w:w w:val="100"/>
          <w:sz w:val="18"/>
          <w:szCs w:val="18"/>
        </w:rPr>
        <w:t> </w:t>
      </w:r>
      <w:r>
        <w:rPr>
          <w:rFonts w:ascii="宋体" w:hAnsi="宋体" w:cs="宋体" w:eastAsia="宋体" w:hint="default"/>
          <w:spacing w:val="-1"/>
          <w:sz w:val="18"/>
          <w:szCs w:val="18"/>
        </w:rPr>
        <w:t>期末单项金额虽不重大但单项计提坏账准备的应收账款</w:t>
      </w:r>
    </w:p>
    <w:p>
      <w:pPr>
        <w:spacing w:before="39"/>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BodyText"/>
        <w:spacing w:line="240" w:lineRule="auto"/>
        <w:ind w:right="145"/>
        <w:jc w:val="left"/>
      </w:pPr>
      <w:r>
        <w:rPr/>
        <w:t>（</w:t>
      </w:r>
      <w:r>
        <w:rPr>
          <w:rFonts w:ascii="Times New Roman" w:hAnsi="Times New Roman" w:cs="Times New Roman" w:eastAsia="Times New Roman" w:hint="default"/>
          <w:b/>
          <w:bCs/>
        </w:rPr>
        <w:t>2</w:t>
      </w:r>
      <w:r>
        <w:rPr/>
        <w:t>）本报告期转回或收回的应收账款情况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13"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21"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w:t>
            </w:r>
            <w:r>
              <w:rPr>
                <w:rFonts w:ascii="宋体" w:hAnsi="宋体" w:cs="宋体" w:eastAsia="宋体" w:hint="default"/>
                <w:w w:val="100"/>
                <w:sz w:val="18"/>
                <w:szCs w:val="18"/>
              </w:rPr>
              <w:t> </w:t>
            </w: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20"/>
        <w:gridCol w:w="1934"/>
        <w:gridCol w:w="1934"/>
        <w:gridCol w:w="1932"/>
        <w:gridCol w:w="1834"/>
      </w:tblGrid>
      <w:tr>
        <w:trPr>
          <w:trHeight w:val="403" w:hRule="exact"/>
        </w:trPr>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after="0"/>
        <w:jc w:val="left"/>
        <w:rPr>
          <w:rFonts w:ascii="宋体" w:hAnsi="宋体" w:cs="宋体" w:eastAsia="宋体" w:hint="default"/>
          <w:sz w:val="18"/>
          <w:szCs w:val="18"/>
        </w:rPr>
        <w:sectPr>
          <w:type w:val="continuous"/>
          <w:pgSz w:w="11900" w:h="16840"/>
          <w:pgMar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）本报告期实际核销的应收账款情况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00"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w:t>
            </w:r>
            <w:r>
              <w:rPr>
                <w:rFonts w:ascii="宋体" w:hAnsi="宋体" w:cs="宋体" w:eastAsia="宋体" w:hint="default"/>
                <w:w w:val="100"/>
                <w:sz w:val="18"/>
                <w:szCs w:val="18"/>
              </w:rPr>
              <w:t> </w:t>
            </w:r>
            <w:r>
              <w:rPr>
                <w:rFonts w:ascii="宋体" w:hAnsi="宋体" w:cs="宋体" w:eastAsia="宋体" w:hint="default"/>
                <w:sz w:val="18"/>
                <w:szCs w:val="18"/>
              </w:rPr>
              <w:t>生</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4</w:t>
      </w:r>
      <w:r>
        <w:rPr/>
        <w:t>）本报告期应收账款中持有公司</w:t>
      </w:r>
      <w:r>
        <w:rPr>
          <w:spacing w:val="-46"/>
        </w:rPr>
        <w:t> </w:t>
      </w:r>
      <w:r>
        <w:rPr>
          <w:rFonts w:ascii="Times New Roman" w:hAnsi="Times New Roman" w:cs="Times New Roman" w:eastAsia="Times New Roman" w:hint="default"/>
          <w:b/>
          <w:bCs/>
        </w:rPr>
        <w:t>5</w:t>
      </w:r>
      <w:r>
        <w:rPr/>
        <w:t>％（含</w:t>
      </w:r>
      <w:r>
        <w:rPr>
          <w:spacing w:val="-46"/>
        </w:rPr>
        <w:t> </w:t>
      </w:r>
      <w:r>
        <w:rPr>
          <w:rFonts w:ascii="Times New Roman" w:hAnsi="Times New Roman" w:cs="Times New Roman" w:eastAsia="Times New Roman" w:hint="default"/>
          <w:b/>
          <w:bCs/>
        </w:rPr>
        <w:t>5</w:t>
      </w:r>
      <w:r>
        <w:rPr/>
        <w:t>％）以上表决权股份的股东单位情况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726"/>
        <w:gridCol w:w="1594"/>
        <w:gridCol w:w="1862"/>
        <w:gridCol w:w="1860"/>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）金额较大的其他的应收账款的性质或内容</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6</w:t>
      </w:r>
      <w:r>
        <w:rPr/>
        <w:t>）应收账款中金额前五名单位情况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pacing w:val="-1"/>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9"/>
              <w:jc w:val="right"/>
              <w:rPr>
                <w:rFonts w:ascii="宋体" w:hAnsi="宋体" w:cs="宋体" w:eastAsia="宋体" w:hint="default"/>
                <w:sz w:val="18"/>
                <w:szCs w:val="18"/>
              </w:rPr>
            </w:pPr>
            <w:r>
              <w:rPr>
                <w:rFonts w:ascii="宋体" w:hAnsi="宋体" w:cs="宋体" w:eastAsia="宋体" w:hint="default"/>
                <w:spacing w:val="-1"/>
                <w:sz w:val="18"/>
                <w:szCs w:val="18"/>
              </w:rPr>
              <w:t>雄县米南镀铝厂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18,080,508.52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浙江天裕包装新材料有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11,870,000.06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14.82%</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青州天琦超兰新材料有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上海中圆环保科技有限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7,496,694.60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64"/>
              <w:jc w:val="left"/>
              <w:rPr>
                <w:rFonts w:ascii="Times New Roman" w:hAnsi="Times New Roman" w:cs="Times New Roman" w:eastAsia="Times New Roman" w:hint="default"/>
                <w:sz w:val="18"/>
                <w:szCs w:val="18"/>
              </w:rPr>
            </w:pPr>
            <w:r>
              <w:rPr>
                <w:rFonts w:ascii="Times New Roman"/>
                <w:sz w:val="18"/>
              </w:rPr>
              <w:t>Plastic</w:t>
            </w:r>
            <w:r>
              <w:rPr>
                <w:rFonts w:ascii="Times New Roman"/>
                <w:spacing w:val="-4"/>
                <w:sz w:val="18"/>
              </w:rPr>
              <w:t> </w:t>
            </w:r>
            <w:r>
              <w:rPr>
                <w:rFonts w:ascii="Times New Roman"/>
                <w:sz w:val="18"/>
              </w:rPr>
              <w:t>Films</w:t>
            </w:r>
            <w:r>
              <w:rPr>
                <w:rFonts w:ascii="Times New Roman"/>
                <w:w w:val="100"/>
                <w:sz w:val="18"/>
              </w:rPr>
              <w:t> </w:t>
            </w:r>
            <w:r>
              <w:rPr>
                <w:rFonts w:ascii="Times New Roman"/>
                <w:sz w:val="18"/>
              </w:rPr>
              <w:t>Internacional</w:t>
            </w:r>
            <w:r>
              <w:rPr>
                <w:rFonts w:ascii="Times New Roman"/>
                <w:spacing w:val="-9"/>
                <w:sz w:val="18"/>
              </w:rPr>
              <w:t> </w:t>
            </w:r>
            <w:r>
              <w:rPr>
                <w:rFonts w:ascii="Times New Roman"/>
                <w:sz w:val="18"/>
              </w:rPr>
              <w:t>S.A.</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2,821,277.98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48,468,481.16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7</w:t>
      </w:r>
      <w:r>
        <w:rPr/>
        <w:t>）应收关联方账款情况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66"/>
        <w:gridCol w:w="2429"/>
        <w:gridCol w:w="2431"/>
        <w:gridCol w:w="2429"/>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spacing w:before="36"/>
        <w:ind w:left="152" w:right="1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sz w:val="21"/>
          <w:szCs w:val="21"/>
        </w:rPr>
        <w:t>）</w:t>
      </w:r>
    </w:p>
    <w:p>
      <w:pPr>
        <w:spacing w:line="240" w:lineRule="auto" w:before="4"/>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9</w:t>
      </w:r>
      <w:r>
        <w:rPr/>
        <w:t>）以应收款项为标的资产进行资产证券化的，需简要说明相关交易安排</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2</w:t>
      </w:r>
      <w:r>
        <w:rPr/>
        <w:t>、其他应收款</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）其他应收款</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70"/>
        <w:gridCol w:w="1454"/>
        <w:gridCol w:w="528"/>
        <w:gridCol w:w="1068"/>
        <w:gridCol w:w="780"/>
        <w:gridCol w:w="1322"/>
        <w:gridCol w:w="528"/>
        <w:gridCol w:w="1008"/>
        <w:gridCol w:w="809"/>
      </w:tblGrid>
      <w:tr>
        <w:trPr>
          <w:trHeight w:val="331"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9"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1"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24" w:right="0"/>
              <w:jc w:val="left"/>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27" w:right="0"/>
              <w:jc w:val="left"/>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3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9" w:hRule="exact"/>
        </w:trPr>
        <w:tc>
          <w:tcPr>
            <w:tcW w:w="966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3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）按款项性质的组合</w:t>
            </w:r>
          </w:p>
        </w:tc>
        <w:tc>
          <w:tcPr>
            <w:tcW w:w="145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）按款项账龄的组合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1,862,923.96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300,580.32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16.13%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1,109,111.01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236,108.83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21.29%</w:t>
            </w:r>
          </w:p>
        </w:tc>
      </w:tr>
      <w:tr>
        <w:trPr>
          <w:trHeight w:val="331"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1,862,923.96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300,580.32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16.13%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1,109,111.01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236,108.83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21.29%</w:t>
            </w:r>
          </w:p>
        </w:tc>
      </w:tr>
      <w:tr>
        <w:trPr>
          <w:trHeight w:val="329"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1,862,923.96</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300,580.32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2"/>
                <w:sz w:val="18"/>
              </w:rPr>
              <w:t>1,109,111.01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6" w:right="0"/>
              <w:jc w:val="left"/>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236,108.83</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62"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line="240" w:lineRule="auto" w:before="5"/>
        <w:rPr>
          <w:rFonts w:ascii="宋体" w:hAnsi="宋体" w:cs="宋体" w:eastAsia="宋体" w:hint="default"/>
          <w:sz w:val="16"/>
          <w:szCs w:val="16"/>
        </w:rPr>
      </w:pPr>
    </w:p>
    <w:p>
      <w:pPr>
        <w:pStyle w:val="BodyText"/>
        <w:spacing w:line="271" w:lineRule="auto"/>
        <w:ind w:right="143" w:firstLine="357"/>
        <w:jc w:val="both"/>
      </w:pPr>
      <w:r>
        <w:rPr>
          <w:spacing w:val="-2"/>
        </w:rPr>
        <w:t>单项金额重大并单项计提坏账准备的其他应收款确定依据为其他应收款余额前五名中单项计提坏账准</w:t>
      </w:r>
      <w:r>
        <w:rPr>
          <w:w w:val="100"/>
        </w:rPr>
        <w:t> </w:t>
      </w:r>
      <w:r>
        <w:rPr/>
        <w:t>备的其他应收款；</w:t>
      </w:r>
    </w:p>
    <w:p>
      <w:pPr>
        <w:pStyle w:val="BodyText"/>
        <w:spacing w:line="273" w:lineRule="auto" w:before="166"/>
        <w:ind w:right="141" w:firstLine="357"/>
        <w:jc w:val="both"/>
      </w:pPr>
      <w:r>
        <w:rPr>
          <w:spacing w:val="-2"/>
        </w:rPr>
        <w:t>按组合计提坏账准备的其他应收款确定依据为除单项金额重大并单项计提坏账准备和单项金额虽不重</w:t>
      </w:r>
      <w:r>
        <w:rPr>
          <w:w w:val="100"/>
        </w:rPr>
        <w:t> </w:t>
      </w:r>
      <w:r>
        <w:rPr>
          <w:spacing w:val="-3"/>
        </w:rPr>
        <w:t>大但单项计提坏账准备外的应收款项（含单项金额重大、单独进行减值测试未发生减值，包含在具有类似</w:t>
      </w:r>
      <w:r>
        <w:rPr>
          <w:spacing w:val="3"/>
        </w:rPr>
        <w:t> </w:t>
      </w:r>
      <w:r>
        <w:rPr>
          <w:spacing w:val="3"/>
        </w:rPr>
      </w:r>
      <w:r>
        <w:rPr/>
        <w:t>信用风险特征的应收款项组合中进行减值测试的其他应收款）；</w:t>
      </w:r>
    </w:p>
    <w:p>
      <w:pPr>
        <w:pStyle w:val="BodyText"/>
        <w:spacing w:line="273" w:lineRule="auto" w:before="163"/>
        <w:ind w:right="145" w:firstLine="420"/>
        <w:jc w:val="left"/>
      </w:pPr>
      <w:r>
        <w:rPr>
          <w:spacing w:val="-2"/>
        </w:rPr>
        <w:t>单项金额虽不重大但单项计提坏账准备的其他应收款确定依据为除单项金额重大并单项计提坏账准</w:t>
      </w:r>
      <w:r>
        <w:rPr>
          <w:w w:val="100"/>
        </w:rPr>
        <w:t> </w:t>
      </w:r>
      <w:r>
        <w:rPr/>
        <w:t>备外单项认定进行减值测试计提坏账准备的其他应收款；</w:t>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746" w:footer="982" w:top="1060" w:bottom="1180" w:left="980" w:right="980"/>
        </w:sect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期末单项金额重大并单项计提坏账准备的其他应收款</w:t>
      </w:r>
    </w:p>
    <w:p>
      <w:pPr>
        <w:spacing w:line="357" w:lineRule="auto"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组合中，采用账龄分析法计提坏账准备的其他应收款</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pict>
          <v:group style="position:absolute;margin-left:56.39904pt;margin-top:16.87183pt;width:478.95pt;height:178.1pt;mso-position-horizontal-relative:page;mso-position-vertical-relative:paragraph;z-index:-685816" coordorigin="1128,337" coordsize="9579,3562">
            <v:group style="position:absolute;left:2416;top:354;width:2;height:320" coordorigin="2416,354" coordsize="2,320">
              <v:shape style="position:absolute;left:2416;top:354;width:2;height:320" coordorigin="2416,354" coordsize="0,320" path="m2416,354l2416,673e" filled="false" stroked="true" strokeweight="1.079993pt" strokecolor="#d3d3d3">
                <v:path arrowok="t"/>
              </v:shape>
            </v:group>
            <v:group style="position:absolute;left:6433;top:354;width:2;height:320" coordorigin="6433,354" coordsize="2,320">
              <v:shape style="position:absolute;left:6433;top:354;width:2;height:320" coordorigin="6433,354" coordsize="0,320" path="m6433,354l6433,673e" filled="false" stroked="true" strokeweight="1.08pt" strokecolor="#d3d3d3">
                <v:path arrowok="t"/>
              </v:shape>
            </v:group>
            <v:group style="position:absolute;left:2426;top:352;width:3996;height:322" coordorigin="2426,352" coordsize="3996,322">
              <v:shape style="position:absolute;left:2426;top:352;width:3996;height:322" coordorigin="2426,352" coordsize="3996,322" path="m2426,673l6422,673,6422,352,2426,352,2426,673xe" filled="true" fillcolor="#d3d3d3" stroked="false">
                <v:path arrowok="t"/>
                <v:fill type="solid"/>
              </v:shape>
            </v:group>
            <v:group style="position:absolute;left:6466;top:354;width:2;height:320" coordorigin="6466,354" coordsize="2,320">
              <v:shape style="position:absolute;left:6466;top:354;width:2;height:320" coordorigin="6466,354" coordsize="0,320" path="m6466,354l6466,673e" filled="false" stroked="true" strokeweight="1.19998pt" strokecolor="#d3d3d3">
                <v:path arrowok="t"/>
              </v:shape>
            </v:group>
            <v:group style="position:absolute;left:10686;top:354;width:2;height:320" coordorigin="10686,354" coordsize="2,320">
              <v:shape style="position:absolute;left:10686;top:354;width:2;height:320" coordorigin="10686,354" coordsize="0,320" path="m10686,354l10686,673e" filled="false" stroked="true" strokeweight="1.08pt" strokecolor="#d3d3d3">
                <v:path arrowok="t"/>
              </v:shape>
            </v:group>
            <v:group style="position:absolute;left:6478;top:352;width:4198;height:322" coordorigin="6478,352" coordsize="4198,322">
              <v:shape style="position:absolute;left:6478;top:352;width:4198;height:322" coordorigin="6478,352" coordsize="4198,322" path="m6478,673l10675,673,10675,352,6478,352,6478,673xe" filled="true" fillcolor="#d3d3d3" stroked="false">
                <v:path arrowok="t"/>
                <v:fill type="solid"/>
              </v:shape>
            </v:group>
            <v:group style="position:absolute;left:1138;top:347;width:1258;height:2" coordorigin="1138,347" coordsize="1258,2">
              <v:shape style="position:absolute;left:1138;top:347;width:1258;height:2" coordorigin="1138,347" coordsize="1258,0" path="m1138,347l2395,347e" filled="false" stroked="true" strokeweight=".48pt" strokecolor="#000000">
                <v:path arrowok="t"/>
              </v:shape>
            </v:group>
            <v:group style="position:absolute;left:2405;top:347;width:4040;height:2" coordorigin="2405,347" coordsize="4040,2">
              <v:shape style="position:absolute;left:2405;top:347;width:4040;height:2" coordorigin="2405,347" coordsize="4040,0" path="m2405,347l6444,347e" filled="false" stroked="true" strokeweight=".48pt" strokecolor="#000000">
                <v:path arrowok="t"/>
              </v:shape>
            </v:group>
            <v:group style="position:absolute;left:6454;top:347;width:4244;height:2" coordorigin="6454,347" coordsize="4244,2">
              <v:shape style="position:absolute;left:6454;top:347;width:4244;height:2" coordorigin="6454,347" coordsize="4244,0" path="m6454,347l10697,347e" filled="false" stroked="true" strokeweight=".48pt" strokecolor="#000000">
                <v:path arrowok="t"/>
              </v:shape>
            </v:group>
            <v:group style="position:absolute;left:2416;top:683;width:2;height:320" coordorigin="2416,683" coordsize="2,320">
              <v:shape style="position:absolute;left:2416;top:683;width:2;height:320" coordorigin="2416,683" coordsize="0,320" path="m2416,683l2416,1002e" filled="false" stroked="true" strokeweight="1.079993pt" strokecolor="#d3d3d3">
                <v:path arrowok="t"/>
              </v:shape>
            </v:group>
            <v:group style="position:absolute;left:4840;top:683;width:2;height:320" coordorigin="4840,683" coordsize="2,320">
              <v:shape style="position:absolute;left:4840;top:683;width:2;height:320" coordorigin="4840,683" coordsize="0,320" path="m4840,683l4840,1002e" filled="false" stroked="true" strokeweight="1.08pt" strokecolor="#d3d3d3">
                <v:path arrowok="t"/>
              </v:shape>
            </v:group>
            <v:group style="position:absolute;left:2426;top:683;width:2403;height:320" coordorigin="2426,683" coordsize="2403,320">
              <v:shape style="position:absolute;left:2426;top:683;width:2403;height:320" coordorigin="2426,683" coordsize="2403,320" path="m2426,1002l4829,1002,4829,683,2426,683,2426,1002xe" filled="true" fillcolor="#d3d3d3" stroked="false">
                <v:path arrowok="t"/>
                <v:fill type="solid"/>
              </v:shape>
            </v:group>
            <v:group style="position:absolute;left:6466;top:683;width:2;height:320" coordorigin="6466,683" coordsize="2,320">
              <v:shape style="position:absolute;left:6466;top:683;width:2;height:320" coordorigin="6466,683" coordsize="0,320" path="m6466,683l6466,1002e" filled="false" stroked="true" strokeweight="1.19998pt" strokecolor="#d3d3d3">
                <v:path arrowok="t"/>
              </v:shape>
            </v:group>
            <v:group style="position:absolute;left:8960;top:683;width:2;height:320" coordorigin="8960,683" coordsize="2,320">
              <v:shape style="position:absolute;left:8960;top:683;width:2;height:320" coordorigin="8960,683" coordsize="0,320" path="m8960,683l8960,1002e" filled="false" stroked="true" strokeweight="1.08pt" strokecolor="#d3d3d3">
                <v:path arrowok="t"/>
              </v:shape>
            </v:group>
            <v:group style="position:absolute;left:6478;top:683;width:2472;height:320" coordorigin="6478,683" coordsize="2472,320">
              <v:shape style="position:absolute;left:6478;top:683;width:2472;height:320" coordorigin="6478,683" coordsize="2472,320" path="m6478,1002l8950,1002,8950,683,6478,683,6478,1002xe" filled="true" fillcolor="#d3d3d3" stroked="false">
                <v:path arrowok="t"/>
                <v:fill type="solid"/>
              </v:shape>
            </v:group>
            <v:group style="position:absolute;left:2405;top:678;width:2446;height:2" coordorigin="2405,678" coordsize="2446,2">
              <v:shape style="position:absolute;left:2405;top:678;width:2446;height:2" coordorigin="2405,678" coordsize="2446,0" path="m2405,678l4850,678e" filled="false" stroked="true" strokeweight=".48pt" strokecolor="#000000">
                <v:path arrowok="t"/>
              </v:shape>
            </v:group>
            <v:group style="position:absolute;left:4860;top:678;width:1584;height:2" coordorigin="4860,678" coordsize="1584,2">
              <v:shape style="position:absolute;left:4860;top:678;width:1584;height:2" coordorigin="4860,678" coordsize="1584,0" path="m4860,678l6444,678e" filled="false" stroked="true" strokeweight=".48pt" strokecolor="#000000">
                <v:path arrowok="t"/>
              </v:shape>
            </v:group>
            <v:group style="position:absolute;left:6454;top:678;width:2518;height:2" coordorigin="6454,678" coordsize="2518,2">
              <v:shape style="position:absolute;left:6454;top:678;width:2518;height:2" coordorigin="6454,678" coordsize="2518,0" path="m6454,678l8971,678e" filled="false" stroked="true" strokeweight=".48pt" strokecolor="#000000">
                <v:path arrowok="t"/>
              </v:shape>
            </v:group>
            <v:group style="position:absolute;left:8981;top:678;width:1716;height:2" coordorigin="8981,678" coordsize="1716,2">
              <v:shape style="position:absolute;left:8981;top:678;width:1716;height:2" coordorigin="8981,678" coordsize="1716,0" path="m8981,678l10697,678e" filled="false" stroked="true" strokeweight=".48pt" strokecolor="#000000">
                <v:path arrowok="t"/>
              </v:shape>
            </v:group>
            <v:group style="position:absolute;left:1138;top:1117;width:1258;height:456" coordorigin="1138,1117" coordsize="1258,456">
              <v:shape style="position:absolute;left:1138;top:1117;width:1258;height:456" coordorigin="1138,1117" coordsize="1258,456" path="m1138,1573l2395,1573,2395,1117,1138,1117,1138,1573xe" filled="true" fillcolor="#d3d3d3" stroked="false">
                <v:path arrowok="t"/>
                <v:fill type="solid"/>
              </v:shape>
            </v:group>
            <v:group style="position:absolute;left:1150;top:797;width:2;height:320" coordorigin="1150,797" coordsize="2,320">
              <v:shape style="position:absolute;left:1150;top:797;width:2;height:320" coordorigin="1150,797" coordsize="0,320" path="m1150,797l1150,1117e" filled="false" stroked="true" strokeweight="1.199996pt" strokecolor="#d3d3d3">
                <v:path arrowok="t"/>
              </v:shape>
            </v:group>
            <v:group style="position:absolute;left:1138;top:355;width:1258;height:442" coordorigin="1138,355" coordsize="1258,442">
              <v:shape style="position:absolute;left:1138;top:355;width:1258;height:442" coordorigin="1138,355" coordsize="1258,442" path="m1138,797l2395,797,2395,355,1138,355,1138,797xe" filled="true" fillcolor="#d3d3d3" stroked="false">
                <v:path arrowok="t"/>
                <v:fill type="solid"/>
              </v:shape>
            </v:group>
            <v:group style="position:absolute;left:2384;top:796;width:2;height:322" coordorigin="2384,796" coordsize="2,322">
              <v:shape style="position:absolute;left:2384;top:796;width:2;height:322" coordorigin="2384,796" coordsize="0,322" path="m2384,796l2384,1117e" filled="false" stroked="true" strokeweight="1.08pt" strokecolor="#d3d3d3">
                <v:path arrowok="t"/>
              </v:shape>
            </v:group>
            <v:group style="position:absolute;left:1162;top:796;width:1212;height:322" coordorigin="1162,796" coordsize="1212,322">
              <v:shape style="position:absolute;left:1162;top:796;width:1212;height:322" coordorigin="1162,796" coordsize="1212,322" path="m1162,1117l2374,1117,2374,796,1162,796,1162,1117xe" filled="true" fillcolor="#d3d3d3" stroked="false">
                <v:path arrowok="t"/>
                <v:fill type="solid"/>
              </v:shape>
            </v:group>
            <v:group style="position:absolute;left:2405;top:1453;width:1784;height:120" coordorigin="2405,1453" coordsize="1784,120">
              <v:shape style="position:absolute;left:2405;top:1453;width:1784;height:120" coordorigin="2405,1453" coordsize="1784,120" path="m2405,1573l4188,1573,4188,1453,2405,1453,2405,1573xe" filled="true" fillcolor="#d3d3d3" stroked="false">
                <v:path arrowok="t"/>
                <v:fill type="solid"/>
              </v:shape>
            </v:group>
            <v:group style="position:absolute;left:2416;top:1133;width:2;height:320" coordorigin="2416,1133" coordsize="2,320">
              <v:shape style="position:absolute;left:2416;top:1133;width:2;height:320" coordorigin="2416,1133" coordsize="0,320" path="m2416,1133l2416,1453e" filled="false" stroked="true" strokeweight="1.079993pt" strokecolor="#d3d3d3">
                <v:path arrowok="t"/>
              </v:shape>
            </v:group>
            <v:group style="position:absolute;left:2405;top:1015;width:1784;height:118" coordorigin="2405,1015" coordsize="1784,118">
              <v:shape style="position:absolute;left:2405;top:1015;width:1784;height:118" coordorigin="2405,1015" coordsize="1784,118" path="m2405,1133l4188,1133,4188,1015,2405,1015,2405,1133xe" filled="true" fillcolor="#d3d3d3" stroked="false">
                <v:path arrowok="t"/>
                <v:fill type="solid"/>
              </v:shape>
            </v:group>
            <v:group style="position:absolute;left:4176;top:1132;width:2;height:322" coordorigin="4176,1132" coordsize="2,322">
              <v:shape style="position:absolute;left:4176;top:1132;width:2;height:322" coordorigin="4176,1132" coordsize="0,322" path="m4176,1132l4176,1453e" filled="false" stroked="true" strokeweight="1.2pt" strokecolor="#d3d3d3">
                <v:path arrowok="t"/>
              </v:shape>
            </v:group>
            <v:group style="position:absolute;left:2426;top:1132;width:1738;height:322" coordorigin="2426,1132" coordsize="1738,322">
              <v:shape style="position:absolute;left:2426;top:1132;width:1738;height:322" coordorigin="2426,1132" coordsize="1738,322" path="m2426,1453l4164,1453,4164,1132,2426,1132,2426,1453xe" filled="true" fillcolor="#d3d3d3" stroked="false">
                <v:path arrowok="t"/>
                <v:fill type="solid"/>
              </v:shape>
            </v:group>
            <v:group style="position:absolute;left:4210;top:1014;width:2;height:560" coordorigin="4210,1014" coordsize="2,560">
              <v:shape style="position:absolute;left:4210;top:1014;width:2;height:560" coordorigin="4210,1014" coordsize="0,560" path="m4210,1014l4210,1573e" filled="false" stroked="true" strokeweight="1.199987pt" strokecolor="#d3d3d3">
                <v:path arrowok="t"/>
              </v:shape>
            </v:group>
            <v:group style="position:absolute;left:4840;top:1014;width:2;height:560" coordorigin="4840,1014" coordsize="2,560">
              <v:shape style="position:absolute;left:4840;top:1014;width:2;height:560" coordorigin="4840,1014" coordsize="0,560" path="m4840,1014l4840,1573e" filled="false" stroked="true" strokeweight="1.08pt" strokecolor="#d3d3d3">
                <v:path arrowok="t"/>
              </v:shape>
            </v:group>
            <v:group style="position:absolute;left:4222;top:1012;width:608;height:281" coordorigin="4222,1012" coordsize="608,281">
              <v:shape style="position:absolute;left:4222;top:1012;width:608;height:281" coordorigin="4222,1012" coordsize="608,281" path="m4222,1293l4829,1293,4829,1012,4222,1012,4222,1293xe" filled="true" fillcolor="#d3d3d3" stroked="false">
                <v:path arrowok="t"/>
                <v:fill type="solid"/>
              </v:shape>
            </v:group>
            <v:group style="position:absolute;left:4222;top:1293;width:608;height:281" coordorigin="4222,1293" coordsize="608,281">
              <v:shape style="position:absolute;left:4222;top:1293;width:608;height:281" coordorigin="4222,1293" coordsize="608,281" path="m4222,1573l4829,1573,4829,1293,4222,1293,4222,1573xe" filled="true" fillcolor="#d3d3d3" stroked="false">
                <v:path arrowok="t"/>
                <v:fill type="solid"/>
              </v:shape>
            </v:group>
            <v:group style="position:absolute;left:4860;top:1283;width:1584;height:290" coordorigin="4860,1283" coordsize="1584,290">
              <v:shape style="position:absolute;left:4860;top:1283;width:1584;height:290" coordorigin="4860,1283" coordsize="1584,290" path="m4860,1573l6444,1573,6444,1283,4860,1283,4860,1573xe" filled="true" fillcolor="#d3d3d3" stroked="false">
                <v:path arrowok="t"/>
                <v:fill type="solid"/>
              </v:shape>
            </v:group>
            <v:group style="position:absolute;left:4873;top:965;width:2;height:318" coordorigin="4873,965" coordsize="2,318">
              <v:shape style="position:absolute;left:4873;top:965;width:2;height:318" coordorigin="4873,965" coordsize="0,318" path="m4873,965l4873,1283e" filled="false" stroked="true" strokeweight="1.319985pt" strokecolor="#d3d3d3">
                <v:path arrowok="t"/>
              </v:shape>
            </v:group>
            <v:group style="position:absolute;left:4860;top:683;width:1584;height:282" coordorigin="4860,683" coordsize="1584,282">
              <v:shape style="position:absolute;left:4860;top:683;width:1584;height:282" coordorigin="4860,683" coordsize="1584,282" path="m4860,965l6444,965,6444,683,4860,683,4860,965xe" filled="true" fillcolor="#d3d3d3" stroked="false">
                <v:path arrowok="t"/>
                <v:fill type="solid"/>
              </v:shape>
            </v:group>
            <v:group style="position:absolute;left:6433;top:964;width:2;height:320" coordorigin="6433,964" coordsize="2,320">
              <v:shape style="position:absolute;left:6433;top:964;width:2;height:320" coordorigin="6433,964" coordsize="0,320" path="m6433,964l6433,1283e" filled="false" stroked="true" strokeweight="1.08pt" strokecolor="#d3d3d3">
                <v:path arrowok="t"/>
              </v:shape>
            </v:group>
            <v:group style="position:absolute;left:4886;top:964;width:1536;height:320" coordorigin="4886,964" coordsize="1536,320">
              <v:shape style="position:absolute;left:4886;top:964;width:1536;height:320" coordorigin="4886,964" coordsize="1536,320" path="m4886,1283l6422,1283,6422,964,4886,964,4886,1283xe" filled="true" fillcolor="#d3d3d3" stroked="false">
                <v:path arrowok="t"/>
                <v:fill type="solid"/>
              </v:shape>
            </v:group>
            <v:group style="position:absolute;left:6454;top:1453;width:1853;height:120" coordorigin="6454,1453" coordsize="1853,120">
              <v:shape style="position:absolute;left:6454;top:1453;width:1853;height:120" coordorigin="6454,1453" coordsize="1853,120" path="m6454,1573l8306,1573,8306,1453,6454,1453,6454,1573xe" filled="true" fillcolor="#d3d3d3" stroked="false">
                <v:path arrowok="t"/>
                <v:fill type="solid"/>
              </v:shape>
            </v:group>
            <v:group style="position:absolute;left:6466;top:1133;width:2;height:320" coordorigin="6466,1133" coordsize="2,320">
              <v:shape style="position:absolute;left:6466;top:1133;width:2;height:320" coordorigin="6466,1133" coordsize="0,320" path="m6466,1133l6466,1453e" filled="false" stroked="true" strokeweight="1.19998pt" strokecolor="#d3d3d3">
                <v:path arrowok="t"/>
              </v:shape>
            </v:group>
            <v:group style="position:absolute;left:6454;top:1015;width:1853;height:118" coordorigin="6454,1015" coordsize="1853,118">
              <v:shape style="position:absolute;left:6454;top:1015;width:1853;height:118" coordorigin="6454,1015" coordsize="1853,118" path="m6454,1133l8306,1133,8306,1015,6454,1015,6454,1133xe" filled="true" fillcolor="#d3d3d3" stroked="false">
                <v:path arrowok="t"/>
                <v:fill type="solid"/>
              </v:shape>
            </v:group>
            <v:group style="position:absolute;left:8296;top:1132;width:2;height:322" coordorigin="8296,1132" coordsize="2,322">
              <v:shape style="position:absolute;left:8296;top:1132;width:2;height:322" coordorigin="8296,1132" coordsize="0,322" path="m8296,1132l8296,1453e" filled="false" stroked="true" strokeweight="1.08pt" strokecolor="#d3d3d3">
                <v:path arrowok="t"/>
              </v:shape>
            </v:group>
            <v:group style="position:absolute;left:6478;top:1132;width:1808;height:322" coordorigin="6478,1132" coordsize="1808,322">
              <v:shape style="position:absolute;left:6478;top:1132;width:1808;height:322" coordorigin="6478,1132" coordsize="1808,322" path="m6478,1453l8285,1453,8285,1132,6478,1132,6478,1453xe" filled="true" fillcolor="#d3d3d3" stroked="false">
                <v:path arrowok="t"/>
                <v:fill type="solid"/>
              </v:shape>
            </v:group>
            <v:group style="position:absolute;left:8329;top:1014;width:2;height:560" coordorigin="8329,1014" coordsize="2,560">
              <v:shape style="position:absolute;left:8329;top:1014;width:2;height:560" coordorigin="8329,1014" coordsize="0,560" path="m8329,1014l8329,1573e" filled="false" stroked="true" strokeweight="1.319975pt" strokecolor="#d3d3d3">
                <v:path arrowok="t"/>
              </v:shape>
            </v:group>
            <v:group style="position:absolute;left:8960;top:1014;width:2;height:560" coordorigin="8960,1014" coordsize="2,560">
              <v:shape style="position:absolute;left:8960;top:1014;width:2;height:560" coordorigin="8960,1014" coordsize="0,560" path="m8960,1014l8960,1573e" filled="false" stroked="true" strokeweight="1.08pt" strokecolor="#d3d3d3">
                <v:path arrowok="t"/>
              </v:shape>
            </v:group>
            <v:group style="position:absolute;left:8342;top:1012;width:608;height:281" coordorigin="8342,1012" coordsize="608,281">
              <v:shape style="position:absolute;left:8342;top:1012;width:608;height:281" coordorigin="8342,1012" coordsize="608,281" path="m8342,1293l8950,1293,8950,1012,8342,1012,8342,1293xe" filled="true" fillcolor="#d3d3d3" stroked="false">
                <v:path arrowok="t"/>
                <v:fill type="solid"/>
              </v:shape>
            </v:group>
            <v:group style="position:absolute;left:8342;top:1293;width:608;height:281" coordorigin="8342,1293" coordsize="608,281">
              <v:shape style="position:absolute;left:8342;top:1293;width:608;height:281" coordorigin="8342,1293" coordsize="608,281" path="m8342,1573l8950,1573,8950,1293,8342,1293,8342,1573xe" filled="true" fillcolor="#d3d3d3" stroked="false">
                <v:path arrowok="t"/>
                <v:fill type="solid"/>
              </v:shape>
            </v:group>
            <v:group style="position:absolute;left:8981;top:1283;width:1716;height:290" coordorigin="8981,1283" coordsize="1716,290">
              <v:shape style="position:absolute;left:8981;top:1283;width:1716;height:290" coordorigin="8981,1283" coordsize="1716,290" path="m8981,1573l10697,1573,10697,1283,8981,1283,8981,1573xe" filled="true" fillcolor="#d3d3d3" stroked="false">
                <v:path arrowok="t"/>
                <v:fill type="solid"/>
              </v:shape>
            </v:group>
            <v:group style="position:absolute;left:8994;top:965;width:2;height:318" coordorigin="8994,965" coordsize="2,318">
              <v:shape style="position:absolute;left:8994;top:965;width:2;height:318" coordorigin="8994,965" coordsize="0,318" path="m8994,965l8994,1283e" filled="false" stroked="true" strokeweight="1.319973pt" strokecolor="#d3d3d3">
                <v:path arrowok="t"/>
              </v:shape>
            </v:group>
            <v:group style="position:absolute;left:8981;top:683;width:1716;height:282" coordorigin="8981,683" coordsize="1716,282">
              <v:shape style="position:absolute;left:8981;top:683;width:1716;height:282" coordorigin="8981,683" coordsize="1716,282" path="m8981,965l10697,965,10697,683,8981,683,8981,965xe" filled="true" fillcolor="#d3d3d3" stroked="false">
                <v:path arrowok="t"/>
                <v:fill type="solid"/>
              </v:shape>
            </v:group>
            <v:group style="position:absolute;left:10686;top:964;width:2;height:320" coordorigin="10686,964" coordsize="2,320">
              <v:shape style="position:absolute;left:10686;top:964;width:2;height:320" coordorigin="10686,964" coordsize="0,320" path="m10686,964l10686,1283e" filled="false" stroked="true" strokeweight="1.08pt" strokecolor="#d3d3d3">
                <v:path arrowok="t"/>
              </v:shape>
            </v:group>
            <v:group style="position:absolute;left:9007;top:964;width:1668;height:320" coordorigin="9007,964" coordsize="1668,320">
              <v:shape style="position:absolute;left:9007;top:964;width:1668;height:320" coordorigin="9007,964" coordsize="1668,320" path="m9007,1283l10675,1283,10675,964,9007,964,9007,1283xe" filled="true" fillcolor="#d3d3d3" stroked="false">
                <v:path arrowok="t"/>
                <v:fill type="solid"/>
              </v:shape>
            </v:group>
            <v:group style="position:absolute;left:2405;top:1007;width:1784;height:2" coordorigin="2405,1007" coordsize="1784,2">
              <v:shape style="position:absolute;left:2405;top:1007;width:1784;height:2" coordorigin="2405,1007" coordsize="1784,0" path="m2405,1007l4188,1007e" filled="false" stroked="true" strokeweight=".48pt" strokecolor="#000000">
                <v:path arrowok="t"/>
              </v:shape>
            </v:group>
            <v:group style="position:absolute;left:4198;top:1007;width:653;height:2" coordorigin="4198,1007" coordsize="653,2">
              <v:shape style="position:absolute;left:4198;top:1007;width:653;height:2" coordorigin="4198,1007" coordsize="653,0" path="m4198,1007l4850,1007e" filled="false" stroked="true" strokeweight=".48pt" strokecolor="#000000">
                <v:path arrowok="t"/>
              </v:shape>
            </v:group>
            <v:group style="position:absolute;left:6454;top:1007;width:1853;height:2" coordorigin="6454,1007" coordsize="1853,2">
              <v:shape style="position:absolute;left:6454;top:1007;width:1853;height:2" coordorigin="6454,1007" coordsize="1853,0" path="m6454,1007l8306,1007e" filled="false" stroked="true" strokeweight=".48pt" strokecolor="#000000">
                <v:path arrowok="t"/>
              </v:shape>
            </v:group>
            <v:group style="position:absolute;left:8316;top:1007;width:656;height:2" coordorigin="8316,1007" coordsize="656,2">
              <v:shape style="position:absolute;left:8316;top:1007;width:656;height:2" coordorigin="8316,1007" coordsize="656,0" path="m8316,1007l8971,1007e" filled="false" stroked="true" strokeweight=".48pt" strokecolor="#000000">
                <v:path arrowok="t"/>
              </v:shape>
            </v:group>
            <v:group style="position:absolute;left:2400;top:342;width:2;height:1241" coordorigin="2400,342" coordsize="2,1241">
              <v:shape style="position:absolute;left:2400;top:342;width:2;height:1241" coordorigin="2400,342" coordsize="0,1241" path="m2400,342l2400,1583e" filled="false" stroked="true" strokeweight=".48pt" strokecolor="#000000">
                <v:path arrowok="t"/>
              </v:shape>
            </v:group>
            <v:group style="position:absolute;left:4193;top:1002;width:2;height:581" coordorigin="4193,1002" coordsize="2,581">
              <v:shape style="position:absolute;left:4193;top:1002;width:2;height:581" coordorigin="4193,1002" coordsize="0,581" path="m4193,1002l4193,1583e" filled="false" stroked="true" strokeweight=".48pt" strokecolor="#000000">
                <v:path arrowok="t"/>
              </v:shape>
            </v:group>
            <v:group style="position:absolute;left:4855;top:673;width:2;height:910" coordorigin="4855,673" coordsize="2,910">
              <v:shape style="position:absolute;left:4855;top:673;width:2;height:910" coordorigin="4855,673" coordsize="0,910" path="m4855,673l4855,1583e" filled="false" stroked="true" strokeweight=".48pt" strokecolor="#000000">
                <v:path arrowok="t"/>
              </v:shape>
            </v:group>
            <v:group style="position:absolute;left:6449;top:342;width:2;height:1241" coordorigin="6449,342" coordsize="2,1241">
              <v:shape style="position:absolute;left:6449;top:342;width:2;height:1241" coordorigin="6449,342" coordsize="0,1241" path="m6449,342l6449,1583e" filled="false" stroked="true" strokeweight=".48pt" strokecolor="#000000">
                <v:path arrowok="t"/>
              </v:shape>
            </v:group>
            <v:group style="position:absolute;left:8311;top:1002;width:2;height:581" coordorigin="8311,1002" coordsize="2,581">
              <v:shape style="position:absolute;left:8311;top:1002;width:2;height:581" coordorigin="8311,1002" coordsize="0,581" path="m8311,1002l8311,1583e" filled="false" stroked="true" strokeweight=".48pt" strokecolor="#000000">
                <v:path arrowok="t"/>
              </v:shape>
            </v:group>
            <v:group style="position:absolute;left:8976;top:673;width:2;height:910" coordorigin="8976,673" coordsize="2,910">
              <v:shape style="position:absolute;left:8976;top:673;width:2;height:910" coordorigin="8976,673" coordsize="0,910" path="m8976,673l8976,1583e" filled="false" stroked="true" strokeweight=".48pt" strokecolor="#000000">
                <v:path arrowok="t"/>
              </v:shape>
            </v:group>
            <v:group style="position:absolute;left:1150;top:1583;width:2;height:320" coordorigin="1150,1583" coordsize="2,320">
              <v:shape style="position:absolute;left:1150;top:1583;width:2;height:320" coordorigin="1150,1583" coordsize="0,320" path="m1150,1583l1150,1902e" filled="false" stroked="true" strokeweight="1.199996pt" strokecolor="#d3d3d3">
                <v:path arrowok="t"/>
              </v:shape>
            </v:group>
            <v:group style="position:absolute;left:10686;top:1583;width:2;height:320" coordorigin="10686,1583" coordsize="2,320">
              <v:shape style="position:absolute;left:10686;top:1583;width:2;height:320" coordorigin="10686,1583" coordsize="0,320" path="m10686,1583l10686,1902e" filled="false" stroked="true" strokeweight="1.08pt" strokecolor="#d3d3d3">
                <v:path arrowok="t"/>
              </v:shape>
            </v:group>
            <v:group style="position:absolute;left:1162;top:1583;width:9514;height:320" coordorigin="1162,1583" coordsize="9514,320">
              <v:shape style="position:absolute;left:1162;top:1583;width:9514;height:320" coordorigin="1162,1583" coordsize="9514,320" path="m1162,1902l10675,1902,10675,1583,1162,1583,1162,1902xe" filled="true" fillcolor="#d3d3d3" stroked="false">
                <v:path arrowok="t"/>
                <v:fill type="solid"/>
              </v:shape>
            </v:group>
            <v:group style="position:absolute;left:1138;top:1578;width:1258;height:2" coordorigin="1138,1578" coordsize="1258,2">
              <v:shape style="position:absolute;left:1138;top:1578;width:1258;height:2" coordorigin="1138,1578" coordsize="1258,0" path="m1138,1578l2395,1578e" filled="false" stroked="true" strokeweight=".48pt" strokecolor="#000000">
                <v:path arrowok="t"/>
              </v:shape>
            </v:group>
            <v:group style="position:absolute;left:2405;top:1578;width:1784;height:2" coordorigin="2405,1578" coordsize="1784,2">
              <v:shape style="position:absolute;left:2405;top:1578;width:1784;height:2" coordorigin="2405,1578" coordsize="1784,0" path="m2405,1578l4188,1578e" filled="false" stroked="true" strokeweight=".48pt" strokecolor="#000000">
                <v:path arrowok="t"/>
              </v:shape>
            </v:group>
            <v:group style="position:absolute;left:4198;top:1578;width:653;height:2" coordorigin="4198,1578" coordsize="653,2">
              <v:shape style="position:absolute;left:4198;top:1578;width:653;height:2" coordorigin="4198,1578" coordsize="653,0" path="m4198,1578l4850,1578e" filled="false" stroked="true" strokeweight=".48pt" strokecolor="#000000">
                <v:path arrowok="t"/>
              </v:shape>
            </v:group>
            <v:group style="position:absolute;left:4860;top:1578;width:1584;height:2" coordorigin="4860,1578" coordsize="1584,2">
              <v:shape style="position:absolute;left:4860;top:1578;width:1584;height:2" coordorigin="4860,1578" coordsize="1584,0" path="m4860,1578l6444,1578e" filled="false" stroked="true" strokeweight=".48pt" strokecolor="#000000">
                <v:path arrowok="t"/>
              </v:shape>
            </v:group>
            <v:group style="position:absolute;left:6454;top:1578;width:1853;height:2" coordorigin="6454,1578" coordsize="1853,2">
              <v:shape style="position:absolute;left:6454;top:1578;width:1853;height:2" coordorigin="6454,1578" coordsize="1853,0" path="m6454,1578l8306,1578e" filled="false" stroked="true" strokeweight=".48pt" strokecolor="#000000">
                <v:path arrowok="t"/>
              </v:shape>
            </v:group>
            <v:group style="position:absolute;left:8316;top:1578;width:656;height:2" coordorigin="8316,1578" coordsize="656,2">
              <v:shape style="position:absolute;left:8316;top:1578;width:656;height:2" coordorigin="8316,1578" coordsize="656,0" path="m8316,1578l8971,1578e" filled="false" stroked="true" strokeweight=".48pt" strokecolor="#000000">
                <v:path arrowok="t"/>
              </v:shape>
            </v:group>
            <v:group style="position:absolute;left:8981;top:1578;width:1716;height:2" coordorigin="8981,1578" coordsize="1716,2">
              <v:shape style="position:absolute;left:8981;top:1578;width:1716;height:2" coordorigin="8981,1578" coordsize="1716,0" path="m8981,1578l10697,1578e" filled="false" stroked="true" strokeweight=".48pt" strokecolor="#000000">
                <v:path arrowok="t"/>
              </v:shape>
            </v:group>
            <v:group style="position:absolute;left:1150;top:1914;width:2;height:320" coordorigin="1150,1914" coordsize="2,320">
              <v:shape style="position:absolute;left:1150;top:1914;width:2;height:320" coordorigin="1150,1914" coordsize="0,320" path="m1150,1914l1150,2233e" filled="false" stroked="true" strokeweight="1.199996pt" strokecolor="#d3d3d3">
                <v:path arrowok="t"/>
              </v:shape>
            </v:group>
            <v:group style="position:absolute;left:2384;top:1914;width:2;height:320" coordorigin="2384,1914" coordsize="2,320">
              <v:shape style="position:absolute;left:2384;top:1914;width:2;height:320" coordorigin="2384,1914" coordsize="0,320" path="m2384,1914l2384,2233e" filled="false" stroked="true" strokeweight="1.08pt" strokecolor="#d3d3d3">
                <v:path arrowok="t"/>
              </v:shape>
            </v:group>
            <v:group style="position:absolute;left:1162;top:1912;width:1212;height:322" coordorigin="1162,1912" coordsize="1212,322">
              <v:shape style="position:absolute;left:1162;top:1912;width:1212;height:322" coordorigin="1162,1912" coordsize="1212,322" path="m1162,2233l2374,2233,2374,1912,1162,1912,1162,2233xe" filled="true" fillcolor="#d3d3d3" stroked="false">
                <v:path arrowok="t"/>
                <v:fill type="solid"/>
              </v:shape>
            </v:group>
            <v:group style="position:absolute;left:2416;top:1914;width:2;height:320" coordorigin="2416,1914" coordsize="2,320">
              <v:shape style="position:absolute;left:2416;top:1914;width:2;height:320" coordorigin="2416,1914" coordsize="0,320" path="m2416,1914l2416,2233e" filled="false" stroked="true" strokeweight="1.079993pt" strokecolor="#d3d3d3">
                <v:path arrowok="t"/>
              </v:shape>
            </v:group>
            <v:group style="position:absolute;left:4176;top:1914;width:2;height:320" coordorigin="4176,1914" coordsize="2,320">
              <v:shape style="position:absolute;left:4176;top:1914;width:2;height:320" coordorigin="4176,1914" coordsize="0,320" path="m4176,1914l4176,2233e" filled="false" stroked="true" strokeweight="1.2pt" strokecolor="#d3d3d3">
                <v:path arrowok="t"/>
              </v:shape>
            </v:group>
            <v:group style="position:absolute;left:2426;top:1912;width:1738;height:322" coordorigin="2426,1912" coordsize="1738,322">
              <v:shape style="position:absolute;left:2426;top:1912;width:1738;height:322" coordorigin="2426,1912" coordsize="1738,322" path="m2426,2233l4164,2233,4164,1912,2426,1912,2426,2233xe" filled="true" fillcolor="#d3d3d3" stroked="false">
                <v:path arrowok="t"/>
                <v:fill type="solid"/>
              </v:shape>
            </v:group>
            <v:group style="position:absolute;left:4210;top:1914;width:2;height:320" coordorigin="4210,1914" coordsize="2,320">
              <v:shape style="position:absolute;left:4210;top:1914;width:2;height:320" coordorigin="4210,1914" coordsize="0,320" path="m4210,1914l4210,2233e" filled="false" stroked="true" strokeweight="1.199987pt" strokecolor="#d3d3d3">
                <v:path arrowok="t"/>
              </v:shape>
            </v:group>
            <v:group style="position:absolute;left:4840;top:1914;width:2;height:320" coordorigin="4840,1914" coordsize="2,320">
              <v:shape style="position:absolute;left:4840;top:1914;width:2;height:320" coordorigin="4840,1914" coordsize="0,320" path="m4840,1914l4840,2233e" filled="false" stroked="true" strokeweight="1.08pt" strokecolor="#d3d3d3">
                <v:path arrowok="t"/>
              </v:shape>
            </v:group>
            <v:group style="position:absolute;left:4222;top:1912;width:608;height:322" coordorigin="4222,1912" coordsize="608,322">
              <v:shape style="position:absolute;left:4222;top:1912;width:608;height:322" coordorigin="4222,1912" coordsize="608,322" path="m4222,2233l4829,2233,4829,1912,4222,1912,4222,2233xe" filled="true" fillcolor="#d3d3d3" stroked="false">
                <v:path arrowok="t"/>
                <v:fill type="solid"/>
              </v:shape>
            </v:group>
            <v:group style="position:absolute;left:4873;top:1914;width:2;height:320" coordorigin="4873,1914" coordsize="2,320">
              <v:shape style="position:absolute;left:4873;top:1914;width:2;height:320" coordorigin="4873,1914" coordsize="0,320" path="m4873,1914l4873,2233e" filled="false" stroked="true" strokeweight="1.319985pt" strokecolor="#d3d3d3">
                <v:path arrowok="t"/>
              </v:shape>
            </v:group>
            <v:group style="position:absolute;left:6433;top:1914;width:2;height:320" coordorigin="6433,1914" coordsize="2,320">
              <v:shape style="position:absolute;left:6433;top:1914;width:2;height:320" coordorigin="6433,1914" coordsize="0,320" path="m6433,1914l6433,2233e" filled="false" stroked="true" strokeweight="1.08pt" strokecolor="#d3d3d3">
                <v:path arrowok="t"/>
              </v:shape>
            </v:group>
            <v:group style="position:absolute;left:4886;top:1912;width:1536;height:322" coordorigin="4886,1912" coordsize="1536,322">
              <v:shape style="position:absolute;left:4886;top:1912;width:1536;height:322" coordorigin="4886,1912" coordsize="1536,322" path="m4886,2233l6422,2233,6422,1912,4886,1912,4886,2233xe" filled="true" fillcolor="#d3d3d3" stroked="false">
                <v:path arrowok="t"/>
                <v:fill type="solid"/>
              </v:shape>
            </v:group>
            <v:group style="position:absolute;left:6466;top:1914;width:2;height:320" coordorigin="6466,1914" coordsize="2,320">
              <v:shape style="position:absolute;left:6466;top:1914;width:2;height:320" coordorigin="6466,1914" coordsize="0,320" path="m6466,1914l6466,2233e" filled="false" stroked="true" strokeweight="1.19998pt" strokecolor="#d3d3d3">
                <v:path arrowok="t"/>
              </v:shape>
            </v:group>
            <v:group style="position:absolute;left:8296;top:1914;width:2;height:320" coordorigin="8296,1914" coordsize="2,320">
              <v:shape style="position:absolute;left:8296;top:1914;width:2;height:320" coordorigin="8296,1914" coordsize="0,320" path="m8296,1914l8296,2233e" filled="false" stroked="true" strokeweight="1.08pt" strokecolor="#d3d3d3">
                <v:path arrowok="t"/>
              </v:shape>
            </v:group>
            <v:group style="position:absolute;left:6478;top:1912;width:1808;height:322" coordorigin="6478,1912" coordsize="1808,322">
              <v:shape style="position:absolute;left:6478;top:1912;width:1808;height:322" coordorigin="6478,1912" coordsize="1808,322" path="m6478,2233l8285,2233,8285,1912,6478,1912,6478,2233xe" filled="true" fillcolor="#d3d3d3" stroked="false">
                <v:path arrowok="t"/>
                <v:fill type="solid"/>
              </v:shape>
            </v:group>
            <v:group style="position:absolute;left:8329;top:1914;width:2;height:320" coordorigin="8329,1914" coordsize="2,320">
              <v:shape style="position:absolute;left:8329;top:1914;width:2;height:320" coordorigin="8329,1914" coordsize="0,320" path="m8329,1914l8329,2233e" filled="false" stroked="true" strokeweight="1.319975pt" strokecolor="#d3d3d3">
                <v:path arrowok="t"/>
              </v:shape>
            </v:group>
            <v:group style="position:absolute;left:8960;top:1914;width:2;height:320" coordorigin="8960,1914" coordsize="2,320">
              <v:shape style="position:absolute;left:8960;top:1914;width:2;height:320" coordorigin="8960,1914" coordsize="0,320" path="m8960,1914l8960,2233e" filled="false" stroked="true" strokeweight="1.08pt" strokecolor="#d3d3d3">
                <v:path arrowok="t"/>
              </v:shape>
            </v:group>
            <v:group style="position:absolute;left:8342;top:1912;width:608;height:322" coordorigin="8342,1912" coordsize="608,322">
              <v:shape style="position:absolute;left:8342;top:1912;width:608;height:322" coordorigin="8342,1912" coordsize="608,322" path="m8342,2233l8950,2233,8950,1912,8342,1912,8342,2233xe" filled="true" fillcolor="#d3d3d3" stroked="false">
                <v:path arrowok="t"/>
                <v:fill type="solid"/>
              </v:shape>
            </v:group>
            <v:group style="position:absolute;left:8994;top:1914;width:2;height:320" coordorigin="8994,1914" coordsize="2,320">
              <v:shape style="position:absolute;left:8994;top:1914;width:2;height:320" coordorigin="8994,1914" coordsize="0,320" path="m8994,1914l8994,2233e" filled="false" stroked="true" strokeweight="1.319973pt" strokecolor="#d3d3d3">
                <v:path arrowok="t"/>
              </v:shape>
            </v:group>
            <v:group style="position:absolute;left:10686;top:1914;width:2;height:320" coordorigin="10686,1914" coordsize="2,320">
              <v:shape style="position:absolute;left:10686;top:1914;width:2;height:320" coordorigin="10686,1914" coordsize="0,320" path="m10686,1914l10686,2233e" filled="false" stroked="true" strokeweight="1.08pt" strokecolor="#d3d3d3">
                <v:path arrowok="t"/>
              </v:shape>
            </v:group>
            <v:group style="position:absolute;left:9007;top:1912;width:1668;height:322" coordorigin="9007,1912" coordsize="1668,322">
              <v:shape style="position:absolute;left:9007;top:1912;width:1668;height:322" coordorigin="9007,1912" coordsize="1668,322" path="m9007,2233l10675,2233,10675,1912,9007,1912,9007,2233xe" filled="true" fillcolor="#d3d3d3" stroked="false">
                <v:path arrowok="t"/>
                <v:fill type="solid"/>
              </v:shape>
            </v:group>
            <v:group style="position:absolute;left:1138;top:1907;width:1258;height:2" coordorigin="1138,1907" coordsize="1258,2">
              <v:shape style="position:absolute;left:1138;top:1907;width:1258;height:2" coordorigin="1138,1907" coordsize="1258,0" path="m1138,1907l2395,1907e" filled="false" stroked="true" strokeweight=".48pt" strokecolor="#000000">
                <v:path arrowok="t"/>
              </v:shape>
            </v:group>
            <v:group style="position:absolute;left:2405;top:1907;width:1784;height:2" coordorigin="2405,1907" coordsize="1784,2">
              <v:shape style="position:absolute;left:2405;top:1907;width:1784;height:2" coordorigin="2405,1907" coordsize="1784,0" path="m2405,1907l4188,1907e" filled="false" stroked="true" strokeweight=".48pt" strokecolor="#000000">
                <v:path arrowok="t"/>
              </v:shape>
            </v:group>
            <v:group style="position:absolute;left:4198;top:1907;width:653;height:2" coordorigin="4198,1907" coordsize="653,2">
              <v:shape style="position:absolute;left:4198;top:1907;width:653;height:2" coordorigin="4198,1907" coordsize="653,0" path="m4198,1907l4850,1907e" filled="false" stroked="true" strokeweight=".48pt" strokecolor="#000000">
                <v:path arrowok="t"/>
              </v:shape>
            </v:group>
            <v:group style="position:absolute;left:4860;top:1907;width:1584;height:2" coordorigin="4860,1907" coordsize="1584,2">
              <v:shape style="position:absolute;left:4860;top:1907;width:1584;height:2" coordorigin="4860,1907" coordsize="1584,0" path="m4860,1907l6444,1907e" filled="false" stroked="true" strokeweight=".48pt" strokecolor="#000000">
                <v:path arrowok="t"/>
              </v:shape>
            </v:group>
            <v:group style="position:absolute;left:6454;top:1907;width:1853;height:2" coordorigin="6454,1907" coordsize="1853,2">
              <v:shape style="position:absolute;left:6454;top:1907;width:1853;height:2" coordorigin="6454,1907" coordsize="1853,0" path="m6454,1907l8306,1907e" filled="false" stroked="true" strokeweight=".48pt" strokecolor="#000000">
                <v:path arrowok="t"/>
              </v:shape>
            </v:group>
            <v:group style="position:absolute;left:8316;top:1907;width:656;height:2" coordorigin="8316,1907" coordsize="656,2">
              <v:shape style="position:absolute;left:8316;top:1907;width:656;height:2" coordorigin="8316,1907" coordsize="656,0" path="m8316,1907l8971,1907e" filled="false" stroked="true" strokeweight=".48pt" strokecolor="#000000">
                <v:path arrowok="t"/>
              </v:shape>
            </v:group>
            <v:group style="position:absolute;left:8981;top:1907;width:1716;height:2" coordorigin="8981,1907" coordsize="1716,2">
              <v:shape style="position:absolute;left:8981;top:1907;width:1716;height:2" coordorigin="8981,1907" coordsize="1716,0" path="m8981,1907l10697,1907e" filled="false" stroked="true" strokeweight=".48pt" strokecolor="#000000">
                <v:path arrowok="t"/>
              </v:shape>
            </v:group>
            <v:group style="position:absolute;left:1150;top:2243;width:2;height:320" coordorigin="1150,2243" coordsize="2,320">
              <v:shape style="position:absolute;left:1150;top:2243;width:2;height:320" coordorigin="1150,2243" coordsize="0,320" path="m1150,2243l1150,2562e" filled="false" stroked="true" strokeweight="1.199996pt" strokecolor="#d3d3d3">
                <v:path arrowok="t"/>
              </v:shape>
            </v:group>
            <v:group style="position:absolute;left:2384;top:2243;width:2;height:320" coordorigin="2384,2243" coordsize="2,320">
              <v:shape style="position:absolute;left:2384;top:2243;width:2;height:320" coordorigin="2384,2243" coordsize="0,320" path="m2384,2243l2384,2562e" filled="false" stroked="true" strokeweight="1.08pt" strokecolor="#d3d3d3">
                <v:path arrowok="t"/>
              </v:shape>
            </v:group>
            <v:group style="position:absolute;left:1162;top:2243;width:1212;height:320" coordorigin="1162,2243" coordsize="1212,320">
              <v:shape style="position:absolute;left:1162;top:2243;width:1212;height:320" coordorigin="1162,2243" coordsize="1212,320" path="m1162,2562l2374,2562,2374,2243,1162,2243,1162,2562xe" filled="true" fillcolor="#d3d3d3" stroked="false">
                <v:path arrowok="t"/>
                <v:fill type="solid"/>
              </v:shape>
            </v:group>
            <v:group style="position:absolute;left:1138;top:2238;width:1258;height:2" coordorigin="1138,2238" coordsize="1258,2">
              <v:shape style="position:absolute;left:1138;top:2238;width:1258;height:2" coordorigin="1138,2238" coordsize="1258,0" path="m1138,2238l2395,2238e" filled="false" stroked="true" strokeweight=".48pt" strokecolor="#000000">
                <v:path arrowok="t"/>
              </v:shape>
            </v:group>
            <v:group style="position:absolute;left:2405;top:2238;width:1784;height:2" coordorigin="2405,2238" coordsize="1784,2">
              <v:shape style="position:absolute;left:2405;top:2238;width:1784;height:2" coordorigin="2405,2238" coordsize="1784,0" path="m2405,2238l4188,2238e" filled="false" stroked="true" strokeweight=".48pt" strokecolor="#000000">
                <v:path arrowok="t"/>
              </v:shape>
            </v:group>
            <v:group style="position:absolute;left:4198;top:2238;width:653;height:2" coordorigin="4198,2238" coordsize="653,2">
              <v:shape style="position:absolute;left:4198;top:2238;width:653;height:2" coordorigin="4198,2238" coordsize="653,0" path="m4198,2238l4850,2238e" filled="false" stroked="true" strokeweight=".48pt" strokecolor="#000000">
                <v:path arrowok="t"/>
              </v:shape>
            </v:group>
            <v:group style="position:absolute;left:4860;top:2238;width:1584;height:2" coordorigin="4860,2238" coordsize="1584,2">
              <v:shape style="position:absolute;left:4860;top:2238;width:1584;height:2" coordorigin="4860,2238" coordsize="1584,0" path="m4860,2238l6444,2238e" filled="false" stroked="true" strokeweight=".48pt" strokecolor="#000000">
                <v:path arrowok="t"/>
              </v:shape>
            </v:group>
            <v:group style="position:absolute;left:6454;top:2238;width:1853;height:2" coordorigin="6454,2238" coordsize="1853,2">
              <v:shape style="position:absolute;left:6454;top:2238;width:1853;height:2" coordorigin="6454,2238" coordsize="1853,0" path="m6454,2238l8306,2238e" filled="false" stroked="true" strokeweight=".48pt" strokecolor="#000000">
                <v:path arrowok="t"/>
              </v:shape>
            </v:group>
            <v:group style="position:absolute;left:8316;top:2238;width:656;height:2" coordorigin="8316,2238" coordsize="656,2">
              <v:shape style="position:absolute;left:8316;top:2238;width:656;height:2" coordorigin="8316,2238" coordsize="656,0" path="m8316,2238l8971,2238e" filled="false" stroked="true" strokeweight=".48pt" strokecolor="#000000">
                <v:path arrowok="t"/>
              </v:shape>
            </v:group>
            <v:group style="position:absolute;left:8981;top:2238;width:1716;height:2" coordorigin="8981,2238" coordsize="1716,2">
              <v:shape style="position:absolute;left:8981;top:2238;width:1716;height:2" coordorigin="8981,2238" coordsize="1716,0" path="m8981,2238l10697,2238e" filled="false" stroked="true" strokeweight=".48pt" strokecolor="#000000">
                <v:path arrowok="t"/>
              </v:shape>
            </v:group>
            <v:group style="position:absolute;left:1150;top:2574;width:2;height:320" coordorigin="1150,2574" coordsize="2,320">
              <v:shape style="position:absolute;left:1150;top:2574;width:2;height:320" coordorigin="1150,2574" coordsize="0,320" path="m1150,2574l1150,2893e" filled="false" stroked="true" strokeweight="1.199996pt" strokecolor="#d3d3d3">
                <v:path arrowok="t"/>
              </v:shape>
            </v:group>
            <v:group style="position:absolute;left:2384;top:2574;width:2;height:320" coordorigin="2384,2574" coordsize="2,320">
              <v:shape style="position:absolute;left:2384;top:2574;width:2;height:320" coordorigin="2384,2574" coordsize="0,320" path="m2384,2574l2384,2893e" filled="false" stroked="true" strokeweight="1.08pt" strokecolor="#d3d3d3">
                <v:path arrowok="t"/>
              </v:shape>
            </v:group>
            <v:group style="position:absolute;left:1162;top:2572;width:1212;height:322" coordorigin="1162,2572" coordsize="1212,322">
              <v:shape style="position:absolute;left:1162;top:2572;width:1212;height:322" coordorigin="1162,2572" coordsize="1212,322" path="m1162,2893l2374,2893,2374,2572,1162,2572,1162,2893xe" filled="true" fillcolor="#d3d3d3" stroked="false">
                <v:path arrowok="t"/>
                <v:fill type="solid"/>
              </v:shape>
            </v:group>
            <v:group style="position:absolute;left:1138;top:2567;width:1258;height:2" coordorigin="1138,2567" coordsize="1258,2">
              <v:shape style="position:absolute;left:1138;top:2567;width:1258;height:2" coordorigin="1138,2567" coordsize="1258,0" path="m1138,2567l2395,2567e" filled="false" stroked="true" strokeweight=".48pt" strokecolor="#000000">
                <v:path arrowok="t"/>
              </v:shape>
            </v:group>
            <v:group style="position:absolute;left:2405;top:2567;width:1784;height:2" coordorigin="2405,2567" coordsize="1784,2">
              <v:shape style="position:absolute;left:2405;top:2567;width:1784;height:2" coordorigin="2405,2567" coordsize="1784,0" path="m2405,2567l4188,2567e" filled="false" stroked="true" strokeweight=".48pt" strokecolor="#000000">
                <v:path arrowok="t"/>
              </v:shape>
            </v:group>
            <v:group style="position:absolute;left:4198;top:2567;width:653;height:2" coordorigin="4198,2567" coordsize="653,2">
              <v:shape style="position:absolute;left:4198;top:2567;width:653;height:2" coordorigin="4198,2567" coordsize="653,0" path="m4198,2567l4850,2567e" filled="false" stroked="true" strokeweight=".48pt" strokecolor="#000000">
                <v:path arrowok="t"/>
              </v:shape>
            </v:group>
            <v:group style="position:absolute;left:4860;top:2567;width:1584;height:2" coordorigin="4860,2567" coordsize="1584,2">
              <v:shape style="position:absolute;left:4860;top:2567;width:1584;height:2" coordorigin="4860,2567" coordsize="1584,0" path="m4860,2567l6444,2567e" filled="false" stroked="true" strokeweight=".48pt" strokecolor="#000000">
                <v:path arrowok="t"/>
              </v:shape>
            </v:group>
            <v:group style="position:absolute;left:6454;top:2567;width:1853;height:2" coordorigin="6454,2567" coordsize="1853,2">
              <v:shape style="position:absolute;left:6454;top:2567;width:1853;height:2" coordorigin="6454,2567" coordsize="1853,0" path="m6454,2567l8306,2567e" filled="false" stroked="true" strokeweight=".48pt" strokecolor="#000000">
                <v:path arrowok="t"/>
              </v:shape>
            </v:group>
            <v:group style="position:absolute;left:8316;top:2567;width:656;height:2" coordorigin="8316,2567" coordsize="656,2">
              <v:shape style="position:absolute;left:8316;top:2567;width:656;height:2" coordorigin="8316,2567" coordsize="656,0" path="m8316,2567l8971,2567e" filled="false" stroked="true" strokeweight=".48pt" strokecolor="#000000">
                <v:path arrowok="t"/>
              </v:shape>
            </v:group>
            <v:group style="position:absolute;left:8981;top:2567;width:1716;height:2" coordorigin="8981,2567" coordsize="1716,2">
              <v:shape style="position:absolute;left:8981;top:2567;width:1716;height:2" coordorigin="8981,2567" coordsize="1716,0" path="m8981,2567l10697,2567e" filled="false" stroked="true" strokeweight=".48pt" strokecolor="#000000">
                <v:path arrowok="t"/>
              </v:shape>
            </v:group>
            <v:group style="position:absolute;left:1150;top:2903;width:2;height:320" coordorigin="1150,2903" coordsize="2,320">
              <v:shape style="position:absolute;left:1150;top:2903;width:2;height:320" coordorigin="1150,2903" coordsize="0,320" path="m1150,2903l1150,3222e" filled="false" stroked="true" strokeweight="1.199996pt" strokecolor="#d3d3d3">
                <v:path arrowok="t"/>
              </v:shape>
            </v:group>
            <v:group style="position:absolute;left:2384;top:2903;width:2;height:320" coordorigin="2384,2903" coordsize="2,320">
              <v:shape style="position:absolute;left:2384;top:2903;width:2;height:320" coordorigin="2384,2903" coordsize="0,320" path="m2384,2903l2384,3222e" filled="false" stroked="true" strokeweight="1.08pt" strokecolor="#d3d3d3">
                <v:path arrowok="t"/>
              </v:shape>
            </v:group>
            <v:group style="position:absolute;left:1162;top:2903;width:1212;height:320" coordorigin="1162,2903" coordsize="1212,320">
              <v:shape style="position:absolute;left:1162;top:2903;width:1212;height:320" coordorigin="1162,2903" coordsize="1212,320" path="m1162,3222l2374,3222,2374,2903,1162,2903,1162,3222xe" filled="true" fillcolor="#d3d3d3" stroked="false">
                <v:path arrowok="t"/>
                <v:fill type="solid"/>
              </v:shape>
            </v:group>
            <v:group style="position:absolute;left:1138;top:2898;width:1258;height:2" coordorigin="1138,2898" coordsize="1258,2">
              <v:shape style="position:absolute;left:1138;top:2898;width:1258;height:2" coordorigin="1138,2898" coordsize="1258,0" path="m1138,2898l2395,2898e" filled="false" stroked="true" strokeweight=".48pt" strokecolor="#000000">
                <v:path arrowok="t"/>
              </v:shape>
            </v:group>
            <v:group style="position:absolute;left:2405;top:2898;width:1784;height:2" coordorigin="2405,2898" coordsize="1784,2">
              <v:shape style="position:absolute;left:2405;top:2898;width:1784;height:2" coordorigin="2405,2898" coordsize="1784,0" path="m2405,2898l4188,2898e" filled="false" stroked="true" strokeweight=".48pt" strokecolor="#000000">
                <v:path arrowok="t"/>
              </v:shape>
            </v:group>
            <v:group style="position:absolute;left:4198;top:2898;width:653;height:2" coordorigin="4198,2898" coordsize="653,2">
              <v:shape style="position:absolute;left:4198;top:2898;width:653;height:2" coordorigin="4198,2898" coordsize="653,0" path="m4198,2898l4850,2898e" filled="false" stroked="true" strokeweight=".48pt" strokecolor="#000000">
                <v:path arrowok="t"/>
              </v:shape>
            </v:group>
            <v:group style="position:absolute;left:4860;top:2898;width:1584;height:2" coordorigin="4860,2898" coordsize="1584,2">
              <v:shape style="position:absolute;left:4860;top:2898;width:1584;height:2" coordorigin="4860,2898" coordsize="1584,0" path="m4860,2898l6444,2898e" filled="false" stroked="true" strokeweight=".48pt" strokecolor="#000000">
                <v:path arrowok="t"/>
              </v:shape>
            </v:group>
            <v:group style="position:absolute;left:6454;top:2898;width:1853;height:2" coordorigin="6454,2898" coordsize="1853,2">
              <v:shape style="position:absolute;left:6454;top:2898;width:1853;height:2" coordorigin="6454,2898" coordsize="1853,0" path="m6454,2898l8306,2898e" filled="false" stroked="true" strokeweight=".48pt" strokecolor="#000000">
                <v:path arrowok="t"/>
              </v:shape>
            </v:group>
            <v:group style="position:absolute;left:8316;top:2898;width:656;height:2" coordorigin="8316,2898" coordsize="656,2">
              <v:shape style="position:absolute;left:8316;top:2898;width:656;height:2" coordorigin="8316,2898" coordsize="656,0" path="m8316,2898l8971,2898e" filled="false" stroked="true" strokeweight=".48pt" strokecolor="#000000">
                <v:path arrowok="t"/>
              </v:shape>
            </v:group>
            <v:group style="position:absolute;left:8981;top:2898;width:1716;height:2" coordorigin="8981,2898" coordsize="1716,2">
              <v:shape style="position:absolute;left:8981;top:2898;width:1716;height:2" coordorigin="8981,2898" coordsize="1716,0" path="m8981,2898l10697,2898e" filled="false" stroked="true" strokeweight=".48pt" strokecolor="#000000">
                <v:path arrowok="t"/>
              </v:shape>
            </v:group>
            <v:group style="position:absolute;left:1150;top:3234;width:2;height:320" coordorigin="1150,3234" coordsize="2,320">
              <v:shape style="position:absolute;left:1150;top:3234;width:2;height:320" coordorigin="1150,3234" coordsize="0,320" path="m1150,3234l1150,3553e" filled="false" stroked="true" strokeweight="1.199996pt" strokecolor="#d3d3d3">
                <v:path arrowok="t"/>
              </v:shape>
            </v:group>
            <v:group style="position:absolute;left:2384;top:3234;width:2;height:320" coordorigin="2384,3234" coordsize="2,320">
              <v:shape style="position:absolute;left:2384;top:3234;width:2;height:320" coordorigin="2384,3234" coordsize="0,320" path="m2384,3234l2384,3553e" filled="false" stroked="true" strokeweight="1.08pt" strokecolor="#d3d3d3">
                <v:path arrowok="t"/>
              </v:shape>
            </v:group>
            <v:group style="position:absolute;left:1162;top:3232;width:1212;height:322" coordorigin="1162,3232" coordsize="1212,322">
              <v:shape style="position:absolute;left:1162;top:3232;width:1212;height:322" coordorigin="1162,3232" coordsize="1212,322" path="m1162,3553l2374,3553,2374,3232,1162,3232,1162,3553xe" filled="true" fillcolor="#d3d3d3" stroked="false">
                <v:path arrowok="t"/>
                <v:fill type="solid"/>
              </v:shape>
            </v:group>
            <v:group style="position:absolute;left:1138;top:3227;width:1258;height:2" coordorigin="1138,3227" coordsize="1258,2">
              <v:shape style="position:absolute;left:1138;top:3227;width:1258;height:2" coordorigin="1138,3227" coordsize="1258,0" path="m1138,3227l2395,3227e" filled="false" stroked="true" strokeweight=".48pt" strokecolor="#000000">
                <v:path arrowok="t"/>
              </v:shape>
            </v:group>
            <v:group style="position:absolute;left:2405;top:3227;width:1784;height:2" coordorigin="2405,3227" coordsize="1784,2">
              <v:shape style="position:absolute;left:2405;top:3227;width:1784;height:2" coordorigin="2405,3227" coordsize="1784,0" path="m2405,3227l4188,3227e" filled="false" stroked="true" strokeweight=".48pt" strokecolor="#000000">
                <v:path arrowok="t"/>
              </v:shape>
            </v:group>
            <v:group style="position:absolute;left:4198;top:3227;width:653;height:2" coordorigin="4198,3227" coordsize="653,2">
              <v:shape style="position:absolute;left:4198;top:3227;width:653;height:2" coordorigin="4198,3227" coordsize="653,0" path="m4198,3227l4850,3227e" filled="false" stroked="true" strokeweight=".48pt" strokecolor="#000000">
                <v:path arrowok="t"/>
              </v:shape>
            </v:group>
            <v:group style="position:absolute;left:4860;top:3227;width:1584;height:2" coordorigin="4860,3227" coordsize="1584,2">
              <v:shape style="position:absolute;left:4860;top:3227;width:1584;height:2" coordorigin="4860,3227" coordsize="1584,0" path="m4860,3227l6444,3227e" filled="false" stroked="true" strokeweight=".48pt" strokecolor="#000000">
                <v:path arrowok="t"/>
              </v:shape>
            </v:group>
            <v:group style="position:absolute;left:6454;top:3227;width:1853;height:2" coordorigin="6454,3227" coordsize="1853,2">
              <v:shape style="position:absolute;left:6454;top:3227;width:1853;height:2" coordorigin="6454,3227" coordsize="1853,0" path="m6454,3227l8306,3227e" filled="false" stroked="true" strokeweight=".48pt" strokecolor="#000000">
                <v:path arrowok="t"/>
              </v:shape>
            </v:group>
            <v:group style="position:absolute;left:8316;top:3227;width:656;height:2" coordorigin="8316,3227" coordsize="656,2">
              <v:shape style="position:absolute;left:8316;top:3227;width:656;height:2" coordorigin="8316,3227" coordsize="656,0" path="m8316,3227l8971,3227e" filled="false" stroked="true" strokeweight=".48pt" strokecolor="#000000">
                <v:path arrowok="t"/>
              </v:shape>
            </v:group>
            <v:group style="position:absolute;left:8981;top:3227;width:1716;height:2" coordorigin="8981,3227" coordsize="1716,2">
              <v:shape style="position:absolute;left:8981;top:3227;width:1716;height:2" coordorigin="8981,3227" coordsize="1716,0" path="m8981,3227l10697,3227e" filled="false" stroked="true" strokeweight=".48pt" strokecolor="#000000">
                <v:path arrowok="t"/>
              </v:shape>
            </v:group>
            <v:group style="position:absolute;left:1150;top:3563;width:2;height:320" coordorigin="1150,3563" coordsize="2,320">
              <v:shape style="position:absolute;left:1150;top:3563;width:2;height:320" coordorigin="1150,3563" coordsize="0,320" path="m1150,3563l1150,3882e" filled="false" stroked="true" strokeweight="1.199996pt" strokecolor="#d3d3d3">
                <v:path arrowok="t"/>
              </v:shape>
            </v:group>
            <v:group style="position:absolute;left:2384;top:3563;width:2;height:320" coordorigin="2384,3563" coordsize="2,320">
              <v:shape style="position:absolute;left:2384;top:3563;width:2;height:320" coordorigin="2384,3563" coordsize="0,320" path="m2384,3563l2384,3882e" filled="false" stroked="true" strokeweight="1.08pt" strokecolor="#d3d3d3">
                <v:path arrowok="t"/>
              </v:shape>
            </v:group>
            <v:group style="position:absolute;left:1162;top:3563;width:1212;height:320" coordorigin="1162,3563" coordsize="1212,320">
              <v:shape style="position:absolute;left:1162;top:3563;width:1212;height:320" coordorigin="1162,3563" coordsize="1212,320" path="m1162,3882l2374,3882,2374,3563,1162,3563,1162,3882xe" filled="true" fillcolor="#d3d3d3" stroked="false">
                <v:path arrowok="t"/>
                <v:fill type="solid"/>
              </v:shape>
            </v:group>
            <v:group style="position:absolute;left:4210;top:3563;width:2;height:320" coordorigin="4210,3563" coordsize="2,320">
              <v:shape style="position:absolute;left:4210;top:3563;width:2;height:320" coordorigin="4210,3563" coordsize="0,320" path="m4210,3563l4210,3882e" filled="false" stroked="true" strokeweight="1.199987pt" strokecolor="#d3d3d3">
                <v:path arrowok="t"/>
              </v:shape>
            </v:group>
            <v:group style="position:absolute;left:4840;top:3563;width:2;height:320" coordorigin="4840,3563" coordsize="2,320">
              <v:shape style="position:absolute;left:4840;top:3563;width:2;height:320" coordorigin="4840,3563" coordsize="0,320" path="m4840,3563l4840,3882e" filled="false" stroked="true" strokeweight="1.08pt" strokecolor="#d3d3d3">
                <v:path arrowok="t"/>
              </v:shape>
            </v:group>
            <v:group style="position:absolute;left:4222;top:3563;width:608;height:320" coordorigin="4222,3563" coordsize="608,320">
              <v:shape style="position:absolute;left:4222;top:3563;width:608;height:320" coordorigin="4222,3563" coordsize="608,320" path="m4222,3882l4829,3882,4829,3563,4222,3563,4222,3882xe" filled="true" fillcolor="#d3d3d3" stroked="false">
                <v:path arrowok="t"/>
                <v:fill type="solid"/>
              </v:shape>
            </v:group>
            <v:group style="position:absolute;left:8329;top:3563;width:2;height:320" coordorigin="8329,3563" coordsize="2,320">
              <v:shape style="position:absolute;left:8329;top:3563;width:2;height:320" coordorigin="8329,3563" coordsize="0,320" path="m8329,3563l8329,3882e" filled="false" stroked="true" strokeweight="1.319975pt" strokecolor="#d3d3d3">
                <v:path arrowok="t"/>
              </v:shape>
            </v:group>
            <v:group style="position:absolute;left:8960;top:3563;width:2;height:320" coordorigin="8960,3563" coordsize="2,320">
              <v:shape style="position:absolute;left:8960;top:3563;width:2;height:320" coordorigin="8960,3563" coordsize="0,320" path="m8960,3563l8960,3882e" filled="false" stroked="true" strokeweight="1.08pt" strokecolor="#d3d3d3">
                <v:path arrowok="t"/>
              </v:shape>
            </v:group>
            <v:group style="position:absolute;left:8342;top:3563;width:608;height:320" coordorigin="8342,3563" coordsize="608,320">
              <v:shape style="position:absolute;left:8342;top:3563;width:608;height:320" coordorigin="8342,3563" coordsize="608,320" path="m8342,3882l8950,3882,8950,3563,8342,3563,8342,3882xe" filled="true" fillcolor="#d3d3d3" stroked="false">
                <v:path arrowok="t"/>
                <v:fill type="solid"/>
              </v:shape>
            </v:group>
            <v:group style="position:absolute;left:1138;top:3558;width:1258;height:2" coordorigin="1138,3558" coordsize="1258,2">
              <v:shape style="position:absolute;left:1138;top:3558;width:1258;height:2" coordorigin="1138,3558" coordsize="1258,0" path="m1138,3558l2395,3558e" filled="false" stroked="true" strokeweight=".48pt" strokecolor="#000000">
                <v:path arrowok="t"/>
              </v:shape>
            </v:group>
            <v:group style="position:absolute;left:2405;top:3558;width:1784;height:2" coordorigin="2405,3558" coordsize="1784,2">
              <v:shape style="position:absolute;left:2405;top:3558;width:1784;height:2" coordorigin="2405,3558" coordsize="1784,0" path="m2405,3558l4188,3558e" filled="false" stroked="true" strokeweight=".48pt" strokecolor="#000000">
                <v:path arrowok="t"/>
              </v:shape>
            </v:group>
            <v:group style="position:absolute;left:4198;top:3558;width:653;height:2" coordorigin="4198,3558" coordsize="653,2">
              <v:shape style="position:absolute;left:4198;top:3558;width:653;height:2" coordorigin="4198,3558" coordsize="653,0" path="m4198,3558l4850,3558e" filled="false" stroked="true" strokeweight=".48pt" strokecolor="#000000">
                <v:path arrowok="t"/>
              </v:shape>
            </v:group>
            <v:group style="position:absolute;left:4860;top:3558;width:1584;height:2" coordorigin="4860,3558" coordsize="1584,2">
              <v:shape style="position:absolute;left:4860;top:3558;width:1584;height:2" coordorigin="4860,3558" coordsize="1584,0" path="m4860,3558l6444,3558e" filled="false" stroked="true" strokeweight=".48pt" strokecolor="#000000">
                <v:path arrowok="t"/>
              </v:shape>
            </v:group>
            <v:group style="position:absolute;left:6454;top:3558;width:1853;height:2" coordorigin="6454,3558" coordsize="1853,2">
              <v:shape style="position:absolute;left:6454;top:3558;width:1853;height:2" coordorigin="6454,3558" coordsize="1853,0" path="m6454,3558l8306,3558e" filled="false" stroked="true" strokeweight=".48pt" strokecolor="#000000">
                <v:path arrowok="t"/>
              </v:shape>
            </v:group>
            <v:group style="position:absolute;left:8316;top:3558;width:656;height:2" coordorigin="8316,3558" coordsize="656,2">
              <v:shape style="position:absolute;left:8316;top:3558;width:656;height:2" coordorigin="8316,3558" coordsize="656,0" path="m8316,3558l8971,3558e" filled="false" stroked="true" strokeweight=".48pt" strokecolor="#000000">
                <v:path arrowok="t"/>
              </v:shape>
            </v:group>
            <v:group style="position:absolute;left:8981;top:3558;width:1716;height:2" coordorigin="8981,3558" coordsize="1716,2">
              <v:shape style="position:absolute;left:8981;top:3558;width:1716;height:2" coordorigin="8981,3558" coordsize="1716,0" path="m8981,3558l10697,3558e" filled="false" stroked="true" strokeweight=".48pt" strokecolor="#000000">
                <v:path arrowok="t"/>
              </v:shape>
            </v:group>
            <v:group style="position:absolute;left:1133;top:342;width:2;height:3552" coordorigin="1133,342" coordsize="2,3552">
              <v:shape style="position:absolute;left:1133;top:342;width:2;height:3552" coordorigin="1133,342" coordsize="0,3552" path="m1133,342l1133,3894e" filled="false" stroked="true" strokeweight=".48pt" strokecolor="#000000">
                <v:path arrowok="t"/>
              </v:shape>
            </v:group>
            <v:group style="position:absolute;left:1138;top:3889;width:1258;height:2" coordorigin="1138,3889" coordsize="1258,2">
              <v:shape style="position:absolute;left:1138;top:3889;width:1258;height:2" coordorigin="1138,3889" coordsize="1258,0" path="m1138,3889l2395,3889e" filled="false" stroked="true" strokeweight=".48pt" strokecolor="#000000">
                <v:path arrowok="t"/>
              </v:shape>
            </v:group>
            <v:group style="position:absolute;left:2400;top:1902;width:2;height:1992" coordorigin="2400,1902" coordsize="2,1992">
              <v:shape style="position:absolute;left:2400;top:1902;width:2;height:1992" coordorigin="2400,1902" coordsize="0,1992" path="m2400,1902l2400,3894e" filled="false" stroked="true" strokeweight=".48pt" strokecolor="#000000">
                <v:path arrowok="t"/>
              </v:shape>
            </v:group>
            <v:group style="position:absolute;left:2405;top:3889;width:1784;height:2" coordorigin="2405,3889" coordsize="1784,2">
              <v:shape style="position:absolute;left:2405;top:3889;width:1784;height:2" coordorigin="2405,3889" coordsize="1784,0" path="m2405,3889l4188,3889e" filled="false" stroked="true" strokeweight=".48pt" strokecolor="#000000">
                <v:path arrowok="t"/>
              </v:shape>
            </v:group>
            <v:group style="position:absolute;left:4193;top:1902;width:2;height:1992" coordorigin="4193,1902" coordsize="2,1992">
              <v:shape style="position:absolute;left:4193;top:1902;width:2;height:1992" coordorigin="4193,1902" coordsize="0,1992" path="m4193,1902l4193,3894e" filled="false" stroked="true" strokeweight=".48pt" strokecolor="#000000">
                <v:path arrowok="t"/>
              </v:shape>
            </v:group>
            <v:group style="position:absolute;left:4198;top:3889;width:653;height:2" coordorigin="4198,3889" coordsize="653,2">
              <v:shape style="position:absolute;left:4198;top:3889;width:653;height:2" coordorigin="4198,3889" coordsize="653,0" path="m4198,3889l4850,3889e" filled="false" stroked="true" strokeweight=".48pt" strokecolor="#000000">
                <v:path arrowok="t"/>
              </v:shape>
            </v:group>
            <v:group style="position:absolute;left:4855;top:1902;width:2;height:1992" coordorigin="4855,1902" coordsize="2,1992">
              <v:shape style="position:absolute;left:4855;top:1902;width:2;height:1992" coordorigin="4855,1902" coordsize="0,1992" path="m4855,1902l4855,3894e" filled="false" stroked="true" strokeweight=".48pt" strokecolor="#000000">
                <v:path arrowok="t"/>
              </v:shape>
            </v:group>
            <v:group style="position:absolute;left:4860;top:3889;width:1584;height:2" coordorigin="4860,3889" coordsize="1584,2">
              <v:shape style="position:absolute;left:4860;top:3889;width:1584;height:2" coordorigin="4860,3889" coordsize="1584,0" path="m4860,3889l6444,3889e" filled="false" stroked="true" strokeweight=".48pt" strokecolor="#000000">
                <v:path arrowok="t"/>
              </v:shape>
            </v:group>
            <v:group style="position:absolute;left:6449;top:1902;width:2;height:1992" coordorigin="6449,1902" coordsize="2,1992">
              <v:shape style="position:absolute;left:6449;top:1902;width:2;height:1992" coordorigin="6449,1902" coordsize="0,1992" path="m6449,1902l6449,3894e" filled="false" stroked="true" strokeweight=".48pt" strokecolor="#000000">
                <v:path arrowok="t"/>
              </v:shape>
            </v:group>
            <v:group style="position:absolute;left:6454;top:3889;width:1853;height:2" coordorigin="6454,3889" coordsize="1853,2">
              <v:shape style="position:absolute;left:6454;top:3889;width:1853;height:2" coordorigin="6454,3889" coordsize="1853,0" path="m6454,3889l8306,3889e" filled="false" stroked="true" strokeweight=".48pt" strokecolor="#000000">
                <v:path arrowok="t"/>
              </v:shape>
            </v:group>
            <v:group style="position:absolute;left:8311;top:1902;width:2;height:1992" coordorigin="8311,1902" coordsize="2,1992">
              <v:shape style="position:absolute;left:8311;top:1902;width:2;height:1992" coordorigin="8311,1902" coordsize="0,1992" path="m8311,1902l8311,3894e" filled="false" stroked="true" strokeweight=".48pt" strokecolor="#000000">
                <v:path arrowok="t"/>
              </v:shape>
            </v:group>
            <v:group style="position:absolute;left:8316;top:3889;width:656;height:2" coordorigin="8316,3889" coordsize="656,2">
              <v:shape style="position:absolute;left:8316;top:3889;width:656;height:2" coordorigin="8316,3889" coordsize="656,0" path="m8316,3889l8971,3889e" filled="false" stroked="true" strokeweight=".48pt" strokecolor="#000000">
                <v:path arrowok="t"/>
              </v:shape>
            </v:group>
            <v:group style="position:absolute;left:8976;top:1902;width:2;height:1992" coordorigin="8976,1902" coordsize="2,1992">
              <v:shape style="position:absolute;left:8976;top:1902;width:2;height:1992" coordorigin="8976,1902" coordsize="0,1992" path="m8976,1902l8976,3894e" filled="false" stroked="true" strokeweight=".48pt" strokecolor="#000000">
                <v:path arrowok="t"/>
              </v:shape>
            </v:group>
            <v:group style="position:absolute;left:8981;top:3889;width:1716;height:2" coordorigin="8981,3889" coordsize="1716,2">
              <v:shape style="position:absolute;left:8981;top:3889;width:1716;height:2" coordorigin="8981,3889" coordsize="1716,0" path="m8981,3889l10697,3889e" filled="false" stroked="true" strokeweight=".48pt" strokecolor="#000000">
                <v:path arrowok="t"/>
              </v:shape>
            </v:group>
            <v:group style="position:absolute;left:10702;top:342;width:2;height:3552" coordorigin="10702,342" coordsize="2,3552">
              <v:shape style="position:absolute;left:10702;top:342;width:2;height:3552" coordorigin="10702,342" coordsize="0,3552" path="m10702,342l10702,3894e" filled="false" stroked="true" strokeweight=".48pt" strokecolor="#000000">
                <v:path arrowok="t"/>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4294" w:space="4533"/>
            <w:col w:w="1113"/>
          </w:cols>
        </w:sectPr>
      </w:pPr>
    </w:p>
    <w:p>
      <w:pPr>
        <w:spacing w:line="240" w:lineRule="auto" w:before="7"/>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1250"/>
        <w:gridCol w:w="1804"/>
        <w:gridCol w:w="651"/>
        <w:gridCol w:w="1605"/>
        <w:gridCol w:w="1863"/>
        <w:gridCol w:w="653"/>
        <w:gridCol w:w="1731"/>
      </w:tblGrid>
      <w:tr>
        <w:trPr>
          <w:trHeight w:val="2220" w:hRule="exact"/>
        </w:trPr>
        <w:tc>
          <w:tcPr>
            <w:tcW w:w="12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6" w:right="55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w w:val="100"/>
                <w:sz w:val="18"/>
                <w:szCs w:val="18"/>
              </w:rPr>
              <w:t> </w:t>
            </w:r>
            <w:r>
              <w:rPr>
                <w:rFonts w:ascii="宋体" w:hAnsi="宋体" w:cs="宋体" w:eastAsia="宋体" w:hint="default"/>
                <w:sz w:val="18"/>
                <w:szCs w:val="18"/>
              </w:rPr>
              <w:t>其中：</w:t>
            </w:r>
          </w:p>
          <w:p>
            <w:pPr>
              <w:pStyle w:val="TableParagraph"/>
              <w:spacing w:line="240" w:lineRule="auto" w:before="3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04"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458" w:lineRule="auto" w:before="120"/>
              <w:ind w:left="720" w:right="209" w:firstLine="151"/>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w w:val="100"/>
                <w:sz w:val="18"/>
                <w:szCs w:val="18"/>
              </w:rPr>
              <w:t> </w:t>
            </w: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4"/>
              <w:ind w:left="821" w:right="0"/>
              <w:jc w:val="left"/>
              <w:rPr>
                <w:rFonts w:ascii="Times New Roman" w:hAnsi="Times New Roman" w:cs="Times New Roman" w:eastAsia="Times New Roman" w:hint="default"/>
                <w:sz w:val="18"/>
                <w:szCs w:val="18"/>
              </w:rPr>
            </w:pPr>
            <w:r>
              <w:rPr>
                <w:rFonts w:ascii="Times New Roman"/>
                <w:sz w:val="18"/>
              </w:rPr>
              <w:t>1,373,434.65</w:t>
            </w:r>
          </w:p>
        </w:tc>
        <w:tc>
          <w:tcPr>
            <w:tcW w:w="651"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25"/>
              <w:ind w:left="145" w:right="0" w:hanging="19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4"/>
              <w:ind w:left="73" w:right="0"/>
              <w:jc w:val="left"/>
              <w:rPr>
                <w:rFonts w:ascii="Times New Roman" w:hAnsi="Times New Roman" w:cs="Times New Roman" w:eastAsia="Times New Roman" w:hint="default"/>
                <w:sz w:val="18"/>
                <w:szCs w:val="18"/>
              </w:rPr>
            </w:pPr>
            <w:r>
              <w:rPr>
                <w:rFonts w:ascii="Times New Roman"/>
                <w:sz w:val="18"/>
              </w:rPr>
              <w:t>73.72%</w:t>
            </w:r>
          </w:p>
        </w:tc>
        <w:tc>
          <w:tcPr>
            <w:tcW w:w="1605"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4"/>
              <w:ind w:left="852" w:right="0"/>
              <w:jc w:val="left"/>
              <w:rPr>
                <w:rFonts w:ascii="Times New Roman" w:hAnsi="Times New Roman" w:cs="Times New Roman" w:eastAsia="Times New Roman" w:hint="default"/>
                <w:sz w:val="18"/>
                <w:szCs w:val="18"/>
              </w:rPr>
            </w:pPr>
            <w:r>
              <w:rPr>
                <w:rFonts w:ascii="Times New Roman"/>
                <w:sz w:val="18"/>
              </w:rPr>
              <w:t>68,671.73</w:t>
            </w:r>
          </w:p>
        </w:tc>
        <w:tc>
          <w:tcPr>
            <w:tcW w:w="1863"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458" w:lineRule="auto" w:before="120"/>
              <w:ind w:left="745" w:right="244" w:firstLine="151"/>
              <w:jc w:val="left"/>
              <w:rPr>
                <w:rFonts w:ascii="宋体" w:hAnsi="宋体" w:cs="宋体" w:eastAsia="宋体" w:hint="default"/>
                <w:sz w:val="18"/>
                <w:szCs w:val="18"/>
              </w:rPr>
            </w:pPr>
            <w:r>
              <w:rPr>
                <w:rFonts w:ascii="宋体" w:hAnsi="宋体" w:cs="宋体" w:eastAsia="宋体" w:hint="default"/>
                <w:spacing w:val="-1"/>
                <w:sz w:val="18"/>
                <w:szCs w:val="18"/>
              </w:rPr>
              <w:t>账面余额</w:t>
            </w:r>
            <w:r>
              <w:rPr>
                <w:rFonts w:ascii="宋体" w:hAnsi="宋体" w:cs="宋体" w:eastAsia="宋体" w:hint="default"/>
                <w:w w:val="100"/>
                <w:sz w:val="18"/>
                <w:szCs w:val="18"/>
              </w:rPr>
              <w:t> </w:t>
            </w: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4"/>
              <w:ind w:left="1014" w:right="0"/>
              <w:jc w:val="left"/>
              <w:rPr>
                <w:rFonts w:ascii="Times New Roman" w:hAnsi="Times New Roman" w:cs="Times New Roman" w:eastAsia="Times New Roman" w:hint="default"/>
                <w:sz w:val="18"/>
                <w:szCs w:val="18"/>
              </w:rPr>
            </w:pPr>
            <w:r>
              <w:rPr>
                <w:rFonts w:ascii="Times New Roman"/>
                <w:sz w:val="18"/>
              </w:rPr>
              <w:t>720,309.93</w:t>
            </w:r>
          </w:p>
        </w:tc>
        <w:tc>
          <w:tcPr>
            <w:tcW w:w="653"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25"/>
              <w:ind w:left="149" w:right="0" w:hanging="164"/>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6"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4"/>
              <w:ind w:left="77" w:right="0"/>
              <w:jc w:val="left"/>
              <w:rPr>
                <w:rFonts w:ascii="Times New Roman" w:hAnsi="Times New Roman" w:cs="Times New Roman" w:eastAsia="Times New Roman" w:hint="default"/>
                <w:sz w:val="18"/>
                <w:szCs w:val="18"/>
              </w:rPr>
            </w:pPr>
            <w:r>
              <w:rPr>
                <w:rFonts w:ascii="Times New Roman"/>
                <w:sz w:val="18"/>
              </w:rPr>
              <w:t>64.95%</w:t>
            </w:r>
          </w:p>
        </w:tc>
        <w:tc>
          <w:tcPr>
            <w:tcW w:w="1731"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4"/>
              <w:ind w:left="984" w:right="0"/>
              <w:jc w:val="left"/>
              <w:rPr>
                <w:rFonts w:ascii="Times New Roman" w:hAnsi="Times New Roman" w:cs="Times New Roman" w:eastAsia="Times New Roman" w:hint="default"/>
                <w:sz w:val="18"/>
                <w:szCs w:val="18"/>
              </w:rPr>
            </w:pPr>
            <w:r>
              <w:rPr>
                <w:rFonts w:ascii="Times New Roman"/>
                <w:sz w:val="18"/>
              </w:rPr>
              <w:t>36,015.50</w:t>
            </w:r>
          </w:p>
        </w:tc>
      </w:tr>
      <w:tr>
        <w:trPr>
          <w:trHeight w:val="331" w:hRule="exact"/>
        </w:trPr>
        <w:tc>
          <w:tcPr>
            <w:tcW w:w="12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2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287,374.46</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3" w:right="0"/>
              <w:jc w:val="center"/>
              <w:rPr>
                <w:rFonts w:ascii="Times New Roman" w:hAnsi="Times New Roman" w:cs="Times New Roman" w:eastAsia="Times New Roman" w:hint="default"/>
                <w:sz w:val="18"/>
                <w:szCs w:val="18"/>
              </w:rPr>
            </w:pPr>
            <w:r>
              <w:rPr>
                <w:rFonts w:ascii="Times New Roman"/>
                <w:sz w:val="18"/>
              </w:rPr>
              <w:t>15.43%</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57,474.89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8"/>
                <w:szCs w:val="18"/>
              </w:rPr>
            </w:pPr>
            <w:r>
              <w:rPr>
                <w:rFonts w:ascii="Times New Roman"/>
                <w:spacing w:val="-1"/>
                <w:sz w:val="18"/>
              </w:rPr>
              <w:t>145,624.90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
              <w:jc w:val="right"/>
              <w:rPr>
                <w:rFonts w:ascii="Times New Roman" w:hAnsi="Times New Roman" w:cs="Times New Roman" w:eastAsia="Times New Roman" w:hint="default"/>
                <w:sz w:val="18"/>
                <w:szCs w:val="18"/>
              </w:rPr>
            </w:pPr>
            <w:r>
              <w:rPr>
                <w:rFonts w:ascii="Times New Roman"/>
                <w:spacing w:val="-1"/>
                <w:sz w:val="18"/>
              </w:rPr>
              <w:t>13.13%</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29,124.98</w:t>
            </w:r>
          </w:p>
        </w:tc>
      </w:tr>
      <w:tr>
        <w:trPr>
          <w:trHeight w:val="329" w:hRule="exact"/>
        </w:trPr>
        <w:tc>
          <w:tcPr>
            <w:tcW w:w="12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2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55,362.30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4" w:right="0"/>
              <w:jc w:val="center"/>
              <w:rPr>
                <w:rFonts w:ascii="Times New Roman" w:hAnsi="Times New Roman" w:cs="Times New Roman" w:eastAsia="Times New Roman" w:hint="default"/>
                <w:sz w:val="18"/>
                <w:szCs w:val="18"/>
              </w:rPr>
            </w:pPr>
            <w:r>
              <w:rPr>
                <w:rFonts w:ascii="Times New Roman"/>
                <w:sz w:val="18"/>
              </w:rPr>
              <w:t>2.97%</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27,681.15</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8"/>
                <w:szCs w:val="18"/>
              </w:rPr>
            </w:pPr>
            <w:r>
              <w:rPr>
                <w:rFonts w:ascii="Times New Roman"/>
                <w:spacing w:val="-1"/>
                <w:sz w:val="18"/>
              </w:rPr>
              <w:t>144,415.66</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
              <w:jc w:val="right"/>
              <w:rPr>
                <w:rFonts w:ascii="Times New Roman" w:hAnsi="Times New Roman" w:cs="Times New Roman" w:eastAsia="Times New Roman" w:hint="default"/>
                <w:sz w:val="18"/>
                <w:szCs w:val="18"/>
              </w:rPr>
            </w:pPr>
            <w:r>
              <w:rPr>
                <w:rFonts w:ascii="Times New Roman"/>
                <w:spacing w:val="-1"/>
                <w:sz w:val="18"/>
              </w:rPr>
              <w:t>13.02%</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72,207.83</w:t>
            </w:r>
          </w:p>
        </w:tc>
      </w:tr>
      <w:tr>
        <w:trPr>
          <w:trHeight w:val="331" w:hRule="exact"/>
        </w:trPr>
        <w:tc>
          <w:tcPr>
            <w:tcW w:w="12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2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146,752.55</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4" w:right="0"/>
              <w:jc w:val="center"/>
              <w:rPr>
                <w:rFonts w:ascii="Times New Roman" w:hAnsi="Times New Roman" w:cs="Times New Roman" w:eastAsia="Times New Roman" w:hint="default"/>
                <w:sz w:val="18"/>
                <w:szCs w:val="18"/>
              </w:rPr>
            </w:pPr>
            <w:r>
              <w:rPr>
                <w:rFonts w:ascii="Times New Roman"/>
                <w:sz w:val="18"/>
              </w:rPr>
              <w:t>7.88%</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146,752.55</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8"/>
                <w:szCs w:val="18"/>
              </w:rPr>
            </w:pPr>
            <w:r>
              <w:rPr>
                <w:rFonts w:ascii="Times New Roman"/>
                <w:spacing w:val="-1"/>
                <w:sz w:val="18"/>
              </w:rPr>
              <w:t>98,760.52</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
              <w:jc w:val="right"/>
              <w:rPr>
                <w:rFonts w:ascii="Times New Roman" w:hAnsi="Times New Roman" w:cs="Times New Roman" w:eastAsia="Times New Roman" w:hint="default"/>
                <w:sz w:val="18"/>
                <w:szCs w:val="18"/>
              </w:rPr>
            </w:pPr>
            <w:r>
              <w:rPr>
                <w:rFonts w:ascii="Times New Roman"/>
                <w:sz w:val="18"/>
              </w:rPr>
              <w:t>8.9%</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98,760.52</w:t>
            </w:r>
          </w:p>
        </w:tc>
      </w:tr>
      <w:tr>
        <w:trPr>
          <w:trHeight w:val="331" w:hRule="exact"/>
        </w:trPr>
        <w:tc>
          <w:tcPr>
            <w:tcW w:w="12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25"/>
              <w:ind w:left="1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1,862,923.96</w:t>
            </w:r>
          </w:p>
        </w:tc>
        <w:tc>
          <w:tcPr>
            <w:tcW w:w="651"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300,580.32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8"/>
                <w:szCs w:val="18"/>
              </w:rPr>
            </w:pPr>
            <w:r>
              <w:rPr>
                <w:rFonts w:ascii="Times New Roman"/>
                <w:spacing w:val="-2"/>
                <w:sz w:val="18"/>
              </w:rPr>
              <w:t>1,109,111.01</w:t>
            </w:r>
          </w:p>
        </w:tc>
        <w:tc>
          <w:tcPr>
            <w:tcW w:w="653"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40" w:lineRule="auto" w:before="67"/>
              <w:ind w:left="6"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236,108.83</w:t>
            </w:r>
          </w:p>
        </w:tc>
      </w:tr>
    </w:tbl>
    <w:p>
      <w:pPr>
        <w:spacing w:before="53"/>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after="0"/>
        <w:jc w:val="left"/>
        <w:rPr>
          <w:rFonts w:ascii="宋体" w:hAnsi="宋体" w:cs="宋体" w:eastAsia="宋体" w:hint="default"/>
          <w:sz w:val="18"/>
          <w:szCs w:val="18"/>
        </w:rPr>
        <w:sectPr>
          <w:type w:val="continuous"/>
          <w:pgSz w:w="11900" w:h="16840"/>
          <w:pgMar w:top="1060" w:bottom="1180" w:left="980" w:right="980"/>
        </w:sectPr>
      </w:pPr>
    </w:p>
    <w:p>
      <w:pPr>
        <w:spacing w:line="240" w:lineRule="auto" w:before="9"/>
        <w:rPr>
          <w:rFonts w:ascii="宋体" w:hAnsi="宋体" w:cs="宋体" w:eastAsia="宋体" w:hint="default"/>
          <w:sz w:val="25"/>
          <w:szCs w:val="25"/>
        </w:rPr>
      </w:pPr>
    </w:p>
    <w:p>
      <w:pPr>
        <w:spacing w:line="360" w:lineRule="auto" w:before="44"/>
        <w:ind w:left="152" w:right="5247"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组合中，采用其他方法计提坏账准备的其他应收款</w:t>
      </w:r>
    </w:p>
    <w:p>
      <w:pPr>
        <w:spacing w:line="360" w:lineRule="auto" w:before="25"/>
        <w:ind w:left="152" w:right="5247" w:firstLine="0"/>
        <w:jc w:val="left"/>
        <w:rPr>
          <w:rFonts w:ascii="宋体" w:hAnsi="宋体" w:cs="宋体" w:eastAsia="宋体" w:hint="default"/>
          <w:sz w:val="18"/>
          <w:szCs w:val="18"/>
        </w:rPr>
      </w:pPr>
      <w:r>
        <w:rPr>
          <w:rFonts w:ascii="宋体" w:hAnsi="宋体" w:cs="宋体" w:eastAsia="宋体" w:hint="default"/>
          <w:sz w:val="18"/>
          <w:szCs w:val="18"/>
        </w:rPr>
        <w:t>□ 适用 √ 不适用</w:t>
      </w:r>
      <w:r>
        <w:rPr>
          <w:rFonts w:ascii="宋体" w:hAnsi="宋体" w:cs="宋体" w:eastAsia="宋体" w:hint="default"/>
          <w:w w:val="100"/>
          <w:sz w:val="18"/>
          <w:szCs w:val="18"/>
        </w:rPr>
        <w:t> </w:t>
      </w:r>
      <w:r>
        <w:rPr>
          <w:rFonts w:ascii="宋体" w:hAnsi="宋体" w:cs="宋体" w:eastAsia="宋体" w:hint="default"/>
          <w:spacing w:val="-1"/>
          <w:sz w:val="18"/>
          <w:szCs w:val="18"/>
        </w:rPr>
        <w:t>期末单项金额虽不重大但单项计提坏账准备的其他应收款</w:t>
      </w:r>
    </w:p>
    <w:p>
      <w:pPr>
        <w:spacing w:before="27"/>
        <w:ind w:left="152" w:right="14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2</w:t>
      </w:r>
      <w:r>
        <w:rPr/>
        <w:t>）本报告期转回或收回的其他应收款情况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w:t>
            </w:r>
            <w:r>
              <w:rPr>
                <w:rFonts w:ascii="宋体" w:hAnsi="宋体" w:cs="宋体" w:eastAsia="宋体" w:hint="default"/>
                <w:w w:val="100"/>
                <w:sz w:val="18"/>
                <w:szCs w:val="18"/>
              </w:rPr>
              <w:t> </w:t>
            </w: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838"/>
        <w:gridCol w:w="1954"/>
        <w:gridCol w:w="1956"/>
        <w:gridCol w:w="1954"/>
        <w:gridCol w:w="1853"/>
      </w:tblGrid>
      <w:tr>
        <w:trPr>
          <w:trHeight w:val="401"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3</w:t>
      </w:r>
      <w:r>
        <w:rPr/>
        <w:t>）本报告期实际核销的其他应收款情况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584"/>
        <w:gridCol w:w="1596"/>
        <w:gridCol w:w="1591"/>
        <w:gridCol w:w="1464"/>
        <w:gridCol w:w="1517"/>
        <w:gridCol w:w="1802"/>
      </w:tblGrid>
      <w:tr>
        <w:trPr>
          <w:trHeight w:val="396"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6"/>
        <w:ind w:left="152" w:right="14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t>（</w:t>
      </w:r>
      <w:r>
        <w:rPr>
          <w:rFonts w:ascii="Times New Roman" w:hAnsi="Times New Roman" w:cs="Times New Roman" w:eastAsia="Times New Roman" w:hint="default"/>
          <w:b/>
          <w:bCs/>
        </w:rPr>
        <w:t>4</w:t>
      </w:r>
      <w:r>
        <w:rPr/>
        <w:t>）本报告期其他应收款中持有公司</w:t>
      </w:r>
      <w:r>
        <w:rPr>
          <w:spacing w:val="-45"/>
        </w:rPr>
        <w:t> </w:t>
      </w:r>
      <w:r>
        <w:rPr>
          <w:rFonts w:ascii="Times New Roman" w:hAnsi="Times New Roman" w:cs="Times New Roman" w:eastAsia="Times New Roman" w:hint="default"/>
          <w:b/>
          <w:bCs/>
        </w:rPr>
        <w:t>5</w:t>
      </w:r>
      <w:r>
        <w:rPr/>
        <w:t>％（含</w:t>
      </w:r>
      <w:r>
        <w:rPr>
          <w:spacing w:val="-45"/>
        </w:rPr>
        <w:t> </w:t>
      </w:r>
      <w:r>
        <w:rPr>
          <w:rFonts w:ascii="Times New Roman" w:hAnsi="Times New Roman" w:cs="Times New Roman" w:eastAsia="Times New Roman" w:hint="default"/>
          <w:b/>
          <w:bCs/>
        </w:rPr>
        <w:t>5</w:t>
      </w:r>
      <w:r>
        <w:rPr/>
        <w:t>％）以上表决权股份的股东单位情况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59"/>
        <w:gridCol w:w="1728"/>
        <w:gridCol w:w="1726"/>
        <w:gridCol w:w="1860"/>
        <w:gridCol w:w="1594"/>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9"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7"/>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）金额较大的其他应收款的性质或内容</w:t>
      </w:r>
    </w:p>
    <w:p>
      <w:pPr>
        <w:spacing w:line="240" w:lineRule="auto" w:before="7"/>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6</w:t>
      </w:r>
      <w:r>
        <w:rPr/>
        <w:t>）其他应收款金额前五名单位情况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7</w:t>
      </w:r>
      <w:r>
        <w:rPr/>
        <w:t>）其他应收关联方账款情况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66"/>
        <w:gridCol w:w="2429"/>
        <w:gridCol w:w="2431"/>
        <w:gridCol w:w="2429"/>
      </w:tblGrid>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278"/>
        <w:gridCol w:w="2429"/>
        <w:gridCol w:w="2431"/>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9" w:right="0"/>
              <w:jc w:val="left"/>
              <w:rPr>
                <w:rFonts w:ascii="Times New Roman" w:hAnsi="Times New Roman" w:cs="Times New Roman" w:eastAsia="Times New Roman" w:hint="default"/>
                <w:sz w:val="18"/>
                <w:szCs w:val="18"/>
              </w:rPr>
            </w:pPr>
            <w:r>
              <w:rPr>
                <w:rFonts w:ascii="Times New Roman"/>
                <w:sz w:val="18"/>
              </w:rPr>
              <w:t>1,862,923.96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spacing w:before="36"/>
        <w:ind w:left="152" w:right="1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sz w:val="21"/>
          <w:szCs w:val="21"/>
        </w:rPr>
        <w:t>）</w:t>
      </w:r>
    </w:p>
    <w:p>
      <w:pPr>
        <w:spacing w:line="240" w:lineRule="auto" w:before="2"/>
        <w:rPr>
          <w:rFonts w:ascii="宋体" w:hAnsi="宋体" w:cs="宋体" w:eastAsia="宋体" w:hint="default"/>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0"/>
        <w:rPr>
          <w:rFonts w:ascii="宋体" w:hAnsi="宋体" w:cs="宋体" w:eastAsia="宋体" w:hint="default"/>
          <w:sz w:val="18"/>
          <w:szCs w:val="18"/>
        </w:rPr>
      </w:pPr>
    </w:p>
    <w:p>
      <w:pPr>
        <w:pStyle w:val="BodyText"/>
        <w:spacing w:line="240" w:lineRule="auto" w:before="120"/>
        <w:ind w:right="145"/>
        <w:jc w:val="left"/>
      </w:pPr>
      <w:r>
        <w:rPr/>
        <w:t>（</w:t>
      </w:r>
      <w:r>
        <w:rPr>
          <w:rFonts w:ascii="Times New Roman" w:hAnsi="Times New Roman" w:cs="Times New Roman" w:eastAsia="Times New Roman" w:hint="default"/>
          <w:b/>
          <w:bCs/>
        </w:rPr>
        <w:t>9</w:t>
      </w:r>
      <w:r>
        <w:rPr/>
        <w:t>）以其他应收款项为标的资产进行资产证券化的，需简要说明相关交易安排</w:t>
      </w:r>
    </w:p>
    <w:p>
      <w:pPr>
        <w:spacing w:line="240" w:lineRule="auto" w:before="10"/>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3</w:t>
      </w:r>
      <w:r>
        <w:rPr/>
        <w:t>、长期股权投资</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94"/>
        <w:gridCol w:w="466"/>
        <w:gridCol w:w="1260"/>
        <w:gridCol w:w="1080"/>
        <w:gridCol w:w="540"/>
        <w:gridCol w:w="1080"/>
        <w:gridCol w:w="720"/>
        <w:gridCol w:w="720"/>
        <w:gridCol w:w="900"/>
        <w:gridCol w:w="415"/>
        <w:gridCol w:w="665"/>
        <w:gridCol w:w="931"/>
      </w:tblGrid>
      <w:tr>
        <w:trPr>
          <w:trHeight w:val="355"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4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41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w w:val="100"/>
                <w:sz w:val="18"/>
                <w:szCs w:val="18"/>
              </w:rPr>
              <w:t> </w:t>
            </w:r>
            <w:r>
              <w:rPr>
                <w:rFonts w:ascii="宋体" w:hAnsi="宋体" w:cs="宋体" w:eastAsia="宋体" w:hint="default"/>
                <w:sz w:val="18"/>
                <w:szCs w:val="18"/>
              </w:rPr>
              <w:t>位</w:t>
            </w:r>
          </w:p>
        </w:tc>
        <w:tc>
          <w:tcPr>
            <w:tcW w:w="4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8" w:right="45"/>
              <w:jc w:val="left"/>
              <w:rPr>
                <w:rFonts w:ascii="宋体" w:hAnsi="宋体" w:cs="宋体" w:eastAsia="宋体" w:hint="default"/>
                <w:sz w:val="18"/>
                <w:szCs w:val="18"/>
              </w:rPr>
            </w:pPr>
            <w:r>
              <w:rPr>
                <w:rFonts w:ascii="宋体" w:hAnsi="宋体" w:cs="宋体" w:eastAsia="宋体" w:hint="default"/>
                <w:sz w:val="18"/>
                <w:szCs w:val="18"/>
              </w:rPr>
              <w:t>核算</w:t>
            </w:r>
            <w:r>
              <w:rPr>
                <w:rFonts w:ascii="宋体" w:hAnsi="宋体" w:cs="宋体" w:eastAsia="宋体" w:hint="default"/>
                <w:w w:val="100"/>
                <w:sz w:val="18"/>
                <w:szCs w:val="18"/>
              </w:rPr>
              <w:t> </w:t>
            </w:r>
            <w:r>
              <w:rPr>
                <w:rFonts w:ascii="宋体" w:hAnsi="宋体" w:cs="宋体" w:eastAsia="宋体" w:hint="default"/>
                <w:sz w:val="18"/>
                <w:szCs w:val="18"/>
              </w:rPr>
              <w:t>方法</w:t>
            </w: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6" w:right="81"/>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w w:val="100"/>
                <w:sz w:val="18"/>
                <w:szCs w:val="18"/>
              </w:rPr>
              <w:t> </w:t>
            </w:r>
            <w:r>
              <w:rPr>
                <w:rFonts w:ascii="宋体" w:hAnsi="宋体" w:cs="宋体" w:eastAsia="宋体" w:hint="default"/>
                <w:sz w:val="18"/>
                <w:szCs w:val="18"/>
              </w:rPr>
              <w:t>变动</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w:t>
            </w:r>
            <w:r>
              <w:rPr>
                <w:rFonts w:ascii="宋体" w:hAnsi="宋体" w:cs="宋体" w:eastAsia="宋体" w:hint="default"/>
                <w:w w:val="100"/>
                <w:sz w:val="18"/>
                <w:szCs w:val="18"/>
              </w:rPr>
              <w:t> </w:t>
            </w:r>
            <w:r>
              <w:rPr>
                <w:rFonts w:ascii="宋体" w:hAnsi="宋体" w:cs="宋体" w:eastAsia="宋体" w:hint="default"/>
                <w:sz w:val="18"/>
                <w:szCs w:val="18"/>
              </w:rPr>
              <w:t>资单位</w:t>
            </w:r>
            <w:r>
              <w:rPr>
                <w:rFonts w:ascii="宋体" w:hAnsi="宋体" w:cs="宋体" w:eastAsia="宋体" w:hint="default"/>
                <w:w w:val="100"/>
                <w:sz w:val="18"/>
                <w:szCs w:val="18"/>
              </w:rPr>
              <w:t> </w:t>
            </w: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0" w:right="3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w:t>
            </w:r>
            <w:r>
              <w:rPr>
                <w:rFonts w:ascii="宋体" w:hAnsi="宋体" w:cs="宋体" w:eastAsia="宋体" w:hint="default"/>
                <w:w w:val="100"/>
                <w:sz w:val="18"/>
                <w:szCs w:val="18"/>
              </w:rPr>
              <w:t> </w:t>
            </w:r>
            <w:r>
              <w:rPr>
                <w:rFonts w:ascii="宋体" w:hAnsi="宋体" w:cs="宋体" w:eastAsia="宋体" w:hint="default"/>
                <w:sz w:val="18"/>
                <w:szCs w:val="18"/>
              </w:rPr>
              <w:t>资单位</w:t>
            </w:r>
            <w:r>
              <w:rPr>
                <w:rFonts w:ascii="宋体" w:hAnsi="宋体" w:cs="宋体" w:eastAsia="宋体" w:hint="default"/>
                <w:w w:val="100"/>
                <w:sz w:val="18"/>
                <w:szCs w:val="18"/>
              </w:rPr>
              <w:t> </w:t>
            </w:r>
            <w:r>
              <w:rPr>
                <w:rFonts w:ascii="宋体" w:hAnsi="宋体" w:cs="宋体" w:eastAsia="宋体" w:hint="default"/>
                <w:sz w:val="18"/>
                <w:szCs w:val="18"/>
              </w:rPr>
              <w:t>表决权</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1"/>
              <w:jc w:val="both"/>
              <w:rPr>
                <w:rFonts w:ascii="宋体" w:hAnsi="宋体" w:cs="宋体" w:eastAsia="宋体" w:hint="default"/>
                <w:sz w:val="18"/>
                <w:szCs w:val="18"/>
              </w:rPr>
            </w:pPr>
            <w:r>
              <w:rPr>
                <w:rFonts w:ascii="宋体" w:hAnsi="宋体" w:cs="宋体" w:eastAsia="宋体" w:hint="default"/>
                <w:sz w:val="18"/>
                <w:szCs w:val="18"/>
              </w:rPr>
              <w:t>单位持股</w:t>
            </w:r>
            <w:r>
              <w:rPr>
                <w:rFonts w:ascii="宋体" w:hAnsi="宋体" w:cs="宋体" w:eastAsia="宋体" w:hint="default"/>
                <w:w w:val="100"/>
                <w:sz w:val="18"/>
                <w:szCs w:val="18"/>
              </w:rPr>
              <w:t> </w:t>
            </w:r>
            <w:r>
              <w:rPr>
                <w:rFonts w:ascii="宋体" w:hAnsi="宋体" w:cs="宋体" w:eastAsia="宋体" w:hint="default"/>
                <w:sz w:val="18"/>
                <w:szCs w:val="18"/>
              </w:rPr>
              <w:t>比例与表</w:t>
            </w:r>
            <w:r>
              <w:rPr>
                <w:rFonts w:ascii="宋体" w:hAnsi="宋体" w:cs="宋体" w:eastAsia="宋体" w:hint="default"/>
                <w:w w:val="100"/>
                <w:sz w:val="18"/>
                <w:szCs w:val="18"/>
              </w:rPr>
              <w:t> </w:t>
            </w:r>
            <w:r>
              <w:rPr>
                <w:rFonts w:ascii="宋体" w:hAnsi="宋体" w:cs="宋体" w:eastAsia="宋体" w:hint="default"/>
                <w:sz w:val="18"/>
                <w:szCs w:val="18"/>
              </w:rPr>
              <w:t>决权比例</w:t>
            </w:r>
            <w:r>
              <w:rPr>
                <w:rFonts w:ascii="宋体" w:hAnsi="宋体" w:cs="宋体" w:eastAsia="宋体" w:hint="default"/>
                <w:w w:val="100"/>
                <w:sz w:val="18"/>
                <w:szCs w:val="18"/>
              </w:rPr>
              <w:t> </w:t>
            </w:r>
            <w:r>
              <w:rPr>
                <w:rFonts w:ascii="宋体" w:hAnsi="宋体" w:cs="宋体" w:eastAsia="宋体" w:hint="default"/>
                <w:sz w:val="18"/>
                <w:szCs w:val="18"/>
              </w:rPr>
              <w:t>不一致的</w:t>
            </w:r>
          </w:p>
        </w:tc>
        <w:tc>
          <w:tcPr>
            <w:tcW w:w="4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6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7" w:right="55"/>
              <w:jc w:val="both"/>
              <w:rPr>
                <w:rFonts w:ascii="宋体" w:hAnsi="宋体" w:cs="宋体" w:eastAsia="宋体" w:hint="default"/>
                <w:sz w:val="18"/>
                <w:szCs w:val="18"/>
              </w:rPr>
            </w:pPr>
            <w:r>
              <w:rPr>
                <w:rFonts w:ascii="宋体" w:hAnsi="宋体" w:cs="宋体" w:eastAsia="宋体" w:hint="default"/>
                <w:sz w:val="18"/>
                <w:szCs w:val="18"/>
              </w:rPr>
              <w:t>本期计</w:t>
            </w:r>
            <w:r>
              <w:rPr>
                <w:rFonts w:ascii="宋体" w:hAnsi="宋体" w:cs="宋体" w:eastAsia="宋体" w:hint="default"/>
                <w:w w:val="100"/>
                <w:sz w:val="18"/>
                <w:szCs w:val="18"/>
              </w:rPr>
              <w:t> </w:t>
            </w:r>
            <w:r>
              <w:rPr>
                <w:rFonts w:ascii="宋体" w:hAnsi="宋体" w:cs="宋体" w:eastAsia="宋体" w:hint="default"/>
                <w:sz w:val="18"/>
                <w:szCs w:val="18"/>
              </w:rPr>
              <w:t>提减值</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9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w w:val="100"/>
                <w:sz w:val="18"/>
                <w:szCs w:val="18"/>
              </w:rPr>
              <w:t> </w:t>
            </w:r>
            <w:r>
              <w:rPr>
                <w:rFonts w:ascii="宋体" w:hAnsi="宋体" w:cs="宋体" w:eastAsia="宋体" w:hint="default"/>
                <w:sz w:val="18"/>
                <w:szCs w:val="18"/>
              </w:rPr>
              <w:t>红利</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4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41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江苏宿迁</w:t>
            </w:r>
            <w:r>
              <w:rPr>
                <w:rFonts w:ascii="宋体" w:hAnsi="宋体" w:cs="宋体" w:eastAsia="宋体" w:hint="default"/>
                <w:w w:val="100"/>
                <w:sz w:val="18"/>
                <w:szCs w:val="18"/>
              </w:rPr>
              <w:t> </w:t>
            </w:r>
            <w:r>
              <w:rPr>
                <w:rFonts w:ascii="宋体" w:hAnsi="宋体" w:cs="宋体" w:eastAsia="宋体" w:hint="default"/>
                <w:sz w:val="18"/>
                <w:szCs w:val="18"/>
              </w:rPr>
              <w:t>民丰农村</w:t>
            </w:r>
            <w:r>
              <w:rPr>
                <w:rFonts w:ascii="宋体" w:hAnsi="宋体" w:cs="宋体" w:eastAsia="宋体" w:hint="default"/>
                <w:w w:val="100"/>
                <w:sz w:val="18"/>
                <w:szCs w:val="18"/>
              </w:rPr>
              <w:t> </w:t>
            </w:r>
            <w:r>
              <w:rPr>
                <w:rFonts w:ascii="宋体" w:hAnsi="宋体" w:cs="宋体" w:eastAsia="宋体" w:hint="default"/>
                <w:sz w:val="18"/>
                <w:szCs w:val="18"/>
              </w:rPr>
              <w:t>合作银行</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9"/>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w w:val="100"/>
                <w:sz w:val="18"/>
                <w:szCs w:val="18"/>
              </w:rPr>
              <w:t> </w:t>
            </w:r>
            <w:r>
              <w:rPr>
                <w:rFonts w:ascii="宋体" w:hAnsi="宋体" w:cs="宋体" w:eastAsia="宋体" w:hint="default"/>
                <w:sz w:val="18"/>
                <w:szCs w:val="18"/>
              </w:rPr>
              <w:t>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5,194,200.00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5,194,200.00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5,194,200.00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1.23%</w:t>
            </w:r>
          </w:p>
        </w:tc>
        <w:tc>
          <w:tcPr>
            <w:tcW w:w="90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924,165.00</w:t>
            </w:r>
          </w:p>
        </w:tc>
      </w:tr>
      <w:tr>
        <w:trPr>
          <w:trHeight w:val="403"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5,194,200.00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5,194,200.00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5,194,200.00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924,165.00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4</w:t>
      </w:r>
      <w:r>
        <w:rPr/>
        <w:t>、营业收入和营业成本</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）营业收入</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502"/>
        <w:gridCol w:w="3467"/>
        <w:gridCol w:w="3588"/>
      </w:tblGrid>
      <w:tr>
        <w:trPr>
          <w:trHeight w:val="330"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2,088,609,782.41</w:t>
            </w:r>
          </w:p>
        </w:tc>
        <w:tc>
          <w:tcPr>
            <w:tcW w:w="358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1,944,939,559.85</w:t>
            </w:r>
          </w:p>
        </w:tc>
      </w:tr>
      <w:tr>
        <w:trPr>
          <w:trHeight w:val="331"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16,161,092.56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10,983,053.47</w:t>
            </w:r>
          </w:p>
        </w:tc>
      </w:tr>
      <w:tr>
        <w:trPr>
          <w:trHeight w:val="329"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2,104,770,874.97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1,955,922,613.32</w:t>
            </w:r>
          </w:p>
        </w:tc>
      </w:tr>
      <w:tr>
        <w:trPr>
          <w:trHeight w:val="331"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1,884,687,490.26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1,475,774,568.97</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）主营业务（分行业）</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塑料薄膜制造业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2,088,609,782.41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1,884,668,389.77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1,475,773,466.41</w:t>
            </w:r>
          </w:p>
        </w:tc>
      </w:tr>
      <w:tr>
        <w:trPr>
          <w:trHeight w:val="485"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66" w:right="0"/>
              <w:jc w:val="left"/>
              <w:rPr>
                <w:rFonts w:ascii="Times New Roman" w:hAnsi="Times New Roman" w:cs="Times New Roman" w:eastAsia="Times New Roman" w:hint="default"/>
                <w:sz w:val="18"/>
                <w:szCs w:val="18"/>
              </w:rPr>
            </w:pPr>
            <w:r>
              <w:rPr>
                <w:rFonts w:ascii="Times New Roman"/>
                <w:sz w:val="18"/>
              </w:rPr>
              <w:t>2,088,609,782.41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64" w:right="0"/>
              <w:jc w:val="left"/>
              <w:rPr>
                <w:rFonts w:ascii="Times New Roman" w:hAnsi="Times New Roman" w:cs="Times New Roman" w:eastAsia="Times New Roman" w:hint="default"/>
                <w:sz w:val="18"/>
                <w:szCs w:val="18"/>
              </w:rPr>
            </w:pPr>
            <w:r>
              <w:rPr>
                <w:rFonts w:ascii="Times New Roman"/>
                <w:sz w:val="18"/>
              </w:rPr>
              <w:t>1,884,668,389.77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64" w:right="0"/>
              <w:jc w:val="left"/>
              <w:rPr>
                <w:rFonts w:ascii="Times New Roman" w:hAnsi="Times New Roman" w:cs="Times New Roman" w:eastAsia="Times New Roman" w:hint="default"/>
                <w:sz w:val="18"/>
                <w:szCs w:val="18"/>
              </w:rPr>
            </w:pPr>
            <w:r>
              <w:rPr>
                <w:rFonts w:ascii="Times New Roman"/>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pacing w:val="-1"/>
                <w:sz w:val="18"/>
              </w:rPr>
              <w:t>1,475,773,466.41</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）主营业务（分产品）</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1,769,739,690.74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1,607,260,586.48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1,569,660,859.85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1,179,476,936.19</w:t>
            </w:r>
          </w:p>
        </w:tc>
      </w:tr>
      <w:tr>
        <w:trPr>
          <w:trHeight w:val="46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213,349,224.08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2"/>
                <w:sz w:val="18"/>
              </w:rPr>
              <w:t>197,661,811.54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248,741,159.71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201,453,327.24</w:t>
            </w:r>
          </w:p>
        </w:tc>
      </w:tr>
      <w:tr>
        <w:trPr>
          <w:trHeight w:val="45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105,520,867.59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79,745,991.75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126,537,540.29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94,843,202.98</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2,088,609,782.41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1,884,668,389.77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1,475,773,466.41</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4</w:t>
      </w:r>
      <w:r>
        <w:rPr/>
        <w:t>）主营业务（分地区）</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325"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5"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0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1,088,516,374.10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990,438,307.52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957,473,011.49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724,994,105.68</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155,126,896.35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141,082,627.08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2"/>
                <w:sz w:val="18"/>
              </w:rPr>
              <w:t>82,086,116.69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61,912,093.35</w:t>
            </w:r>
          </w:p>
        </w:tc>
      </w:tr>
      <w:tr>
        <w:trPr>
          <w:trHeight w:val="46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20,303,299.87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18,505,155.89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18,163,760.57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pacing w:val="-1"/>
                <w:sz w:val="18"/>
              </w:rPr>
              <w:t>13,723,788.57</w:t>
            </w:r>
          </w:p>
        </w:tc>
      </w:tr>
      <w:tr>
        <w:trPr>
          <w:trHeight w:val="46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5,190,467.42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4,725,875.94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4,461,944.27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3,364,625.30</w:t>
            </w:r>
          </w:p>
        </w:tc>
      </w:tr>
      <w:tr>
        <w:trPr>
          <w:trHeight w:val="480"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503,574,670.78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459,200,195.46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453,659,343.04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347,747,006.36</w:t>
            </w:r>
          </w:p>
        </w:tc>
      </w:tr>
      <w:tr>
        <w:trPr>
          <w:trHeight w:val="45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19,766,359.63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2"/>
                <w:sz w:val="18"/>
              </w:rPr>
              <w:t>18,011,263.06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48,939,869.51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36,862,013.52</w:t>
            </w:r>
          </w:p>
        </w:tc>
      </w:tr>
      <w:tr>
        <w:trPr>
          <w:trHeight w:val="466"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296,131,714.26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252,704,964.82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380,155,514.28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287,169,833.63</w:t>
            </w:r>
          </w:p>
        </w:tc>
      </w:tr>
      <w:tr>
        <w:trPr>
          <w:trHeight w:val="47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2,088,609,782.41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1,884,668,389.77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1,944,939,559.85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pacing w:val="-1"/>
                <w:sz w:val="18"/>
              </w:rPr>
              <w:t>1,475,773,466.41</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5</w:t>
      </w:r>
      <w:r>
        <w:rPr/>
        <w:t>）公司前五名客户的营业收入情况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3"/>
        <w:gridCol w:w="2921"/>
        <w:gridCol w:w="1865"/>
      </w:tblGrid>
      <w:tr>
        <w:trPr>
          <w:trHeight w:val="569"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0"/>
              <w:ind w:left="919"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auto" w:before="20"/>
              <w:ind w:left="612" w:right="26"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海宁市天裕包装材料有限公司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73,818,371.71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3.51%</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sz w:val="18"/>
              </w:rPr>
              <w:t>S.E.Holdings</w:t>
            </w:r>
            <w:r>
              <w:rPr>
                <w:rFonts w:ascii="Times New Roman"/>
                <w:spacing w:val="-13"/>
                <w:sz w:val="18"/>
              </w:rPr>
              <w:t> </w:t>
            </w:r>
            <w:r>
              <w:rPr>
                <w:rFonts w:ascii="Times New Roman"/>
                <w:sz w:val="18"/>
              </w:rPr>
              <w:t>Limited</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60,567,255.48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2.88%</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昆山市张浦彩印厂</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37,216,883.79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1.77%</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惠州艺都文化用品有限公司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37,038,452.05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1.76%</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宜兴市宇龙塑胶包装制品有限公司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27,174,063.68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1.29%</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235,815,026.71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11.21%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after="0"/>
        <w:jc w:val="left"/>
        <w:rPr>
          <w:rFonts w:ascii="宋体" w:hAnsi="宋体" w:cs="宋体" w:eastAsia="宋体"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5</w:t>
      </w:r>
      <w:r>
        <w:rPr/>
        <w:t>、投资收益</w:t>
      </w:r>
    </w:p>
    <w:p>
      <w:pPr>
        <w:spacing w:line="240" w:lineRule="auto" w:before="10"/>
        <w:rPr>
          <w:rFonts w:ascii="宋体" w:hAnsi="宋体" w:cs="宋体" w:eastAsia="宋体" w:hint="default"/>
          <w:sz w:val="24"/>
          <w:szCs w:val="24"/>
        </w:rPr>
      </w:pPr>
    </w:p>
    <w:p>
      <w:pPr>
        <w:pStyle w:val="BodyText"/>
        <w:spacing w:line="240" w:lineRule="auto"/>
        <w:ind w:right="145"/>
        <w:jc w:val="left"/>
      </w:pPr>
      <w:r>
        <w:rPr/>
        <w:t>（</w:t>
      </w:r>
      <w:r>
        <w:rPr>
          <w:rFonts w:ascii="Times New Roman" w:hAnsi="Times New Roman" w:cs="Times New Roman" w:eastAsia="Times New Roman" w:hint="default"/>
          <w:b/>
          <w:bCs/>
        </w:rPr>
        <w:t>1</w:t>
      </w:r>
      <w:r>
        <w:rPr/>
        <w:t>）投资收益明细</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499"/>
        <w:gridCol w:w="2533"/>
        <w:gridCol w:w="2525"/>
      </w:tblGrid>
      <w:tr>
        <w:trPr>
          <w:trHeight w:val="329"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2</w:t>
      </w:r>
      <w:r>
        <w:rPr/>
        <w:t>）按成本法核算的长期股权投资收益</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4"/>
        <w:gridCol w:w="1728"/>
        <w:gridCol w:w="1594"/>
        <w:gridCol w:w="2921"/>
      </w:tblGrid>
      <w:tr>
        <w:trPr>
          <w:trHeight w:val="4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t>（</w:t>
      </w:r>
      <w:r>
        <w:rPr>
          <w:rFonts w:ascii="Times New Roman" w:hAnsi="Times New Roman" w:cs="Times New Roman" w:eastAsia="Times New Roman" w:hint="default"/>
          <w:b/>
          <w:bCs/>
        </w:rPr>
        <w:t>3</w:t>
      </w:r>
      <w:r>
        <w:rPr/>
        <w:t>）按权益法核算的长期股权投资收益</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4"/>
        <w:gridCol w:w="1728"/>
        <w:gridCol w:w="1594"/>
        <w:gridCol w:w="2921"/>
      </w:tblGrid>
      <w:tr>
        <w:trPr>
          <w:trHeight w:val="449"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0"/>
        <w:rPr>
          <w:rFonts w:ascii="宋体" w:hAnsi="宋体" w:cs="宋体" w:eastAsia="宋体" w:hint="default"/>
          <w:sz w:val="18"/>
          <w:szCs w:val="18"/>
        </w:rPr>
      </w:pPr>
    </w:p>
    <w:p>
      <w:pPr>
        <w:pStyle w:val="BodyText"/>
        <w:spacing w:line="240" w:lineRule="auto" w:before="118"/>
        <w:ind w:right="145"/>
        <w:jc w:val="left"/>
      </w:pPr>
      <w:r>
        <w:rPr>
          <w:rFonts w:ascii="Times New Roman" w:hAnsi="Times New Roman" w:cs="Times New Roman" w:eastAsia="Times New Roman" w:hint="default"/>
          <w:b/>
          <w:bCs/>
        </w:rPr>
        <w:t>6</w:t>
      </w:r>
      <w:r>
        <w:rPr/>
        <w:t>、现金流量表补充资料</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5029"/>
        <w:gridCol w:w="2269"/>
        <w:gridCol w:w="2258"/>
      </w:tblGrid>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118,833,435.20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382,901,693.20</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2,762,664.45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-927,803.14</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144,773,797.23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88,097,941.30</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3,286,296.40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2,784,734.41</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-12,510,707.93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-13,305,488.47</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-924,165.00</w:t>
            </w: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-211,810.35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-63,418.83</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-156,341,036.95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-205,258,734.20</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-99,677,262.29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-188,387,600.56</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80,473,277.67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-22,340,075.28</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single" w:sz="4" w:space="0" w:color="000000"/>
              <w:left w:val="single" w:sz="12" w:space="0" w:color="D3D3D3"/>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9,120,000.00</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80,464,488.43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52,621,248.43</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152,700,674.24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140,226,595.11</w:t>
            </w:r>
          </w:p>
        </w:tc>
      </w:tr>
      <w:tr>
        <w:trPr>
          <w:trHeight w:val="330"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2"/>
                <w:sz w:val="18"/>
              </w:rPr>
              <w:t>140,226,595.11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96,616,646.47</w:t>
            </w:r>
          </w:p>
        </w:tc>
      </w:tr>
      <w:tr>
        <w:trPr>
          <w:trHeight w:val="33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12,474,079.13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43,609,948.64</w:t>
            </w:r>
          </w:p>
        </w:tc>
      </w:tr>
    </w:tbl>
    <w:p>
      <w:pPr>
        <w:spacing w:after="0" w:line="240" w:lineRule="auto"/>
        <w:jc w:val="right"/>
        <w:rPr>
          <w:rFonts w:ascii="Times New Roman" w:hAnsi="Times New Roman" w:cs="Times New Roman" w:eastAsia="Times New Roman" w:hint="default"/>
          <w:sz w:val="18"/>
          <w:szCs w:val="18"/>
        </w:rPr>
        <w:sectPr>
          <w:pgSz w:w="11900" w:h="16840"/>
          <w:pgMar w:header="746"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45"/>
        <w:jc w:val="left"/>
      </w:pPr>
      <w:r>
        <w:rPr>
          <w:rFonts w:ascii="Times New Roman" w:hAnsi="Times New Roman" w:cs="Times New Roman" w:eastAsia="Times New Roman" w:hint="default"/>
          <w:b/>
          <w:bCs/>
        </w:rPr>
        <w:t>7</w:t>
      </w:r>
      <w:r>
        <w:rPr/>
        <w:t>、反向购买下以评估值入账的资产、负债情况</w:t>
      </w:r>
    </w:p>
    <w:p>
      <w:pPr>
        <w:spacing w:line="240" w:lineRule="auto" w:before="12"/>
        <w:rPr>
          <w:rFonts w:ascii="宋体" w:hAnsi="宋体" w:cs="宋体" w:eastAsia="宋体" w:hint="default"/>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90"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595"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0"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58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240"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145"/>
        <w:jc w:val="left"/>
      </w:pPr>
      <w:r>
        <w:rPr/>
        <w:t>十六、补充资料</w:t>
      </w:r>
    </w:p>
    <w:p>
      <w:pPr>
        <w:spacing w:line="240" w:lineRule="auto" w:before="12"/>
        <w:rPr>
          <w:rFonts w:ascii="宋体" w:hAnsi="宋体" w:cs="宋体" w:eastAsia="宋体" w:hint="default"/>
          <w:sz w:val="24"/>
          <w:szCs w:val="24"/>
        </w:rPr>
      </w:pPr>
    </w:p>
    <w:p>
      <w:pPr>
        <w:pStyle w:val="BodyText"/>
        <w:spacing w:line="240" w:lineRule="auto"/>
        <w:ind w:right="145"/>
        <w:jc w:val="left"/>
      </w:pPr>
      <w:r>
        <w:rPr>
          <w:rFonts w:ascii="Times New Roman" w:hAnsi="Times New Roman" w:cs="Times New Roman" w:eastAsia="Times New Roman" w:hint="default"/>
          <w:b/>
          <w:bCs/>
        </w:rPr>
        <w:t>1</w:t>
      </w:r>
      <w:r>
        <w:rPr/>
        <w:t>、净资产收益率及每股收益</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540"/>
        <w:gridCol w:w="2177"/>
        <w:gridCol w:w="1915"/>
        <w:gridCol w:w="1937"/>
      </w:tblGrid>
      <w:tr>
        <w:trPr>
          <w:trHeight w:val="201" w:hRule="exact"/>
        </w:trPr>
        <w:tc>
          <w:tcPr>
            <w:tcW w:w="3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1" w:space="0" w:color="FFFFFF"/>
              <w:right w:val="single" w:sz="4" w:space="0" w:color="000000"/>
            </w:tcBorders>
            <w:shd w:val="clear" w:color="auto" w:fill="D3D3D3"/>
          </w:tcPr>
          <w:p>
            <w:pPr/>
          </w:p>
        </w:tc>
      </w:tr>
      <w:tr>
        <w:trPr>
          <w:trHeight w:val="195" w:hRule="exact"/>
        </w:trPr>
        <w:tc>
          <w:tcPr>
            <w:tcW w:w="3540" w:type="dxa"/>
            <w:vMerge/>
            <w:tcBorders>
              <w:left w:val="single" w:sz="4" w:space="0" w:color="000000"/>
              <w:bottom w:val="nil" w:sz="6" w:space="0" w:color="auto"/>
              <w:right w:val="single" w:sz="4" w:space="0" w:color="000000"/>
            </w:tcBorders>
            <w:shd w:val="clear" w:color="auto" w:fill="D3D3D3"/>
          </w:tcPr>
          <w:p>
            <w:pPr/>
          </w:p>
        </w:tc>
        <w:tc>
          <w:tcPr>
            <w:tcW w:w="2177" w:type="dxa"/>
            <w:vMerge/>
            <w:tcBorders>
              <w:left w:val="single" w:sz="4" w:space="0" w:color="000000"/>
              <w:right w:val="single" w:sz="4" w:space="0" w:color="000000"/>
            </w:tcBorders>
            <w:shd w:val="clear" w:color="auto" w:fill="D3D3D3"/>
          </w:tcPr>
          <w:p>
            <w:pPr/>
          </w:p>
        </w:tc>
        <w:tc>
          <w:tcPr>
            <w:tcW w:w="1915"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6" w:hRule="exact"/>
        </w:trPr>
        <w:tc>
          <w:tcPr>
            <w:tcW w:w="3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7"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37" w:type="dxa"/>
            <w:vMerge/>
            <w:tcBorders>
              <w:left w:val="single" w:sz="4" w:space="0" w:color="000000"/>
              <w:bottom w:val="single" w:sz="4" w:space="0" w:color="000000"/>
              <w:right w:val="single" w:sz="4" w:space="0" w:color="000000"/>
            </w:tcBorders>
            <w:shd w:val="clear" w:color="auto" w:fill="D3D3D3"/>
          </w:tcPr>
          <w:p>
            <w:pPr/>
          </w:p>
        </w:tc>
      </w:tr>
      <w:tr>
        <w:trPr>
          <w:trHeight w:val="128" w:hRule="exact"/>
        </w:trPr>
        <w:tc>
          <w:tcPr>
            <w:tcW w:w="3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7" w:type="dxa"/>
            <w:vMerge w:val="restart"/>
            <w:tcBorders>
              <w:top w:val="single" w:sz="24" w:space="0" w:color="D3D3D3"/>
              <w:left w:val="single" w:sz="12" w:space="0" w:color="D3D3D3"/>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w:t>
            </w:r>
          </w:p>
        </w:tc>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0.29</w:t>
            </w:r>
          </w:p>
        </w:tc>
        <w:tc>
          <w:tcPr>
            <w:tcW w:w="19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0.29</w:t>
            </w:r>
          </w:p>
        </w:tc>
      </w:tr>
      <w:tr>
        <w:trPr>
          <w:trHeight w:val="497" w:hRule="exact"/>
        </w:trPr>
        <w:tc>
          <w:tcPr>
            <w:tcW w:w="35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vMerge/>
            <w:tcBorders>
              <w:left w:val="single" w:sz="12" w:space="0" w:color="D3D3D3"/>
              <w:bottom w:val="single" w:sz="4" w:space="0" w:color="000000"/>
              <w:right w:val="single" w:sz="4" w:space="0" w:color="000000"/>
            </w:tcBorders>
          </w:tcPr>
          <w:p>
            <w:pPr/>
          </w:p>
        </w:tc>
        <w:tc>
          <w:tcPr>
            <w:tcW w:w="1915" w:type="dxa"/>
            <w:vMerge/>
            <w:tcBorders>
              <w:left w:val="single" w:sz="4" w:space="0" w:color="000000"/>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r>
      <w:tr>
        <w:trPr>
          <w:trHeight w:val="715"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pacing w:val="-1"/>
                <w:sz w:val="18"/>
                <w:szCs w:val="18"/>
              </w:rPr>
              <w:t>扣除非经常性损益后归属于公司普通股股东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的净利润</w:t>
            </w:r>
          </w:p>
        </w:tc>
        <w:tc>
          <w:tcPr>
            <w:tcW w:w="21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0.25</w:t>
            </w:r>
          </w:p>
        </w:tc>
      </w:tr>
    </w:tbl>
    <w:p>
      <w:pPr>
        <w:spacing w:line="240" w:lineRule="auto" w:before="3"/>
        <w:rPr>
          <w:rFonts w:ascii="宋体" w:hAnsi="宋体" w:cs="宋体" w:eastAsia="宋体" w:hint="default"/>
          <w:sz w:val="19"/>
          <w:szCs w:val="19"/>
        </w:rPr>
      </w:pPr>
    </w:p>
    <w:p>
      <w:pPr>
        <w:pStyle w:val="BodyText"/>
        <w:spacing w:line="240" w:lineRule="auto" w:before="36"/>
        <w:ind w:right="145"/>
        <w:jc w:val="left"/>
      </w:pPr>
      <w:r>
        <w:rPr>
          <w:rFonts w:ascii="Times New Roman" w:hAnsi="Times New Roman" w:cs="Times New Roman" w:eastAsia="Times New Roman" w:hint="default"/>
          <w:b/>
          <w:bCs/>
        </w:rPr>
        <w:t>2</w:t>
      </w:r>
      <w:r>
        <w:rPr/>
        <w:t>、公司主要会计报表项目的异常情况及原因的说明</w:t>
      </w:r>
    </w:p>
    <w:p>
      <w:pPr>
        <w:spacing w:line="240" w:lineRule="auto" w:before="7"/>
        <w:rPr>
          <w:rFonts w:ascii="宋体" w:hAnsi="宋体" w:cs="宋体" w:eastAsia="宋体" w:hint="default"/>
          <w:sz w:val="24"/>
          <w:szCs w:val="24"/>
        </w:rPr>
      </w:pPr>
    </w:p>
    <w:p>
      <w:pPr>
        <w:pStyle w:val="BodyText"/>
        <w:spacing w:line="240" w:lineRule="auto"/>
        <w:ind w:left="1816" w:right="1044"/>
        <w:jc w:val="center"/>
      </w:pPr>
      <w:r>
        <w:rPr/>
        <w:t>单位：</w:t>
      </w:r>
      <w:r>
        <w:rPr>
          <w:spacing w:val="-19"/>
        </w:rPr>
        <w:t> </w:t>
      </w:r>
      <w:r>
        <w:rPr/>
        <w:t>万元</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157"/>
        <w:gridCol w:w="1440"/>
        <w:gridCol w:w="1620"/>
        <w:gridCol w:w="1260"/>
        <w:gridCol w:w="1620"/>
        <w:gridCol w:w="1363"/>
      </w:tblGrid>
      <w:tr>
        <w:trPr>
          <w:trHeight w:val="66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78" w:right="59" w:hanging="209"/>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年费用占营</w:t>
            </w:r>
            <w:r>
              <w:rPr>
                <w:rFonts w:ascii="宋体" w:hAnsi="宋体" w:cs="宋体" w:eastAsia="宋体" w:hint="default"/>
                <w:w w:val="100"/>
                <w:sz w:val="21"/>
                <w:szCs w:val="21"/>
              </w:rPr>
              <w:t> </w:t>
            </w:r>
            <w:r>
              <w:rPr>
                <w:rFonts w:ascii="宋体" w:hAnsi="宋体" w:cs="宋体" w:eastAsia="宋体" w:hint="default"/>
                <w:sz w:val="21"/>
                <w:szCs w:val="21"/>
              </w:rPr>
              <w:t>业收入比例</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9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78" w:right="59" w:hanging="20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年费用占营</w:t>
            </w:r>
            <w:r>
              <w:rPr>
                <w:rFonts w:ascii="宋体" w:hAnsi="宋体" w:cs="宋体" w:eastAsia="宋体" w:hint="default"/>
                <w:w w:val="100"/>
                <w:sz w:val="21"/>
                <w:szCs w:val="21"/>
              </w:rPr>
              <w:t> </w:t>
            </w:r>
            <w:r>
              <w:rPr>
                <w:rFonts w:ascii="宋体" w:hAnsi="宋体" w:cs="宋体" w:eastAsia="宋体" w:hint="default"/>
                <w:sz w:val="21"/>
                <w:szCs w:val="21"/>
              </w:rPr>
              <w:t>业收入比例</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46"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210,477.09</w:t>
            </w:r>
          </w:p>
        </w:tc>
        <w:tc>
          <w:tcPr>
            <w:tcW w:w="16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4"/>
              <w:jc w:val="right"/>
              <w:rPr>
                <w:rFonts w:ascii="Times New Roman" w:hAnsi="Times New Roman" w:cs="Times New Roman" w:eastAsia="Times New Roman" w:hint="default"/>
                <w:sz w:val="21"/>
                <w:szCs w:val="21"/>
              </w:rPr>
            </w:pPr>
            <w:r>
              <w:rPr>
                <w:rFonts w:ascii="Times New Roman"/>
                <w:spacing w:val="-2"/>
                <w:sz w:val="21"/>
              </w:rPr>
              <w:t>195,592.26</w:t>
            </w:r>
          </w:p>
        </w:tc>
        <w:tc>
          <w:tcPr>
            <w:tcW w:w="1620"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7.61%</w:t>
            </w:r>
          </w:p>
        </w:tc>
      </w:tr>
      <w:tr>
        <w:trPr>
          <w:trHeight w:val="34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188,468.75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79" w:right="0"/>
              <w:jc w:val="left"/>
              <w:rPr>
                <w:rFonts w:ascii="Times New Roman" w:hAnsi="Times New Roman" w:cs="Times New Roman" w:eastAsia="Times New Roman" w:hint="default"/>
                <w:sz w:val="21"/>
                <w:szCs w:val="21"/>
              </w:rPr>
            </w:pPr>
            <w:r>
              <w:rPr>
                <w:rFonts w:ascii="Times New Roman"/>
                <w:sz w:val="21"/>
              </w:rPr>
              <w:t>89.54%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4"/>
              <w:jc w:val="right"/>
              <w:rPr>
                <w:rFonts w:ascii="Times New Roman" w:hAnsi="Times New Roman" w:cs="Times New Roman" w:eastAsia="Times New Roman" w:hint="default"/>
                <w:sz w:val="21"/>
                <w:szCs w:val="21"/>
              </w:rPr>
            </w:pPr>
            <w:r>
              <w:rPr>
                <w:rFonts w:ascii="Times New Roman"/>
                <w:spacing w:val="-2"/>
                <w:sz w:val="21"/>
              </w:rPr>
              <w:t>147,577.46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0" w:right="0"/>
              <w:jc w:val="left"/>
              <w:rPr>
                <w:rFonts w:ascii="Times New Roman" w:hAnsi="Times New Roman" w:cs="Times New Roman" w:eastAsia="Times New Roman" w:hint="default"/>
                <w:sz w:val="21"/>
                <w:szCs w:val="21"/>
              </w:rPr>
            </w:pPr>
            <w:r>
              <w:rPr>
                <w:rFonts w:ascii="Times New Roman"/>
                <w:sz w:val="21"/>
              </w:rPr>
              <w:t>75.45%</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27.71%</w:t>
            </w:r>
          </w:p>
        </w:tc>
      </w:tr>
      <w:tr>
        <w:trPr>
          <w:trHeight w:val="34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2,637.38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32" w:right="0"/>
              <w:jc w:val="left"/>
              <w:rPr>
                <w:rFonts w:ascii="Times New Roman" w:hAnsi="Times New Roman" w:cs="Times New Roman" w:eastAsia="Times New Roman" w:hint="default"/>
                <w:sz w:val="21"/>
                <w:szCs w:val="21"/>
              </w:rPr>
            </w:pPr>
            <w:r>
              <w:rPr>
                <w:rFonts w:ascii="Times New Roman"/>
                <w:sz w:val="21"/>
              </w:rPr>
              <w:t>1.25%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56" w:right="0"/>
              <w:jc w:val="left"/>
              <w:rPr>
                <w:rFonts w:ascii="Times New Roman" w:hAnsi="Times New Roman" w:cs="Times New Roman" w:eastAsia="Times New Roman" w:hint="default"/>
                <w:sz w:val="21"/>
                <w:szCs w:val="21"/>
              </w:rPr>
            </w:pPr>
            <w:r>
              <w:rPr>
                <w:rFonts w:ascii="Times New Roman"/>
                <w:sz w:val="21"/>
              </w:rPr>
              <w:t>1,609.22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32" w:right="0"/>
              <w:jc w:val="left"/>
              <w:rPr>
                <w:rFonts w:ascii="Times New Roman" w:hAnsi="Times New Roman" w:cs="Times New Roman" w:eastAsia="Times New Roman" w:hint="default"/>
                <w:sz w:val="21"/>
                <w:szCs w:val="21"/>
              </w:rPr>
            </w:pPr>
            <w:r>
              <w:rPr>
                <w:rFonts w:ascii="Times New Roman"/>
                <w:sz w:val="21"/>
              </w:rPr>
              <w:t>0.82%</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63.89%</w:t>
            </w:r>
          </w:p>
        </w:tc>
      </w:tr>
      <w:tr>
        <w:trPr>
          <w:trHeight w:val="346"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11,883.34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32" w:right="0"/>
              <w:jc w:val="left"/>
              <w:rPr>
                <w:rFonts w:ascii="Times New Roman" w:hAnsi="Times New Roman" w:cs="Times New Roman" w:eastAsia="Times New Roman" w:hint="default"/>
                <w:sz w:val="21"/>
                <w:szCs w:val="21"/>
              </w:rPr>
            </w:pPr>
            <w:r>
              <w:rPr>
                <w:rFonts w:ascii="Times New Roman"/>
                <w:sz w:val="21"/>
              </w:rPr>
              <w:t>5.65%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6"/>
              <w:jc w:val="right"/>
              <w:rPr>
                <w:rFonts w:ascii="Times New Roman" w:hAnsi="Times New Roman" w:cs="Times New Roman" w:eastAsia="Times New Roman" w:hint="default"/>
                <w:sz w:val="21"/>
                <w:szCs w:val="21"/>
              </w:rPr>
            </w:pPr>
            <w:r>
              <w:rPr>
                <w:rFonts w:ascii="Times New Roman"/>
                <w:spacing w:val="-2"/>
                <w:sz w:val="21"/>
              </w:rPr>
              <w:t>38,290.17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79" w:right="0"/>
              <w:jc w:val="left"/>
              <w:rPr>
                <w:rFonts w:ascii="Times New Roman" w:hAnsi="Times New Roman" w:cs="Times New Roman" w:eastAsia="Times New Roman" w:hint="default"/>
                <w:sz w:val="21"/>
                <w:szCs w:val="21"/>
              </w:rPr>
            </w:pPr>
            <w:r>
              <w:rPr>
                <w:rFonts w:ascii="Times New Roman"/>
                <w:sz w:val="21"/>
              </w:rPr>
              <w:t>19.58%</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-68.97%</w:t>
            </w:r>
          </w:p>
        </w:tc>
      </w:tr>
    </w:tbl>
    <w:p>
      <w:pPr>
        <w:spacing w:line="240" w:lineRule="auto" w:before="3"/>
        <w:rPr>
          <w:rFonts w:ascii="宋体" w:hAnsi="宋体" w:cs="宋体" w:eastAsia="宋体" w:hint="default"/>
          <w:sz w:val="8"/>
          <w:szCs w:val="8"/>
        </w:rPr>
      </w:pPr>
    </w:p>
    <w:p>
      <w:pPr>
        <w:pStyle w:val="BodyText"/>
        <w:spacing w:line="240" w:lineRule="auto" w:before="36"/>
        <w:ind w:left="320" w:right="145"/>
        <w:jc w:val="left"/>
      </w:pPr>
      <w:r>
        <w:rPr/>
        <w:t>变动原因说明：</w:t>
      </w:r>
    </w:p>
    <w:p>
      <w:pPr>
        <w:spacing w:line="240" w:lineRule="auto" w:before="10"/>
        <w:rPr>
          <w:rFonts w:ascii="宋体" w:hAnsi="宋体" w:cs="宋体" w:eastAsia="宋体" w:hint="default"/>
          <w:sz w:val="14"/>
          <w:szCs w:val="14"/>
        </w:rPr>
      </w:pPr>
    </w:p>
    <w:p>
      <w:pPr>
        <w:pStyle w:val="BodyText"/>
        <w:spacing w:line="261" w:lineRule="auto"/>
        <w:ind w:right="103" w:firstLine="288"/>
        <w:jc w:val="both"/>
      </w:pPr>
      <w:r>
        <w:rPr>
          <w:spacing w:val="-3"/>
        </w:rPr>
        <w:t>公司主要生产聚酯薄膜等新型功能性薄膜产品，随着公司产能的增加，营业收入同比增长</w:t>
      </w:r>
      <w:r>
        <w:rPr>
          <w:rFonts w:ascii="Times New Roman" w:hAnsi="Times New Roman" w:cs="Times New Roman" w:eastAsia="Times New Roman" w:hint="default"/>
          <w:spacing w:val="-3"/>
        </w:rPr>
        <w:t>7.61%</w:t>
      </w:r>
      <w:r>
        <w:rPr>
          <w:spacing w:val="-3"/>
        </w:rPr>
        <w:t>；公司</w:t>
      </w:r>
      <w:r>
        <w:rPr>
          <w:w w:val="100"/>
        </w:rPr>
        <w:t> </w:t>
      </w:r>
      <w:r>
        <w:rPr>
          <w:spacing w:val="-3"/>
        </w:rPr>
        <w:t>重点开发差异化聚酯薄膜产品，以调整客户结构和产品结构，提升公司的盈利能力。由于经济下行，行业</w:t>
      </w:r>
      <w:r>
        <w:rPr>
          <w:spacing w:val="2"/>
        </w:rPr>
        <w:t> </w:t>
      </w:r>
      <w:r>
        <w:rPr>
          <w:spacing w:val="2"/>
        </w:rPr>
      </w:r>
      <w:r>
        <w:rPr>
          <w:spacing w:val="-2"/>
        </w:rPr>
        <w:t>竞争激烈等影响产品及原材料价格波动较大，导致营业成本同比增长</w:t>
      </w:r>
      <w:r>
        <w:rPr>
          <w:rFonts w:ascii="Times New Roman" w:hAnsi="Times New Roman" w:cs="Times New Roman" w:eastAsia="Times New Roman" w:hint="default"/>
          <w:spacing w:val="-2"/>
        </w:rPr>
        <w:t>27.71%</w:t>
      </w:r>
      <w:r>
        <w:rPr>
          <w:spacing w:val="-2"/>
        </w:rPr>
        <w:t>；公司受到经济下行的影响，</w:t>
      </w:r>
      <w:r>
        <w:rPr>
          <w:spacing w:val="-18"/>
        </w:rPr>
        <w:t> </w:t>
      </w:r>
      <w:r>
        <w:rPr>
          <w:spacing w:val="-18"/>
        </w:rPr>
      </w:r>
      <w:r>
        <w:rPr/>
        <w:t>市场竞争激烈，产品单价下降幅度较大，使得公司净利润较上年同期减少了</w:t>
      </w:r>
      <w:r>
        <w:rPr>
          <w:rFonts w:ascii="Times New Roman" w:hAnsi="Times New Roman" w:cs="Times New Roman" w:eastAsia="Times New Roman" w:hint="default"/>
        </w:rPr>
        <w:t>68.97%</w:t>
      </w:r>
      <w:r>
        <w:rPr/>
        <w:t>。</w:t>
      </w:r>
    </w:p>
    <w:p>
      <w:pPr>
        <w:spacing w:after="0" w:line="261" w:lineRule="auto"/>
        <w:jc w:val="both"/>
        <w:sectPr>
          <w:pgSz w:w="11900" w:h="1684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4" w:right="0"/>
        <w:jc w:val="left"/>
      </w:pPr>
      <w:bookmarkStart w:name="_TOC_250000" w:id="11"/>
      <w:r>
        <w:rPr/>
        <w:t>第十一节</w:t>
      </w:r>
      <w:r>
        <w:rPr>
          <w:spacing w:val="8"/>
        </w:rPr>
        <w:t> </w:t>
      </w:r>
      <w:bookmarkEnd w:id="11"/>
      <w:r>
        <w:rPr/>
        <w:t>备查文件目录</w:t>
      </w:r>
    </w:p>
    <w:p>
      <w:pPr>
        <w:spacing w:line="240" w:lineRule="auto" w:before="10"/>
        <w:rPr>
          <w:rFonts w:ascii="宋体" w:hAnsi="宋体" w:cs="宋体" w:eastAsia="宋体" w:hint="default"/>
          <w:sz w:val="38"/>
          <w:szCs w:val="38"/>
        </w:rPr>
      </w:pPr>
    </w:p>
    <w:p>
      <w:pPr>
        <w:pStyle w:val="Heading2"/>
        <w:spacing w:line="240" w:lineRule="auto"/>
        <w:ind w:left="632" w:right="0"/>
        <w:jc w:val="left"/>
      </w:pPr>
      <w:r>
        <w:rPr>
          <w:rFonts w:ascii="Times New Roman" w:hAnsi="Times New Roman" w:cs="Times New Roman" w:eastAsia="Times New Roman" w:hint="default"/>
        </w:rPr>
        <w:t>1</w:t>
      </w:r>
      <w:r>
        <w:rPr/>
        <w:t>、载有公司全体董事、高级管理人员签名确认的</w:t>
      </w:r>
      <w:r>
        <w:rPr>
          <w:rFonts w:ascii="Times New Roman" w:hAnsi="Times New Roman" w:cs="Times New Roman" w:eastAsia="Times New Roman" w:hint="default"/>
        </w:rPr>
        <w:t>2012</w:t>
      </w:r>
      <w:r>
        <w:rPr/>
        <w:t>年度报告正本。</w:t>
      </w:r>
    </w:p>
    <w:p>
      <w:pPr>
        <w:pStyle w:val="Heading2"/>
        <w:spacing w:line="312" w:lineRule="exact" w:before="166"/>
        <w:ind w:right="0" w:firstLine="480"/>
        <w:jc w:val="left"/>
      </w:pPr>
      <w:r>
        <w:rPr>
          <w:rFonts w:ascii="Times New Roman" w:hAnsi="Times New Roman" w:cs="Times New Roman" w:eastAsia="Times New Roman" w:hint="default"/>
          <w:spacing w:val="-4"/>
        </w:rPr>
        <w:t>2</w:t>
      </w:r>
      <w:r>
        <w:rPr>
          <w:spacing w:val="-4"/>
        </w:rPr>
        <w:t>、载有公司法定代表人吴培服、主管会计工作负责人周海燕及会计机构负责人邹雪梅签</w:t>
      </w:r>
      <w:r>
        <w:rPr>
          <w:w w:val="100"/>
        </w:rPr>
        <w:t> </w:t>
      </w:r>
      <w:r>
        <w:rPr/>
        <w:t>名并盖章的会计报表。</w:t>
      </w:r>
    </w:p>
    <w:p>
      <w:pPr>
        <w:pStyle w:val="Heading2"/>
        <w:spacing w:line="312" w:lineRule="exact" w:before="156"/>
        <w:ind w:right="0" w:firstLine="480"/>
        <w:jc w:val="left"/>
      </w:pPr>
      <w:r>
        <w:rPr>
          <w:rFonts w:ascii="Times New Roman" w:hAnsi="Times New Roman" w:cs="Times New Roman" w:eastAsia="Times New Roman" w:hint="default"/>
          <w:spacing w:val="-3"/>
        </w:rPr>
        <w:t>3</w:t>
      </w:r>
      <w:r>
        <w:rPr>
          <w:spacing w:val="-3"/>
        </w:rPr>
        <w:t>、载有上海众华沪银会计师事务所有限公司所盖章，注册会计师傅林生、蒯薏苡签名并</w:t>
      </w:r>
      <w:r>
        <w:rPr>
          <w:w w:val="100"/>
        </w:rPr>
        <w:t> </w:t>
      </w:r>
      <w:r>
        <w:rPr/>
        <w:t>盖章的公司</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年度审计报告原件。</w:t>
      </w:r>
    </w:p>
    <w:p>
      <w:pPr>
        <w:pStyle w:val="Heading2"/>
        <w:spacing w:line="240" w:lineRule="auto" w:before="125"/>
        <w:ind w:left="632"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Heading2"/>
        <w:spacing w:line="240" w:lineRule="auto" w:before="135"/>
        <w:ind w:left="632" w:right="0"/>
        <w:jc w:val="left"/>
      </w:pPr>
      <w:r>
        <w:rPr>
          <w:rFonts w:ascii="Times New Roman" w:hAnsi="Times New Roman" w:cs="Times New Roman" w:eastAsia="Times New Roman" w:hint="default"/>
        </w:rPr>
        <w:t>5</w:t>
      </w:r>
      <w:r>
        <w:rPr/>
        <w:t>、备查文件备置地点：董事会办公室。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660" w:lineRule="auto" w:before="215"/>
        <w:ind w:left="6512" w:right="943" w:hanging="1080"/>
        <w:jc w:val="left"/>
      </w:pPr>
      <w:r>
        <w:rPr>
          <w:spacing w:val="-1"/>
        </w:rPr>
        <w:t>江苏双星彩塑新材料股份有限公司</w:t>
      </w:r>
      <w:r>
        <w:rPr>
          <w:spacing w:val="-110"/>
        </w:rPr>
        <w:t> </w:t>
      </w:r>
      <w:r>
        <w:rPr>
          <w:spacing w:val="-110"/>
        </w:rPr>
      </w:r>
      <w:r>
        <w:rPr/>
        <w:t>董事长：吴培服</w:t>
      </w:r>
    </w:p>
    <w:p>
      <w:pPr>
        <w:pStyle w:val="Heading2"/>
        <w:spacing w:line="240" w:lineRule="auto" w:before="130"/>
        <w:ind w:left="6152" w:right="0"/>
        <w:jc w:val="left"/>
      </w:pPr>
      <w:r>
        <w:rPr/>
        <w:t>二〇一三年三月二十七日</w:t>
      </w:r>
    </w:p>
    <w:sectPr>
      <w:pgSz w:w="11900" w:h="16840"/>
      <w:pgMar w:header="746" w:footer="982" w:top="1060" w:bottom="118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998779pt;margin-top:795.557129pt;width:6.55pt;height:11pt;mso-position-horizontal-relative:page;mso-position-vertical-relative:page;z-index:-687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w w:val="100"/>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78784pt;margin-top:781.877136pt;width:17.650pt;height:11pt;mso-position-horizontal-relative:page;mso-position-vertical-relative:page;z-index:-687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238770pt;margin-top:781.877136pt;width:17.3pt;height:11pt;mso-position-horizontal-relative:page;mso-position-vertical-relative:page;z-index:-687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78784pt;margin-top:781.877136pt;width:17.650pt;height:11pt;mso-position-horizontal-relative:page;mso-position-vertical-relative:page;z-index:-687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998779pt;margin-top:781.877136pt;width:8.550pt;height:11pt;mso-position-horizontal-relative:page;mso-position-vertical-relative:page;z-index:-687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w w:val="100"/>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8782pt;margin-top:781.877136pt;width:13.1pt;height:11pt;mso-position-horizontal-relative:page;mso-position-vertical-relative:page;z-index:-687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5.878876pt;margin-top:36.304947pt;width:213.75pt;height:11.5pt;mso-position-horizontal-relative:page;mso-position-vertical-relative:page;z-index:-687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816"/>
      <w:outlineLvl w:val="1"/>
    </w:pPr>
    <w:rPr>
      <w:rFonts w:ascii="宋体" w:hAnsi="宋体" w:eastAsia="宋体"/>
      <w:sz w:val="32"/>
      <w:szCs w:val="32"/>
    </w:rPr>
  </w:style>
  <w:style w:styleId="Heading2" w:type="paragraph">
    <w:name w:val="Heading 2"/>
    <w:basedOn w:val="Normal"/>
    <w:uiPriority w:val="1"/>
    <w:qFormat/>
    <w:pPr>
      <w:ind w:left="152"/>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huangxingcaisu.com/" TargetMode="External"/><Relationship Id="rId10" Type="http://schemas.openxmlformats.org/officeDocument/2006/relationships/hyperlink" Target="mailto:wudi@shuangxingcaisu.com" TargetMode="External"/><Relationship Id="rId11" Type="http://schemas.openxmlformats.org/officeDocument/2006/relationships/hyperlink" Target="mailto:002585@shuangxingcaisu.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2.jpeg"/><Relationship Id="rId17" Type="http://schemas.openxmlformats.org/officeDocument/2006/relationships/footer" Target="footer6.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PDFￗﾪﾻﾻￆ￷</dc:creator>
  <cp:keywords>PDFￗﾪﾻﾻￆ￷</cp:keywords>
  <dc:subject>PDFￗﾪﾻﾻￆ￷</dc:subject>
  <dc:title>PDFￗﾪﾻﾻￆ￷</dc:title>
  <dcterms:created xsi:type="dcterms:W3CDTF">2020-05-04T01:18:32Z</dcterms:created>
  <dcterms:modified xsi:type="dcterms:W3CDTF">2020-05-04T01:18:32Z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PDFￗﾪﾻﾻￆ￷</vt:lpwstr>
  </property>
  <property fmtid="{D5CDD505-2E9C-101B-9397-08002B2CF9AE}" pid="4" name="LastSaved">
    <vt:filetime>2020-05-03T00:00:00Z</vt:filetime>
  </property>
</Properties>
</file>