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765" w:lineRule="exact"/>
        <w:ind w:left="377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drawing>
          <wp:inline distT="0" distB="0" distL="0" distR="0">
            <wp:extent cx="1519525" cy="112128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519525" cy="1121282"/>
                    </a:xfrm>
                    <a:prstGeom prst="rect">
                      <a:avLst/>
                    </a:prstGeom>
                  </pic:spPr>
                </pic:pic>
              </a:graphicData>
            </a:graphic>
          </wp:inline>
        </w:drawing>
      </w:r>
      <w:r>
        <w:rPr>
          <w:rFonts w:ascii="Times New Roman" w:hAnsi="Times New Roman" w:cs="Times New Roman" w:eastAsia="Times New Roman" w:hint="default"/>
          <w:position w:val="-34"/>
          <w:sz w:val="20"/>
          <w:szCs w:val="20"/>
        </w:rPr>
      </w:r>
    </w:p>
    <w:p>
      <w:pPr>
        <w:spacing w:line="240" w:lineRule="auto" w:before="11"/>
        <w:rPr>
          <w:rFonts w:ascii="Times New Roman" w:hAnsi="Times New Roman" w:cs="Times New Roman" w:eastAsia="Times New Roman" w:hint="default"/>
          <w:sz w:val="13"/>
          <w:szCs w:val="13"/>
        </w:rPr>
      </w:pPr>
    </w:p>
    <w:p>
      <w:pPr>
        <w:spacing w:line="460" w:lineRule="exact" w:before="0"/>
        <w:ind w:left="2241" w:right="2244" w:firstLine="0"/>
        <w:jc w:val="center"/>
        <w:rPr>
          <w:rFonts w:ascii="宋体" w:hAnsi="宋体" w:cs="宋体" w:eastAsia="宋体" w:hint="default"/>
          <w:sz w:val="36"/>
          <w:szCs w:val="36"/>
        </w:rPr>
      </w:pPr>
      <w:r>
        <w:rPr>
          <w:rFonts w:ascii="宋体" w:hAnsi="宋体" w:cs="宋体" w:eastAsia="宋体" w:hint="default"/>
          <w:b/>
          <w:bCs/>
          <w:sz w:val="36"/>
          <w:szCs w:val="36"/>
        </w:rPr>
        <w:t>江苏双星彩塑新材料股份有限公司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241" w:right="224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48"/>
          <w:szCs w:val="48"/>
        </w:rPr>
      </w:pPr>
    </w:p>
    <w:p>
      <w:pPr>
        <w:spacing w:before="0"/>
        <w:ind w:left="2241" w:right="224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46"/>
        <w:jc w:val="left"/>
        <w:rPr>
          <w:b w:val="0"/>
          <w:bCs w:val="0"/>
        </w:rPr>
      </w:pPr>
      <w:bookmarkStart w:name="_TOC_250011"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5" w:lineRule="auto" w:before="162"/>
        <w:ind w:left="714" w:right="146"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551,790,494</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0</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3</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line="446" w:lineRule="auto" w:before="236"/>
        <w:ind w:left="714" w:right="146" w:hanging="563"/>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3</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b/>
          <w:bCs/>
          <w:spacing w:val="-136"/>
          <w:sz w:val="28"/>
          <w:szCs w:val="28"/>
        </w:rPr>
        <w:t> </w:t>
      </w:r>
      <w:r>
        <w:rPr>
          <w:rFonts w:ascii="宋体" w:hAnsi="宋体" w:cs="宋体" w:eastAsia="宋体" w:hint="default"/>
          <w:b/>
          <w:bCs/>
          <w:w w:val="95"/>
          <w:sz w:val="28"/>
          <w:szCs w:val="28"/>
        </w:rPr>
        <w:t>公司负责人吴培服、主管会计工作负责人周海燕及会计机构负责人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57" w:lineRule="exact" w:before="0"/>
        <w:ind w:left="152" w:right="146"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邹雪梅声明：保证年度报告中财务报告的真实、准确、完整。</w:t>
      </w:r>
      <w:r>
        <w:rPr>
          <w:rFonts w:ascii="宋体" w:hAnsi="宋体" w:cs="宋体" w:eastAsia="宋体" w:hint="default"/>
          <w:sz w:val="28"/>
          <w:szCs w:val="28"/>
        </w:rPr>
      </w:r>
    </w:p>
    <w:p>
      <w:pPr>
        <w:spacing w:after="0" w:line="357" w:lineRule="exact"/>
        <w:jc w:val="left"/>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241" w:right="224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11">
            <w:r>
              <w:rPr/>
              <w:t>第一节</w:t>
            </w:r>
            <w:r>
              <w:rPr>
                <w:spacing w:val="-18"/>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8"/>
              </w:rPr>
              <w:t> </w:t>
            </w:r>
            <w:r>
              <w:rPr/>
              <w:t>公司简介</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8"/>
              </w:rPr>
              <w:t> </w:t>
            </w:r>
            <w:r>
              <w:rPr/>
              <w:t>会计数据和财务指标摘要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7"/>
              </w:rPr>
              <w:t> </w:t>
            </w:r>
            <w:r>
              <w:rPr/>
              <w:t>董事会报告</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8"/>
              </w:rPr>
              <w:t> </w:t>
            </w:r>
            <w:r>
              <w:rPr/>
              <w:t>重要事项</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8"/>
              </w:rPr>
              <w:t> </w:t>
            </w:r>
            <w:r>
              <w:rPr/>
              <w:t>股份变动及股东情况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8"/>
              </w:rPr>
              <w:t> </w:t>
            </w:r>
            <w:r>
              <w:rPr/>
              <w:t>优先股相关情况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8"/>
              </w:rPr>
              <w:t> </w:t>
            </w:r>
            <w:r>
              <w:rPr/>
              <w:t>董事、监事、高级管理人员和员工情况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8"/>
              </w:rPr>
              <w:t> </w:t>
            </w:r>
            <w:r>
              <w:rPr/>
              <w:t>公司治理</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8"/>
              </w:rPr>
              <w:t> </w:t>
            </w:r>
            <w:r>
              <w:rPr/>
              <w:t>内部控制</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7"/>
              </w:rPr>
              <w:t> </w:t>
            </w:r>
            <w:r>
              <w:rPr/>
              <w:t>财务报告</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18"/>
              </w:rPr>
              <w:t> </w:t>
            </w:r>
            <w:r>
              <w:rPr/>
              <w:t>备查文件目录</w:t>
            </w:r>
            <w:r>
              <w:rPr>
                <w:rFonts w:ascii="Times New Roman" w:hAnsi="Times New Roman" w:cs="Times New Roman" w:eastAsia="Times New Roman" w:hint="default"/>
              </w:rPr>
              <w:tab/>
              <w:t>129</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80" w:top="1060" w:bottom="1160" w:left="980" w:right="980"/>
        </w:sectPr>
      </w:pPr>
    </w:p>
    <w:p>
      <w:pPr>
        <w:spacing w:before="945"/>
        <w:ind w:left="2241" w:right="224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公司、本公司、双星新材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迪智成投资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宿迁市迪智成投资咨询有限公司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启恒投资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宿迁市启恒投资有限公司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《江苏双星彩塑新材料股份有限公司章程》</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以聚酯切片为主要原料，采用先进的工艺配方，经过干燥、熔融、挤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出、铸片和拉伸制成的薄膜，具有优良的工业特性</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聚酯切片</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50"/>
              <w:jc w:val="both"/>
              <w:rPr>
                <w:rFonts w:ascii="宋体" w:hAnsi="宋体" w:cs="宋体" w:eastAsia="宋体" w:hint="default"/>
                <w:sz w:val="18"/>
                <w:szCs w:val="18"/>
              </w:rPr>
            </w:pPr>
            <w:r>
              <w:rPr>
                <w:rFonts w:ascii="宋体" w:hAnsi="宋体" w:cs="宋体" w:eastAsia="宋体" w:hint="default"/>
                <w:sz w:val="18"/>
                <w:szCs w:val="18"/>
              </w:rPr>
              <w:t>由聚酯经物理加工制成的切片，目前主要用于瓶级聚酯</w:t>
            </w:r>
            <w:r>
              <w:rPr>
                <w:rFonts w:ascii="Times New Roman" w:hAnsi="Times New Roman" w:cs="Times New Roman" w:eastAsia="Times New Roman" w:hint="default"/>
                <w:sz w:val="18"/>
                <w:szCs w:val="18"/>
              </w:rPr>
              <w:t>(</w:t>
            </w:r>
            <w:r>
              <w:rPr>
                <w:rFonts w:ascii="宋体" w:hAnsi="宋体" w:cs="宋体" w:eastAsia="宋体" w:hint="default"/>
                <w:sz w:val="18"/>
                <w:szCs w:val="18"/>
              </w:rPr>
              <w:t>广泛用于各 种饮料尤其是碳酸饮料的包装</w:t>
            </w:r>
            <w:r>
              <w:rPr>
                <w:rFonts w:ascii="Times New Roman" w:hAnsi="Times New Roman" w:cs="Times New Roman" w:eastAsia="Times New Roman" w:hint="default"/>
                <w:sz w:val="18"/>
                <w:szCs w:val="18"/>
              </w:rPr>
              <w:t>)</w:t>
            </w:r>
            <w:r>
              <w:rPr>
                <w:rFonts w:ascii="宋体" w:hAnsi="宋体" w:cs="宋体" w:eastAsia="宋体" w:hint="default"/>
                <w:sz w:val="18"/>
                <w:szCs w:val="18"/>
              </w:rPr>
              <w:t>、聚酯薄膜</w:t>
            </w:r>
            <w:r>
              <w:rPr>
                <w:rFonts w:ascii="Times New Roman" w:hAnsi="Times New Roman" w:cs="Times New Roman" w:eastAsia="Times New Roman" w:hint="default"/>
                <w:sz w:val="18"/>
                <w:szCs w:val="18"/>
              </w:rPr>
              <w:t>(</w:t>
            </w:r>
            <w:r>
              <w:rPr>
                <w:rFonts w:ascii="宋体" w:hAnsi="宋体" w:cs="宋体" w:eastAsia="宋体" w:hint="default"/>
                <w:sz w:val="18"/>
                <w:szCs w:val="18"/>
              </w:rPr>
              <w:t>主要用于包装材料、胶片 和磁带等</w:t>
            </w:r>
            <w:r>
              <w:rPr>
                <w:rFonts w:ascii="Times New Roman" w:hAnsi="Times New Roman" w:cs="Times New Roman" w:eastAsia="Times New Roman" w:hint="default"/>
                <w:sz w:val="18"/>
                <w:szCs w:val="18"/>
              </w:rPr>
              <w:t>)</w:t>
            </w:r>
            <w:r>
              <w:rPr>
                <w:rFonts w:ascii="宋体" w:hAnsi="宋体" w:cs="宋体" w:eastAsia="宋体" w:hint="default"/>
                <w:sz w:val="18"/>
                <w:szCs w:val="18"/>
              </w:rPr>
              <w:t>以及化纤用涤纶</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5"/>
                <w:sz w:val="18"/>
              </w:rPr>
              <w:t>PTA</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46"/>
              <w:jc w:val="left"/>
              <w:rPr>
                <w:rFonts w:ascii="宋体" w:hAnsi="宋体" w:cs="宋体" w:eastAsia="宋体" w:hint="default"/>
                <w:sz w:val="18"/>
                <w:szCs w:val="18"/>
              </w:rPr>
            </w:pPr>
            <w:r>
              <w:rPr>
                <w:rFonts w:ascii="宋体" w:hAnsi="宋体" w:cs="宋体" w:eastAsia="宋体" w:hint="default"/>
                <w:w w:val="99"/>
                <w:sz w:val="18"/>
                <w:szCs w:val="18"/>
              </w:rPr>
              <w:t>精对苯二甲酸（</w:t>
            </w:r>
            <w:r>
              <w:rPr>
                <w:rFonts w:ascii="Times New Roman" w:hAnsi="Times New Roman" w:cs="Times New Roman" w:eastAsia="Times New Roman" w:hint="default"/>
                <w:w w:val="99"/>
                <w:sz w:val="18"/>
                <w:szCs w:val="18"/>
              </w:rPr>
              <w:t>Pure </w:t>
            </w:r>
            <w:r>
              <w:rPr>
                <w:rFonts w:ascii="Times New Roman" w:hAnsi="Times New Roman" w:cs="Times New Roman" w:eastAsia="Times New Roman" w:hint="default"/>
                <w:spacing w:val="-2"/>
                <w:sz w:val="18"/>
                <w:szCs w:val="18"/>
              </w:rPr>
              <w:t>Terephthalic</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w w:val="99"/>
                <w:sz w:val="18"/>
                <w:szCs w:val="18"/>
              </w:rPr>
              <w:t>Acid</w:t>
            </w:r>
            <w:r>
              <w:rPr>
                <w:rFonts w:ascii="宋体" w:hAnsi="宋体" w:cs="宋体" w:eastAsia="宋体" w:hint="default"/>
                <w:spacing w:val="-6"/>
                <w:w w:val="99"/>
                <w:sz w:val="18"/>
                <w:szCs w:val="18"/>
              </w:rPr>
              <w:t>），一种化工原料，聚酯切片的</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z w:val="18"/>
                <w:szCs w:val="18"/>
              </w:rPr>
              <w:t>主要原料之一</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MEG</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49"/>
              <w:jc w:val="left"/>
              <w:rPr>
                <w:rFonts w:ascii="宋体" w:hAnsi="宋体" w:cs="宋体" w:eastAsia="宋体" w:hint="default"/>
                <w:sz w:val="18"/>
                <w:szCs w:val="18"/>
              </w:rPr>
            </w:pPr>
            <w:r>
              <w:rPr>
                <w:rFonts w:ascii="宋体" w:hAnsi="宋体" w:cs="宋体" w:eastAsia="宋体" w:hint="default"/>
                <w:spacing w:val="-1"/>
                <w:w w:val="99"/>
                <w:sz w:val="18"/>
                <w:szCs w:val="18"/>
              </w:rPr>
              <w:t>乙二醇（</w:t>
            </w:r>
            <w:r>
              <w:rPr>
                <w:rFonts w:ascii="Times New Roman" w:hAnsi="Times New Roman" w:cs="Times New Roman" w:eastAsia="Times New Roman" w:hint="default"/>
                <w:spacing w:val="-1"/>
                <w:w w:val="99"/>
                <w:sz w:val="18"/>
                <w:szCs w:val="18"/>
              </w:rPr>
              <w:t>Mono</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1"/>
                <w:sz w:val="18"/>
                <w:szCs w:val="18"/>
              </w:rPr>
              <w:t>Ethylene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4"/>
                <w:w w:val="99"/>
                <w:sz w:val="18"/>
                <w:szCs w:val="18"/>
              </w:rPr>
              <w:t>Glycol</w:t>
            </w:r>
            <w:r>
              <w:rPr>
                <w:rFonts w:ascii="宋体" w:hAnsi="宋体" w:cs="宋体" w:eastAsia="宋体" w:hint="default"/>
                <w:spacing w:val="-4"/>
                <w:w w:val="99"/>
                <w:sz w:val="18"/>
                <w:szCs w:val="18"/>
              </w:rPr>
              <w:t>），一种化工原料，聚酯切片的主要原</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料之一</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hAnsi="Times New Roman"/>
                <w:sz w:val="18"/>
              </w:rPr>
              <w:t>μm</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微米，</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微米相当于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米的一百万分之一</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2241" w:right="2241"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408" w:lineRule="auto" w:before="0"/>
        <w:ind w:left="152" w:right="153" w:firstLine="562"/>
        <w:jc w:val="left"/>
        <w:rPr>
          <w:rFonts w:ascii="宋体" w:hAnsi="宋体" w:cs="宋体" w:eastAsia="宋体" w:hint="default"/>
          <w:sz w:val="28"/>
          <w:szCs w:val="28"/>
        </w:rPr>
      </w:pPr>
      <w:r>
        <w:rPr>
          <w:rFonts w:ascii="宋体" w:hAnsi="宋体" w:cs="宋体" w:eastAsia="宋体" w:hint="default"/>
          <w:b/>
          <w:bCs/>
          <w:spacing w:val="2"/>
          <w:sz w:val="28"/>
          <w:szCs w:val="28"/>
        </w:rPr>
        <w:t>本年度报告中有涉及公司经营和发展战略等未来计划的前瞻性陈述，该计</w:t>
      </w:r>
      <w:r>
        <w:rPr>
          <w:rFonts w:ascii="宋体" w:hAnsi="宋体" w:cs="宋体" w:eastAsia="宋体" w:hint="default"/>
          <w:b/>
          <w:bCs/>
          <w:w w:val="99"/>
          <w:sz w:val="28"/>
          <w:szCs w:val="28"/>
        </w:rPr>
        <w:t> </w:t>
      </w:r>
      <w:r>
        <w:rPr>
          <w:rFonts w:ascii="宋体" w:hAnsi="宋体" w:cs="宋体" w:eastAsia="宋体" w:hint="default"/>
          <w:b/>
          <w:bCs/>
          <w:sz w:val="28"/>
          <w:szCs w:val="28"/>
        </w:rPr>
        <w:t>划不构成公司对投资者的实质承诺，请投资者注意投资风险。</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r>
        <w:rPr/>
        <w:pict>
          <v:group style="position:absolute;margin-left:172.339996pt;margin-top:269.809998pt;width:361.55pt;height:19.6pt;mso-position-horizontal-relative:page;mso-position-vertical-relative:page;z-index:-585232" coordorigin="3447,5396" coordsize="7231,392">
            <v:shape style="position:absolute;left:3447;top:5396;width:7231;height:392" coordorigin="3447,5396" coordsize="7231,392" path="m3447,5787l10677,5787,10677,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2240"/>
        <w:jc w:val="center"/>
        <w:rPr>
          <w:b w:val="0"/>
          <w:bCs w:val="0"/>
        </w:rPr>
      </w:pPr>
      <w:bookmarkStart w:name="_TOC_250010"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6"/>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2"/>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双星新材</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002585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双星新材</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Jiangsu Shuangxing Color Plastic New Materials Co.,</w:t>
            </w:r>
            <w:r>
              <w:rPr>
                <w:rFonts w:ascii="Times New Roman"/>
                <w:spacing w:val="-20"/>
                <w:sz w:val="18"/>
              </w:rPr>
              <w:t> </w:t>
            </w:r>
            <w:r>
              <w:rPr>
                <w:rFonts w:ascii="Times New Roman"/>
                <w:sz w:val="18"/>
              </w:rPr>
              <w:t>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SXXC</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吴培服</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223808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223808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http://www.shuangxingcaisu.com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wudi@shuangxingcaisu.com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46"/>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花蕾</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0527-84252088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0527-84252088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0527-84253042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0527-84253042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wudi@shuangxingcaisu.com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002585@shuangxingcaisu.com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46"/>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46"/>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宿迁工商行政管理</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321300000005816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7"/>
              <w:jc w:val="right"/>
              <w:rPr>
                <w:rFonts w:ascii="Times New Roman" w:hAnsi="Times New Roman" w:cs="Times New Roman" w:eastAsia="Times New Roman" w:hint="default"/>
                <w:sz w:val="18"/>
                <w:szCs w:val="18"/>
              </w:rPr>
            </w:pPr>
            <w:r>
              <w:rPr>
                <w:rFonts w:ascii="Times New Roman"/>
                <w:spacing w:val="-1"/>
                <w:sz w:val="18"/>
              </w:rPr>
              <w:t>321300142328941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14232894-1</w:t>
            </w: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宿迁工商行政管理</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321300000005816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7"/>
              <w:jc w:val="right"/>
              <w:rPr>
                <w:rFonts w:ascii="Times New Roman" w:hAnsi="Times New Roman" w:cs="Times New Roman" w:eastAsia="Times New Roman" w:hint="default"/>
                <w:sz w:val="18"/>
                <w:szCs w:val="18"/>
              </w:rPr>
            </w:pPr>
            <w:r>
              <w:rPr>
                <w:rFonts w:ascii="Times New Roman"/>
                <w:spacing w:val="-1"/>
                <w:sz w:val="18"/>
              </w:rPr>
              <w:t>321300142328941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14232894-1</w:t>
            </w:r>
          </w:p>
        </w:tc>
      </w:tr>
      <w:tr>
        <w:trPr>
          <w:trHeight w:val="715"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46"/>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上海市黄浦区中山南路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号金外滩国际广场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5F</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陆仕敏、蒯薏苡</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上海市广东路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号海通证券</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葛欣、汪晓东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46"/>
        <w:jc w:val="left"/>
        <w:rPr>
          <w:b w:val="0"/>
          <w:bCs w:val="0"/>
        </w:rPr>
      </w:pPr>
      <w:bookmarkStart w:name="_TOC_250009"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46"/>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2,265,477,342.41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2,454,679,888.87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2,104,770,874.97</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100,384,837.64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90,037,671.64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118,833,435.20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80,880,133.26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64,769,581.64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102,520,450.25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46,864,701.54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22,946,785.37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80,464,488.43</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5,623,310,670.87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4,184,865,832.73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4,050,589,812.89</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5,124,177,054.59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3,666,252,839.87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3,617,815,168.23</w:t>
            </w:r>
          </w:p>
        </w:tc>
      </w:tr>
    </w:tbl>
    <w:p>
      <w:pPr>
        <w:spacing w:line="240" w:lineRule="auto" w:before="1"/>
        <w:rPr>
          <w:rFonts w:ascii="宋体" w:hAnsi="宋体" w:cs="宋体" w:eastAsia="宋体" w:hint="default"/>
          <w:sz w:val="18"/>
          <w:szCs w:val="18"/>
        </w:rPr>
      </w:pPr>
    </w:p>
    <w:p>
      <w:pPr>
        <w:pStyle w:val="Heading2"/>
        <w:spacing w:line="240" w:lineRule="auto" w:before="26"/>
        <w:ind w:right="146"/>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11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21"/>
          <w:szCs w:val="21"/>
        </w:rPr>
      </w:pPr>
    </w:p>
    <w:p>
      <w:pPr>
        <w:pStyle w:val="Heading4"/>
        <w:spacing w:line="240" w:lineRule="auto"/>
        <w:ind w:right="146"/>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1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46"/>
        <w:jc w:val="left"/>
        <w:rPr>
          <w:b w:val="0"/>
          <w:bCs w:val="0"/>
        </w:rPr>
      </w:pPr>
      <w:r>
        <w:rPr/>
        <w:t>三、非经常性损益项目及金额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22,946,711.00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29,907,400.00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19,424,000.00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-232,253.00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3,442,006.66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4,486,110.00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2,878,762.05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19,504,704.38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25,268,090.00</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16,312,984.95</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4"/>
        <w:ind w:left="152" w:right="13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90" w:right="3671"/>
        <w:jc w:val="center"/>
        <w:rPr>
          <w:b w:val="0"/>
          <w:bCs w:val="0"/>
        </w:rPr>
      </w:pPr>
      <w:bookmarkStart w:name="_TOC_250008"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6"/>
        <w:jc w:val="left"/>
        <w:rPr>
          <w:b w:val="0"/>
          <w:bCs w:val="0"/>
        </w:rPr>
      </w:pPr>
      <w:r>
        <w:rPr/>
        <w:t>一、概述</w:t>
      </w:r>
      <w:r>
        <w:rPr>
          <w:b w:val="0"/>
          <w:bCs w:val="0"/>
        </w:rPr>
      </w:r>
    </w:p>
    <w:p>
      <w:pPr>
        <w:spacing w:line="240" w:lineRule="auto" w:before="0"/>
        <w:rPr>
          <w:rFonts w:ascii="宋体" w:hAnsi="宋体" w:cs="宋体" w:eastAsia="宋体" w:hint="default"/>
          <w:b/>
          <w:bCs/>
          <w:sz w:val="23"/>
          <w:szCs w:val="23"/>
        </w:rPr>
      </w:pPr>
    </w:p>
    <w:p>
      <w:pPr>
        <w:pStyle w:val="Heading3"/>
        <w:spacing w:line="235" w:lineRule="auto"/>
        <w:ind w:right="96" w:firstLine="480"/>
        <w:jc w:val="left"/>
      </w:pPr>
      <w:r>
        <w:rPr>
          <w:rFonts w:ascii="Times New Roman" w:hAnsi="Times New Roman" w:cs="Times New Roman" w:eastAsia="Times New Roman" w:hint="default"/>
        </w:rPr>
        <w:t>2014</w:t>
      </w:r>
      <w:r>
        <w:rPr/>
        <w:t>年度，世界经济严竣复杂，并处在一个变革时期，国内经济在推进传统产业结构调 整中前行，同时在融合互联网、智能化、高端制造，培育新经济、新引擎。面对新形势，公</w:t>
      </w:r>
      <w:r>
        <w:rPr>
          <w:spacing w:val="-91"/>
        </w:rPr>
        <w:t> </w:t>
      </w:r>
      <w:r>
        <w:rPr>
          <w:spacing w:val="-91"/>
        </w:rPr>
      </w:r>
      <w:r>
        <w:rPr>
          <w:spacing w:val="-2"/>
        </w:rPr>
        <w:t>司围绕年初制定的经营计划目标，努力克服经济下行、行业竞争加剧、市场波动等不利因素，</w:t>
      </w:r>
      <w:r>
        <w:rPr/>
        <w:t> 坚持以市场为导向，积极加快转型升级步伐，优化产品结构；认真实施创新驱动发展战略，</w:t>
      </w:r>
      <w:r>
        <w:rPr>
          <w:spacing w:val="-91"/>
        </w:rPr>
        <w:t> </w:t>
      </w:r>
      <w:r>
        <w:rPr>
          <w:spacing w:val="-91"/>
        </w:rPr>
      </w:r>
      <w:r>
        <w:rPr>
          <w:spacing w:val="-2"/>
        </w:rPr>
        <w:t>增强发展动力；狠抓自主创新，不断拓宽发展途径，依靠创新营销理念，把规模化总量突破，</w:t>
      </w:r>
      <w:r>
        <w:rPr/>
        <w:t> 差异化加快发展坚定落实到位；围绕新品增量开拓多元化市场，市场拓展迈出坚实步伐，同</w:t>
      </w:r>
      <w:r>
        <w:rPr>
          <w:spacing w:val="-91"/>
        </w:rPr>
        <w:t> </w:t>
      </w:r>
      <w:r>
        <w:rPr>
          <w:spacing w:val="-91"/>
        </w:rPr>
      </w:r>
      <w:r>
        <w:rPr/>
        <w:t>时，强化管理，坚持稳中求进，推进挖潜增效，以提高质量效益为中心，取得了长足发展。</w:t>
      </w:r>
      <w:r>
        <w:rPr>
          <w:spacing w:val="-91"/>
        </w:rPr>
        <w:t> </w:t>
      </w:r>
      <w:r>
        <w:rPr>
          <w:spacing w:val="-91"/>
        </w:rPr>
      </w:r>
      <w:r>
        <w:rPr>
          <w:rFonts w:ascii="Times New Roman" w:hAnsi="Times New Roman" w:cs="Times New Roman" w:eastAsia="Times New Roman" w:hint="default"/>
        </w:rPr>
        <w:t>2014</w:t>
      </w:r>
      <w:r>
        <w:rPr/>
        <w:t>年，公司实现营业收入</w:t>
      </w:r>
      <w:r>
        <w:rPr>
          <w:rFonts w:ascii="Times New Roman" w:hAnsi="Times New Roman" w:cs="Times New Roman" w:eastAsia="Times New Roman" w:hint="default"/>
        </w:rPr>
        <w:t>226,547.73</w:t>
      </w:r>
      <w:r>
        <w:rPr/>
        <w:t>万元，较上年同期减少</w:t>
      </w:r>
      <w:r>
        <w:rPr>
          <w:rFonts w:ascii="Times New Roman" w:hAnsi="Times New Roman" w:cs="Times New Roman" w:eastAsia="Times New Roman" w:hint="default"/>
        </w:rPr>
        <w:t>7.71%</w:t>
      </w:r>
      <w:r>
        <w:rPr/>
        <w:t>；归属于上市公司股东的</w:t>
      </w:r>
      <w:r>
        <w:rPr>
          <w:spacing w:val="-107"/>
        </w:rPr>
        <w:t> </w:t>
      </w:r>
      <w:r>
        <w:rPr>
          <w:spacing w:val="-107"/>
        </w:rPr>
      </w:r>
      <w:r>
        <w:rPr/>
        <w:t>净利润</w:t>
      </w:r>
      <w:r>
        <w:rPr>
          <w:rFonts w:ascii="Times New Roman" w:hAnsi="Times New Roman" w:cs="Times New Roman" w:eastAsia="Times New Roman" w:hint="default"/>
        </w:rPr>
        <w:t>10,038.5</w:t>
      </w:r>
      <w:r>
        <w:rPr/>
        <w:t>万元，较上年同期增长了</w:t>
      </w:r>
      <w:r>
        <w:rPr>
          <w:rFonts w:ascii="Times New Roman" w:hAnsi="Times New Roman" w:cs="Times New Roman" w:eastAsia="Times New Roman" w:hint="default"/>
        </w:rPr>
        <w:t>11.49%</w:t>
      </w:r>
      <w:r>
        <w:rPr/>
        <w:t>。</w:t>
      </w:r>
    </w:p>
    <w:p>
      <w:pPr>
        <w:spacing w:line="240" w:lineRule="auto" w:before="8"/>
        <w:rPr>
          <w:rFonts w:ascii="宋体" w:hAnsi="宋体" w:cs="宋体" w:eastAsia="宋体" w:hint="default"/>
          <w:sz w:val="21"/>
          <w:szCs w:val="21"/>
        </w:rPr>
      </w:pPr>
    </w:p>
    <w:p>
      <w:pPr>
        <w:pStyle w:val="Heading2"/>
        <w:spacing w:line="240" w:lineRule="auto"/>
        <w:ind w:right="96"/>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6"/>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11"/>
        <w:rPr>
          <w:rFonts w:ascii="宋体" w:hAnsi="宋体" w:cs="宋体" w:eastAsia="宋体" w:hint="default"/>
          <w:b/>
          <w:bCs/>
          <w:sz w:val="22"/>
          <w:szCs w:val="22"/>
        </w:rPr>
      </w:pPr>
    </w:p>
    <w:p>
      <w:pPr>
        <w:pStyle w:val="Heading3"/>
        <w:spacing w:line="235" w:lineRule="auto"/>
        <w:ind w:right="231" w:firstLine="480"/>
        <w:jc w:val="both"/>
      </w:pPr>
      <w:r>
        <w:rPr/>
        <w:t>报告期内，公司认真贯彻年度经营计划，落实发展战略，积极进行战略布局，紧紧扭住 主体责任，加强组织领导，坚持稳中求进，推动创新发展，以提高发展质量效益为中心，围</w:t>
      </w:r>
      <w:r>
        <w:rPr>
          <w:spacing w:val="-91"/>
        </w:rPr>
        <w:t> </w:t>
      </w:r>
      <w:r>
        <w:rPr>
          <w:spacing w:val="-91"/>
        </w:rPr>
      </w:r>
      <w:r>
        <w:rPr/>
        <w:t>绕项目建设、技术创新、生产经营、市场开拓全力推进，实现基础管理更加规范，规模总量</w:t>
      </w:r>
      <w:r>
        <w:rPr>
          <w:spacing w:val="-91"/>
        </w:rPr>
        <w:t> </w:t>
      </w:r>
      <w:r>
        <w:rPr>
          <w:spacing w:val="-91"/>
        </w:rPr>
      </w:r>
      <w:r>
        <w:rPr/>
        <w:t>优势明显，尤以创新引领加快高附加值差异化品种开发力度走向高端发展，迈上了新台阶，</w:t>
      </w:r>
      <w:r>
        <w:rPr>
          <w:spacing w:val="-91"/>
        </w:rPr>
        <w:t> </w:t>
      </w:r>
      <w:r>
        <w:rPr>
          <w:spacing w:val="-91"/>
        </w:rPr>
      </w:r>
      <w:r>
        <w:rPr>
          <w:spacing w:val="-2"/>
        </w:rPr>
        <w:t>保持企业平稳运行发挥了关键作用。报告期，公司实现营业收入为</w:t>
      </w:r>
      <w:r>
        <w:rPr>
          <w:rFonts w:ascii="Times New Roman" w:hAnsi="Times New Roman" w:cs="Times New Roman" w:eastAsia="Times New Roman" w:hint="default"/>
          <w:spacing w:val="-2"/>
        </w:rPr>
        <w:t>226,547.73</w:t>
      </w:r>
      <w:r>
        <w:rPr>
          <w:spacing w:val="-2"/>
        </w:rPr>
        <w:t>万元，较上年同</w:t>
      </w:r>
      <w:r>
        <w:rPr>
          <w:spacing w:val="-110"/>
        </w:rPr>
        <w:t> </w:t>
      </w:r>
      <w:r>
        <w:rPr>
          <w:spacing w:val="-110"/>
        </w:rPr>
      </w:r>
      <w:r>
        <w:rPr/>
        <w:t>期减少了</w:t>
      </w:r>
      <w:r>
        <w:rPr>
          <w:rFonts w:ascii="Times New Roman" w:hAnsi="Times New Roman" w:cs="Times New Roman" w:eastAsia="Times New Roman" w:hint="default"/>
        </w:rPr>
        <w:t>7.71%</w:t>
      </w:r>
      <w:r>
        <w:rPr/>
        <w:t>；归属于上市公司股东的净利润</w:t>
      </w:r>
      <w:r>
        <w:rPr>
          <w:rFonts w:ascii="Times New Roman" w:hAnsi="Times New Roman" w:cs="Times New Roman" w:eastAsia="Times New Roman" w:hint="default"/>
        </w:rPr>
        <w:t>10,038.5</w:t>
      </w:r>
      <w:r>
        <w:rPr/>
        <w:t>万元，较上年同期增长了</w:t>
      </w:r>
      <w:r>
        <w:rPr>
          <w:rFonts w:ascii="Times New Roman" w:hAnsi="Times New Roman" w:cs="Times New Roman" w:eastAsia="Times New Roman" w:hint="default"/>
        </w:rPr>
        <w:t>11.49%</w:t>
      </w:r>
      <w:r>
        <w:rPr/>
        <w:t>。</w:t>
      </w:r>
    </w:p>
    <w:p>
      <w:pPr>
        <w:spacing w:before="70"/>
        <w:ind w:left="152" w:right="96" w:firstLine="0"/>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pStyle w:val="Heading3"/>
        <w:spacing w:line="312" w:lineRule="exact" w:before="99"/>
        <w:ind w:right="269" w:firstLine="480"/>
        <w:jc w:val="both"/>
      </w:pPr>
      <w:r>
        <w:rPr/>
        <w:t>报告期内，面对复杂多变的宏观形势，公司积极应对各种桃战，各项主营业务工作稳步 推进：一是实施创新驱动发展战略，自主创新能力显著提升；二是调优结构提质量，坚定不 移抓项目建设成效明显；三是继续围绕三足鼎立发展战略，创新营销模式，市场拓展能力进 一步提升；四是加速推进企业规模化、差异化战略，强化提质增效，综合实力稳步提升；五 是人力资源配置进一步优化，人才培养力度进一步加大，拓展人才上升通道，全方位挖掘人 才潜能。</w:t>
      </w:r>
      <w:r>
        <w:rPr>
          <w:rFonts w:ascii="宋体" w:hAnsi="宋体" w:cs="宋体" w:eastAsia="宋体" w:hint="default"/>
        </w:rPr>
        <w:t>2014</w:t>
      </w:r>
      <w:r>
        <w:rPr/>
        <w:t>年，公司被评为“江苏省优秀民营企业”、“江苏省优秀管理创新企业”，各 项主营业务工作取得了一定进步。</w:t>
      </w:r>
    </w:p>
    <w:p>
      <w:pPr>
        <w:pStyle w:val="Heading3"/>
        <w:spacing w:line="283" w:lineRule="exact"/>
        <w:ind w:right="96"/>
        <w:jc w:val="left"/>
      </w:pPr>
      <w:r>
        <w:rPr/>
        <w:t>⑴新品开发力度增强、自主创新能力提升。</w:t>
      </w:r>
    </w:p>
    <w:p>
      <w:pPr>
        <w:pStyle w:val="Heading3"/>
        <w:spacing w:line="237" w:lineRule="auto" w:before="2"/>
        <w:ind w:right="104" w:firstLine="480"/>
        <w:jc w:val="left"/>
      </w:pPr>
      <w:r>
        <w:rPr>
          <w:spacing w:val="-3"/>
        </w:rPr>
        <w:t>全年开发新产品</w:t>
      </w:r>
      <w:r>
        <w:rPr>
          <w:rFonts w:ascii="宋体" w:hAnsi="宋体" w:cs="宋体" w:eastAsia="宋体" w:hint="default"/>
          <w:spacing w:val="-3"/>
        </w:rPr>
        <w:t>15</w:t>
      </w:r>
      <w:r>
        <w:rPr>
          <w:spacing w:val="-3"/>
        </w:rPr>
        <w:t>项，其中：通过省市级新产品及科技成果鉴定</w:t>
      </w:r>
      <w:r>
        <w:rPr>
          <w:rFonts w:ascii="宋体" w:hAnsi="宋体" w:cs="宋体" w:eastAsia="宋体" w:hint="default"/>
          <w:spacing w:val="-3"/>
        </w:rPr>
        <w:t>5</w:t>
      </w:r>
      <w:r>
        <w:rPr>
          <w:spacing w:val="-3"/>
        </w:rPr>
        <w:t>项，通过省级高新技术</w:t>
      </w:r>
      <w:r>
        <w:rPr/>
        <w:t> 产品认定</w:t>
      </w:r>
      <w:r>
        <w:rPr>
          <w:rFonts w:ascii="宋体" w:hAnsi="宋体" w:cs="宋体" w:eastAsia="宋体" w:hint="default"/>
        </w:rPr>
        <w:t>2</w:t>
      </w:r>
      <w:r>
        <w:rPr/>
        <w:t>项，导电膜、光学膜产品开发取得突破</w:t>
      </w:r>
      <w:r>
        <w:rPr>
          <w:rFonts w:ascii="宋体" w:hAnsi="宋体" w:cs="宋体" w:eastAsia="宋体" w:hint="default"/>
        </w:rPr>
        <w:t>,</w:t>
      </w:r>
      <w:r>
        <w:rPr/>
        <w:t>市场得到拓展。同时，积极开展技术创新 </w:t>
      </w:r>
      <w:r>
        <w:rPr>
          <w:spacing w:val="-5"/>
        </w:rPr>
        <w:t>攻关工作，加强专利和知识产权保护工作，积极推动科技成果转化，全年授权专利</w:t>
      </w:r>
      <w:r>
        <w:rPr>
          <w:rFonts w:ascii="宋体" w:hAnsi="宋体" w:cs="宋体" w:eastAsia="宋体" w:hint="default"/>
          <w:spacing w:val="-5"/>
        </w:rPr>
        <w:t>8</w:t>
      </w:r>
      <w:r>
        <w:rPr>
          <w:spacing w:val="-5"/>
        </w:rPr>
        <w:t>件，其中：</w:t>
      </w:r>
      <w:r>
        <w:rPr>
          <w:spacing w:val="-112"/>
        </w:rPr>
        <w:t> </w:t>
      </w:r>
      <w:r>
        <w:rPr>
          <w:spacing w:val="-112"/>
        </w:rPr>
      </w:r>
      <w:r>
        <w:rPr/>
        <w:t>发明专利</w:t>
      </w:r>
      <w:r>
        <w:rPr>
          <w:rFonts w:ascii="宋体" w:hAnsi="宋体" w:cs="宋体" w:eastAsia="宋体" w:hint="default"/>
        </w:rPr>
        <w:t>1</w:t>
      </w:r>
      <w:r>
        <w:rPr/>
        <w:t>件，实用新型</w:t>
      </w:r>
      <w:r>
        <w:rPr>
          <w:rFonts w:ascii="宋体" w:hAnsi="宋体" w:cs="宋体" w:eastAsia="宋体" w:hint="default"/>
        </w:rPr>
        <w:t>7</w:t>
      </w:r>
      <w:r>
        <w:rPr/>
        <w:t>件，申请专利</w:t>
      </w:r>
      <w:r>
        <w:rPr>
          <w:rFonts w:ascii="宋体" w:hAnsi="宋体" w:cs="宋体" w:eastAsia="宋体" w:hint="default"/>
        </w:rPr>
        <w:t>5</w:t>
      </w:r>
      <w:r>
        <w:rPr/>
        <w:t>件。荣获市级科技进步奖</w:t>
      </w:r>
      <w:r>
        <w:rPr>
          <w:rFonts w:ascii="宋体" w:hAnsi="宋体" w:cs="宋体" w:eastAsia="宋体" w:hint="default"/>
        </w:rPr>
        <w:t>3</w:t>
      </w:r>
      <w:r>
        <w:rPr/>
        <w:t>项，依靠创新驱动对企业 支撑引领作用不断增强。</w:t>
      </w:r>
    </w:p>
    <w:p>
      <w:pPr>
        <w:pStyle w:val="Heading3"/>
        <w:spacing w:line="312" w:lineRule="exact" w:before="29"/>
        <w:ind w:left="633" w:right="253" w:hanging="481"/>
        <w:jc w:val="left"/>
      </w:pPr>
      <w:r>
        <w:rPr/>
        <w:t>⑵市场拓展能力不断增强。 面对严峻的市场形势，公司及时调整销售策略，创新营销理念，不断优化产品结构，准</w:t>
      </w:r>
    </w:p>
    <w:p>
      <w:pPr>
        <w:pStyle w:val="Heading3"/>
        <w:spacing w:line="312" w:lineRule="exact"/>
        <w:ind w:right="254"/>
        <w:jc w:val="left"/>
      </w:pPr>
      <w:r>
        <w:rPr/>
        <w:t>确把握市场走势，围绕新品增量开拓多元化市场，加快推广力度，新客户不断增加及市场不 断扩大；常规产品实现规模化，高性能产品营销取得突破性发展，电子信息材料专用膜已完</w:t>
      </w:r>
    </w:p>
    <w:p>
      <w:pPr>
        <w:spacing w:after="0" w:line="312" w:lineRule="exact"/>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3"/>
        <w:spacing w:line="237" w:lineRule="auto" w:before="28"/>
        <w:ind w:right="270"/>
        <w:jc w:val="both"/>
      </w:pPr>
      <w:r>
        <w:rPr/>
        <w:t>成专线批量生产销售，高清膜质量提升，赢得客户信赖；热缩膜专线生产销售持续上升，客 户迅速集聚，同时，积极拓展国外市场。太阳能背材基膜通过客户评价并形成销售，光学膜 系列产品客户评价及市场快速拓展之中。</w:t>
      </w:r>
    </w:p>
    <w:p>
      <w:pPr>
        <w:pStyle w:val="Heading3"/>
        <w:spacing w:line="312" w:lineRule="exact" w:before="29"/>
        <w:ind w:left="633" w:right="253" w:hanging="481"/>
        <w:jc w:val="left"/>
      </w:pPr>
      <w:r>
        <w:rPr/>
        <w:t>⑶技术工艺和产品质量水平有序提升。 全面贯彻落实质量管理体系标准，围绕新品增量效益提升，积极强化质量管理，深入开</w:t>
      </w:r>
    </w:p>
    <w:p>
      <w:pPr>
        <w:pStyle w:val="Heading3"/>
        <w:spacing w:line="312" w:lineRule="exact"/>
        <w:ind w:right="270"/>
        <w:jc w:val="both"/>
      </w:pPr>
      <w:r>
        <w:rPr/>
        <w:t>展技术质量攻关，保证产品质量稳步提升；同时，加强内部控制管理，抓好原辅材料的进厂 质量检验，做好生产全过程质量管控，全面围绕“精、细、实”深入实施，并进一步加强卓 越绩效推进工作，力争质量攻关和产品质量水平取得更大突破。</w:t>
      </w:r>
    </w:p>
    <w:p>
      <w:pPr>
        <w:pStyle w:val="Heading3"/>
        <w:spacing w:line="312" w:lineRule="exact"/>
        <w:ind w:left="633" w:right="253" w:hanging="481"/>
        <w:jc w:val="left"/>
      </w:pPr>
      <w:r>
        <w:rPr/>
        <w:t>⑷内部管理工作不断深化。 信息化建设不断完善，效率得到进一步提高，管理更加规范有序，实现以信息技术推动</w:t>
      </w:r>
    </w:p>
    <w:p>
      <w:pPr>
        <w:pStyle w:val="Heading3"/>
        <w:spacing w:line="312" w:lineRule="exact"/>
        <w:ind w:right="96"/>
        <w:jc w:val="left"/>
      </w:pPr>
      <w:r>
        <w:rPr/>
        <w:t>企业经营价值最大化。搭建网上采购平台，开展原辅料采购工作；安全生产责任制落实取得 </w:t>
      </w:r>
      <w:r>
        <w:rPr>
          <w:spacing w:val="-2"/>
        </w:rPr>
        <w:t>实效，通过安全生产标准化企业认定，全年生产经营运行持续稳定，环境保护工作得到加强；</w:t>
      </w:r>
    </w:p>
    <w:p>
      <w:pPr>
        <w:pStyle w:val="Heading3"/>
        <w:spacing w:line="283" w:lineRule="exact"/>
        <w:ind w:right="0"/>
        <w:jc w:val="both"/>
      </w:pPr>
      <w:r>
        <w:rPr/>
        <w:t>“双星</w:t>
      </w:r>
      <w:r>
        <w:rPr>
          <w:rFonts w:ascii="宋体" w:hAnsi="宋体" w:cs="宋体" w:eastAsia="宋体" w:hint="default"/>
        </w:rPr>
        <w:t>SHUANGXING</w:t>
      </w:r>
      <w:r>
        <w:rPr/>
        <w:t>”商标被评为“江苏省重点培育和发展的国际知名品牌”</w:t>
      </w:r>
      <w:r>
        <w:rPr>
          <w:spacing w:val="-1"/>
        </w:rPr>
        <w:t> </w:t>
      </w:r>
      <w:r>
        <w:rPr/>
        <w:t>。</w:t>
      </w:r>
    </w:p>
    <w:p>
      <w:pPr>
        <w:pStyle w:val="Heading3"/>
        <w:spacing w:line="312" w:lineRule="exact" w:before="29"/>
        <w:ind w:left="633" w:right="253" w:hanging="481"/>
        <w:jc w:val="left"/>
        <w:rPr>
          <w:rFonts w:ascii="宋体" w:hAnsi="宋体" w:cs="宋体" w:eastAsia="宋体" w:hint="default"/>
        </w:rPr>
      </w:pPr>
      <w:r>
        <w:rPr/>
        <w:t>⑸充分利用资本市场平台，成功完成非公开发行股票。 </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30</w:t>
      </w:r>
      <w:r>
        <w:rPr/>
        <w:t>日，公司非公开发行股票经中国证监会发行审核委员会审核通过；</w:t>
      </w:r>
      <w:r>
        <w:rPr>
          <w:rFonts w:ascii="宋体" w:hAnsi="宋体" w:cs="宋体" w:eastAsia="宋体" w:hint="default"/>
        </w:rPr>
        <w:t>2014</w:t>
      </w:r>
      <w:r>
        <w:rPr/>
        <w:t>年</w:t>
      </w:r>
      <w:r>
        <w:rPr>
          <w:rFonts w:ascii="宋体" w:hAnsi="宋体" w:cs="宋体" w:eastAsia="宋体" w:hint="default"/>
        </w:rPr>
        <w:t>6</w:t>
      </w:r>
    </w:p>
    <w:p>
      <w:pPr>
        <w:pStyle w:val="Heading3"/>
        <w:spacing w:line="282" w:lineRule="exact"/>
        <w:ind w:right="0"/>
        <w:jc w:val="both"/>
      </w:pPr>
      <w:r>
        <w:rPr/>
        <w:t>月</w:t>
      </w:r>
      <w:r>
        <w:rPr>
          <w:rFonts w:ascii="宋体" w:hAnsi="宋体" w:cs="宋体" w:eastAsia="宋体" w:hint="default"/>
        </w:rPr>
        <w:t>18</w:t>
      </w:r>
      <w:r>
        <w:rPr/>
        <w:t>日，证监会下发《关于核准江苏双星彩塑新材料股份有限公司非公开发行股票的批复》</w:t>
      </w:r>
    </w:p>
    <w:p>
      <w:pPr>
        <w:pStyle w:val="Heading3"/>
        <w:spacing w:line="312" w:lineRule="exact" w:before="29"/>
        <w:ind w:right="269"/>
        <w:jc w:val="both"/>
      </w:pPr>
      <w:r>
        <w:rPr/>
        <w:t>（证监许可〔</w:t>
      </w:r>
      <w:r>
        <w:rPr>
          <w:rFonts w:ascii="宋体" w:hAnsi="宋体" w:cs="宋体" w:eastAsia="宋体" w:hint="default"/>
        </w:rPr>
        <w:t>2014</w:t>
      </w:r>
      <w:r>
        <w:rPr/>
        <w:t>〕</w:t>
      </w:r>
      <w:r>
        <w:rPr>
          <w:rFonts w:ascii="宋体" w:hAnsi="宋体" w:cs="宋体" w:eastAsia="宋体" w:hint="default"/>
        </w:rPr>
        <w:t>612</w:t>
      </w:r>
      <w:r>
        <w:rPr/>
        <w:t>号，核准了双星新材非公开发行。</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28</w:t>
      </w:r>
      <w:r>
        <w:rPr/>
        <w:t>日，公司本次非公开 发行募集资金净额为</w:t>
      </w:r>
      <w:r>
        <w:rPr>
          <w:rFonts w:ascii="宋体" w:hAnsi="宋体" w:cs="宋体" w:eastAsia="宋体" w:hint="default"/>
        </w:rPr>
        <w:t>1,367,939,377.08</w:t>
      </w:r>
      <w:r>
        <w:rPr/>
        <w:t>元。其中：新增股本人民币</w:t>
      </w:r>
      <w:r>
        <w:rPr>
          <w:rFonts w:ascii="宋体" w:hAnsi="宋体" w:cs="宋体" w:eastAsia="宋体" w:hint="default"/>
        </w:rPr>
        <w:t>135,790,494.00</w:t>
      </w:r>
      <w:r>
        <w:rPr/>
        <w:t>元；出资 额溢价部分为人民币</w:t>
      </w:r>
      <w:r>
        <w:rPr>
          <w:rFonts w:ascii="宋体" w:hAnsi="宋体" w:cs="宋体" w:eastAsia="宋体" w:hint="default"/>
        </w:rPr>
        <w:t>1,232,148,883.08</w:t>
      </w:r>
      <w:r>
        <w:rPr/>
        <w:t>元，全部记入资本公积。本次募集资金用于建设年产 一亿平米光学膜项目，该项目进展良好，正在有序建设中。</w:t>
      </w:r>
    </w:p>
    <w:p>
      <w:pPr>
        <w:spacing w:before="58"/>
        <w:ind w:left="152" w:right="0" w:firstLine="0"/>
        <w:jc w:val="both"/>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1"/>
        <w:ind w:left="152"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4"/>
        <w:spacing w:line="240" w:lineRule="auto"/>
        <w:ind w:right="0"/>
        <w:jc w:val="both"/>
        <w:rPr>
          <w:b w:val="0"/>
          <w:bCs w:val="0"/>
        </w:rPr>
      </w:pPr>
      <w:r>
        <w:rPr>
          <w:rFonts w:ascii="Times New Roman" w:hAnsi="Times New Roman" w:cs="Times New Roman" w:eastAsia="Times New Roman" w:hint="default"/>
        </w:rPr>
        <w:t>2</w:t>
      </w:r>
      <w:r>
        <w:rPr/>
        <w:t>、收入</w:t>
      </w:r>
      <w:r>
        <w:rPr>
          <w:b w:val="0"/>
          <w:bCs w:val="0"/>
        </w:rPr>
      </w:r>
    </w:p>
    <w:p>
      <w:pPr>
        <w:spacing w:line="240" w:lineRule="auto" w:before="8"/>
        <w:rPr>
          <w:rFonts w:ascii="宋体" w:hAnsi="宋体" w:cs="宋体" w:eastAsia="宋体" w:hint="default"/>
          <w:b/>
          <w:bCs/>
          <w:sz w:val="27"/>
          <w:szCs w:val="27"/>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9"/>
          <w:szCs w:val="9"/>
        </w:rPr>
      </w:pPr>
    </w:p>
    <w:tbl>
      <w:tblPr>
        <w:tblW w:w="0" w:type="auto"/>
        <w:jc w:val="left"/>
        <w:tblInd w:w="443" w:type="dxa"/>
        <w:tblLayout w:type="fixed"/>
        <w:tblCellMar>
          <w:top w:w="0" w:type="dxa"/>
          <w:left w:w="0" w:type="dxa"/>
          <w:bottom w:w="0" w:type="dxa"/>
          <w:right w:w="0" w:type="dxa"/>
        </w:tblCellMar>
        <w:tblLook w:val="01E0"/>
      </w:tblPr>
      <w:tblGrid>
        <w:gridCol w:w="2261"/>
        <w:gridCol w:w="2285"/>
        <w:gridCol w:w="2285"/>
        <w:gridCol w:w="2206"/>
      </w:tblGrid>
      <w:tr>
        <w:trPr>
          <w:trHeight w:val="350"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8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tc>
        <w:tc>
          <w:tcPr>
            <w:tcW w:w="228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同比增减情况</w:t>
            </w:r>
          </w:p>
        </w:tc>
      </w:tr>
      <w:tr>
        <w:trPr>
          <w:trHeight w:val="353"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2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2,254,802,656.29</w:t>
            </w:r>
          </w:p>
        </w:tc>
        <w:tc>
          <w:tcPr>
            <w:tcW w:w="2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2,448,470,748.73</w:t>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-7.91%</w:t>
            </w:r>
          </w:p>
        </w:tc>
      </w:tr>
      <w:tr>
        <w:trPr>
          <w:trHeight w:val="353"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其他业务收入</w:t>
            </w:r>
          </w:p>
        </w:tc>
        <w:tc>
          <w:tcPr>
            <w:tcW w:w="2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10,674,686.12</w:t>
            </w:r>
          </w:p>
        </w:tc>
        <w:tc>
          <w:tcPr>
            <w:tcW w:w="2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6,209,140.14</w:t>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71.92%</w:t>
            </w:r>
          </w:p>
        </w:tc>
      </w:tr>
      <w:tr>
        <w:trPr>
          <w:trHeight w:val="353"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2,265,477,342.41</w:t>
            </w:r>
          </w:p>
        </w:tc>
        <w:tc>
          <w:tcPr>
            <w:tcW w:w="22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2,454,679,888.87</w:t>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-7.71%</w:t>
            </w:r>
          </w:p>
        </w:tc>
      </w:tr>
    </w:tbl>
    <w:p>
      <w:pPr>
        <w:spacing w:line="240" w:lineRule="auto" w:before="2"/>
        <w:rPr>
          <w:rFonts w:ascii="宋体" w:hAnsi="宋体" w:cs="宋体" w:eastAsia="宋体" w:hint="default"/>
          <w:sz w:val="24"/>
          <w:szCs w:val="24"/>
        </w:rPr>
      </w:pPr>
    </w:p>
    <w:p>
      <w:pPr>
        <w:spacing w:before="44"/>
        <w:ind w:left="152" w:right="96"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5"/>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90"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45" w:hRule="exact"/>
        </w:trPr>
        <w:tc>
          <w:tcPr>
            <w:tcW w:w="1608" w:type="dxa"/>
            <w:vMerge w:val="restart"/>
            <w:tcBorders>
              <w:top w:val="single" w:sz="39" w:space="0" w:color="D2D2D2"/>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聚酯薄膜行业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39" w:space="0" w:color="D2D2D2"/>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39" w:space="0" w:color="D2D2D2"/>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250,966.34</w:t>
            </w:r>
          </w:p>
        </w:tc>
        <w:tc>
          <w:tcPr>
            <w:tcW w:w="1594" w:type="dxa"/>
            <w:tcBorders>
              <w:top w:val="single" w:sz="39" w:space="0" w:color="D2D2D2"/>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238,407.41</w:t>
            </w:r>
          </w:p>
        </w:tc>
        <w:tc>
          <w:tcPr>
            <w:tcW w:w="1594" w:type="dxa"/>
            <w:tcBorders>
              <w:top w:val="single" w:sz="39" w:space="0" w:color="D2D2D2"/>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262,211.06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264,401.09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-0.83%</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53,845.72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26.40%</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6,908.82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-19.22%</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6,905.17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-17.92%</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00"/>
        </w:sectPr>
      </w:pPr>
    </w:p>
    <w:p>
      <w:pPr>
        <w:spacing w:line="240" w:lineRule="auto" w:before="9"/>
        <w:rPr>
          <w:rFonts w:ascii="宋体" w:hAnsi="宋体" w:cs="宋体" w:eastAsia="宋体" w:hint="default"/>
          <w:sz w:val="25"/>
          <w:szCs w:val="25"/>
        </w:rPr>
      </w:pPr>
    </w:p>
    <w:p>
      <w:pPr>
        <w:spacing w:before="44"/>
        <w:ind w:left="152" w:right="146"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38" w:lineRule="auto" w:before="104"/>
        <w:ind w:left="152" w:right="36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PVC</w:t>
      </w:r>
      <w:r>
        <w:rPr>
          <w:rFonts w:ascii="宋体" w:hAnsi="宋体" w:cs="宋体" w:eastAsia="宋体" w:hint="default"/>
          <w:sz w:val="18"/>
          <w:szCs w:val="18"/>
        </w:rPr>
        <w:t>功能膜库存量同比增长</w:t>
      </w:r>
      <w:r>
        <w:rPr>
          <w:rFonts w:ascii="Times New Roman" w:hAnsi="Times New Roman" w:cs="Times New Roman" w:eastAsia="Times New Roman" w:hint="default"/>
          <w:sz w:val="18"/>
          <w:szCs w:val="18"/>
        </w:rPr>
        <w:t>31.19%</w:t>
      </w:r>
      <w:r>
        <w:rPr>
          <w:rFonts w:ascii="宋体" w:hAnsi="宋体" w:cs="宋体" w:eastAsia="宋体" w:hint="default"/>
          <w:sz w:val="18"/>
          <w:szCs w:val="18"/>
        </w:rPr>
        <w:t>，主要原因系外贸出口订舱集中发货所致。 公司重大的在手订单情况</w:t>
      </w:r>
    </w:p>
    <w:p>
      <w:pPr>
        <w:spacing w:line="338" w:lineRule="auto" w:before="43"/>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公司报告期内产品或服务发生重大变化或调整有关情况</w:t>
      </w:r>
    </w:p>
    <w:p>
      <w:pPr>
        <w:spacing w:line="340" w:lineRule="auto" w:before="43"/>
        <w:ind w:left="152" w:right="7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公司主要销售客户情况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243,221,095.81</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10.74%</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4"/>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36"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1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16" w:space="0" w:color="D2D2D2"/>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74,957,264.96</w:t>
            </w:r>
          </w:p>
        </w:tc>
        <w:tc>
          <w:tcPr>
            <w:tcW w:w="3145"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60,464,542.46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43,846,197.35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34,321,085.00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29,632,006.04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243,221,095.81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10.74%</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0"/>
        <w:rPr>
          <w:rFonts w:ascii="宋体" w:hAnsi="宋体" w:cs="宋体" w:eastAsia="宋体" w:hint="default"/>
          <w:b/>
          <w:bCs/>
          <w:sz w:val="22"/>
          <w:szCs w:val="22"/>
        </w:rPr>
      </w:pPr>
    </w:p>
    <w:p>
      <w:pPr>
        <w:spacing w:before="44"/>
        <w:ind w:left="152" w:right="146"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薄膜制造业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2,061,272,641.76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2,240,369,872.05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8" w:right="0"/>
              <w:jc w:val="left"/>
              <w:rPr>
                <w:rFonts w:ascii="Times New Roman" w:hAnsi="Times New Roman" w:cs="Times New Roman" w:eastAsia="Times New Roman" w:hint="default"/>
                <w:sz w:val="18"/>
                <w:szCs w:val="18"/>
              </w:rPr>
            </w:pPr>
            <w:r>
              <w:rPr>
                <w:rFonts w:ascii="Times New Roman"/>
                <w:sz w:val="18"/>
              </w:rPr>
              <w:t>-7.99%</w:t>
            </w:r>
          </w:p>
        </w:tc>
      </w:tr>
    </w:tbl>
    <w:p>
      <w:pPr>
        <w:spacing w:line="240" w:lineRule="auto" w:before="12"/>
        <w:rPr>
          <w:rFonts w:ascii="宋体" w:hAnsi="宋体" w:cs="宋体" w:eastAsia="宋体" w:hint="default"/>
          <w:sz w:val="4"/>
          <w:szCs w:val="4"/>
        </w:rPr>
      </w:pPr>
    </w:p>
    <w:p>
      <w:pPr>
        <w:spacing w:before="44"/>
        <w:ind w:left="152" w:right="146"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line="240" w:lineRule="auto" w:before="2"/>
        <w:rPr>
          <w:rFonts w:ascii="宋体" w:hAnsi="宋体" w:cs="宋体" w:eastAsia="宋体" w:hint="default"/>
          <w:sz w:val="10"/>
          <w:szCs w:val="10"/>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1,877,427,335.18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1,992,347,788.62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镀铝膜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109,332,844.15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155,451,445.79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74,512,462.43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92,570,637.64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-19.51%</w:t>
            </w:r>
          </w:p>
        </w:tc>
      </w:tr>
    </w:tbl>
    <w:p>
      <w:pPr>
        <w:spacing w:line="357" w:lineRule="auto" w:before="49"/>
        <w:ind w:left="152" w:right="5634" w:firstLine="0"/>
        <w:jc w:val="left"/>
        <w:rPr>
          <w:rFonts w:ascii="宋体" w:hAnsi="宋体" w:cs="宋体" w:eastAsia="宋体" w:hint="default"/>
          <w:sz w:val="18"/>
          <w:szCs w:val="18"/>
        </w:rPr>
      </w:pPr>
      <w:r>
        <w:rPr>
          <w:rFonts w:ascii="宋体" w:hAnsi="宋体" w:cs="宋体" w:eastAsia="宋体" w:hint="default"/>
          <w:sz w:val="18"/>
          <w:szCs w:val="18"/>
        </w:rPr>
        <w:t>说明 公司按产品分类的成本占营业成本比重无重大变化。</w:t>
      </w:r>
    </w:p>
    <w:p>
      <w:pPr>
        <w:spacing w:after="0" w:line="357"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227"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1,557,855,423.23</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87.44%</w:t>
            </w:r>
          </w:p>
        </w:tc>
      </w:tr>
    </w:tbl>
    <w:p>
      <w:pPr>
        <w:spacing w:before="49"/>
        <w:ind w:left="152" w:right="22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1"/>
        <w:ind w:left="152" w:right="22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08"/>
        <w:gridCol w:w="3185"/>
        <w:gridCol w:w="2321"/>
        <w:gridCol w:w="3145"/>
      </w:tblGrid>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658,165,394.91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36.94%</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526,315,668.32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29.54%</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195,675,480.00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10.98%</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105,747,000.00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71,951,880.00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1,557,855,423.23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87.44%</w:t>
            </w:r>
          </w:p>
        </w:tc>
      </w:tr>
    </w:tbl>
    <w:p>
      <w:pPr>
        <w:spacing w:line="240" w:lineRule="auto" w:before="10"/>
        <w:rPr>
          <w:rFonts w:ascii="宋体" w:hAnsi="宋体" w:cs="宋体" w:eastAsia="宋体" w:hint="default"/>
          <w:sz w:val="23"/>
          <w:szCs w:val="23"/>
        </w:rPr>
      </w:pPr>
    </w:p>
    <w:p>
      <w:pPr>
        <w:pStyle w:val="Heading4"/>
        <w:spacing w:line="240" w:lineRule="auto" w:before="36"/>
        <w:ind w:right="227"/>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tbl>
      <w:tblPr>
        <w:tblW w:w="0" w:type="auto"/>
        <w:jc w:val="left"/>
        <w:tblInd w:w="256" w:type="dxa"/>
        <w:tblLayout w:type="fixed"/>
        <w:tblCellMar>
          <w:top w:w="0" w:type="dxa"/>
          <w:left w:w="0" w:type="dxa"/>
          <w:bottom w:w="0" w:type="dxa"/>
          <w:right w:w="0" w:type="dxa"/>
        </w:tblCellMar>
        <w:tblLook w:val="01E0"/>
      </w:tblPr>
      <w:tblGrid>
        <w:gridCol w:w="2019"/>
        <w:gridCol w:w="2657"/>
        <w:gridCol w:w="2674"/>
        <w:gridCol w:w="2065"/>
      </w:tblGrid>
      <w:tr>
        <w:trPr>
          <w:trHeight w:val="353" w:hRule="exact"/>
        </w:trPr>
        <w:tc>
          <w:tcPr>
            <w:tcW w:w="201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57" w:type="dxa"/>
            <w:tcBorders>
              <w:top w:val="single" w:sz="8" w:space="0" w:color="000000"/>
              <w:left w:val="single" w:sz="8" w:space="0" w:color="000000"/>
              <w:bottom w:val="single" w:sz="8" w:space="0" w:color="000000"/>
              <w:right w:val="single" w:sz="8" w:space="0" w:color="000000"/>
            </w:tcBorders>
          </w:tcPr>
          <w:p>
            <w:pPr>
              <w:pStyle w:val="TableParagraph"/>
              <w:spacing w:line="290" w:lineRule="exact"/>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年度</w:t>
            </w:r>
          </w:p>
        </w:tc>
        <w:tc>
          <w:tcPr>
            <w:tcW w:w="2065"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同比增减</w:t>
            </w:r>
          </w:p>
        </w:tc>
      </w:tr>
      <w:tr>
        <w:trPr>
          <w:trHeight w:val="353" w:hRule="exact"/>
        </w:trPr>
        <w:tc>
          <w:tcPr>
            <w:tcW w:w="201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6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sz w:val="21"/>
              </w:rPr>
              <w:t>35,748,261.02</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36,413,321.64</w:t>
            </w:r>
          </w:p>
        </w:tc>
        <w:tc>
          <w:tcPr>
            <w:tcW w:w="2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-1.83%</w:t>
            </w:r>
          </w:p>
        </w:tc>
      </w:tr>
      <w:tr>
        <w:trPr>
          <w:trHeight w:val="350" w:hRule="exact"/>
        </w:trPr>
        <w:tc>
          <w:tcPr>
            <w:tcW w:w="2019"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6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97,548,648.45</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108,839,788.71</w:t>
            </w:r>
          </w:p>
        </w:tc>
        <w:tc>
          <w:tcPr>
            <w:tcW w:w="2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-10.37%</w:t>
            </w:r>
          </w:p>
        </w:tc>
      </w:tr>
      <w:tr>
        <w:trPr>
          <w:trHeight w:val="353" w:hRule="exact"/>
        </w:trPr>
        <w:tc>
          <w:tcPr>
            <w:tcW w:w="201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6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-24,108,696.25</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-4,765,174.38</w:t>
            </w:r>
          </w:p>
        </w:tc>
        <w:tc>
          <w:tcPr>
            <w:tcW w:w="2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405.94%</w:t>
            </w:r>
          </w:p>
        </w:tc>
      </w:tr>
      <w:tr>
        <w:trPr>
          <w:trHeight w:val="353" w:hRule="exact"/>
        </w:trPr>
        <w:tc>
          <w:tcPr>
            <w:tcW w:w="201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26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sz w:val="21"/>
              </w:rPr>
              <w:t>14,432,087.88</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12,398,449.52</w:t>
            </w:r>
          </w:p>
        </w:tc>
        <w:tc>
          <w:tcPr>
            <w:tcW w:w="2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16.40%</w:t>
            </w:r>
          </w:p>
        </w:tc>
      </w:tr>
    </w:tbl>
    <w:p>
      <w:pPr>
        <w:spacing w:line="300" w:lineRule="auto" w:before="49"/>
        <w:ind w:left="152" w:right="227" w:firstLine="482"/>
        <w:jc w:val="left"/>
        <w:rPr>
          <w:rFonts w:ascii="宋体" w:hAnsi="宋体" w:cs="宋体" w:eastAsia="宋体"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年公司财务费用占营业收入比例较上年同期减少了</w:t>
      </w:r>
      <w:r>
        <w:rPr>
          <w:rFonts w:ascii="Times New Roman" w:hAnsi="Times New Roman" w:cs="Times New Roman" w:eastAsia="Times New Roman" w:hint="default"/>
          <w:sz w:val="18"/>
          <w:szCs w:val="18"/>
        </w:rPr>
        <w:t>0.87%</w:t>
      </w:r>
      <w:r>
        <w:rPr>
          <w:rFonts w:ascii="宋体" w:hAnsi="宋体" w:cs="宋体" w:eastAsia="宋体" w:hint="default"/>
          <w:sz w:val="18"/>
          <w:szCs w:val="18"/>
        </w:rPr>
        <w:t>，主要原因系公司报告期内收到非公发行募集资 金，并将暂时闲置的部分募集资金办理定期存款增加存储收益，利息收入较同期增加所致。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4"/>
        <w:spacing w:line="240" w:lineRule="auto"/>
        <w:ind w:right="227"/>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9"/>
        <w:rPr>
          <w:rFonts w:ascii="宋体" w:hAnsi="宋体" w:cs="宋体" w:eastAsia="宋体" w:hint="default"/>
          <w:b/>
          <w:bCs/>
          <w:sz w:val="25"/>
          <w:szCs w:val="25"/>
        </w:rPr>
      </w:pPr>
    </w:p>
    <w:tbl>
      <w:tblPr>
        <w:tblW w:w="0" w:type="auto"/>
        <w:jc w:val="left"/>
        <w:tblInd w:w="1257" w:type="dxa"/>
        <w:tblLayout w:type="fixed"/>
        <w:tblCellMar>
          <w:top w:w="0" w:type="dxa"/>
          <w:left w:w="0" w:type="dxa"/>
          <w:bottom w:w="0" w:type="dxa"/>
          <w:right w:w="0" w:type="dxa"/>
        </w:tblCellMar>
        <w:tblLook w:val="01E0"/>
      </w:tblPr>
      <w:tblGrid>
        <w:gridCol w:w="3694"/>
        <w:gridCol w:w="1858"/>
        <w:gridCol w:w="1861"/>
      </w:tblGrid>
      <w:tr>
        <w:trPr>
          <w:trHeight w:val="422" w:hRule="exact"/>
        </w:trPr>
        <w:tc>
          <w:tcPr>
            <w:tcW w:w="369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tabs>
                <w:tab w:pos="413" w:val="left" w:leader="none"/>
              </w:tabs>
              <w:spacing w:line="240" w:lineRule="auto" w:before="61"/>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85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w:t>
            </w:r>
            <w:r>
              <w:rPr>
                <w:rFonts w:ascii="宋体" w:hAnsi="宋体" w:cs="宋体" w:eastAsia="宋体" w:hint="default"/>
                <w:sz w:val="18"/>
                <w:szCs w:val="18"/>
              </w:rPr>
            </w:r>
          </w:p>
        </w:tc>
        <w:tc>
          <w:tcPr>
            <w:tcW w:w="186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42" w:hRule="exact"/>
        </w:trPr>
        <w:tc>
          <w:tcPr>
            <w:tcW w:w="369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研发支出（元）</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70,498,885.43</w:t>
            </w:r>
          </w:p>
        </w:tc>
        <w:tc>
          <w:tcPr>
            <w:tcW w:w="186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76,856,694.87</w:t>
            </w:r>
          </w:p>
        </w:tc>
      </w:tr>
      <w:tr>
        <w:trPr>
          <w:trHeight w:val="432" w:hRule="exact"/>
        </w:trPr>
        <w:tc>
          <w:tcPr>
            <w:tcW w:w="3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研发支出占净资产比例（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1.38%</w:t>
            </w:r>
          </w:p>
        </w:tc>
        <w:tc>
          <w:tcPr>
            <w:tcW w:w="18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2.10%</w:t>
            </w:r>
          </w:p>
        </w:tc>
      </w:tr>
      <w:tr>
        <w:trPr>
          <w:trHeight w:val="433" w:hRule="exact"/>
        </w:trPr>
        <w:tc>
          <w:tcPr>
            <w:tcW w:w="3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研发支出占主营业务收入比例（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3.11%</w:t>
            </w:r>
          </w:p>
        </w:tc>
        <w:tc>
          <w:tcPr>
            <w:tcW w:w="18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3.13%</w:t>
            </w:r>
          </w:p>
        </w:tc>
      </w:tr>
    </w:tbl>
    <w:p>
      <w:pPr>
        <w:spacing w:line="240" w:lineRule="auto" w:before="5"/>
        <w:rPr>
          <w:rFonts w:ascii="宋体" w:hAnsi="宋体" w:cs="宋体" w:eastAsia="宋体" w:hint="default"/>
          <w:b/>
          <w:bCs/>
          <w:sz w:val="6"/>
          <w:szCs w:val="6"/>
        </w:rPr>
      </w:pPr>
    </w:p>
    <w:p>
      <w:pPr>
        <w:spacing w:line="300" w:lineRule="auto" w:before="44"/>
        <w:ind w:left="152" w:right="84" w:firstLine="360"/>
        <w:jc w:val="left"/>
        <w:rPr>
          <w:rFonts w:ascii="宋体" w:hAnsi="宋体" w:cs="宋体" w:eastAsia="宋体" w:hint="default"/>
          <w:sz w:val="18"/>
          <w:szCs w:val="18"/>
        </w:rPr>
      </w:pPr>
      <w:r>
        <w:rPr>
          <w:rFonts w:ascii="宋体" w:hAnsi="宋体" w:cs="宋体" w:eastAsia="宋体" w:hint="default"/>
          <w:spacing w:val="-2"/>
          <w:sz w:val="18"/>
          <w:szCs w:val="18"/>
        </w:rPr>
        <w:t>公司研发支出主要是开展高性能膜材料发生的支出，报告期内经鉴定新产品</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项，新技术</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项等，创新项目同步发展，产</w:t>
      </w:r>
      <w:r>
        <w:rPr>
          <w:rFonts w:ascii="宋体" w:hAnsi="宋体" w:cs="宋体" w:eastAsia="宋体" w:hint="default"/>
          <w:sz w:val="18"/>
          <w:szCs w:val="18"/>
        </w:rPr>
        <w:t> 品结构调整得到进一步优化，实现产品差异化率提升到</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p>
      <w:pPr>
        <w:spacing w:line="307" w:lineRule="auto" w:before="135"/>
        <w:ind w:left="152" w:right="84" w:firstLine="360"/>
        <w:jc w:val="left"/>
        <w:rPr>
          <w:rFonts w:ascii="宋体" w:hAnsi="宋体" w:cs="宋体" w:eastAsia="宋体" w:hint="default"/>
          <w:sz w:val="18"/>
          <w:szCs w:val="18"/>
        </w:rPr>
      </w:pPr>
      <w:r>
        <w:rPr>
          <w:rFonts w:ascii="宋体" w:hAnsi="宋体" w:cs="宋体" w:eastAsia="宋体" w:hint="default"/>
          <w:spacing w:val="-4"/>
          <w:sz w:val="18"/>
          <w:szCs w:val="18"/>
        </w:rPr>
        <w:t>报告期内，公司坚持以市场为导向，推进高性能膜的发展；坚持以创新驱动为核心战略，深入推进结构调整、转型升级；</w:t>
      </w:r>
      <w:r>
        <w:rPr>
          <w:rFonts w:ascii="宋体" w:hAnsi="宋体" w:cs="宋体" w:eastAsia="宋体" w:hint="default"/>
          <w:sz w:val="18"/>
          <w:szCs w:val="18"/>
        </w:rPr>
        <w:t> </w:t>
      </w:r>
      <w:r>
        <w:rPr>
          <w:rFonts w:ascii="宋体" w:hAnsi="宋体" w:cs="宋体" w:eastAsia="宋体" w:hint="default"/>
          <w:spacing w:val="-2"/>
          <w:sz w:val="18"/>
          <w:szCs w:val="18"/>
        </w:rPr>
        <w:t>以创新引领技术质量完善提升，紧抓高性能膜发展机遇、领域延伸；集中优势资源发展优势产品，加快提升科技支撑力，增</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强可持续增长动力。同时，积极推动科技成果转化，加强专利和知识产权保护工作。</w:t>
      </w:r>
      <w:r>
        <w:rPr>
          <w:rFonts w:ascii="Times New Roman" w:hAnsi="Times New Roman" w:cs="Times New Roman" w:eastAsia="Times New Roman" w:hint="default"/>
          <w:sz w:val="18"/>
          <w:szCs w:val="18"/>
        </w:rPr>
        <w:t>2014</w:t>
      </w:r>
      <w:r>
        <w:rPr>
          <w:rFonts w:ascii="宋体" w:hAnsi="宋体" w:cs="宋体" w:eastAsia="宋体" w:hint="default"/>
          <w:sz w:val="18"/>
          <w:szCs w:val="18"/>
        </w:rPr>
        <w:t>年，授权专利</w:t>
      </w:r>
      <w:r>
        <w:rPr>
          <w:rFonts w:ascii="Times New Roman" w:hAnsi="Times New Roman" w:cs="Times New Roman" w:eastAsia="Times New Roman" w:hint="default"/>
          <w:sz w:val="18"/>
          <w:szCs w:val="18"/>
        </w:rPr>
        <w:t>8</w:t>
      </w:r>
      <w:r>
        <w:rPr>
          <w:rFonts w:ascii="宋体" w:hAnsi="宋体" w:cs="宋体" w:eastAsia="宋体" w:hint="default"/>
          <w:sz w:val="18"/>
          <w:szCs w:val="18"/>
        </w:rPr>
        <w:t>件，其中：发明专</w:t>
      </w:r>
      <w:r>
        <w:rPr>
          <w:rFonts w:ascii="宋体" w:hAnsi="宋体" w:cs="宋体" w:eastAsia="宋体" w:hint="default"/>
          <w:spacing w:val="-84"/>
          <w:sz w:val="18"/>
          <w:szCs w:val="18"/>
        </w:rPr>
        <w:t> </w:t>
      </w:r>
      <w:r>
        <w:rPr>
          <w:rFonts w:ascii="宋体" w:hAnsi="宋体" w:cs="宋体" w:eastAsia="宋体" w:hint="default"/>
          <w:spacing w:val="-2"/>
          <w:sz w:val="18"/>
          <w:szCs w:val="18"/>
        </w:rPr>
        <w:t>利</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件，实用新型专利</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件，申报专利</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双星</w:t>
      </w:r>
      <w:r>
        <w:rPr>
          <w:rFonts w:ascii="Times New Roman" w:hAnsi="Times New Roman" w:cs="Times New Roman" w:eastAsia="Times New Roman" w:hint="default"/>
          <w:spacing w:val="-2"/>
          <w:sz w:val="18"/>
          <w:szCs w:val="18"/>
        </w:rPr>
        <w:t>SHUANGXING”</w:t>
      </w:r>
      <w:r>
        <w:rPr>
          <w:rFonts w:ascii="宋体" w:hAnsi="宋体" w:cs="宋体" w:eastAsia="宋体" w:hint="default"/>
          <w:spacing w:val="-2"/>
          <w:sz w:val="18"/>
          <w:szCs w:val="18"/>
        </w:rPr>
        <w:t>商标被评为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江苏省重点培育和发展的国际知名品牌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，通过</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省、市级新产品及科技成果鉴定</w:t>
      </w:r>
      <w:r>
        <w:rPr>
          <w:rFonts w:ascii="Times New Roman" w:hAnsi="Times New Roman" w:cs="Times New Roman" w:eastAsia="Times New Roman" w:hint="default"/>
          <w:sz w:val="18"/>
          <w:szCs w:val="18"/>
        </w:rPr>
        <w:t>5</w:t>
      </w:r>
      <w:r>
        <w:rPr>
          <w:rFonts w:ascii="宋体" w:hAnsi="宋体" w:cs="宋体" w:eastAsia="宋体" w:hint="default"/>
          <w:sz w:val="18"/>
          <w:szCs w:val="18"/>
        </w:rPr>
        <w:t>项，通过省级高新技术产品认定</w:t>
      </w:r>
      <w:r>
        <w:rPr>
          <w:rFonts w:ascii="Times New Roman" w:hAnsi="Times New Roman" w:cs="Times New Roman" w:eastAsia="Times New Roman" w:hint="default"/>
          <w:sz w:val="18"/>
          <w:szCs w:val="18"/>
        </w:rPr>
        <w:t>2</w:t>
      </w:r>
      <w:r>
        <w:rPr>
          <w:rFonts w:ascii="宋体" w:hAnsi="宋体" w:cs="宋体" w:eastAsia="宋体" w:hint="default"/>
          <w:sz w:val="18"/>
          <w:szCs w:val="18"/>
        </w:rPr>
        <w:t>项，荣获市级科技进步奖</w:t>
      </w:r>
      <w:r>
        <w:rPr>
          <w:rFonts w:ascii="Times New Roman" w:hAnsi="Times New Roman" w:cs="Times New Roman" w:eastAsia="Times New Roman" w:hint="default"/>
          <w:sz w:val="18"/>
          <w:szCs w:val="18"/>
        </w:rPr>
        <w:t>3</w:t>
      </w:r>
      <w:r>
        <w:rPr>
          <w:rFonts w:ascii="宋体" w:hAnsi="宋体" w:cs="宋体" w:eastAsia="宋体" w:hint="default"/>
          <w:sz w:val="18"/>
          <w:szCs w:val="18"/>
        </w:rPr>
        <w:t>项，对企业支撑力引领作用不</w:t>
      </w:r>
      <w:r>
        <w:rPr>
          <w:rFonts w:ascii="宋体" w:hAnsi="宋体" w:cs="宋体" w:eastAsia="宋体" w:hint="default"/>
          <w:spacing w:val="-85"/>
          <w:sz w:val="18"/>
          <w:szCs w:val="18"/>
        </w:rPr>
        <w:t> </w:t>
      </w:r>
      <w:r>
        <w:rPr>
          <w:rFonts w:ascii="宋体" w:hAnsi="宋体" w:cs="宋体" w:eastAsia="宋体" w:hint="default"/>
          <w:sz w:val="18"/>
          <w:szCs w:val="18"/>
        </w:rPr>
        <w:t>断增强。</w:t>
      </w:r>
    </w:p>
    <w:p>
      <w:pPr>
        <w:spacing w:after="0" w:line="307"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2368"/>
        <w:gridCol w:w="2404"/>
        <w:gridCol w:w="2393"/>
        <w:gridCol w:w="2391"/>
      </w:tblGrid>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2,378,979,015.87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2,627,195,018.74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2,332,114,314.33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2,604,248,233.37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-10.45%</w:t>
            </w:r>
          </w:p>
        </w:tc>
      </w:tr>
      <w:tr>
        <w:trPr>
          <w:trHeight w:val="71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4"/>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46,864,701.54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22,946,785.37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104.23%</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15,699,962.07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166,986,493.79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-90.60%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1,245,328,627.21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165,682,590.26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651.64%</w:t>
            </w:r>
          </w:p>
        </w:tc>
      </w:tr>
      <w:tr>
        <w:trPr>
          <w:trHeight w:val="716"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4"/>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-1,229,628,665.14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1,303,903.53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-94,403.65%</w:t>
            </w:r>
            <w:r>
              <w:rPr>
                <w:rFonts w:ascii="Times New Roman"/>
                <w:sz w:val="18"/>
              </w:rPr>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1,616,607,493.84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39,092,007.81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4,035.39%</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282,659,890.57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107,603,795.67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162.69%</w:t>
            </w:r>
          </w:p>
        </w:tc>
      </w:tr>
      <w:tr>
        <w:trPr>
          <w:trHeight w:val="71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4"/>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1,333,947,603.27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-68,511,787.86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-2,047.03%</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155,480,391.50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-45,683,589.31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-440.34%</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304" w:lineRule="auto" w:before="117"/>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公司经营活动产生的现金净流量同比增加</w:t>
      </w:r>
      <w:r>
        <w:rPr>
          <w:rFonts w:ascii="Times New Roman" w:hAnsi="Times New Roman" w:cs="Times New Roman" w:eastAsia="Times New Roman" w:hint="default"/>
          <w:spacing w:val="-1"/>
          <w:sz w:val="18"/>
          <w:szCs w:val="18"/>
        </w:rPr>
        <w:t>104.23%</w:t>
      </w:r>
      <w:r>
        <w:rPr>
          <w:rFonts w:ascii="宋体" w:hAnsi="宋体" w:cs="宋体" w:eastAsia="宋体" w:hint="default"/>
          <w:spacing w:val="-1"/>
          <w:sz w:val="18"/>
          <w:szCs w:val="18"/>
        </w:rPr>
        <w:t>，主要原因系报告期内公司以票据形式结算货款比例较上年同期减少相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应增加的经营现金净流入所致；</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投资活动现金流入同比减少</w:t>
      </w:r>
      <w:r>
        <w:rPr>
          <w:rFonts w:ascii="Times New Roman" w:hAnsi="Times New Roman" w:cs="Times New Roman" w:eastAsia="Times New Roman" w:hint="default"/>
          <w:sz w:val="18"/>
          <w:szCs w:val="18"/>
        </w:rPr>
        <w:t>90.6%</w:t>
      </w:r>
      <w:r>
        <w:rPr>
          <w:rFonts w:ascii="宋体" w:hAnsi="宋体" w:cs="宋体" w:eastAsia="宋体" w:hint="default"/>
          <w:sz w:val="18"/>
          <w:szCs w:val="18"/>
        </w:rPr>
        <w:t>，主要原因系报告期内公司前募投资项目投资进度较上年同期放缓所致；</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投资活动现金流同比增加</w:t>
      </w:r>
      <w:r>
        <w:rPr>
          <w:rFonts w:ascii="Times New Roman" w:hAnsi="Times New Roman" w:cs="Times New Roman" w:eastAsia="Times New Roman" w:hint="default"/>
          <w:sz w:val="18"/>
          <w:szCs w:val="18"/>
        </w:rPr>
        <w:t>651.64%</w:t>
      </w:r>
      <w:r>
        <w:rPr>
          <w:rFonts w:ascii="宋体" w:hAnsi="宋体" w:cs="宋体" w:eastAsia="宋体" w:hint="default"/>
          <w:sz w:val="18"/>
          <w:szCs w:val="18"/>
        </w:rPr>
        <w:t>，主要原因系报告期内公司募集资金定存及投入项目支出较上年同期增加所致；</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投资活动产生的现金净流量净额同比减少</w:t>
      </w:r>
      <w:r>
        <w:rPr>
          <w:rFonts w:ascii="Times New Roman" w:hAnsi="Times New Roman" w:cs="Times New Roman" w:eastAsia="Times New Roman" w:hint="default"/>
          <w:sz w:val="18"/>
          <w:szCs w:val="18"/>
        </w:rPr>
        <w:t>94403.65%</w:t>
      </w:r>
      <w:r>
        <w:rPr>
          <w:rFonts w:ascii="宋体" w:hAnsi="宋体" w:cs="宋体" w:eastAsia="宋体" w:hint="default"/>
          <w:sz w:val="18"/>
          <w:szCs w:val="18"/>
        </w:rPr>
        <w:t>，主要原因系公司募集资金定存及投入项目支出较上年同期增加所</w:t>
      </w:r>
      <w:r>
        <w:rPr>
          <w:rFonts w:ascii="宋体" w:hAnsi="宋体" w:cs="宋体" w:eastAsia="宋体" w:hint="default"/>
          <w:w w:val="99"/>
          <w:sz w:val="18"/>
          <w:szCs w:val="18"/>
        </w:rPr>
        <w:t> </w:t>
      </w:r>
      <w:r>
        <w:rPr>
          <w:rFonts w:ascii="宋体" w:hAnsi="宋体" w:cs="宋体" w:eastAsia="宋体" w:hint="default"/>
          <w:sz w:val="18"/>
          <w:szCs w:val="18"/>
        </w:rPr>
        <w:t>致；</w:t>
      </w:r>
    </w:p>
    <w:p>
      <w:pPr>
        <w:spacing w:line="300" w:lineRule="auto" w:before="28"/>
        <w:ind w:left="152" w:right="11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筹资活动现金流入同比增加</w:t>
      </w:r>
      <w:r>
        <w:rPr>
          <w:rFonts w:ascii="Times New Roman" w:hAnsi="Times New Roman" w:cs="Times New Roman" w:eastAsia="Times New Roman" w:hint="default"/>
          <w:sz w:val="18"/>
          <w:szCs w:val="18"/>
        </w:rPr>
        <w:t>4035.39%</w:t>
      </w:r>
      <w:r>
        <w:rPr>
          <w:rFonts w:ascii="宋体" w:hAnsi="宋体" w:cs="宋体" w:eastAsia="宋体" w:hint="default"/>
          <w:sz w:val="18"/>
          <w:szCs w:val="18"/>
        </w:rPr>
        <w:t>，主要原因系报告期内非公发行募集资金</w:t>
      </w:r>
      <w:r>
        <w:rPr>
          <w:rFonts w:ascii="Times New Roman" w:hAnsi="Times New Roman" w:cs="Times New Roman" w:eastAsia="Times New Roman" w:hint="default"/>
          <w:sz w:val="18"/>
          <w:szCs w:val="18"/>
        </w:rPr>
        <w:t>13.68</w:t>
      </w:r>
      <w:r>
        <w:rPr>
          <w:rFonts w:ascii="宋体" w:hAnsi="宋体" w:cs="宋体" w:eastAsia="宋体" w:hint="default"/>
          <w:sz w:val="18"/>
          <w:szCs w:val="18"/>
        </w:rPr>
        <w:t>亿元所致；</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筹资活动现金流出同比增加</w:t>
      </w:r>
      <w:r>
        <w:rPr>
          <w:rFonts w:ascii="Times New Roman" w:hAnsi="Times New Roman" w:cs="Times New Roman" w:eastAsia="Times New Roman" w:hint="default"/>
          <w:sz w:val="18"/>
          <w:szCs w:val="18"/>
        </w:rPr>
        <w:t>162.69%</w:t>
      </w:r>
      <w:r>
        <w:rPr>
          <w:rFonts w:ascii="宋体" w:hAnsi="宋体" w:cs="宋体" w:eastAsia="宋体" w:hint="default"/>
          <w:sz w:val="18"/>
          <w:szCs w:val="18"/>
        </w:rPr>
        <w:t>，主要原因系报告期内归还银行贷款本金和利息较上年同期增加所致；</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筹资活动产生的现金净流量同比增加</w:t>
      </w:r>
      <w:r>
        <w:rPr>
          <w:rFonts w:ascii="Times New Roman" w:hAnsi="Times New Roman" w:cs="Times New Roman" w:eastAsia="Times New Roman" w:hint="default"/>
          <w:sz w:val="18"/>
          <w:szCs w:val="18"/>
        </w:rPr>
        <w:t>2047%</w:t>
      </w:r>
      <w:r>
        <w:rPr>
          <w:rFonts w:ascii="宋体" w:hAnsi="宋体" w:cs="宋体" w:eastAsia="宋体" w:hint="default"/>
          <w:sz w:val="18"/>
          <w:szCs w:val="18"/>
        </w:rPr>
        <w:t>，主要原因系公司报告期内收到再融资募集资金所致。</w:t>
      </w:r>
    </w:p>
    <w:p>
      <w:pPr>
        <w:spacing w:before="53"/>
        <w:ind w:left="152" w:right="146"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5"/>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46"/>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6"/>
        <w:gridCol w:w="1366"/>
        <w:gridCol w:w="1370"/>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58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塑料薄膜制造业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2,254,802,656.29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2,061,272,641.76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8.58%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08" w:right="0"/>
              <w:jc w:val="left"/>
              <w:rPr>
                <w:rFonts w:ascii="Times New Roman" w:hAnsi="Times New Roman" w:cs="Times New Roman" w:eastAsia="Times New Roman" w:hint="default"/>
                <w:sz w:val="18"/>
                <w:szCs w:val="18"/>
              </w:rPr>
            </w:pPr>
            <w:r>
              <w:rPr>
                <w:rFonts w:ascii="Times New Roman"/>
                <w:sz w:val="18"/>
              </w:rPr>
              <w:t>-7.91%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08" w:right="0"/>
              <w:jc w:val="left"/>
              <w:rPr>
                <w:rFonts w:ascii="Times New Roman" w:hAnsi="Times New Roman" w:cs="Times New Roman" w:eastAsia="Times New Roman" w:hint="default"/>
                <w:sz w:val="18"/>
                <w:szCs w:val="18"/>
              </w:rPr>
            </w:pPr>
            <w:r>
              <w:rPr>
                <w:rFonts w:ascii="Times New Roman"/>
                <w:sz w:val="18"/>
              </w:rPr>
              <w:t>-7.99%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0.08%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6"/>
        <w:gridCol w:w="1366"/>
        <w:gridCol w:w="1370"/>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2,036,989,996.07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1,877,427,335.18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镀铝膜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115,563,693.22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109,332,844.15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102,248,967.00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74,512,462.43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2.65%</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1,994,377,454.03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1,844,971,038.66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260,425,202.26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216,301,603.10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46"/>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931"/>
        <w:gridCol w:w="2785"/>
      </w:tblGrid>
      <w:tr>
        <w:trPr>
          <w:trHeight w:val="379" w:hRule="exact"/>
        </w:trPr>
        <w:tc>
          <w:tcPr>
            <w:tcW w:w="1356"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31"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785"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2" w:hRule="exact"/>
        </w:trPr>
        <w:tc>
          <w:tcPr>
            <w:tcW w:w="1356" w:type="dxa"/>
            <w:vMerge w:val="restart"/>
            <w:tcBorders>
              <w:top w:val="single" w:sz="13" w:space="0" w:color="FFFFFF"/>
              <w:left w:val="single" w:sz="4" w:space="0" w:color="000000"/>
              <w:right w:val="single" w:sz="4" w:space="0" w:color="000000"/>
            </w:tcBorders>
            <w:shd w:val="clear" w:color="auto" w:fill="D2D2D2"/>
          </w:tcPr>
          <w:p>
            <w:pPr/>
          </w:p>
        </w:tc>
        <w:tc>
          <w:tcPr>
            <w:tcW w:w="1164"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1"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5"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84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278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c>
          <w:tcPr>
            <w:tcW w:w="2785"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2785"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1,084,997,476.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19.29%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224,037,084.93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5.35%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13.94%</w:t>
            </w:r>
          </w:p>
        </w:tc>
        <w:tc>
          <w:tcPr>
            <w:tcW w:w="278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主要原因系本期非公开发行募集资 金到帐所致；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2785"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2785" w:type="dxa"/>
            <w:vMerge/>
            <w:tcBorders>
              <w:left w:val="single" w:sz="4" w:space="0" w:color="000000"/>
              <w:bottom w:val="single" w:sz="4" w:space="0" w:color="000000"/>
              <w:right w:val="single" w:sz="4" w:space="0" w:color="000000"/>
            </w:tcBorders>
          </w:tcPr>
          <w:p>
            <w:pP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86,005,458.54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72,501,267.80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c>
          <w:tcPr>
            <w:tcW w:w="2785"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749,567,124.7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13.33%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740,285,744.33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17.69%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-4.36%</w:t>
            </w:r>
          </w:p>
        </w:tc>
        <w:tc>
          <w:tcPr>
            <w:tcW w:w="2785"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2785"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2785"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2,025,115,667.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36.01%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1,917,315,783.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45.82%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-9.81%</w:t>
            </w:r>
          </w:p>
        </w:tc>
        <w:tc>
          <w:tcPr>
            <w:tcW w:w="2785"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2785"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2785"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658,470,940.7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11.71%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589,543,102.39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14.09%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-2.38%</w:t>
            </w:r>
          </w:p>
        </w:tc>
        <w:tc>
          <w:tcPr>
            <w:tcW w:w="2785"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2785"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2785" w:type="dxa"/>
            <w:vMerge/>
            <w:tcBorders>
              <w:left w:val="single" w:sz="4" w:space="0" w:color="000000"/>
              <w:bottom w:val="single" w:sz="4" w:space="0" w:color="000000"/>
              <w:right w:val="single" w:sz="4" w:space="0" w:color="000000"/>
            </w:tcBorders>
          </w:tcPr>
          <w:p>
            <w:pPr/>
          </w:p>
        </w:tc>
      </w:tr>
      <w:tr>
        <w:trPr>
          <w:trHeight w:val="715"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188,446,751.6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293,191,886.17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主要原因系以票据形式结算货款比 例较上年同期减少所致；</w:t>
            </w:r>
          </w:p>
        </w:tc>
      </w:tr>
      <w:tr>
        <w:trPr>
          <w:trHeight w:val="713"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504,998,927.7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235,682,991.33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主要原因系公司以预付货款方式结 算较上年同期大幅增加所致</w:t>
            </w:r>
          </w:p>
        </w:tc>
      </w:tr>
      <w:tr>
        <w:trPr>
          <w:trHeight w:val="1027"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4,242,197.92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489,988.89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主要原因系本期公司非公开募集资 金到账，募集资金定期存款较上年 同期大幅增加所致</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7"/>
        <w:gridCol w:w="2228"/>
        <w:gridCol w:w="2259"/>
        <w:gridCol w:w="797"/>
        <w:gridCol w:w="290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161"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37"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368" w:type="dxa"/>
            <w:vMerge/>
            <w:tcBorders>
              <w:left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0"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20,609,467.20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主要原因系本期偿还了借款所致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30,859,432.28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49,032,192.93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2"/>
              <w:jc w:val="left"/>
              <w:rPr>
                <w:rFonts w:ascii="宋体" w:hAnsi="宋体" w:cs="宋体" w:eastAsia="宋体" w:hint="default"/>
                <w:sz w:val="18"/>
                <w:szCs w:val="18"/>
              </w:rPr>
            </w:pPr>
            <w:r>
              <w:rPr>
                <w:rFonts w:ascii="宋体" w:hAnsi="宋体" w:cs="宋体" w:eastAsia="宋体" w:hint="default"/>
                <w:sz w:val="18"/>
                <w:szCs w:val="18"/>
              </w:rPr>
              <w:t>主要原因系本期到期货款已结算较 上年同期大幅增加所致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77,778,542.45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49,609,784.09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82"/>
              <w:jc w:val="left"/>
              <w:rPr>
                <w:rFonts w:ascii="宋体" w:hAnsi="宋体" w:cs="宋体" w:eastAsia="宋体" w:hint="default"/>
                <w:sz w:val="18"/>
                <w:szCs w:val="18"/>
              </w:rPr>
            </w:pPr>
            <w:r>
              <w:rPr>
                <w:rFonts w:ascii="宋体" w:hAnsi="宋体" w:cs="宋体" w:eastAsia="宋体" w:hint="default"/>
                <w:sz w:val="18"/>
                <w:szCs w:val="18"/>
              </w:rPr>
              <w:t>主要主要原因系本期应付设备工程 款较上年同期大幅增加所致</w:t>
            </w:r>
          </w:p>
        </w:tc>
      </w:tr>
    </w:tbl>
    <w:p>
      <w:pPr>
        <w:spacing w:line="240" w:lineRule="auto" w:before="3"/>
        <w:rPr>
          <w:rFonts w:ascii="宋体" w:hAnsi="宋体" w:cs="宋体" w:eastAsia="宋体" w:hint="default"/>
          <w:sz w:val="19"/>
          <w:szCs w:val="19"/>
        </w:rPr>
      </w:pPr>
    </w:p>
    <w:p>
      <w:pPr>
        <w:pStyle w:val="Heading4"/>
        <w:spacing w:line="240" w:lineRule="auto" w:before="36"/>
        <w:ind w:right="0"/>
        <w:jc w:val="both"/>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r>
        <w:rPr/>
        <w:t>五、核心竞争力分析</w:t>
      </w:r>
      <w:r>
        <w:rPr>
          <w:b w:val="0"/>
          <w:bCs w:val="0"/>
        </w:rPr>
      </w:r>
    </w:p>
    <w:p>
      <w:pPr>
        <w:spacing w:line="240" w:lineRule="auto" w:before="12"/>
        <w:rPr>
          <w:rFonts w:ascii="宋体" w:hAnsi="宋体" w:cs="宋体" w:eastAsia="宋体" w:hint="default"/>
          <w:b/>
          <w:bCs/>
          <w:sz w:val="24"/>
          <w:szCs w:val="24"/>
        </w:rPr>
      </w:pPr>
    </w:p>
    <w:p>
      <w:pPr>
        <w:pStyle w:val="BodyText"/>
        <w:spacing w:line="357" w:lineRule="auto"/>
        <w:ind w:left="573" w:right="146"/>
        <w:jc w:val="left"/>
      </w:pPr>
      <w:r>
        <w:rPr>
          <w:rFonts w:ascii="Times New Roman" w:hAnsi="Times New Roman" w:cs="Times New Roman" w:eastAsia="Times New Roman" w:hint="default"/>
        </w:rPr>
        <w:t>1</w:t>
      </w:r>
      <w:r>
        <w:rPr/>
        <w:t>、聚酯薄膜全产业链布局优势</w:t>
      </w:r>
      <w:r>
        <w:rPr>
          <w:w w:val="100"/>
        </w:rPr>
        <w:t> </w:t>
      </w:r>
      <w:r>
        <w:rPr>
          <w:spacing w:val="2"/>
        </w:rPr>
        <w:t>从原料合成到利用聚酯膜延伸及产品后加工全产业链布局。成为国内拥有全球领先水平的聚酯薄膜</w:t>
      </w:r>
    </w:p>
    <w:p>
      <w:pPr>
        <w:pStyle w:val="BodyText"/>
        <w:spacing w:line="225" w:lineRule="exact"/>
        <w:ind w:right="0"/>
        <w:jc w:val="both"/>
      </w:pPr>
      <w:r>
        <w:rPr>
          <w:rFonts w:ascii="Times New Roman" w:hAnsi="Times New Roman" w:cs="Times New Roman" w:eastAsia="Times New Roman" w:hint="default"/>
        </w:rPr>
        <w:t>8700mm</w:t>
      </w:r>
      <w:r>
        <w:rPr/>
        <w:t>幅宽设备产线率先集群厂家，实现一线一品一市场，依靠聚酯膜提档升级，企业已提前布局，继</w:t>
      </w:r>
    </w:p>
    <w:p>
      <w:pPr>
        <w:pStyle w:val="BodyText"/>
        <w:spacing w:line="240" w:lineRule="auto" w:before="21"/>
        <w:ind w:right="0"/>
        <w:jc w:val="both"/>
      </w:pPr>
      <w:r>
        <w:rPr/>
        <w:t>续在光学膜领域有很好发展空间，延续后产品替代进口。</w:t>
      </w:r>
    </w:p>
    <w:p>
      <w:pPr>
        <w:pStyle w:val="BodyText"/>
        <w:spacing w:line="357" w:lineRule="auto" w:before="157"/>
        <w:ind w:left="573" w:right="146"/>
        <w:jc w:val="left"/>
      </w:pPr>
      <w:r>
        <w:rPr>
          <w:rFonts w:ascii="Times New Roman" w:hAnsi="Times New Roman" w:cs="Times New Roman" w:eastAsia="Times New Roman" w:hint="default"/>
        </w:rPr>
        <w:t>2</w:t>
      </w:r>
      <w:r>
        <w:rPr/>
        <w:t>、产品、市场布局优势</w:t>
      </w:r>
      <w:r>
        <w:rPr>
          <w:w w:val="100"/>
        </w:rPr>
        <w:t> </w:t>
      </w:r>
      <w:r>
        <w:rPr>
          <w:spacing w:val="-2"/>
        </w:rPr>
        <w:t>一批新产品成功开发并出效益，后续是如何快速做强，抢占市场制高点。保护膜、离型膜、热缩膜、</w:t>
      </w:r>
    </w:p>
    <w:p>
      <w:pPr>
        <w:pStyle w:val="BodyText"/>
        <w:spacing w:line="209" w:lineRule="exact"/>
        <w:ind w:right="0"/>
        <w:jc w:val="both"/>
      </w:pPr>
      <w:r>
        <w:rPr/>
        <w:t>电子信息膜、高清膜、窗膜已批量生产；电容膜、热封膜、太阳能背材基膜市场进一步扩充，并继续完善</w:t>
      </w:r>
    </w:p>
    <w:p>
      <w:pPr>
        <w:pStyle w:val="BodyText"/>
        <w:spacing w:line="240" w:lineRule="auto" w:before="37"/>
        <w:ind w:right="0"/>
        <w:jc w:val="both"/>
      </w:pPr>
      <w:r>
        <w:rPr/>
        <w:t>开发，做大价值；光学膜基材已成功开发。</w:t>
      </w:r>
    </w:p>
    <w:p>
      <w:pPr>
        <w:pStyle w:val="BodyText"/>
        <w:spacing w:line="273" w:lineRule="auto" w:before="157"/>
        <w:ind w:right="146" w:firstLine="420"/>
        <w:jc w:val="left"/>
      </w:pPr>
      <w:r>
        <w:rPr>
          <w:spacing w:val="-2"/>
        </w:rPr>
        <w:t>公司具有多年市场经营实践，在国际国内相应进行市场网络布局，使之开发一批新品就成功拓展到一</w:t>
      </w:r>
      <w:r>
        <w:rPr>
          <w:w w:val="100"/>
        </w:rPr>
        <w:t> </w:t>
      </w:r>
      <w:r>
        <w:rPr/>
        <w:t>批新市场。</w:t>
      </w:r>
    </w:p>
    <w:p>
      <w:pPr>
        <w:pStyle w:val="BodyText"/>
        <w:spacing w:line="357" w:lineRule="auto" w:before="127"/>
        <w:ind w:left="573" w:right="146"/>
        <w:jc w:val="left"/>
      </w:pPr>
      <w:r>
        <w:rPr>
          <w:rFonts w:ascii="Times New Roman" w:hAnsi="Times New Roman" w:cs="Times New Roman" w:eastAsia="Times New Roman" w:hint="default"/>
        </w:rPr>
        <w:t>3</w:t>
      </w:r>
      <w:r>
        <w:rPr/>
        <w:t>、技术人才优势</w:t>
      </w:r>
      <w:r>
        <w:rPr>
          <w:w w:val="100"/>
        </w:rPr>
        <w:t> </w:t>
      </w:r>
      <w:r>
        <w:rPr>
          <w:spacing w:val="-3"/>
        </w:rPr>
        <w:t>相聚一批优秀人才队伍，相对规模经营实力，持续推进创新能力和水平，领先于同行业。目前公司拥</w:t>
      </w:r>
    </w:p>
    <w:p>
      <w:pPr>
        <w:pStyle w:val="BodyText"/>
        <w:spacing w:line="225" w:lineRule="exact"/>
        <w:ind w:right="0"/>
        <w:jc w:val="both"/>
      </w:pPr>
      <w:r>
        <w:rPr/>
        <w:t>有专利</w:t>
      </w:r>
      <w:r>
        <w:rPr>
          <w:rFonts w:ascii="Times New Roman" w:hAnsi="Times New Roman" w:cs="Times New Roman" w:eastAsia="Times New Roman" w:hint="default"/>
        </w:rPr>
        <w:t>30</w:t>
      </w:r>
      <w:r>
        <w:rPr/>
        <w:t>件，其中：发明专利</w:t>
      </w:r>
      <w:r>
        <w:rPr>
          <w:rFonts w:ascii="Times New Roman" w:hAnsi="Times New Roman" w:cs="Times New Roman" w:eastAsia="Times New Roman" w:hint="default"/>
        </w:rPr>
        <w:t>11</w:t>
      </w:r>
      <w:r>
        <w:rPr/>
        <w:t>件，实用新型专利</w:t>
      </w:r>
      <w:r>
        <w:rPr>
          <w:rFonts w:ascii="Times New Roman" w:hAnsi="Times New Roman" w:cs="Times New Roman" w:eastAsia="Times New Roman" w:hint="default"/>
        </w:rPr>
        <w:t>19</w:t>
      </w:r>
      <w:r>
        <w:rPr/>
        <w:t>件。报告期内授权专利</w:t>
      </w:r>
      <w:r>
        <w:rPr>
          <w:rFonts w:ascii="Times New Roman" w:hAnsi="Times New Roman" w:cs="Times New Roman" w:eastAsia="Times New Roman" w:hint="default"/>
        </w:rPr>
        <w:t>8</w:t>
      </w:r>
      <w:r>
        <w:rPr/>
        <w:t>件，其中：发明专利</w:t>
      </w:r>
      <w:r>
        <w:rPr>
          <w:rFonts w:ascii="Times New Roman" w:hAnsi="Times New Roman" w:cs="Times New Roman" w:eastAsia="Times New Roman" w:hint="default"/>
        </w:rPr>
        <w:t>1</w:t>
      </w:r>
      <w:r>
        <w:rPr/>
        <w:t>件，实</w:t>
      </w:r>
    </w:p>
    <w:p>
      <w:pPr>
        <w:pStyle w:val="BodyText"/>
        <w:spacing w:line="264" w:lineRule="auto" w:before="21"/>
        <w:ind w:right="147"/>
        <w:jc w:val="both"/>
      </w:pPr>
      <w:r>
        <w:rPr>
          <w:spacing w:val="-2"/>
        </w:rPr>
        <w:t>用新型</w:t>
      </w:r>
      <w:r>
        <w:rPr>
          <w:rFonts w:ascii="Times New Roman" w:hAnsi="Times New Roman" w:cs="Times New Roman" w:eastAsia="Times New Roman" w:hint="default"/>
          <w:spacing w:val="-2"/>
        </w:rPr>
        <w:t>7</w:t>
      </w:r>
      <w:r>
        <w:rPr>
          <w:spacing w:val="-2"/>
        </w:rPr>
        <w:t>件；申请专利</w:t>
      </w:r>
      <w:r>
        <w:rPr>
          <w:rFonts w:ascii="Times New Roman" w:hAnsi="Times New Roman" w:cs="Times New Roman" w:eastAsia="Times New Roman" w:hint="default"/>
          <w:spacing w:val="-2"/>
        </w:rPr>
        <w:t>5</w:t>
      </w:r>
      <w:r>
        <w:rPr>
          <w:spacing w:val="-2"/>
        </w:rPr>
        <w:t>件。通过与全球知名企业的技术合作，集聚了以本土团队为主，日本团队、台湾团</w:t>
      </w:r>
      <w:r>
        <w:rPr>
          <w:spacing w:val="-41"/>
        </w:rPr>
        <w:t> </w:t>
      </w:r>
      <w:r>
        <w:rPr>
          <w:spacing w:val="-41"/>
        </w:rPr>
      </w:r>
      <w:r>
        <w:rPr>
          <w:spacing w:val="-2"/>
        </w:rPr>
        <w:t>队、德国专家、韩国团队、美国专家多方人才汇集的双星研发团队，初步形成了人才和技术对转型升级的</w:t>
      </w:r>
      <w:r>
        <w:rPr>
          <w:spacing w:val="-47"/>
        </w:rPr>
        <w:t> </w:t>
      </w:r>
      <w:r>
        <w:rPr>
          <w:spacing w:val="-47"/>
        </w:rPr>
      </w:r>
      <w:r>
        <w:rPr/>
        <w:t>支撑。</w:t>
      </w:r>
    </w:p>
    <w:p>
      <w:pPr>
        <w:pStyle w:val="BodyText"/>
        <w:spacing w:line="357" w:lineRule="auto" w:before="136"/>
        <w:ind w:left="573" w:right="146"/>
        <w:jc w:val="left"/>
      </w:pPr>
      <w:r>
        <w:rPr>
          <w:rFonts w:ascii="Times New Roman" w:hAnsi="Times New Roman" w:cs="Times New Roman" w:eastAsia="Times New Roman" w:hint="default"/>
        </w:rPr>
        <w:t>4</w:t>
      </w:r>
      <w:r>
        <w:rPr/>
        <w:t>、品牌渠道优势</w:t>
      </w:r>
      <w:r>
        <w:rPr>
          <w:w w:val="100"/>
        </w:rPr>
        <w:t> </w:t>
      </w:r>
      <w:r>
        <w:rPr>
          <w:spacing w:val="-2"/>
        </w:rPr>
        <w:t>双星新材成为行业龙头企业，在全国有数千多家终端客户；本着为客户创造价值理念，双星产品受到</w:t>
      </w:r>
    </w:p>
    <w:p>
      <w:pPr>
        <w:pStyle w:val="BodyText"/>
        <w:spacing w:line="225" w:lineRule="exact"/>
        <w:ind w:right="0"/>
        <w:jc w:val="both"/>
      </w:pPr>
      <w:r>
        <w:rPr/>
        <w:t>客户亲睐。同时进一步发展的光学膜年产</w:t>
      </w:r>
      <w:r>
        <w:rPr>
          <w:rFonts w:ascii="Times New Roman" w:hAnsi="Times New Roman" w:cs="Times New Roman" w:eastAsia="Times New Roman" w:hint="default"/>
        </w:rPr>
        <w:t>1</w:t>
      </w:r>
      <w:r>
        <w:rPr/>
        <w:t>亿平方米，为我们转型升级创造了条件；双星品牌被评为</w:t>
      </w:r>
      <w:r>
        <w:rPr>
          <w:rFonts w:ascii="Times New Roman" w:hAnsi="Times New Roman" w:cs="Times New Roman" w:eastAsia="Times New Roman" w:hint="default"/>
        </w:rPr>
        <w:t>“</w:t>
      </w:r>
      <w:r>
        <w:rPr/>
        <w:t>江苏</w:t>
      </w:r>
    </w:p>
    <w:p>
      <w:pPr>
        <w:pStyle w:val="BodyText"/>
        <w:spacing w:line="240" w:lineRule="auto" w:before="21"/>
        <w:ind w:right="0"/>
        <w:jc w:val="both"/>
      </w:pPr>
      <w:r>
        <w:rPr/>
        <w:t>省重点培育和发展的国际知名品牌</w:t>
      </w:r>
      <w:r>
        <w:rPr>
          <w:rFonts w:ascii="Times New Roman" w:hAnsi="Times New Roman" w:cs="Times New Roman" w:eastAsia="Times New Roman" w:hint="default"/>
        </w:rPr>
        <w:t>”</w:t>
      </w:r>
      <w:r>
        <w:rPr/>
        <w:t>，持续扩大品牌效应。</w:t>
      </w:r>
    </w:p>
    <w:p>
      <w:pPr>
        <w:pStyle w:val="BodyText"/>
        <w:spacing w:line="357" w:lineRule="auto" w:before="141"/>
        <w:ind w:left="405" w:right="146" w:firstLine="168"/>
        <w:jc w:val="left"/>
      </w:pPr>
      <w:r>
        <w:rPr>
          <w:rFonts w:ascii="Times New Roman" w:hAnsi="Times New Roman" w:cs="Times New Roman" w:eastAsia="Times New Roman" w:hint="default"/>
        </w:rPr>
        <w:t>5</w:t>
      </w:r>
      <w:r>
        <w:rPr/>
        <w:t>、管理优势</w:t>
      </w:r>
      <w:r>
        <w:rPr>
          <w:w w:val="100"/>
        </w:rPr>
        <w:t> </w:t>
      </w:r>
      <w:r>
        <w:rPr>
          <w:spacing w:val="-3"/>
        </w:rPr>
        <w:t>公司的管理层团队具有多年聚酯薄膜行业经验、技术研发经历，熟悉行业发展特点和趋势，能够较好的</w:t>
      </w:r>
    </w:p>
    <w:p>
      <w:pPr>
        <w:pStyle w:val="BodyText"/>
        <w:spacing w:line="209" w:lineRule="exact"/>
        <w:ind w:right="0"/>
        <w:jc w:val="both"/>
      </w:pPr>
      <w:r>
        <w:rPr/>
        <w:t>把握市场发展动态，并根据市场情况推陈出新，不断将新品种推向市场，使公司具备较强的竞争力和盈利</w:t>
      </w:r>
    </w:p>
    <w:p>
      <w:pPr>
        <w:pStyle w:val="BodyText"/>
        <w:spacing w:line="273" w:lineRule="auto" w:before="37"/>
        <w:ind w:right="146"/>
        <w:jc w:val="left"/>
      </w:pPr>
      <w:r>
        <w:rPr>
          <w:spacing w:val="-2"/>
        </w:rPr>
        <w:t>能力。此外，公司根据客户需求个性化及产品品种多样化特点，应用了先进的管理软件，合理安排生产，</w:t>
      </w:r>
      <w:r>
        <w:rPr>
          <w:spacing w:val="-21"/>
        </w:rPr>
        <w:t> </w:t>
      </w:r>
      <w:r>
        <w:rPr>
          <w:spacing w:val="-21"/>
        </w:rPr>
      </w:r>
      <w:r>
        <w:rPr>
          <w:spacing w:val="-2"/>
        </w:rPr>
        <w:t>最大化利用产能，开源节流。同时公司注重对客户售前和售后服务的管理，将此纳入员工考核和激励的范</w:t>
      </w:r>
    </w:p>
    <w:p>
      <w:pPr>
        <w:spacing w:after="0" w:line="273"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spacing w:line="501" w:lineRule="auto" w:before="36"/>
        <w:ind w:left="152" w:right="6354" w:firstLine="0"/>
        <w:jc w:val="left"/>
        <w:rPr>
          <w:rFonts w:ascii="宋体" w:hAnsi="宋体" w:cs="宋体" w:eastAsia="宋体" w:hint="default"/>
          <w:sz w:val="21"/>
          <w:szCs w:val="21"/>
        </w:rPr>
      </w:pPr>
      <w:r>
        <w:rPr>
          <w:rFonts w:ascii="宋体" w:hAnsi="宋体" w:cs="宋体" w:eastAsia="宋体" w:hint="default"/>
          <w:spacing w:val="-2"/>
          <w:sz w:val="21"/>
          <w:szCs w:val="21"/>
        </w:rPr>
        <w:t>围，使得客户满意度大幅提高。</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b/>
          <w:bCs/>
          <w:sz w:val="24"/>
          <w:szCs w:val="24"/>
        </w:rPr>
        <w:t>六、投资状况分析</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sz w:val="21"/>
          <w:szCs w:val="21"/>
        </w:rPr>
      </w:r>
    </w:p>
    <w:p>
      <w:pPr>
        <w:pStyle w:val="Heading4"/>
        <w:spacing w:line="240" w:lineRule="auto" w:before="68"/>
        <w:ind w:right="146"/>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公司报告期无对外投资。</w:t>
      </w:r>
    </w:p>
    <w:p>
      <w:pPr>
        <w:spacing w:line="240" w:lineRule="auto" w:before="6"/>
        <w:rPr>
          <w:rFonts w:ascii="宋体" w:hAnsi="宋体" w:cs="宋体" w:eastAsia="宋体" w:hint="default"/>
          <w:sz w:val="20"/>
          <w:szCs w:val="20"/>
        </w:rPr>
      </w:pPr>
    </w:p>
    <w:p>
      <w:pPr>
        <w:pStyle w:val="Heading4"/>
        <w:spacing w:line="240" w:lineRule="auto"/>
        <w:ind w:right="146"/>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5"/>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76"/>
        <w:gridCol w:w="881"/>
        <w:gridCol w:w="869"/>
        <w:gridCol w:w="872"/>
        <w:gridCol w:w="869"/>
        <w:gridCol w:w="869"/>
        <w:gridCol w:w="869"/>
        <w:gridCol w:w="869"/>
        <w:gridCol w:w="869"/>
        <w:gridCol w:w="869"/>
        <w:gridCol w:w="854"/>
      </w:tblGrid>
      <w:tr>
        <w:trPr>
          <w:trHeight w:val="714" w:hRule="exact"/>
        </w:trPr>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35" w:firstLine="45"/>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7"/>
                <w:sz w:val="18"/>
                <w:szCs w:val="18"/>
              </w:rPr>
              <w:t>成本（元）</w:t>
            </w:r>
            <w:r>
              <w:rPr>
                <w:rFonts w:ascii="宋体" w:hAnsi="宋体" w:cs="宋体" w:eastAsia="宋体" w:hint="default"/>
                <w:sz w:val="18"/>
                <w:szCs w:val="18"/>
              </w:rPr>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71" w:firstLine="45"/>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 w:right="0"/>
              <w:jc w:val="left"/>
              <w:rPr>
                <w:rFonts w:ascii="宋体" w:hAnsi="宋体" w:cs="宋体" w:eastAsia="宋体" w:hint="default"/>
                <w:sz w:val="18"/>
                <w:szCs w:val="18"/>
              </w:rPr>
            </w:pPr>
            <w:r>
              <w:rPr>
                <w:rFonts w:ascii="宋体" w:hAnsi="宋体" w:cs="宋体" w:eastAsia="宋体" w:hint="default"/>
                <w:sz w:val="18"/>
                <w:szCs w:val="18"/>
              </w:rPr>
              <w:t>期初持股</w:t>
            </w:r>
          </w:p>
          <w:p>
            <w:pPr>
              <w:pStyle w:val="TableParagraph"/>
              <w:spacing w:line="240" w:lineRule="auto" w:before="74"/>
              <w:ind w:left="-12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6"/>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69" w:firstLine="45"/>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4"/>
              <w:ind w:left="-1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 w:right="68"/>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9"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1337"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江苏民丰 农村商业 银行股份 有限公司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5,194,200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1.23%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6,161,100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1.23%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5,194,200.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924,165.00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3"/>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5" w:hRule="exact"/>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5,194,200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6,161,100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5,194,200.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924,165.00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公司报告期不存在证券投资。</w:t>
      </w:r>
    </w:p>
    <w:p>
      <w:pPr>
        <w:spacing w:line="240" w:lineRule="auto" w:before="6"/>
        <w:rPr>
          <w:rFonts w:ascii="宋体" w:hAnsi="宋体" w:cs="宋体" w:eastAsia="宋体" w:hint="default"/>
          <w:sz w:val="20"/>
          <w:szCs w:val="20"/>
        </w:rPr>
      </w:pPr>
    </w:p>
    <w:p>
      <w:pPr>
        <w:pStyle w:val="Heading4"/>
        <w:spacing w:line="240" w:lineRule="auto"/>
        <w:ind w:right="146"/>
        <w:jc w:val="left"/>
        <w:rPr>
          <w:b w:val="0"/>
          <w:bCs w:val="0"/>
        </w:rPr>
      </w:pP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54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公司报告期未持有其他上市公司股权。</w:t>
      </w:r>
    </w:p>
    <w:p>
      <w:pPr>
        <w:spacing w:line="240" w:lineRule="auto" w:before="2"/>
        <w:rPr>
          <w:rFonts w:ascii="宋体" w:hAnsi="宋体" w:cs="宋体" w:eastAsia="宋体" w:hint="default"/>
          <w:sz w:val="20"/>
          <w:szCs w:val="20"/>
        </w:rPr>
      </w:pPr>
    </w:p>
    <w:p>
      <w:pPr>
        <w:pStyle w:val="Heading4"/>
        <w:spacing w:line="240" w:lineRule="auto"/>
        <w:ind w:right="146"/>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公司报告期不存在委托理财。</w:t>
      </w:r>
    </w:p>
    <w:p>
      <w:pPr>
        <w:spacing w:line="240" w:lineRule="auto" w:before="6"/>
        <w:rPr>
          <w:rFonts w:ascii="宋体" w:hAnsi="宋体" w:cs="宋体" w:eastAsia="宋体" w:hint="default"/>
          <w:sz w:val="20"/>
          <w:szCs w:val="20"/>
        </w:rPr>
      </w:pPr>
    </w:p>
    <w:p>
      <w:pPr>
        <w:pStyle w:val="Heading4"/>
        <w:spacing w:line="240" w:lineRule="auto"/>
        <w:ind w:right="146"/>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4"/>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146" w:firstLine="0"/>
        <w:jc w:val="left"/>
        <w:rPr>
          <w:rFonts w:ascii="宋体" w:hAnsi="宋体" w:cs="宋体" w:eastAsia="宋体" w:hint="default"/>
          <w:sz w:val="18"/>
          <w:szCs w:val="18"/>
        </w:rPr>
      </w:pPr>
      <w:r>
        <w:rPr>
          <w:rFonts w:ascii="宋体" w:hAnsi="宋体" w:cs="宋体" w:eastAsia="宋体" w:hint="default"/>
          <w:sz w:val="18"/>
          <w:szCs w:val="18"/>
        </w:rPr>
        <w:t>公司报告期不存在衍生品投资。</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公司报告期不存在委托贷款。</w:t>
      </w:r>
    </w:p>
    <w:p>
      <w:pPr>
        <w:spacing w:line="240" w:lineRule="auto" w:before="6"/>
        <w:rPr>
          <w:rFonts w:ascii="宋体" w:hAnsi="宋体" w:cs="宋体" w:eastAsia="宋体" w:hint="default"/>
          <w:sz w:val="20"/>
          <w:szCs w:val="20"/>
        </w:rPr>
      </w:pPr>
    </w:p>
    <w:p>
      <w:pPr>
        <w:pStyle w:val="Heading4"/>
        <w:spacing w:line="240" w:lineRule="auto"/>
        <w:ind w:right="146"/>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宋体" w:hAnsi="宋体" w:cs="宋体" w:eastAsia="宋体" w:hint="default"/>
          <w:b/>
          <w:bCs/>
          <w:sz w:val="22"/>
          <w:szCs w:val="22"/>
        </w:rPr>
      </w:pPr>
    </w:p>
    <w:p>
      <w:pPr>
        <w:spacing w:before="44"/>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0"/>
        <w:ind w:left="0" w:right="156" w:firstLine="0"/>
        <w:jc w:val="right"/>
        <w:rPr>
          <w:rFonts w:ascii="宋体" w:hAnsi="宋体" w:cs="宋体" w:eastAsia="宋体" w:hint="default"/>
          <w:sz w:val="18"/>
          <w:szCs w:val="18"/>
        </w:rPr>
      </w:pPr>
      <w:r>
        <w:rPr/>
        <w:pict>
          <v:shape style="position:absolute;margin-left:56.400002pt;margin-top:-83.328278pt;width:479.3pt;height:163.3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1"/>
                  </w:tblGrid>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407,454.91</w:t>
                        </w:r>
                      </w:p>
                    </w:tc>
                  </w:tr>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53,984.86</w:t>
                        </w:r>
                      </w:p>
                    </w:tc>
                  </w:tr>
                  <w:tr>
                    <w:trPr>
                      <w:trHeight w:val="406"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317,782.3</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49"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tabs>
                            <w:tab w:pos="1946" w:val="left" w:leader="none"/>
                          </w:tabs>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、首次发行募集资金</w:t>
                          <w:tab/>
                        </w:r>
                        <w:r>
                          <w:rPr>
                            <w:rFonts w:ascii="宋体" w:hAnsi="宋体" w:cs="宋体" w:eastAsia="宋体" w:hint="default"/>
                            <w:sz w:val="18"/>
                            <w:szCs w:val="18"/>
                          </w:rPr>
                          <w:t>公司实际募集资金净额为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270,660.97</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万元。实际募集资金净额超过计划募集资金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204,497.97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tabs>
                            <w:tab w:pos="5833" w:val="left" w:leader="none"/>
                          </w:tabs>
                          <w:spacing w:line="300" w:lineRule="auto" w:before="60"/>
                          <w:ind w:left="24" w:right="19"/>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日，公司募集资金承诺投资项目已累计投入资金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66,192 </w:t>
                        </w:r>
                        <w:r>
                          <w:rPr>
                            <w:rFonts w:ascii="宋体" w:hAnsi="宋体" w:cs="宋体" w:eastAsia="宋体" w:hint="default"/>
                            <w:sz w:val="18"/>
                            <w:szCs w:val="18"/>
                          </w:rPr>
                          <w:t>万元，超募资金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203,886.45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万元投入使用， 募集资金累计使用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270,078.45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年度非公开发行募集资金</w:t>
                          <w:tab/>
                          <w:t>公司非公开发行股票实际募集资金净额为 </w:t>
                        </w:r>
                        <w:r>
                          <w:rPr>
                            <w:rFonts w:ascii="Times New Roman" w:hAnsi="Times New Roman" w:cs="Times New Roman" w:eastAsia="Times New Roman" w:hint="default"/>
                            <w:spacing w:val="-1"/>
                            <w:sz w:val="18"/>
                            <w:szCs w:val="18"/>
                          </w:rPr>
                          <w:t>136,793.94</w:t>
                        </w:r>
                        <w:r>
                          <w:rPr>
                            <w:rFonts w:ascii="Times New Roman" w:hAnsi="Times New Roman" w:cs="Times New Roman" w:eastAsia="Times New Roman" w:hint="default"/>
                            <w:spacing w:val="-5"/>
                            <w:sz w:val="18"/>
                            <w:szCs w:val="18"/>
                          </w:rPr>
                          <w:t> </w:t>
                        </w:r>
                        <w:r>
                          <w:rPr>
                            <w:rFonts w:ascii="宋体" w:hAnsi="宋体" w:cs="宋体" w:eastAsia="宋体" w:hint="default"/>
                            <w:spacing w:val="-9"/>
                            <w:sz w:val="18"/>
                            <w:szCs w:val="18"/>
                          </w:rPr>
                          <w:t>万元。资金专户项目支出</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47,703.85</w:t>
                        </w:r>
                        <w:r>
                          <w:rPr>
                            <w:rFonts w:ascii="Times New Roman" w:hAnsi="Times New Roman" w:cs="Times New Roman" w:eastAsia="Times New Roman" w:hint="default"/>
                            <w:spacing w:val="-6"/>
                            <w:sz w:val="18"/>
                            <w:szCs w:val="18"/>
                          </w:rPr>
                          <w:t> </w:t>
                        </w:r>
                        <w:r>
                          <w:rPr>
                            <w:rFonts w:ascii="宋体" w:hAnsi="宋体" w:cs="宋体" w:eastAsia="宋体" w:hint="default"/>
                            <w:spacing w:val="-19"/>
                            <w:sz w:val="18"/>
                            <w:szCs w:val="18"/>
                          </w:rPr>
                          <w:t>万元，截止</w:t>
                        </w:r>
                        <w:r>
                          <w:rPr>
                            <w:rFonts w:ascii="宋体" w:hAnsi="宋体" w:cs="宋体" w:eastAsia="宋体" w:hint="default"/>
                            <w:spacing w:val="-53"/>
                            <w:sz w:val="18"/>
                            <w:szCs w:val="18"/>
                          </w:rPr>
                          <w:t> </w:t>
                        </w:r>
                        <w:r>
                          <w:rPr>
                            <w:rFonts w:ascii="Times New Roman" w:hAnsi="Times New Roman" w:cs="Times New Roman" w:eastAsia="Times New Roman" w:hint="default"/>
                            <w:spacing w:val="-1"/>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日，定向增发募集资金专户项目支出累计</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47,703.85</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万元。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64"/>
        <w:gridCol w:w="775"/>
        <w:gridCol w:w="776"/>
        <w:gridCol w:w="778"/>
        <w:gridCol w:w="780"/>
        <w:gridCol w:w="783"/>
        <w:gridCol w:w="782"/>
        <w:gridCol w:w="780"/>
        <w:gridCol w:w="783"/>
        <w:gridCol w:w="782"/>
        <w:gridCol w:w="787"/>
      </w:tblGrid>
      <w:tr>
        <w:trPr>
          <w:trHeight w:val="1339"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18" w:right="65"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83" w:right="79"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6"/>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05"/>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万吨新型功能 性聚酯薄膜项目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66,163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66,163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66,192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100.04%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1,836.69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4" w:right="107"/>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 光学膜项目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136,793.9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136,793.9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47,703.85</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47,703.85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34.87%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202,956.9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202,956.9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47,703.85</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w w:val="95"/>
                <w:sz w:val="18"/>
              </w:rPr>
              <w:t>113,895.8</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1,836.69</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81.2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75"/>
                    <w:gridCol w:w="776"/>
                    <w:gridCol w:w="778"/>
                    <w:gridCol w:w="780"/>
                    <w:gridCol w:w="783"/>
                    <w:gridCol w:w="782"/>
                    <w:gridCol w:w="780"/>
                    <w:gridCol w:w="783"/>
                    <w:gridCol w:w="782"/>
                    <w:gridCol w:w="787"/>
                  </w:tblGrid>
                  <w:tr>
                    <w:trPr>
                      <w:trHeight w:val="368"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05"/>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万吨太阳能电 池封装材料基材项目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65,811.42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65,811.42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4,215.42</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61,038.69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92.75%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730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万吨新型功能</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性聚酯薄膜及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 功能性膜级切片项目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138,686.5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138,686.5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2,065.59</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142,847.7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103.00%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3,449.18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204,497.9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204,497.9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6,281.01</w:t>
                        </w:r>
                      </w:p>
                    </w:tc>
                    <w:tc>
                      <w:tcPr>
                        <w:tcW w:w="7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203,886.4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4,179.18</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76" w:type="dxa"/>
                        <w:vMerge/>
                        <w:tcBorders>
                          <w:left w:val="single" w:sz="9" w:space="0" w:color="D2D2D2"/>
                          <w:right w:val="single" w:sz="4" w:space="0" w:color="000000"/>
                        </w:tcBorders>
                      </w:tcPr>
                      <w:p>
                        <w:pPr/>
                      </w:p>
                    </w:tc>
                    <w:tc>
                      <w:tcPr>
                        <w:tcW w:w="778"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61"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vMerge/>
                        <w:tcBorders>
                          <w:left w:val="single" w:sz="9" w:space="0" w:color="D2D2D2"/>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407,454.9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407,454.9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53,984.86</w:t>
                        </w:r>
                      </w:p>
                    </w:tc>
                    <w:tc>
                      <w:tcPr>
                        <w:tcW w:w="7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317,782.3</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6,015.87</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76" w:type="dxa"/>
                        <w:vMerge/>
                        <w:tcBorders>
                          <w:left w:val="single" w:sz="9" w:space="0" w:color="D2D2D2"/>
                          <w:right w:val="single" w:sz="4" w:space="0" w:color="000000"/>
                        </w:tcBorders>
                      </w:tcPr>
                      <w:p>
                        <w:pPr/>
                      </w:p>
                    </w:tc>
                    <w:tc>
                      <w:tcPr>
                        <w:tcW w:w="778"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61"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vMerge/>
                        <w:tcBorders>
                          <w:left w:val="single" w:sz="9" w:space="0" w:color="D2D2D2"/>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r>
                  <w:tr>
                    <w:trPr>
                      <w:trHeight w:val="2813"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6" w:type="dxa"/>
                        <w:gridSpan w:val="10"/>
                        <w:vMerge w:val="restart"/>
                        <w:tcBorders>
                          <w:top w:val="single" w:sz="4" w:space="0" w:color="000000"/>
                          <w:left w:val="single" w:sz="9" w:space="0" w:color="D2D2D2"/>
                          <w:right w:val="single" w:sz="4" w:space="0" w:color="000000"/>
                        </w:tcBorders>
                      </w:tcPr>
                      <w:p>
                        <w:pPr>
                          <w:pStyle w:val="TableParagraph"/>
                          <w:spacing w:line="309" w:lineRule="auto" w:before="49"/>
                          <w:ind w:left="17" w:right="17"/>
                          <w:jc w:val="both"/>
                          <w:rPr>
                            <w:rFonts w:ascii="宋体" w:hAnsi="宋体" w:cs="宋体" w:eastAsia="宋体" w:hint="default"/>
                            <w:sz w:val="18"/>
                            <w:szCs w:val="18"/>
                          </w:rPr>
                        </w:pPr>
                        <w:r>
                          <w:rPr>
                            <w:rFonts w:ascii="宋体" w:hAnsi="宋体" w:cs="宋体" w:eastAsia="宋体" w:hint="default"/>
                            <w:sz w:val="18"/>
                            <w:szCs w:val="18"/>
                          </w:rPr>
                          <w:t>首次发行募集资金投资项目即“年产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万吨新型功能性聚酯薄膜项目”本年度实现的效益未达到预 </w:t>
                        </w:r>
                        <w:r>
                          <w:rPr>
                            <w:rFonts w:ascii="宋体" w:hAnsi="宋体" w:cs="宋体" w:eastAsia="宋体" w:hint="default"/>
                            <w:spacing w:val="-2"/>
                            <w:sz w:val="18"/>
                            <w:szCs w:val="18"/>
                          </w:rPr>
                          <w:t>计效益的原因为：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、公司募投项目建成后，由于受到整体宏观经济形势下行影响，下游客户普遍控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制采购成本，导致性能优异但产品单价较高的环保型热收缩聚酯薄膜市场需求受到抑制。虽然公司 采取各种方式降低客户整体使用成本，但是限于国内对环保型聚酯薄膜性能认识不足，因此该产品 的市场推广周期较长。为了保证公司盈利水平和资产使用效率，公司以市场需求为导向，调整了聚 </w:t>
                        </w:r>
                        <w:r>
                          <w:rPr>
                            <w:rFonts w:ascii="宋体" w:hAnsi="宋体" w:cs="宋体" w:eastAsia="宋体" w:hint="default"/>
                            <w:spacing w:val="-2"/>
                            <w:sz w:val="18"/>
                            <w:szCs w:val="18"/>
                          </w:rPr>
                          <w:t>酯薄膜产品的种类和规格，使得公司聚酯薄膜产品产量和市场占有率持续增加。</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、项目在达产后公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司产能利用率和产销率都已达到预期，但由于全球经济持续低迷，经济增长乏力；国内经济受到大 环境的影响增速下滑，市场竞争更加激烈，导致公司主要产品聚酯薄膜的价格出现了较大的波动， 产品价格下降幅度超过原材料的下降幅度。 </w:t>
                        </w:r>
                        <w:r>
                          <w:rPr>
                            <w:rFonts w:ascii="宋体" w:hAnsi="宋体" w:cs="宋体" w:eastAsia="宋体" w:hint="default"/>
                            <w:spacing w:val="-3"/>
                            <w:sz w:val="18"/>
                            <w:szCs w:val="18"/>
                          </w:rPr>
                          <w:t>首次发行募集资金投资项目即“年产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万吨新型功 能性聚酯薄膜及</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万吨功能性膜级切片项目”本年度实现的效益未达到预计效益的原因为：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、“年</w:t>
                        </w:r>
                      </w:p>
                      <w:p>
                        <w:pPr>
                          <w:pStyle w:val="TableParagraph"/>
                          <w:tabs>
                            <w:tab w:pos="2900" w:val="left" w:leader="none"/>
                            <w:tab w:pos="4571" w:val="left" w:leader="none"/>
                          </w:tabs>
                          <w:spacing w:line="307" w:lineRule="auto" w:before="5"/>
                          <w:ind w:left="17" w:right="19"/>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万吨功能性膜级切片”建成投产后主要为公司最终产品提供原材料，并不直接对外销售，需要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根据公司整体产品规划、生产计划和原材料研发需要进行生产安排，因此公司阶段性主打产品的的 </w:t>
                        </w:r>
                        <w:r>
                          <w:rPr>
                            <w:rFonts w:ascii="宋体" w:hAnsi="宋体" w:cs="宋体" w:eastAsia="宋体" w:hint="default"/>
                            <w:spacing w:val="-2"/>
                            <w:sz w:val="18"/>
                            <w:szCs w:val="18"/>
                          </w:rPr>
                          <w:t>价格波动对膜级切片的效益产生较大影响。</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、膜级切片上游原料为周期性大宗商品，其价格在近年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出现了大幅波动，导致目前膜级切片市场价格波动也较大，因此以目前膜级切片市场价格作为效益 </w:t>
                        </w:r>
                        <w:r>
                          <w:rPr>
                            <w:rFonts w:ascii="宋体" w:hAnsi="宋体" w:cs="宋体" w:eastAsia="宋体" w:hint="default"/>
                            <w:spacing w:val="-3"/>
                            <w:sz w:val="18"/>
                            <w:szCs w:val="18"/>
                          </w:rPr>
                          <w:t>测算依据会与项目设计之初的参考市场价格存在差异。</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万吨新型功能性聚酯薄膜项目 </w:t>
                        </w:r>
                        <w:r>
                          <w:rPr>
                            <w:rFonts w:ascii="宋体" w:hAnsi="宋体" w:cs="宋体" w:eastAsia="宋体" w:hint="default"/>
                            <w:spacing w:val="-2"/>
                            <w:sz w:val="18"/>
                            <w:szCs w:val="18"/>
                          </w:rPr>
                          <w:t>已建成投产，该项目涉及的细分产品目前正在逐步加</w:t>
                          <w:tab/>
                        </w:r>
                        <w:r>
                          <w:rPr>
                            <w:rFonts w:ascii="宋体" w:hAnsi="宋体" w:cs="宋体" w:eastAsia="宋体" w:hint="default"/>
                            <w:spacing w:val="-3"/>
                            <w:sz w:val="18"/>
                            <w:szCs w:val="18"/>
                          </w:rPr>
                          <w:t>大市场推广力度，但是由于市场推广周期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较长，预计效益短期无法体现。</w:t>
                          <w:tab/>
                          <w:t>首次发行募集资金投资项目即“年产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万吨太阳能电池封装材 </w:t>
                        </w:r>
                        <w:r>
                          <w:rPr>
                            <w:rFonts w:ascii="宋体" w:hAnsi="宋体" w:cs="宋体" w:eastAsia="宋体" w:hint="default"/>
                            <w:spacing w:val="-2"/>
                            <w:sz w:val="18"/>
                            <w:szCs w:val="18"/>
                          </w:rPr>
                          <w:t>料基材项目”本年度实现的效益未达到预计效益的原因为：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、受到外部经济形势影响，近几年太阳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能行业整体较为低迷，太阳能客户对新产品需要一定的评价周期，相应影响了公司产品效益的实现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、近期大宗商品价格的大幅波动对新能源行业影响较大，对公司该产品的推广及销售产生了较为不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利的影响。</w:t>
                        </w:r>
                      </w:p>
                    </w:tc>
                  </w:tr>
                  <w:tr>
                    <w:trPr>
                      <w:trHeight w:val="1018"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6" w:type="dxa"/>
                        <w:gridSpan w:val="10"/>
                        <w:vMerge/>
                        <w:tcBorders>
                          <w:left w:val="single" w:sz="9" w:space="0" w:color="D2D2D2"/>
                          <w:right w:val="single" w:sz="4" w:space="0" w:color="000000"/>
                        </w:tcBorders>
                      </w:tcPr>
                      <w:p>
                        <w:pPr/>
                      </w:p>
                    </w:tc>
                  </w:tr>
                  <w:tr>
                    <w:trPr>
                      <w:trHeight w:val="2813"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6" w:type="dxa"/>
                        <w:gridSpan w:val="10"/>
                        <w:vMerge/>
                        <w:tcBorders>
                          <w:left w:val="single" w:sz="9" w:space="0" w:color="D2D2D2"/>
                          <w:bottom w:val="single" w:sz="4" w:space="0" w:color="000000"/>
                          <w:right w:val="single" w:sz="4" w:space="0" w:color="000000"/>
                        </w:tcBorders>
                      </w:tcPr>
                      <w:p>
                        <w:pPr/>
                      </w:p>
                    </w:tc>
                  </w:tr>
                  <w:tr>
                    <w:trPr>
                      <w:trHeight w:val="71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6"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64" w:type="dxa"/>
                        <w:vMerge w:val="restart"/>
                        <w:tcBorders>
                          <w:top w:val="single" w:sz="4" w:space="0" w:color="000000"/>
                          <w:left w:val="single" w:sz="4" w:space="0" w:color="000000"/>
                          <w:right w:val="single" w:sz="4" w:space="0" w:color="000000"/>
                        </w:tcBorders>
                        <w:shd w:val="clear" w:color="auto" w:fill="D2D2D2"/>
                      </w:tcPr>
                      <w:p>
                        <w:pPr/>
                      </w:p>
                    </w:tc>
                    <w:tc>
                      <w:tcPr>
                        <w:tcW w:w="780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2"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7806" w:type="dxa"/>
                        <w:gridSpan w:val="10"/>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日召开了关于超募资金投资项目的临时股东大会并对超募资金的使用计划进行</w:t>
                        </w:r>
                      </w:p>
                      <w:p>
                        <w:pPr>
                          <w:pStyle w:val="TableParagraph"/>
                          <w:spacing w:line="240" w:lineRule="auto" w:before="63"/>
                          <w:ind w:left="17" w:right="0"/>
                          <w:jc w:val="both"/>
                          <w:rPr>
                            <w:rFonts w:ascii="宋体" w:hAnsi="宋体" w:cs="宋体" w:eastAsia="宋体" w:hint="default"/>
                            <w:sz w:val="18"/>
                            <w:szCs w:val="18"/>
                          </w:rPr>
                        </w:pPr>
                        <w:r>
                          <w:rPr>
                            <w:rFonts w:ascii="宋体" w:hAnsi="宋体" w:cs="宋体" w:eastAsia="宋体" w:hint="default"/>
                            <w:sz w:val="18"/>
                            <w:szCs w:val="18"/>
                          </w:rPr>
                          <w:t>了公告。超募资金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204,497.97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万元将用于投资建设“年产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万吨太阳能电池封装材料基材项目”及</w:t>
                        </w:r>
                      </w:p>
                      <w:p>
                        <w:pPr>
                          <w:pStyle w:val="TableParagraph"/>
                          <w:spacing w:line="300" w:lineRule="auto" w:before="63"/>
                          <w:ind w:left="17" w:right="20"/>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万吨新型功能性聚酯薄膜及</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万吨功能性膜级切片项目”，超募资金不能满足项目资金需</w:t>
                        </w:r>
                        <w:r>
                          <w:rPr>
                            <w:rFonts w:ascii="宋体" w:hAnsi="宋体" w:cs="宋体" w:eastAsia="宋体" w:hint="default"/>
                            <w:sz w:val="18"/>
                            <w:szCs w:val="18"/>
                          </w:rPr>
                          <w:t> 求部分，公司将通过自筹等方式来解决，</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年度超募资金使用了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75,051.03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年度超募 资金使用了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89,443.32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年度超募资金使用了</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33,111.09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年度超募资金使用了</w:t>
                        </w:r>
                      </w:p>
                    </w:tc>
                  </w:tr>
                  <w:tr>
                    <w:trPr>
                      <w:trHeight w:val="703"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6" w:type="dxa"/>
                        <w:gridSpan w:val="10"/>
                        <w:vMerge/>
                        <w:tcBorders>
                          <w:left w:val="single" w:sz="9" w:space="0" w:color="D2D2D2"/>
                          <w:right w:val="single" w:sz="4" w:space="0" w:color="000000"/>
                        </w:tcBorders>
                      </w:tcPr>
                      <w:p>
                        <w:pPr/>
                      </w:p>
                    </w:tc>
                  </w:tr>
                  <w:tr>
                    <w:trPr>
                      <w:trHeight w:val="655"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6"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44"/>
        <w:ind w:left="0" w:right="1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63"/>
        <w:gridCol w:w="7806"/>
      </w:tblGrid>
      <w:tr>
        <w:trPr>
          <w:trHeight w:val="363" w:hRule="exact"/>
        </w:trPr>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6,281.01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日，累计支付资金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203,886.45 </w:t>
            </w:r>
            <w:r>
              <w:rPr>
                <w:rFonts w:ascii="宋体" w:hAnsi="宋体" w:cs="宋体" w:eastAsia="宋体" w:hint="default"/>
                <w:sz w:val="18"/>
                <w:szCs w:val="18"/>
              </w:rPr>
              <w:t>万元。</w:t>
            </w:r>
          </w:p>
        </w:tc>
      </w:tr>
      <w:tr>
        <w:trPr>
          <w:trHeight w:val="401" w:hRule="exact"/>
        </w:trPr>
        <w:tc>
          <w:tcPr>
            <w:tcW w:w="1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3" w:type="dxa"/>
            <w:vMerge/>
            <w:tcBorders>
              <w:left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63" w:type="dxa"/>
            <w:vMerge/>
            <w:tcBorders>
              <w:left w:val="single" w:sz="4" w:space="0" w:color="000000"/>
              <w:bottom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63" w:type="dxa"/>
            <w:vMerge/>
            <w:tcBorders>
              <w:left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3" w:type="dxa"/>
            <w:vMerge/>
            <w:tcBorders>
              <w:left w:val="single" w:sz="4" w:space="0" w:color="000000"/>
              <w:bottom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4" w:lineRule="auto"/>
              <w:ind w:left="22" w:right="108"/>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8" w:hRule="exact"/>
        </w:trPr>
        <w:tc>
          <w:tcPr>
            <w:tcW w:w="1763" w:type="dxa"/>
            <w:vMerge/>
            <w:tcBorders>
              <w:left w:val="single" w:sz="4" w:space="0" w:color="000000"/>
              <w:bottom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、首次发行股票：</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日，公司第一届董事会第七次会议审议并通过了《关于使用募集 </w:t>
            </w:r>
            <w:r>
              <w:rPr>
                <w:rFonts w:ascii="宋体" w:hAnsi="宋体" w:cs="宋体" w:eastAsia="宋体" w:hint="default"/>
                <w:spacing w:val="-4"/>
                <w:sz w:val="18"/>
                <w:szCs w:val="18"/>
              </w:rPr>
              <w:t>资金置换预先已投入募集资金项目的自筹资金的议案》，同意公司以首次公开发行股票募集资金置换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预先已投入募集资金投资项目的自筹资金共计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315,102,774.23 </w:t>
            </w:r>
            <w:r>
              <w:rPr>
                <w:rFonts w:ascii="宋体" w:hAnsi="宋体" w:cs="宋体" w:eastAsia="宋体" w:hint="default"/>
                <w:sz w:val="18"/>
                <w:szCs w:val="18"/>
              </w:rPr>
              <w:t>元。上述置换资金业经保荐人确认， 并经上海众华沪银会计师事务所有限公司沪众会字</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4114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号专项鉴证报告确认。</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度非公开发行股票：</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日，公司第二届董事会第九次会议审议并通过了《公司以募集 </w:t>
            </w:r>
            <w:r>
              <w:rPr>
                <w:rFonts w:ascii="宋体" w:hAnsi="宋体" w:cs="宋体" w:eastAsia="宋体" w:hint="default"/>
                <w:spacing w:val="-4"/>
                <w:sz w:val="18"/>
                <w:szCs w:val="18"/>
              </w:rPr>
              <w:t>资金置换预先已投入募集资金项目自筹资金》，同意公司以非公开发行股票募集资金置换预先已投入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募集资金投资项目的自筹资金共计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140,652,078.81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元。上述置换资金业经保荐人确认，并经众华会</w:t>
            </w:r>
          </w:p>
          <w:p>
            <w:pPr>
              <w:pStyle w:val="TableParagraph"/>
              <w:spacing w:line="240" w:lineRule="auto" w:before="7"/>
              <w:ind w:left="23" w:right="0"/>
              <w:jc w:val="both"/>
              <w:rPr>
                <w:rFonts w:ascii="宋体" w:hAnsi="宋体" w:cs="宋体" w:eastAsia="宋体" w:hint="default"/>
                <w:sz w:val="18"/>
                <w:szCs w:val="18"/>
              </w:rPr>
            </w:pPr>
            <w:r>
              <w:rPr>
                <w:rFonts w:ascii="宋体" w:hAnsi="宋体" w:cs="宋体" w:eastAsia="宋体" w:hint="default"/>
                <w:sz w:val="18"/>
                <w:szCs w:val="18"/>
              </w:rPr>
              <w:t>计师事务所众会字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4615 </w:t>
            </w:r>
            <w:r>
              <w:rPr>
                <w:rFonts w:ascii="宋体" w:hAnsi="宋体" w:cs="宋体" w:eastAsia="宋体" w:hint="default"/>
                <w:sz w:val="18"/>
                <w:szCs w:val="18"/>
              </w:rPr>
              <w:t>号专项鉴证报告确认。</w:t>
            </w:r>
          </w:p>
        </w:tc>
      </w:tr>
      <w:tr>
        <w:trPr>
          <w:trHeight w:val="401" w:hRule="exact"/>
        </w:trPr>
        <w:tc>
          <w:tcPr>
            <w:tcW w:w="1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4" w:lineRule="auto"/>
              <w:ind w:left="22" w:right="108"/>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12" w:hRule="exact"/>
        </w:trPr>
        <w:tc>
          <w:tcPr>
            <w:tcW w:w="1763" w:type="dxa"/>
            <w:vMerge/>
            <w:tcBorders>
              <w:left w:val="single" w:sz="4" w:space="0" w:color="000000"/>
              <w:bottom w:val="single" w:sz="4" w:space="0" w:color="FFFFFF"/>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日本公司第一届董事会第十三次会议决议，使用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亿元募集资金用于暂时补充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流动资金，使用期限不超过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日止，到期归还募集</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资金专用账户。本公司于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亿元至募投资金专用账户。根据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日本公司第一届董事会第十九次会议决议，使用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亿元募集资金用于暂时补充流动资金，使用期限</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日止，到期归还募集资金专用账户。本公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归</w:t>
            </w:r>
            <w:r>
              <w:rPr>
                <w:rFonts w:ascii="宋体" w:hAnsi="宋体" w:cs="宋体" w:eastAsia="宋体" w:hint="default"/>
                <w:sz w:val="18"/>
                <w:szCs w:val="18"/>
              </w:rPr>
              <w:t>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亿</w:t>
            </w:r>
            <w:r>
              <w:rPr>
                <w:rFonts w:ascii="宋体" w:hAnsi="宋体" w:cs="宋体" w:eastAsia="宋体" w:hint="default"/>
                <w:sz w:val="18"/>
                <w:szCs w:val="18"/>
              </w:rPr>
              <w:t>元至募投资金专用账户</w:t>
            </w:r>
            <w:r>
              <w:rPr>
                <w:rFonts w:ascii="宋体" w:hAnsi="宋体" w:cs="宋体" w:eastAsia="宋体" w:hint="default"/>
                <w:spacing w:val="-82"/>
                <w:sz w:val="18"/>
                <w:szCs w:val="18"/>
              </w:rPr>
              <w:t>。</w:t>
            </w:r>
            <w:r>
              <w:rPr>
                <w:rFonts w:ascii="宋体" w:hAnsi="宋体" w:cs="宋体" w:eastAsia="宋体" w:hint="default"/>
                <w:sz w:val="18"/>
                <w:szCs w:val="18"/>
              </w:rPr>
              <w:t>根据</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日第二届董事</w:t>
            </w:r>
            <w:r>
              <w:rPr>
                <w:rFonts w:ascii="宋体" w:hAnsi="宋体" w:cs="宋体" w:eastAsia="宋体" w:hint="default"/>
                <w:spacing w:val="-3"/>
                <w:sz w:val="18"/>
                <w:szCs w:val="18"/>
              </w:rPr>
              <w:t>会</w:t>
            </w:r>
            <w:r>
              <w:rPr>
                <w:rFonts w:ascii="宋体" w:hAnsi="宋体" w:cs="宋体" w:eastAsia="宋体" w:hint="default"/>
                <w:sz w:val="18"/>
                <w:szCs w:val="18"/>
              </w:rPr>
              <w:t>第七次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会议决议决议，预计使用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万元募集资金用于暂时补充流动资金，使用期限不超过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个月，从</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日起至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日止，到期归还募集资金专用账户。本公司实际使用闲置募</w:t>
            </w:r>
          </w:p>
          <w:p>
            <w:pPr>
              <w:pStyle w:val="TableParagraph"/>
              <w:spacing w:line="300"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集资金暂时补充流动资金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3,720.00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万元。截止至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日，本公司已全部归还至募集资金</w:t>
            </w:r>
            <w:r>
              <w:rPr>
                <w:rFonts w:ascii="宋体" w:hAnsi="宋体" w:cs="宋体" w:eastAsia="宋体" w:hint="default"/>
                <w:sz w:val="18"/>
                <w:szCs w:val="18"/>
              </w:rPr>
              <w:t> 专用账户。</w:t>
            </w:r>
          </w:p>
        </w:tc>
      </w:tr>
      <w:tr>
        <w:trPr>
          <w:trHeight w:val="401" w:hRule="exact"/>
        </w:trPr>
        <w:tc>
          <w:tcPr>
            <w:tcW w:w="1763"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108"/>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3" w:type="dxa"/>
            <w:vMerge/>
            <w:tcBorders>
              <w:left w:val="single" w:sz="4" w:space="0" w:color="000000"/>
              <w:bottom w:val="single" w:sz="4" w:space="0" w:color="000000"/>
              <w:right w:val="single" w:sz="4" w:space="0" w:color="000000"/>
            </w:tcBorders>
            <w:shd w:val="clear" w:color="auto" w:fill="D2D2D2"/>
          </w:tcPr>
          <w:p>
            <w:pPr/>
          </w:p>
        </w:tc>
        <w:tc>
          <w:tcPr>
            <w:tcW w:w="78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0"/>
              <w:jc w:val="left"/>
              <w:rPr>
                <w:rFonts w:ascii="宋体" w:hAnsi="宋体" w:cs="宋体" w:eastAsia="宋体" w:hint="default"/>
                <w:sz w:val="18"/>
                <w:szCs w:val="18"/>
              </w:rPr>
            </w:pPr>
            <w:r>
              <w:rPr>
                <w:rFonts w:ascii="宋体" w:hAnsi="宋体" w:cs="宋体" w:eastAsia="宋体" w:hint="default"/>
                <w:sz w:val="18"/>
                <w:szCs w:val="18"/>
              </w:rPr>
              <w:t>为了提高募集资金的使用效率，公司已定期存储了部分尚未使用的募集资金，到期后该部分资金将 返还至募集资金专户。剩余尚未使用的募集资金均存放于募集资金专户中。</w:t>
            </w:r>
          </w:p>
        </w:tc>
      </w:tr>
      <w:tr>
        <w:trPr>
          <w:trHeight w:val="1028" w:hRule="exact"/>
        </w:trPr>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63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公司报告期不存在募集资金变更项目情况。</w:t>
      </w:r>
    </w:p>
    <w:p>
      <w:pPr>
        <w:spacing w:after="0" w:line="36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52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公司报告期内无应当披露的重要子公司、参股公司信息。</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63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公司报告期无非募集资金投资的重大项目。</w:t>
      </w:r>
    </w:p>
    <w:p>
      <w:pPr>
        <w:spacing w:line="240" w:lineRule="auto" w:before="7"/>
        <w:rPr>
          <w:rFonts w:ascii="宋体" w:hAnsi="宋体" w:cs="宋体" w:eastAsia="宋体" w:hint="default"/>
          <w:sz w:val="18"/>
          <w:szCs w:val="18"/>
        </w:rPr>
      </w:pPr>
    </w:p>
    <w:p>
      <w:pPr>
        <w:pStyle w:val="Heading2"/>
        <w:spacing w:line="240" w:lineRule="auto"/>
        <w:ind w:right="0"/>
        <w:jc w:val="both"/>
        <w:rPr>
          <w:b w:val="0"/>
          <w:bCs w:val="0"/>
        </w:rPr>
      </w:pP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八、公司未来发展的展望</w:t>
      </w:r>
      <w:r>
        <w:rPr>
          <w:b w:val="0"/>
          <w:bCs w:val="0"/>
        </w:rPr>
      </w:r>
    </w:p>
    <w:p>
      <w:pPr>
        <w:spacing w:line="240" w:lineRule="auto" w:before="8"/>
        <w:rPr>
          <w:rFonts w:ascii="宋体" w:hAnsi="宋体" w:cs="宋体" w:eastAsia="宋体" w:hint="default"/>
          <w:b/>
          <w:bCs/>
          <w:sz w:val="22"/>
          <w:szCs w:val="22"/>
        </w:rPr>
      </w:pPr>
    </w:p>
    <w:p>
      <w:pPr>
        <w:spacing w:line="331" w:lineRule="auto" w:before="0"/>
        <w:ind w:left="635" w:right="146" w:firstLine="0"/>
        <w:jc w:val="left"/>
        <w:rPr>
          <w:rFonts w:ascii="宋体" w:hAnsi="宋体" w:cs="宋体" w:eastAsia="宋体" w:hint="default"/>
          <w:sz w:val="24"/>
          <w:szCs w:val="24"/>
        </w:rPr>
      </w:pPr>
      <w:r>
        <w:rPr>
          <w:rFonts w:ascii="宋体" w:hAnsi="宋体" w:cs="宋体" w:eastAsia="宋体" w:hint="default"/>
          <w:b/>
          <w:bCs/>
          <w:sz w:val="24"/>
          <w:szCs w:val="24"/>
        </w:rPr>
        <w:t>（一）行业竞争格局和发展趋势</w:t>
      </w:r>
      <w:r>
        <w:rPr>
          <w:rFonts w:ascii="宋体" w:hAnsi="宋体" w:cs="宋体" w:eastAsia="宋体" w:hint="default"/>
          <w:b/>
          <w:bCs/>
          <w:w w:val="99"/>
          <w:sz w:val="24"/>
          <w:szCs w:val="24"/>
        </w:rPr>
        <w:t> </w:t>
      </w:r>
      <w:r>
        <w:rPr>
          <w:rFonts w:ascii="宋体" w:hAnsi="宋体" w:cs="宋体" w:eastAsia="宋体" w:hint="default"/>
          <w:sz w:val="24"/>
          <w:szCs w:val="24"/>
        </w:rPr>
        <w:t>当前，全球经济严峻复杂进入一个变革时代，国内经济持续下行和推进结构调整中，改</w:t>
      </w:r>
    </w:p>
    <w:p>
      <w:pPr>
        <w:pStyle w:val="Heading3"/>
        <w:spacing w:line="220" w:lineRule="exact"/>
        <w:ind w:right="0"/>
        <w:jc w:val="both"/>
      </w:pPr>
      <w:r>
        <w:rPr/>
        <w:t>革蕴含着新机。行业市场竞争加剧、日趋激烈，但刚性需求增长。由于全球聚酯薄膜的需求</w:t>
      </w:r>
    </w:p>
    <w:p>
      <w:pPr>
        <w:pStyle w:val="Heading3"/>
        <w:spacing w:line="312" w:lineRule="exact" w:before="29"/>
        <w:ind w:right="152"/>
        <w:jc w:val="both"/>
      </w:pPr>
      <w:r>
        <w:rPr/>
        <w:t>增长，聚酯薄膜产业处于高速成长期，</w:t>
      </w:r>
      <w:r>
        <w:rPr>
          <w:spacing w:val="-79"/>
        </w:rPr>
        <w:t> </w:t>
      </w:r>
      <w:r>
        <w:rPr/>
        <w:t>国际大公司纷纷加大产业投入争夺市场份额，我国的</w:t>
      </w:r>
      <w:r>
        <w:rPr/>
        <w:t> 聚酯薄膜产业融合其中也迅速扩大规模。当今的中国聚酯薄膜产能已高居世界首位，已成为</w:t>
      </w:r>
      <w:r>
        <w:rPr>
          <w:spacing w:val="-91"/>
        </w:rPr>
        <w:t> </w:t>
      </w:r>
      <w:r>
        <w:rPr>
          <w:spacing w:val="-91"/>
        </w:rPr>
      </w:r>
      <w:r>
        <w:rPr/>
        <w:t>全球聚酯薄膜产品重要生产基地及消费市场。</w:t>
      </w:r>
    </w:p>
    <w:p>
      <w:pPr>
        <w:pStyle w:val="Heading3"/>
        <w:spacing w:line="232" w:lineRule="auto" w:before="97"/>
        <w:ind w:right="151" w:firstLine="482"/>
        <w:jc w:val="both"/>
      </w:pPr>
      <w:r>
        <w:rPr/>
        <w:t>目前国内聚酯薄膜需求持续增长，年增长率达</w:t>
      </w:r>
      <w:r>
        <w:rPr>
          <w:rFonts w:ascii="Times New Roman" w:hAnsi="Times New Roman" w:cs="Times New Roman" w:eastAsia="Times New Roman" w:hint="default"/>
        </w:rPr>
        <w:t>15%</w:t>
      </w:r>
      <w:r>
        <w:rPr/>
        <w:t>，但聚酯薄膜产品结构性的矛盾问题 突出，聚酯薄膜行业产品结构转型要体现功能化、差异化和高端化，提高我国</w:t>
      </w:r>
      <w:r>
        <w:rPr>
          <w:rFonts w:ascii="Times New Roman" w:hAnsi="Times New Roman" w:cs="Times New Roman" w:eastAsia="Times New Roman" w:hint="default"/>
        </w:rPr>
        <w:t>BOPET</w:t>
      </w:r>
      <w:r>
        <w:rPr/>
        <w:t>薄膜的 整体竞争实力；加强专用功能化原料、专用成套设备和工艺技术的研发；加强产学研合作，</w:t>
      </w:r>
      <w:r>
        <w:rPr>
          <w:spacing w:val="-91"/>
        </w:rPr>
        <w:t> </w:t>
      </w:r>
      <w:r>
        <w:rPr>
          <w:spacing w:val="-91"/>
        </w:rPr>
      </w:r>
      <w:r>
        <w:rPr/>
        <w:t>与大专院校及研究机构建立行业公共实验测试平台，为行业技术创新服务，同时也为行业培</w:t>
      </w:r>
      <w:r>
        <w:rPr>
          <w:spacing w:val="-91"/>
        </w:rPr>
        <w:t> </w:t>
      </w:r>
      <w:r>
        <w:rPr>
          <w:spacing w:val="-91"/>
        </w:rPr>
      </w:r>
      <w:r>
        <w:rPr/>
        <w:t>养专业技术人才；规范市场秩序，促进行业良性发展。</w:t>
      </w:r>
    </w:p>
    <w:p>
      <w:pPr>
        <w:pStyle w:val="Heading3"/>
        <w:spacing w:line="312" w:lineRule="exact" w:before="149"/>
        <w:ind w:right="156" w:firstLine="482"/>
        <w:jc w:val="both"/>
      </w:pPr>
      <w:r>
        <w:rPr/>
        <w:t>目前高端聚酯薄膜的生产原材料基本依靠进口，严重牵制了我国高端功能聚酯薄膜产品 的发展，因此发展拥有自主知识产权的专用原料是亟待解决的问题，此现状，需进一步加强</w:t>
      </w:r>
      <w:r>
        <w:rPr>
          <w:spacing w:val="-91"/>
        </w:rPr>
        <w:t> </w:t>
      </w:r>
      <w:r>
        <w:rPr>
          <w:spacing w:val="-91"/>
        </w:rPr>
      </w:r>
      <w:r>
        <w:rPr/>
        <w:t>特种功能性聚酯薄膜的专用聚酯切片的研究，重点研究添加剂、原材料提纯、合成技术及薄</w:t>
      </w:r>
      <w:r>
        <w:rPr>
          <w:spacing w:val="-89"/>
        </w:rPr>
        <w:t> </w:t>
      </w:r>
      <w:r>
        <w:rPr>
          <w:spacing w:val="-89"/>
        </w:rPr>
      </w:r>
      <w:r>
        <w:rPr/>
        <w:t>膜表面涂层材料等，提高我国</w:t>
      </w:r>
      <w:r>
        <w:rPr>
          <w:rFonts w:ascii="Times New Roman" w:hAnsi="Times New Roman" w:cs="Times New Roman" w:eastAsia="Times New Roman" w:hint="default"/>
        </w:rPr>
        <w:t>BOPET</w:t>
      </w:r>
      <w:r>
        <w:rPr/>
        <w:t>薄膜市场的产业源头技术水平。</w:t>
      </w:r>
    </w:p>
    <w:p>
      <w:pPr>
        <w:pStyle w:val="Heading3"/>
        <w:spacing w:line="235" w:lineRule="auto" w:before="95"/>
        <w:ind w:right="152" w:firstLine="482"/>
        <w:jc w:val="both"/>
      </w:pPr>
      <w:r>
        <w:rPr/>
        <w:t>在国外，目前生产先进装置的企业按照薄膜生产商需要走各自的差异化路线，提供不同 设备，已经度过了产品雷同的转型期。在产品结构方面，国外膜企业根据新兴产业的需求，</w:t>
      </w:r>
      <w:r>
        <w:rPr>
          <w:spacing w:val="-91"/>
        </w:rPr>
        <w:t> </w:t>
      </w:r>
      <w:r>
        <w:rPr>
          <w:spacing w:val="-91"/>
        </w:rPr>
      </w:r>
      <w:r>
        <w:rPr/>
        <w:t>满足差异化需要，占领了高端薄膜的国际市场。现有国内聚酯薄膜生产企业受技术管理滞后</w:t>
      </w:r>
      <w:r>
        <w:rPr>
          <w:spacing w:val="-91"/>
        </w:rPr>
        <w:t> </w:t>
      </w:r>
      <w:r>
        <w:rPr>
          <w:spacing w:val="-91"/>
        </w:rPr>
      </w:r>
      <w:r>
        <w:rPr/>
        <w:t>的限制而忽视了生产装备的差异性；储备资金和研发周期的限制而无力加快提高生产技术水</w:t>
      </w:r>
      <w:r>
        <w:rPr>
          <w:spacing w:val="-91"/>
        </w:rPr>
        <w:t> </w:t>
      </w:r>
      <w:r>
        <w:rPr>
          <w:spacing w:val="-91"/>
        </w:rPr>
      </w:r>
      <w:r>
        <w:rPr>
          <w:spacing w:val="-1"/>
        </w:rPr>
        <w:t>平。所以，需要从生产工艺参数到设备合理设计</w:t>
      </w:r>
      <w:r>
        <w:rPr>
          <w:rFonts w:ascii="Times New Roman" w:hAnsi="Times New Roman" w:cs="Times New Roman" w:eastAsia="Times New Roman" w:hint="default"/>
          <w:spacing w:val="-1"/>
        </w:rPr>
        <w:t>/</w:t>
      </w:r>
      <w:r>
        <w:rPr>
          <w:spacing w:val="-1"/>
        </w:rPr>
        <w:t>配置好生产设备并加大前期工艺技术的研发</w:t>
      </w:r>
      <w:r>
        <w:rPr>
          <w:spacing w:val="-108"/>
        </w:rPr>
        <w:t> </w:t>
      </w:r>
      <w:r>
        <w:rPr/>
        <w:t>力度。</w:t>
      </w:r>
    </w:p>
    <w:p>
      <w:pPr>
        <w:pStyle w:val="Heading3"/>
        <w:spacing w:line="312" w:lineRule="exact" w:before="149"/>
        <w:ind w:right="148" w:firstLine="482"/>
        <w:jc w:val="both"/>
      </w:pPr>
      <w:r>
        <w:rPr/>
        <w:t>当前，高档光学基膜产品的国内、国际市场被国外企业垄断，国内对光学基膜的进口依 存度较高。未来，国内包括液晶电视在内的电子产品将持续地快速增长，国产的光学膜供给</w:t>
      </w:r>
      <w:r>
        <w:rPr>
          <w:spacing w:val="-91"/>
        </w:rPr>
        <w:t> </w:t>
      </w:r>
      <w:r>
        <w:rPr>
          <w:spacing w:val="-91"/>
        </w:rPr>
      </w:r>
      <w:r>
        <w:rPr/>
        <w:t>迫切需要加快步伐实现替代，为此，增加光学膜项目的开发研究对提升下游的液晶显示器材</w:t>
      </w:r>
      <w:r>
        <w:rPr>
          <w:spacing w:val="-91"/>
        </w:rPr>
        <w:t> </w:t>
      </w:r>
      <w:r>
        <w:rPr>
          <w:spacing w:val="-91"/>
        </w:rPr>
      </w:r>
      <w:r>
        <w:rPr/>
        <w:t>等产业的国产化有着积极作用。重点突破</w:t>
      </w:r>
      <w:r>
        <w:rPr>
          <w:rFonts w:ascii="Times New Roman" w:hAnsi="Times New Roman" w:cs="Times New Roman" w:eastAsia="Times New Roman" w:hint="default"/>
        </w:rPr>
        <w:t>LCD</w:t>
      </w:r>
      <w:r>
        <w:rPr/>
        <w:t>用、窗膜用光学级聚酯薄膜及</w:t>
      </w:r>
      <w:r>
        <w:rPr>
          <w:rFonts w:ascii="Times New Roman" w:hAnsi="Times New Roman" w:cs="Times New Roman" w:eastAsia="Times New Roman" w:hint="default"/>
        </w:rPr>
        <w:t>MLCC</w:t>
      </w:r>
      <w:r>
        <w:rPr/>
        <w:t>电容器用</w:t>
      </w:r>
      <w:r>
        <w:rPr>
          <w:spacing w:val="-54"/>
        </w:rPr>
        <w:t> </w:t>
      </w:r>
      <w:r>
        <w:rPr/>
        <w:t>聚酯离型膜等，需要重点研究原辅材料的精制提纯、添加剂、原料合成工艺、拉伸工艺、设</w:t>
      </w:r>
    </w:p>
    <w:p>
      <w:pPr>
        <w:spacing w:after="0" w:line="312" w:lineRule="exact"/>
        <w:jc w:val="both"/>
        <w:sectPr>
          <w:pgSz w:w="11910" w:h="16840"/>
          <w:pgMar w:header="745" w:footer="980" w:top="1060" w:bottom="1160" w:left="980" w:right="980"/>
        </w:sectPr>
      </w:pPr>
    </w:p>
    <w:p>
      <w:pPr>
        <w:spacing w:line="240" w:lineRule="auto" w:before="6"/>
        <w:rPr>
          <w:rFonts w:ascii="宋体" w:hAnsi="宋体" w:cs="宋体" w:eastAsia="宋体" w:hint="default"/>
          <w:sz w:val="23"/>
          <w:szCs w:val="23"/>
        </w:rPr>
      </w:pPr>
    </w:p>
    <w:p>
      <w:pPr>
        <w:pStyle w:val="Heading3"/>
        <w:spacing w:line="331" w:lineRule="auto" w:before="26"/>
        <w:ind w:left="635" w:right="96" w:hanging="483"/>
        <w:jc w:val="left"/>
      </w:pPr>
      <w:r>
        <w:rPr/>
        <w:t>备设计和配置、在线涂层原料和涂布工艺技术以及表面处理技术等。 用于制造工业的聚酯薄膜是一项市场前景非常广阔的新技术、高阻隔性聚酯薄膜是通过</w:t>
      </w:r>
    </w:p>
    <w:p>
      <w:pPr>
        <w:pStyle w:val="Heading3"/>
        <w:spacing w:line="220" w:lineRule="exact"/>
        <w:ind w:right="0"/>
        <w:jc w:val="both"/>
      </w:pPr>
      <w:r>
        <w:rPr/>
        <w:t>填料改性、多层复合、溅射等技术方式赋予聚酯薄膜优良的水蒸气、氧气阻隔性，可以应用</w:t>
      </w:r>
    </w:p>
    <w:p>
      <w:pPr>
        <w:pStyle w:val="Heading3"/>
        <w:spacing w:line="331" w:lineRule="auto"/>
        <w:ind w:left="635" w:right="96" w:hanging="483"/>
        <w:jc w:val="left"/>
      </w:pPr>
      <w:r>
        <w:rPr/>
        <w:t>于节能、医疗和光电领域，市场前景广阔。 聚酯热缩膜是近几年由国外引进，并在一些高端产品（出口产品）和领域中应用。当前</w:t>
      </w:r>
    </w:p>
    <w:p>
      <w:pPr>
        <w:pStyle w:val="Heading3"/>
        <w:spacing w:line="220" w:lineRule="exact"/>
        <w:ind w:right="0"/>
        <w:jc w:val="both"/>
      </w:pPr>
      <w:r>
        <w:rPr>
          <w:spacing w:val="-3"/>
        </w:rPr>
        <w:t>国内市场上，聚酯热收缩膜主要应用在电容器（热缩膜套管膜）、电池商标（纵向拉伸膜）、</w:t>
      </w:r>
    </w:p>
    <w:p>
      <w:pPr>
        <w:pStyle w:val="Heading3"/>
        <w:spacing w:line="312" w:lineRule="exact" w:before="29"/>
        <w:ind w:right="230"/>
        <w:jc w:val="both"/>
      </w:pPr>
      <w:r>
        <w:rPr>
          <w:rFonts w:ascii="Times New Roman" w:hAnsi="Times New Roman" w:cs="Times New Roman" w:eastAsia="Times New Roman" w:hint="default"/>
        </w:rPr>
        <w:t>PET</w:t>
      </w:r>
      <w:r>
        <w:rPr/>
        <w:t>瓶收缩标签（横向拉伸膜）等产品上，具有方便、环保、有利于回收等特点，未来将逐</w:t>
      </w:r>
      <w:r>
        <w:rPr>
          <w:spacing w:val="-43"/>
        </w:rPr>
        <w:t> </w:t>
      </w:r>
      <w:r>
        <w:rPr/>
        <w:t>步替代</w:t>
      </w:r>
      <w:r>
        <w:rPr>
          <w:rFonts w:ascii="Times New Roman" w:hAnsi="Times New Roman" w:cs="Times New Roman" w:eastAsia="Times New Roman" w:hint="default"/>
        </w:rPr>
        <w:t>PVC</w:t>
      </w:r>
      <w:r>
        <w:rPr/>
        <w:t>热收缩膜。</w:t>
      </w:r>
    </w:p>
    <w:p>
      <w:pPr>
        <w:pStyle w:val="Heading3"/>
        <w:spacing w:line="237" w:lineRule="auto" w:before="92"/>
        <w:ind w:right="238" w:firstLine="482"/>
        <w:jc w:val="both"/>
      </w:pPr>
      <w:r>
        <w:rPr/>
        <w:t>智能窗膜是实现智能调控光热透反射特性的节能材料，它的调节仅利用自然环境的温度 变化就能实现对太阳能的自动调控的功能。夏天最大限度的控制的减少热量的侵袭，冬天积</w:t>
      </w:r>
      <w:r>
        <w:rPr>
          <w:spacing w:val="-90"/>
        </w:rPr>
        <w:t> </w:t>
      </w:r>
      <w:r>
        <w:rPr>
          <w:spacing w:val="-90"/>
        </w:rPr>
      </w:r>
      <w:r>
        <w:rPr/>
        <w:t>极导入太阳光特别是其中的红外部分，减少资源和能源的消耗。同时，玻璃窗膜在维护物玻</w:t>
      </w:r>
      <w:r>
        <w:rPr>
          <w:spacing w:val="-91"/>
        </w:rPr>
        <w:t> </w:t>
      </w:r>
      <w:r>
        <w:rPr>
          <w:spacing w:val="-91"/>
        </w:rPr>
      </w:r>
      <w:r>
        <w:rPr/>
        <w:t>璃的安全性、有效控制和减少玻璃爆裂及高空坠落伤害等方面有着重要的作用。</w:t>
      </w:r>
    </w:p>
    <w:p>
      <w:pPr>
        <w:pStyle w:val="Heading3"/>
        <w:spacing w:line="312" w:lineRule="exact" w:before="149"/>
        <w:ind w:right="96" w:firstLine="482"/>
        <w:jc w:val="left"/>
      </w:pPr>
      <w:r>
        <w:rPr>
          <w:spacing w:val="-3"/>
        </w:rPr>
        <w:t>加强企业为主体，一方面围绕行业重点发展产品与上下游产业链的诸多环节（包括原料、</w:t>
      </w:r>
      <w:r>
        <w:rPr/>
        <w:t> 装备、辅助材料等）的联合协作、与科研院所的协同创新、联合攻关，能有效地实现重点产</w:t>
      </w:r>
      <w:r>
        <w:rPr>
          <w:spacing w:val="-91"/>
        </w:rPr>
        <w:t> </w:t>
      </w:r>
      <w:r>
        <w:rPr>
          <w:spacing w:val="-91"/>
        </w:rPr>
      </w:r>
      <w:r>
        <w:rPr/>
        <w:t>品的技术突破。还要对重点发展聚酯薄膜产品以及配套原料、设备的研究；一方面，要加强</w:t>
      </w:r>
      <w:r>
        <w:rPr>
          <w:spacing w:val="-91"/>
        </w:rPr>
        <w:t> </w:t>
      </w:r>
      <w:r>
        <w:rPr>
          <w:spacing w:val="-91"/>
        </w:rPr>
      </w:r>
      <w:r>
        <w:rPr/>
        <w:t>自主创新，从而使我国尽早具备具有自主知识产权的高端聚酯薄膜的生产能力，打破国外长</w:t>
      </w:r>
      <w:r>
        <w:rPr>
          <w:spacing w:val="-87"/>
        </w:rPr>
        <w:t> </w:t>
      </w:r>
      <w:r>
        <w:rPr>
          <w:spacing w:val="-87"/>
        </w:rPr>
      </w:r>
      <w:r>
        <w:rPr/>
        <w:t>期垄断的局面，实现产业升级高端发展。</w:t>
      </w:r>
    </w:p>
    <w:p>
      <w:pPr>
        <w:pStyle w:val="Heading3"/>
        <w:spacing w:line="312" w:lineRule="exact" w:before="120"/>
        <w:ind w:right="94" w:firstLine="482"/>
        <w:jc w:val="left"/>
      </w:pPr>
      <w:r>
        <w:rPr/>
        <w:t>公司坚定不移贯彻</w:t>
      </w:r>
      <w:r>
        <w:rPr>
          <w:rFonts w:ascii="Times New Roman" w:hAnsi="Times New Roman" w:cs="Times New Roman" w:eastAsia="Times New Roman" w:hint="default"/>
        </w:rPr>
        <w:t>“</w:t>
      </w:r>
      <w:r>
        <w:rPr/>
        <w:t>创新、转型、提升</w:t>
      </w:r>
      <w:r>
        <w:rPr>
          <w:rFonts w:ascii="Times New Roman" w:hAnsi="Times New Roman" w:cs="Times New Roman" w:eastAsia="Times New Roman" w:hint="default"/>
        </w:rPr>
        <w:t>”</w:t>
      </w:r>
      <w:r>
        <w:rPr/>
        <w:t>的发展思路，立足</w:t>
      </w:r>
      <w:r>
        <w:rPr>
          <w:rFonts w:ascii="Times New Roman" w:hAnsi="Times New Roman" w:cs="Times New Roman" w:eastAsia="Times New Roman" w:hint="default"/>
        </w:rPr>
        <w:t>“</w:t>
      </w:r>
      <w:r>
        <w:rPr/>
        <w:t>高起点、高质量、高效益</w:t>
      </w:r>
      <w:r>
        <w:rPr>
          <w:rFonts w:ascii="Times New Roman" w:hAnsi="Times New Roman" w:cs="Times New Roman" w:eastAsia="Times New Roman" w:hint="default"/>
        </w:rPr>
        <w:t>”</w:t>
      </w:r>
      <w:r>
        <w:rPr/>
        <w:t>， 做强做精聚酯新材料产业，走专业化发展之路，积极推广应用新工艺、新技术、新材料，加</w:t>
      </w:r>
      <w:r>
        <w:rPr>
          <w:spacing w:val="-91"/>
        </w:rPr>
        <w:t> </w:t>
      </w:r>
      <w:r>
        <w:rPr>
          <w:spacing w:val="-91"/>
        </w:rPr>
      </w:r>
      <w:r>
        <w:rPr/>
        <w:t>快企业自主创新力度，努力提高企业核心技术水平，提升综合竞争力，围绕高端产业，做好</w:t>
      </w:r>
      <w:r>
        <w:rPr>
          <w:spacing w:val="-91"/>
        </w:rPr>
        <w:t> </w:t>
      </w:r>
      <w:r>
        <w:rPr>
          <w:spacing w:val="-91"/>
        </w:rPr>
      </w:r>
      <w:r>
        <w:rPr/>
        <w:t>产业高端，实现创新引领加快高附加值差异化品种开发力度，重点开发光学膜、</w:t>
      </w:r>
      <w:r>
        <w:rPr>
          <w:rFonts w:ascii="Times New Roman" w:hAnsi="Times New Roman" w:cs="Times New Roman" w:eastAsia="Times New Roman" w:hint="default"/>
        </w:rPr>
        <w:t>ITO</w:t>
      </w:r>
      <w:r>
        <w:rPr/>
        <w:t>导电膜、 磁控溅射膜、智能膜等高质量、高附加值产品，走向高端发展、差异化发展格局。</w:t>
      </w:r>
    </w:p>
    <w:p>
      <w:pPr>
        <w:pStyle w:val="Heading3"/>
        <w:spacing w:line="313" w:lineRule="exact" w:before="89"/>
        <w:ind w:left="678" w:right="96"/>
        <w:jc w:val="left"/>
      </w:pPr>
      <w:r>
        <w:rPr/>
        <w:t>通过对行业未来发展趋势分析，聚酯薄膜行业是未来国家重点发展的新材料行业，我国</w:t>
      </w:r>
    </w:p>
    <w:p>
      <w:pPr>
        <w:pStyle w:val="Heading3"/>
        <w:spacing w:line="232" w:lineRule="auto" w:before="7"/>
        <w:ind w:right="230"/>
        <w:jc w:val="both"/>
      </w:pPr>
      <w:r>
        <w:rPr/>
        <w:t>《国民经济和社会发展第十二个五年规划纲要（</w:t>
      </w:r>
      <w:r>
        <w:rPr>
          <w:rFonts w:ascii="Times New Roman" w:hAnsi="Times New Roman" w:cs="Times New Roman" w:eastAsia="Times New Roman" w:hint="default"/>
        </w:rPr>
        <w:t>2011-2015</w:t>
      </w:r>
      <w:r>
        <w:rPr/>
        <w:t>年）》提出：</w:t>
      </w:r>
      <w:r>
        <w:rPr>
          <w:rFonts w:ascii="Times New Roman" w:hAnsi="Times New Roman" w:cs="Times New Roman" w:eastAsia="Times New Roman" w:hint="default"/>
        </w:rPr>
        <w:t>“</w:t>
      </w:r>
      <w:r>
        <w:rPr/>
        <w:t>积极推动重点领域</w:t>
      </w:r>
      <w:r>
        <w:rPr>
          <w:spacing w:val="-40"/>
        </w:rPr>
        <w:t> </w:t>
      </w:r>
      <w:r>
        <w:rPr>
          <w:spacing w:val="-40"/>
        </w:rPr>
      </w:r>
      <w:r>
        <w:rPr/>
        <w:t>跨越发展，大力发展节能环保、新一代信息技术、生物、高端装备制造、新能源、新材料等</w:t>
      </w:r>
      <w:r>
        <w:rPr>
          <w:spacing w:val="-91"/>
        </w:rPr>
        <w:t> </w:t>
      </w:r>
      <w:r>
        <w:rPr>
          <w:spacing w:val="-91"/>
        </w:rPr>
      </w:r>
      <w:r>
        <w:rPr/>
        <w:t>战略性新兴产业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月，国家发改委、科技部、工信部、商务部、知识产权局等五部</w:t>
      </w:r>
      <w:r>
        <w:rPr>
          <w:spacing w:val="-75"/>
        </w:rPr>
        <w:t> </w:t>
      </w:r>
      <w:r>
        <w:rPr>
          <w:spacing w:val="-75"/>
        </w:rPr>
      </w:r>
      <w:r>
        <w:rPr/>
        <w:t>门联合发布了《当前优先发展的高技术产业化重点领域指南（</w:t>
      </w:r>
      <w:r>
        <w:rPr>
          <w:rFonts w:ascii="Times New Roman" w:hAnsi="Times New Roman" w:cs="Times New Roman" w:eastAsia="Times New Roman" w:hint="default"/>
        </w:rPr>
        <w:t>2011</w:t>
      </w:r>
      <w:r>
        <w:rPr/>
        <w:t>年度）》（</w:t>
      </w:r>
      <w:r>
        <w:rPr>
          <w:rFonts w:ascii="Times New Roman" w:hAnsi="Times New Roman" w:cs="Times New Roman" w:eastAsia="Times New Roman" w:hint="default"/>
        </w:rPr>
        <w:t>2011</w:t>
      </w:r>
      <w:r>
        <w:rPr/>
        <w:t>年第</w:t>
      </w:r>
      <w:r>
        <w:rPr>
          <w:rFonts w:ascii="Times New Roman" w:hAnsi="Times New Roman" w:cs="Times New Roman" w:eastAsia="Times New Roman" w:hint="default"/>
        </w:rPr>
        <w:t>10</w:t>
      </w:r>
      <w:r>
        <w:rPr/>
        <w:t>号</w:t>
      </w:r>
      <w:r>
        <w:rPr>
          <w:spacing w:val="-89"/>
        </w:rPr>
        <w:t> </w:t>
      </w:r>
      <w:r>
        <w:rPr>
          <w:spacing w:val="2"/>
        </w:rPr>
        <w:t>公告），其中</w:t>
      </w:r>
      <w:r>
        <w:rPr>
          <w:rFonts w:ascii="Times New Roman" w:hAnsi="Times New Roman" w:cs="Times New Roman" w:eastAsia="Times New Roman" w:hint="default"/>
          <w:spacing w:val="2"/>
        </w:rPr>
        <w:t>“</w:t>
      </w:r>
      <w:r>
        <w:rPr>
          <w:spacing w:val="2"/>
        </w:rPr>
        <w:t>四、新材料</w:t>
      </w:r>
      <w:r>
        <w:rPr>
          <w:rFonts w:ascii="Times New Roman" w:hAnsi="Times New Roman" w:cs="Times New Roman" w:eastAsia="Times New Roman" w:hint="default"/>
          <w:spacing w:val="2"/>
        </w:rPr>
        <w:t>”“42</w:t>
      </w:r>
      <w:r>
        <w:rPr>
          <w:spacing w:val="2"/>
        </w:rPr>
        <w:t>、特种功能材料</w:t>
      </w:r>
      <w:r>
        <w:rPr>
          <w:rFonts w:ascii="Times New Roman" w:hAnsi="Times New Roman" w:cs="Times New Roman" w:eastAsia="Times New Roman" w:hint="default"/>
          <w:spacing w:val="2"/>
        </w:rPr>
        <w:t>”</w:t>
      </w:r>
      <w:r>
        <w:rPr>
          <w:spacing w:val="2"/>
        </w:rPr>
        <w:t>中包括</w:t>
      </w:r>
      <w:r>
        <w:rPr>
          <w:rFonts w:ascii="Times New Roman" w:hAnsi="Times New Roman" w:cs="Times New Roman" w:eastAsia="Times New Roman" w:hint="default"/>
          <w:spacing w:val="2"/>
        </w:rPr>
        <w:t>“</w:t>
      </w:r>
      <w:r>
        <w:rPr>
          <w:spacing w:val="2"/>
        </w:rPr>
        <w:t>功能薄膜</w:t>
      </w:r>
      <w:r>
        <w:rPr>
          <w:rFonts w:ascii="Times New Roman" w:hAnsi="Times New Roman" w:cs="Times New Roman" w:eastAsia="Times New Roman" w:hint="default"/>
          <w:spacing w:val="2"/>
        </w:rPr>
        <w:t>”</w:t>
      </w:r>
      <w:r>
        <w:rPr>
          <w:spacing w:val="2"/>
        </w:rPr>
        <w:t>。聚酯薄膜行业也是国际</w:t>
      </w:r>
      <w:r>
        <w:rPr>
          <w:spacing w:val="-106"/>
        </w:rPr>
        <w:t> </w:t>
      </w:r>
      <w:r>
        <w:rPr>
          <w:spacing w:val="-106"/>
        </w:rPr>
      </w:r>
      <w:r>
        <w:rPr/>
        <w:t>上主流的塑料薄膜产品。目前国内随着新投资生产线的不断建成，因此未来发展趋势表现为</w:t>
      </w:r>
      <w:r>
        <w:rPr>
          <w:spacing w:val="-87"/>
        </w:rPr>
        <w:t> </w:t>
      </w:r>
      <w:r>
        <w:rPr>
          <w:spacing w:val="-87"/>
        </w:rPr>
      </w:r>
      <w:r>
        <w:rPr/>
        <w:t>常规产品竞争较为激烈；在高性能聚酯薄膜，如电子信息材料、显示器材料、新能源材料等</w:t>
      </w:r>
      <w:r>
        <w:rPr>
          <w:spacing w:val="-91"/>
        </w:rPr>
        <w:t> </w:t>
      </w:r>
      <w:r>
        <w:rPr>
          <w:spacing w:val="-91"/>
        </w:rPr>
      </w:r>
      <w:r>
        <w:rPr/>
        <w:t>应用领域，由于工艺技术和设备壁垒较高，国内仍以进口为主，虽然在进口替代的驱动下国</w:t>
      </w:r>
      <w:r>
        <w:rPr>
          <w:spacing w:val="-91"/>
        </w:rPr>
        <w:t> </w:t>
      </w:r>
      <w:r>
        <w:rPr>
          <w:spacing w:val="-91"/>
        </w:rPr>
      </w:r>
      <w:r>
        <w:rPr/>
        <w:t>内一些企业正在通过直接投资、参股、技术合作等方式进入该领域，但是具备一定规模的参</w:t>
      </w:r>
      <w:r>
        <w:rPr>
          <w:spacing w:val="-91"/>
        </w:rPr>
        <w:t> </w:t>
      </w:r>
      <w:r>
        <w:rPr>
          <w:spacing w:val="-91"/>
        </w:rPr>
      </w:r>
      <w:r>
        <w:rPr/>
        <w:t>与企业数量较少，产品毛利率水平一直处于较高水平。由于该领域设备供应周期、技术转化</w:t>
      </w:r>
      <w:r>
        <w:rPr>
          <w:spacing w:val="-91"/>
        </w:rPr>
        <w:t> </w:t>
      </w:r>
      <w:r>
        <w:rPr>
          <w:spacing w:val="-91"/>
        </w:rPr>
      </w:r>
      <w:r>
        <w:rPr/>
        <w:t>周期均较长，要求生产企业具备大量实际生产的数据存储，因此较高毛利率水平将维持一段</w:t>
      </w:r>
      <w:r>
        <w:rPr>
          <w:spacing w:val="-91"/>
        </w:rPr>
        <w:t> </w:t>
      </w:r>
      <w:r>
        <w:rPr>
          <w:spacing w:val="-91"/>
        </w:rPr>
      </w:r>
      <w:r>
        <w:rPr/>
        <w:t>时间。</w:t>
      </w:r>
    </w:p>
    <w:p>
      <w:pPr>
        <w:pStyle w:val="Heading3"/>
        <w:spacing w:line="432" w:lineRule="exact" w:before="53"/>
        <w:ind w:left="635" w:right="229"/>
        <w:jc w:val="left"/>
        <w:rPr>
          <w:rFonts w:ascii="Times New Roman" w:hAnsi="Times New Roman" w:cs="Times New Roman" w:eastAsia="Times New Roman" w:hint="default"/>
        </w:rPr>
      </w:pPr>
      <w:r>
        <w:rPr>
          <w:rFonts w:ascii="宋体" w:hAnsi="宋体" w:cs="宋体" w:eastAsia="宋体" w:hint="default"/>
          <w:b/>
          <w:bCs/>
        </w:rPr>
        <w:t>（二）公司发展战略</w:t>
      </w:r>
      <w:r>
        <w:rPr>
          <w:rFonts w:ascii="宋体" w:hAnsi="宋体" w:cs="宋体" w:eastAsia="宋体" w:hint="default"/>
          <w:b/>
          <w:bCs/>
          <w:w w:val="99"/>
        </w:rPr>
        <w:t> </w:t>
      </w:r>
      <w:r>
        <w:rPr>
          <w:spacing w:val="-4"/>
        </w:rPr>
        <w:t>围绕</w:t>
      </w:r>
      <w:r>
        <w:rPr>
          <w:rFonts w:ascii="Times New Roman" w:hAnsi="Times New Roman" w:cs="Times New Roman" w:eastAsia="Times New Roman" w:hint="default"/>
          <w:spacing w:val="-4"/>
        </w:rPr>
        <w:t>“</w:t>
      </w:r>
      <w:r>
        <w:rPr>
          <w:spacing w:val="-4"/>
        </w:rPr>
        <w:t>三大战略</w:t>
      </w:r>
      <w:r>
        <w:rPr>
          <w:rFonts w:ascii="Times New Roman" w:hAnsi="Times New Roman" w:cs="Times New Roman" w:eastAsia="Times New Roman" w:hint="default"/>
          <w:spacing w:val="-4"/>
        </w:rPr>
        <w:t>”</w:t>
      </w:r>
      <w:r>
        <w:rPr>
          <w:spacing w:val="-4"/>
        </w:rPr>
        <w:t>推进：即创新驱动战略、高端发展战略、人才智力战略；抓好</w:t>
      </w:r>
      <w:r>
        <w:rPr>
          <w:rFonts w:ascii="Times New Roman" w:hAnsi="Times New Roman" w:cs="Times New Roman" w:eastAsia="Times New Roman" w:hint="default"/>
          <w:spacing w:val="-4"/>
        </w:rPr>
        <w:t>“</w:t>
      </w:r>
      <w:r>
        <w:rPr>
          <w:spacing w:val="-4"/>
        </w:rPr>
        <w:t>三项措施</w:t>
      </w:r>
      <w:r>
        <w:rPr>
          <w:rFonts w:ascii="Times New Roman" w:hAnsi="Times New Roman" w:cs="Times New Roman" w:eastAsia="Times New Roman" w:hint="default"/>
          <w:spacing w:val="-4"/>
        </w:rPr>
        <w:t>”</w:t>
      </w:r>
    </w:p>
    <w:p>
      <w:pPr>
        <w:pStyle w:val="Heading3"/>
        <w:spacing w:line="267" w:lineRule="exact"/>
        <w:ind w:right="0"/>
        <w:jc w:val="both"/>
      </w:pPr>
      <w:r>
        <w:rPr/>
        <w:t>落实：即以市场营销为先行，技术领先为主导，重点突破为带动。实现</w:t>
      </w:r>
      <w:r>
        <w:rPr>
          <w:rFonts w:ascii="Times New Roman" w:hAnsi="Times New Roman" w:cs="Times New Roman" w:eastAsia="Times New Roman" w:hint="default"/>
        </w:rPr>
        <w:t>“</w:t>
      </w:r>
      <w:r>
        <w:rPr/>
        <w:t>四个突破</w:t>
      </w:r>
      <w:r>
        <w:rPr>
          <w:rFonts w:ascii="Times New Roman" w:hAnsi="Times New Roman" w:cs="Times New Roman" w:eastAsia="Times New Roman" w:hint="default"/>
        </w:rPr>
        <w:t>”</w:t>
      </w:r>
      <w:r>
        <w:rPr/>
        <w:t>：即新品</w:t>
      </w:r>
    </w:p>
    <w:p>
      <w:pPr>
        <w:pStyle w:val="Heading3"/>
        <w:spacing w:line="312" w:lineRule="exact" w:before="20"/>
        <w:ind w:right="239"/>
        <w:jc w:val="both"/>
      </w:pPr>
      <w:r>
        <w:rPr/>
        <w:t>增量突破、技术质量突破、成本效益突破、市场营销突破；全力推进企业转型升级，坚持绿</w:t>
      </w:r>
      <w:r>
        <w:rPr>
          <w:spacing w:val="-91"/>
        </w:rPr>
        <w:t> </w:t>
      </w:r>
      <w:r>
        <w:rPr>
          <w:spacing w:val="-91"/>
        </w:rPr>
      </w:r>
      <w:r>
        <w:rPr/>
        <w:t>色发展，智力发展，加速人才集聚、技术进步、品牌辐射，以更加注重质量和效益，更加注</w:t>
      </w:r>
      <w:r>
        <w:rPr>
          <w:spacing w:val="-91"/>
        </w:rPr>
        <w:t> </w:t>
      </w:r>
      <w:r>
        <w:rPr>
          <w:spacing w:val="-91"/>
        </w:rPr>
      </w:r>
      <w:r>
        <w:rPr/>
        <w:t>重精细化管理、规范运行为着力点，推动企业健康、有质量、有效益的可持续发展，为实现</w:t>
      </w:r>
    </w:p>
    <w:p>
      <w:pPr>
        <w:spacing w:after="0" w:line="312" w:lineRule="exact"/>
        <w:jc w:val="both"/>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3"/>
        <w:spacing w:line="240" w:lineRule="auto" w:before="26"/>
        <w:ind w:right="0"/>
        <w:jc w:val="both"/>
      </w:pPr>
      <w:r>
        <w:rPr/>
        <w:t>全年目标任务而努力。</w:t>
      </w:r>
    </w:p>
    <w:p>
      <w:pPr>
        <w:pStyle w:val="Heading3"/>
        <w:spacing w:line="312" w:lineRule="exact" w:before="149"/>
        <w:ind w:right="261" w:firstLine="516"/>
        <w:jc w:val="both"/>
      </w:pP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期间，公司实施六大发展战略，这些战略在逐年工作中起到引领作用。公司自 成立以来即专注于聚酯薄膜等产品的生产、研发和销售，在经营过程中公司逐步确定了以聚 酯薄膜及相关差异化产品作为公司主导产品的战略。公司的业务发展战略主要通过公司相关 长期发展计划体现，在《十一五规划》中，公司即提出要发展包括热收缩聚酯薄膜在内的功 能性聚酯薄膜。《十二五规划》中，公司基于对十一五规划的完成情况、聚酯薄膜行业发展 趋势以及企业自身发展水平的判断，将公司发展的重点由常规类聚酯薄膜转向差异化功能性 聚酯薄膜，在实现常规类聚酯薄膜大规模生产、已取得规模效应的情况下，将包括太阳能背 膜基材、导电膜、光学膜等产品列入公司</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2015</w:t>
      </w:r>
      <w:r>
        <w:rPr/>
        <w:t>年的发展规划中，在《十二五规划》 中还提出向聚酯薄膜原材料延伸的战略，结合向产业上游发展聚酯切片带动特种功能性聚酯 薄膜开发专用原料的研究生产开发。</w:t>
      </w:r>
    </w:p>
    <w:p>
      <w:pPr>
        <w:pStyle w:val="Heading3"/>
        <w:spacing w:line="312" w:lineRule="exact" w:before="120"/>
        <w:ind w:right="271" w:firstLine="420"/>
        <w:jc w:val="both"/>
      </w:pPr>
      <w:r>
        <w:rPr/>
        <w:t>首发募投项目及非公发行募投项目生产的产品分别为环保型热收缩聚酯薄膜、太阳能基 材背膜、包括电子信息类聚酯薄膜在内的新型功能性聚酯薄膜、功能性膜级聚酯切片、以及 光学膜基材及光学膜下游应用产品。首发募投项目及非公发行募投项目生产的产品均为差异 化功能性聚酯薄膜或者其上游原材料膜级聚酯切片，丰富了公司聚酯薄膜的产品结构，分散 了经营风险，有利于平滑公司不同产品所处不同周期的毛利率，并且差异化原材料的自我供 应不但从源头保证了产品质量，还能够降低公司聚酯薄膜生产成本。</w:t>
      </w:r>
    </w:p>
    <w:p>
      <w:pPr>
        <w:pStyle w:val="Heading3"/>
        <w:spacing w:line="432" w:lineRule="exact" w:before="24"/>
        <w:ind w:left="573" w:right="96" w:firstLine="62"/>
        <w:jc w:val="left"/>
      </w:pPr>
      <w:r>
        <w:rPr>
          <w:rFonts w:ascii="宋体" w:hAnsi="宋体" w:cs="宋体" w:eastAsia="宋体" w:hint="default"/>
          <w:b/>
          <w:bCs/>
        </w:rPr>
        <w:t>（三）公司经营计划</w:t>
      </w:r>
      <w:r>
        <w:rPr>
          <w:rFonts w:ascii="宋体" w:hAnsi="宋体" w:cs="宋体" w:eastAsia="宋体" w:hint="default"/>
          <w:b/>
          <w:bCs/>
          <w:w w:val="99"/>
        </w:rPr>
        <w:t> </w:t>
      </w:r>
      <w:r>
        <w:rPr>
          <w:spacing w:val="-1"/>
        </w:rPr>
        <w:t>根据公司发展战略及</w:t>
      </w:r>
      <w:r>
        <w:rPr>
          <w:rFonts w:ascii="Times New Roman" w:hAnsi="Times New Roman" w:cs="Times New Roman" w:eastAsia="Times New Roman" w:hint="default"/>
          <w:spacing w:val="-1"/>
        </w:rPr>
        <w:t>2015</w:t>
      </w:r>
      <w:r>
        <w:rPr>
          <w:spacing w:val="-1"/>
        </w:rPr>
        <w:t>年发展目标，结合公司的实际情况，公司在</w:t>
      </w:r>
      <w:r>
        <w:rPr>
          <w:rFonts w:ascii="Times New Roman" w:hAnsi="Times New Roman" w:cs="Times New Roman" w:eastAsia="Times New Roman" w:hint="default"/>
          <w:spacing w:val="-1"/>
        </w:rPr>
        <w:t>2015</w:t>
      </w:r>
      <w:r>
        <w:rPr>
          <w:spacing w:val="-1"/>
        </w:rPr>
        <w:t>年的经营计划：</w:t>
      </w:r>
    </w:p>
    <w:p>
      <w:pPr>
        <w:pStyle w:val="Heading3"/>
        <w:spacing w:line="258" w:lineRule="exact"/>
        <w:ind w:right="0"/>
        <w:jc w:val="both"/>
      </w:pPr>
      <w:r>
        <w:rPr/>
        <w:t>将围绕保持企业持续稳定发展，创新能力水平始终走在行业前列，实现高性能产品、功能性</w:t>
      </w:r>
    </w:p>
    <w:p>
      <w:pPr>
        <w:pStyle w:val="Heading3"/>
        <w:spacing w:line="228" w:lineRule="auto" w:before="13"/>
        <w:ind w:right="238"/>
        <w:jc w:val="both"/>
      </w:pPr>
      <w:r>
        <w:rPr>
          <w:spacing w:val="2"/>
        </w:rPr>
        <w:t>产品销售占比达到</w:t>
      </w:r>
      <w:r>
        <w:rPr>
          <w:rFonts w:ascii="Times New Roman" w:hAnsi="Times New Roman" w:cs="Times New Roman" w:eastAsia="Times New Roman" w:hint="default"/>
          <w:spacing w:val="2"/>
        </w:rPr>
        <w:t>65%</w:t>
      </w:r>
      <w:r>
        <w:rPr>
          <w:spacing w:val="2"/>
        </w:rPr>
        <w:t>以上，全年销售收入增长</w:t>
      </w:r>
      <w:r>
        <w:rPr>
          <w:rFonts w:ascii="Times New Roman" w:hAnsi="Times New Roman" w:cs="Times New Roman" w:eastAsia="Times New Roman" w:hint="default"/>
          <w:spacing w:val="2"/>
        </w:rPr>
        <w:t>20%</w:t>
      </w:r>
      <w:r>
        <w:rPr>
          <w:spacing w:val="2"/>
        </w:rPr>
        <w:t>以上，通过科学合理安排，加快已建成</w:t>
      </w:r>
      <w:r>
        <w:rPr>
          <w:spacing w:val="-104"/>
        </w:rPr>
        <w:t> </w:t>
      </w:r>
      <w:r>
        <w:rPr>
          <w:spacing w:val="-104"/>
        </w:rPr>
      </w:r>
      <w:r>
        <w:rPr/>
        <w:t>项目涉及产品的市场推广工作，坚持高端发展导向，筑牢发展支撑，大力推进光学膜集聚项</w:t>
      </w:r>
      <w:r>
        <w:rPr>
          <w:spacing w:val="-91"/>
        </w:rPr>
        <w:t> </w:t>
      </w:r>
      <w:r>
        <w:rPr>
          <w:spacing w:val="-91"/>
        </w:rPr>
      </w:r>
      <w:r>
        <w:rPr/>
        <w:t>目，年内完成项目建设</w:t>
      </w:r>
      <w:r>
        <w:rPr>
          <w:rFonts w:ascii="Times New Roman" w:hAnsi="Times New Roman" w:cs="Times New Roman" w:eastAsia="Times New Roman" w:hint="default"/>
        </w:rPr>
        <w:t>16</w:t>
      </w:r>
      <w:r>
        <w:rPr/>
        <w:t>项，以创新培育新的增长点，年内落实技术创新、技术改造新品开</w:t>
      </w:r>
      <w:r>
        <w:rPr>
          <w:spacing w:val="-90"/>
        </w:rPr>
        <w:t> </w:t>
      </w:r>
      <w:r>
        <w:rPr>
          <w:spacing w:val="-90"/>
        </w:rPr>
      </w:r>
      <w:r>
        <w:rPr/>
        <w:t>发</w:t>
      </w:r>
      <w:r>
        <w:rPr>
          <w:rFonts w:ascii="Times New Roman" w:hAnsi="Times New Roman" w:cs="Times New Roman" w:eastAsia="Times New Roman" w:hint="default"/>
        </w:rPr>
        <w:t>23</w:t>
      </w:r>
      <w:r>
        <w:rPr/>
        <w:t>项，同时，创新价值营销理念，加速推进销售总量突破，差异化重点新品加快步伐，提</w:t>
      </w:r>
      <w:r>
        <w:rPr>
          <w:spacing w:val="-90"/>
        </w:rPr>
        <w:t> </w:t>
      </w:r>
      <w:r>
        <w:rPr>
          <w:spacing w:val="-90"/>
        </w:rPr>
      </w:r>
      <w:r>
        <w:rPr/>
        <w:t>高市场占有率，为企业长远发展强功底、添动力。</w:t>
      </w:r>
    </w:p>
    <w:p>
      <w:pPr>
        <w:spacing w:line="331" w:lineRule="auto" w:before="119"/>
        <w:ind w:left="633" w:right="96" w:firstLine="2"/>
        <w:jc w:val="left"/>
        <w:rPr>
          <w:rFonts w:ascii="宋体" w:hAnsi="宋体" w:cs="宋体" w:eastAsia="宋体" w:hint="default"/>
          <w:sz w:val="24"/>
          <w:szCs w:val="24"/>
        </w:rPr>
      </w:pPr>
      <w:r>
        <w:rPr>
          <w:rFonts w:ascii="宋体" w:hAnsi="宋体" w:cs="宋体" w:eastAsia="宋体" w:hint="default"/>
          <w:b/>
          <w:bCs/>
          <w:sz w:val="24"/>
          <w:szCs w:val="24"/>
        </w:rPr>
        <w:t>（四）资金需求及安排情况</w:t>
      </w:r>
      <w:r>
        <w:rPr>
          <w:rFonts w:ascii="宋体" w:hAnsi="宋体" w:cs="宋体" w:eastAsia="宋体" w:hint="default"/>
          <w:b/>
          <w:bCs/>
          <w:w w:val="99"/>
          <w:sz w:val="24"/>
          <w:szCs w:val="24"/>
        </w:rPr>
        <w:t> </w:t>
      </w:r>
      <w:r>
        <w:rPr>
          <w:rFonts w:ascii="宋体" w:hAnsi="宋体" w:cs="宋体" w:eastAsia="宋体" w:hint="default"/>
          <w:sz w:val="24"/>
          <w:szCs w:val="24"/>
        </w:rPr>
        <w:t>近几来，公司规模化发展战略及差异化发展战略实施均保持稳步增长，对资金需求也是</w:t>
      </w:r>
    </w:p>
    <w:p>
      <w:pPr>
        <w:pStyle w:val="Heading3"/>
        <w:spacing w:line="229" w:lineRule="exact"/>
        <w:ind w:right="0"/>
        <w:jc w:val="both"/>
      </w:pPr>
      <w:r>
        <w:rPr/>
        <w:t>越来越大，</w:t>
      </w:r>
      <w:r>
        <w:rPr>
          <w:rFonts w:ascii="Times New Roman" w:hAnsi="Times New Roman" w:cs="Times New Roman" w:eastAsia="Times New Roman" w:hint="default"/>
        </w:rPr>
        <w:t>2015</w:t>
      </w:r>
      <w:r>
        <w:rPr/>
        <w:t>年，公司将继续加大高端产品、高附加值新品的研发与生产，增强企业自主</w:t>
      </w:r>
    </w:p>
    <w:p>
      <w:pPr>
        <w:pStyle w:val="Heading3"/>
        <w:spacing w:line="312" w:lineRule="exact" w:before="20"/>
        <w:ind w:right="234"/>
        <w:jc w:val="both"/>
      </w:pPr>
      <w:r>
        <w:rPr/>
        <w:t>创新能力，提高核心竞争力，围绕技术创新、管理创新、营销模式创新开展一系列工作；根</w:t>
      </w:r>
      <w:r>
        <w:rPr>
          <w:spacing w:val="-91"/>
        </w:rPr>
        <w:t> </w:t>
      </w:r>
      <w:r>
        <w:rPr>
          <w:spacing w:val="-91"/>
        </w:rPr>
      </w:r>
      <w:r>
        <w:rPr/>
        <w:t>据企业经营发展需要，合理筹集、安排和使用资金。一方面，多渠道拓展融资渠道，保证公</w:t>
      </w:r>
      <w:r>
        <w:rPr>
          <w:spacing w:val="-91"/>
        </w:rPr>
        <w:t> </w:t>
      </w:r>
      <w:r>
        <w:rPr>
          <w:spacing w:val="-91"/>
        </w:rPr>
      </w:r>
      <w:r>
        <w:rPr/>
        <w:t>司项目建设资金的投入；另一方面，通过合理的财务管理和资金管理，在完成现有产品和生</w:t>
      </w:r>
      <w:r>
        <w:rPr>
          <w:spacing w:val="-86"/>
        </w:rPr>
        <w:t> </w:t>
      </w:r>
      <w:r>
        <w:rPr>
          <w:spacing w:val="-86"/>
        </w:rPr>
      </w:r>
      <w:r>
        <w:rPr/>
        <w:t>产规模上，将通过向金融机构贷款融资、资本市场融资和自有资金解决公司生产经营所需资</w:t>
      </w:r>
      <w:r>
        <w:rPr>
          <w:spacing w:val="-91"/>
        </w:rPr>
        <w:t> </w:t>
      </w:r>
      <w:r>
        <w:rPr>
          <w:spacing w:val="-91"/>
        </w:rPr>
      </w:r>
      <w:r>
        <w:rPr/>
        <w:t>金，保证企业发展需要。</w:t>
      </w:r>
    </w:p>
    <w:p>
      <w:pPr>
        <w:pStyle w:val="Heading2"/>
        <w:spacing w:line="240" w:lineRule="auto" w:before="92"/>
        <w:ind w:left="635" w:right="96"/>
        <w:jc w:val="left"/>
        <w:rPr>
          <w:b w:val="0"/>
          <w:bCs w:val="0"/>
        </w:rPr>
      </w:pPr>
      <w:r>
        <w:rPr/>
        <w:t>（五）未来发展可能面对的风险因素</w:t>
      </w:r>
      <w:r>
        <w:rPr>
          <w:b w:val="0"/>
          <w:bCs w:val="0"/>
        </w:rPr>
      </w:r>
    </w:p>
    <w:p>
      <w:pPr>
        <w:pStyle w:val="Heading3"/>
        <w:spacing w:line="240" w:lineRule="auto" w:before="115"/>
        <w:ind w:left="573" w:right="96"/>
        <w:jc w:val="left"/>
      </w:pPr>
      <w:r>
        <w:rPr>
          <w:rFonts w:ascii="Times New Roman" w:hAnsi="Times New Roman" w:cs="Times New Roman" w:eastAsia="Times New Roman" w:hint="default"/>
        </w:rPr>
        <w:t>1</w:t>
      </w:r>
      <w:r>
        <w:rPr/>
        <w:t>、行业及市场风险</w:t>
      </w:r>
    </w:p>
    <w:p>
      <w:pPr>
        <w:pStyle w:val="Heading3"/>
        <w:spacing w:line="312" w:lineRule="auto" w:before="99"/>
        <w:ind w:left="573" w:right="313"/>
        <w:jc w:val="left"/>
      </w:pPr>
      <w:r>
        <w:rPr/>
        <w:t>（</w:t>
      </w:r>
      <w:r>
        <w:rPr>
          <w:rFonts w:ascii="Times New Roman" w:hAnsi="Times New Roman" w:cs="Times New Roman" w:eastAsia="Times New Roman" w:hint="default"/>
        </w:rPr>
        <w:t>1</w:t>
      </w:r>
      <w:r>
        <w:rPr/>
        <w:t>）宏观经济与市场环境变化风险 公司的主要产品为光学膜、聚酯薄膜等新型功能性薄膜，产品广泛应用于各类食品、饮</w:t>
      </w:r>
    </w:p>
    <w:p>
      <w:pPr>
        <w:pStyle w:val="Heading3"/>
        <w:spacing w:line="239" w:lineRule="exact"/>
        <w:ind w:right="0"/>
        <w:jc w:val="both"/>
      </w:pPr>
      <w:r>
        <w:rPr>
          <w:spacing w:val="-3"/>
        </w:rPr>
        <w:t>料、医药和日用品的包装，并已逐步拓展至建筑、电子、电气、光学和光伏发电等应用领域。</w:t>
      </w:r>
    </w:p>
    <w:p>
      <w:pPr>
        <w:pStyle w:val="Heading3"/>
        <w:spacing w:line="312" w:lineRule="exact" w:before="29"/>
        <w:ind w:right="269"/>
        <w:jc w:val="both"/>
      </w:pPr>
      <w:r>
        <w:rPr/>
        <w:t>上述领域与宏观经济运行状况密切相关，宏观经济的波动对公司主要产品的价格和需求有较 大影响，聚酯薄膜行业呈现较为明显的周期性。目前，国内外整体经济正缓慢复苏，公司所</w:t>
      </w:r>
    </w:p>
    <w:p>
      <w:pPr>
        <w:spacing w:after="0" w:line="312" w:lineRule="exact"/>
        <w:jc w:val="both"/>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3"/>
        <w:spacing w:line="240" w:lineRule="auto" w:before="26"/>
        <w:ind w:right="254"/>
        <w:jc w:val="left"/>
      </w:pPr>
      <w:r>
        <w:rPr/>
        <w:t>面临的市场环境逐渐好转，但如果未来国内外经济水平趋于恶化或长期保持低位，将会对公 司生产经营和盈利水平产生不利影响。</w:t>
      </w:r>
    </w:p>
    <w:p>
      <w:pPr>
        <w:pStyle w:val="Heading3"/>
        <w:spacing w:line="312" w:lineRule="auto" w:before="118"/>
        <w:ind w:left="573" w:right="313"/>
        <w:jc w:val="left"/>
      </w:pPr>
      <w:r>
        <w:rPr/>
        <w:t>（</w:t>
      </w:r>
      <w:r>
        <w:rPr>
          <w:rFonts w:ascii="Times New Roman" w:hAnsi="Times New Roman" w:cs="Times New Roman" w:eastAsia="Times New Roman" w:hint="default"/>
        </w:rPr>
        <w:t>2</w:t>
      </w:r>
      <w:r>
        <w:rPr/>
        <w:t>）行业竞争风险 由于聚酯薄膜具有优异的物理性能、化学性能和环保性能，近年来，国内聚酯薄膜企业</w:t>
      </w:r>
    </w:p>
    <w:p>
      <w:pPr>
        <w:pStyle w:val="Heading3"/>
        <w:spacing w:line="239" w:lineRule="exact"/>
        <w:ind w:right="96"/>
        <w:jc w:val="left"/>
      </w:pPr>
      <w:r>
        <w:rPr/>
        <w:t>的生产规模不断扩张，国内聚酯薄膜行业的市场竞争日趋激烈，市场集中度不断提高。尽管</w:t>
      </w:r>
    </w:p>
    <w:p>
      <w:pPr>
        <w:pStyle w:val="Heading3"/>
        <w:spacing w:line="312" w:lineRule="exact" w:before="29"/>
        <w:ind w:right="96"/>
        <w:jc w:val="left"/>
      </w:pPr>
      <w:r>
        <w:rPr>
          <w:spacing w:val="-2"/>
        </w:rPr>
        <w:t>公司凭借高质量且品种齐全的产品、强大的品牌优势位居国内聚酯薄膜生产企业龙头的位置，</w:t>
      </w:r>
      <w:r>
        <w:rPr/>
        <w:t> 但如果公司不能正确判断、把握行业的市场动态和发展趋势，不能根据技术发展和客户需求 </w:t>
      </w:r>
      <w:r>
        <w:rPr>
          <w:spacing w:val="-2"/>
        </w:rPr>
        <w:t>变化及时推出新产品、优化产品结构，不能进一步提高产品质量及经营效率，保持竞争优势，</w:t>
      </w:r>
      <w:r>
        <w:rPr>
          <w:spacing w:val="-118"/>
        </w:rPr>
        <w:t> </w:t>
      </w:r>
      <w:r>
        <w:rPr>
          <w:spacing w:val="-118"/>
        </w:rPr>
      </w:r>
      <w:r>
        <w:rPr/>
        <w:t>则存在因竞争优势减弱而导致经营业绩不能达到预期目标的风险。</w:t>
      </w:r>
    </w:p>
    <w:p>
      <w:pPr>
        <w:pStyle w:val="Heading3"/>
        <w:spacing w:line="312" w:lineRule="auto" w:before="89"/>
        <w:ind w:left="573" w:right="313"/>
        <w:jc w:val="left"/>
      </w:pPr>
      <w:r>
        <w:rPr/>
        <w:t>（</w:t>
      </w:r>
      <w:r>
        <w:rPr>
          <w:rFonts w:ascii="Times New Roman" w:hAnsi="Times New Roman" w:cs="Times New Roman" w:eastAsia="Times New Roman" w:hint="default"/>
        </w:rPr>
        <w:t>3</w:t>
      </w:r>
      <w:r>
        <w:rPr/>
        <w:t>）主要产品价格波动的风险 目前公司销售收入主要来自聚酯薄膜产品。报告期内，由于受到国内外整体经济环境影</w:t>
      </w:r>
    </w:p>
    <w:p>
      <w:pPr>
        <w:pStyle w:val="Heading3"/>
        <w:spacing w:line="240" w:lineRule="exact"/>
        <w:ind w:right="96"/>
        <w:jc w:val="left"/>
      </w:pPr>
      <w:r>
        <w:rPr/>
        <w:t>响，聚酯薄膜价格仍持续波动。公司聚酯切片项目的投产使得公司具有生产从聚酯薄膜上游</w:t>
      </w:r>
    </w:p>
    <w:p>
      <w:pPr>
        <w:pStyle w:val="Heading3"/>
        <w:spacing w:line="312" w:lineRule="exact" w:before="29"/>
        <w:ind w:right="271"/>
        <w:jc w:val="both"/>
      </w:pPr>
      <w:r>
        <w:rPr/>
        <w:t>聚酯切片到下游应用产品相对完整的产业链，聚酯切片均为内部使用，可以在一定程度上减 少聚酯薄膜价格波动对公司业绩的影响。但如果聚酯薄膜价格持续低迷将直接影响产品的毛 利率，公司存在盈利能力下降的风险。</w:t>
      </w:r>
    </w:p>
    <w:p>
      <w:pPr>
        <w:pStyle w:val="Heading3"/>
        <w:spacing w:line="312" w:lineRule="auto" w:before="89"/>
        <w:ind w:left="573" w:right="286"/>
        <w:jc w:val="left"/>
      </w:pPr>
      <w:r>
        <w:rPr/>
        <w:t>（</w:t>
      </w:r>
      <w:r>
        <w:rPr>
          <w:rFonts w:ascii="Times New Roman" w:hAnsi="Times New Roman" w:cs="Times New Roman" w:eastAsia="Times New Roman" w:hint="default"/>
        </w:rPr>
        <w:t>4</w:t>
      </w:r>
      <w:r>
        <w:rPr/>
        <w:t>）主要原材料价格波动的风险 公司采购的主要原材料为石化产品</w:t>
      </w:r>
      <w:r>
        <w:rPr>
          <w:rFonts w:ascii="Times New Roman" w:hAnsi="Times New Roman" w:cs="Times New Roman" w:eastAsia="Times New Roman" w:hint="default"/>
        </w:rPr>
        <w:t>PTA</w:t>
      </w:r>
      <w:r>
        <w:rPr/>
        <w:t>和</w:t>
      </w:r>
      <w:r>
        <w:rPr>
          <w:rFonts w:ascii="Times New Roman" w:hAnsi="Times New Roman" w:cs="Times New Roman" w:eastAsia="Times New Roman" w:hint="default"/>
        </w:rPr>
        <w:t>MEG</w:t>
      </w:r>
      <w:r>
        <w:rPr/>
        <w:t>，合计占公司聚酯薄膜产品成本的比例超</w:t>
      </w:r>
    </w:p>
    <w:p>
      <w:pPr>
        <w:pStyle w:val="Heading3"/>
        <w:spacing w:line="222" w:lineRule="exact"/>
        <w:ind w:right="96"/>
        <w:jc w:val="left"/>
      </w:pPr>
      <w:r>
        <w:rPr/>
        <w:t>过</w:t>
      </w:r>
      <w:r>
        <w:rPr>
          <w:rFonts w:ascii="Times New Roman" w:hAnsi="Times New Roman" w:cs="Times New Roman" w:eastAsia="Times New Roman" w:hint="default"/>
        </w:rPr>
        <w:t>70%</w:t>
      </w:r>
      <w:r>
        <w:rPr/>
        <w:t>，国际原油价格的波动将通过原材料采购价格直接影响产品的生产成本，从而对公司</w:t>
      </w:r>
    </w:p>
    <w:p>
      <w:pPr>
        <w:pStyle w:val="Heading3"/>
        <w:spacing w:line="312" w:lineRule="exact" w:before="20"/>
        <w:ind w:right="227"/>
        <w:jc w:val="left"/>
      </w:pPr>
      <w:r>
        <w:rPr/>
        <w:t>的盈利能力产生影响。如果</w:t>
      </w:r>
      <w:r>
        <w:rPr>
          <w:rFonts w:ascii="Times New Roman" w:hAnsi="Times New Roman" w:cs="Times New Roman" w:eastAsia="Times New Roman" w:hint="default"/>
        </w:rPr>
        <w:t>PTA</w:t>
      </w:r>
      <w:r>
        <w:rPr/>
        <w:t>和</w:t>
      </w:r>
      <w:r>
        <w:rPr>
          <w:rFonts w:ascii="Times New Roman" w:hAnsi="Times New Roman" w:cs="Times New Roman" w:eastAsia="Times New Roman" w:hint="default"/>
        </w:rPr>
        <w:t>MEG</w:t>
      </w:r>
      <w:r>
        <w:rPr/>
        <w:t>的价格发生波动，将导致公司生产成本的波动，进而 影响公司的效益。</w:t>
      </w:r>
    </w:p>
    <w:p>
      <w:pPr>
        <w:pStyle w:val="Heading3"/>
        <w:spacing w:line="240" w:lineRule="auto" w:before="89"/>
        <w:ind w:left="573" w:right="96"/>
        <w:jc w:val="left"/>
      </w:pPr>
      <w:r>
        <w:rPr>
          <w:rFonts w:ascii="Times New Roman" w:hAnsi="Times New Roman" w:cs="Times New Roman" w:eastAsia="Times New Roman" w:hint="default"/>
        </w:rPr>
        <w:t>2</w:t>
      </w:r>
      <w:r>
        <w:rPr/>
        <w:t>、募集资金投资项目风险</w:t>
      </w:r>
    </w:p>
    <w:p>
      <w:pPr>
        <w:pStyle w:val="Heading3"/>
        <w:spacing w:line="312" w:lineRule="auto" w:before="100"/>
        <w:ind w:left="573" w:right="96"/>
        <w:jc w:val="left"/>
      </w:pPr>
      <w:r>
        <w:rPr/>
        <w:t>（</w:t>
      </w:r>
      <w:r>
        <w:rPr>
          <w:rFonts w:ascii="Times New Roman" w:hAnsi="Times New Roman" w:cs="Times New Roman" w:eastAsia="Times New Roman" w:hint="default"/>
        </w:rPr>
        <w:t>1</w:t>
      </w:r>
      <w:r>
        <w:rPr/>
        <w:t>）产能扩张引致的市场拓展风险 </w:t>
      </w:r>
      <w:r>
        <w:rPr>
          <w:spacing w:val="-1"/>
        </w:rPr>
        <w:t>公司近年来主要产品聚酯薄膜的产能扩张较快，截止至</w:t>
      </w:r>
      <w:r>
        <w:rPr>
          <w:rFonts w:ascii="Times New Roman" w:hAnsi="Times New Roman" w:cs="Times New Roman" w:eastAsia="Times New Roman" w:hint="default"/>
          <w:spacing w:val="-1"/>
        </w:rPr>
        <w:t>2014</w:t>
      </w:r>
      <w:r>
        <w:rPr>
          <w:spacing w:val="-1"/>
        </w:rPr>
        <w:t>年底，产能已经达到</w:t>
      </w:r>
      <w:r>
        <w:rPr>
          <w:rFonts w:ascii="Times New Roman" w:hAnsi="Times New Roman" w:cs="Times New Roman" w:eastAsia="Times New Roman" w:hint="default"/>
          <w:spacing w:val="-1"/>
        </w:rPr>
        <w:t>25</w:t>
      </w:r>
      <w:r>
        <w:rPr>
          <w:spacing w:val="-1"/>
        </w:rPr>
        <w:t>万吨。</w:t>
      </w:r>
    </w:p>
    <w:p>
      <w:pPr>
        <w:pStyle w:val="Heading3"/>
        <w:spacing w:line="213" w:lineRule="exact"/>
        <w:ind w:right="96"/>
        <w:jc w:val="left"/>
      </w:pPr>
      <w:r>
        <w:rPr/>
        <w:t>非公开发行募集资金项目投产后，公司将形成合计年产一亿平米的光学膜系列产品的产能，</w:t>
      </w:r>
    </w:p>
    <w:p>
      <w:pPr>
        <w:pStyle w:val="Heading3"/>
        <w:spacing w:line="331" w:lineRule="auto"/>
        <w:ind w:left="573" w:right="313" w:hanging="421"/>
        <w:jc w:val="left"/>
      </w:pPr>
      <w:r>
        <w:rPr/>
        <w:t>产能居于国内领先地位。 尽管随着消费品市场对包装材料需求的增长和聚酯薄膜自身优异性能带动其应用领域的</w:t>
      </w:r>
    </w:p>
    <w:p>
      <w:pPr>
        <w:pStyle w:val="Heading3"/>
        <w:spacing w:line="220" w:lineRule="exact"/>
        <w:ind w:right="96"/>
        <w:jc w:val="left"/>
      </w:pPr>
      <w:r>
        <w:rPr/>
        <w:t>不断拓展，聚酯薄膜产品具有良好的市场前景。公司也凭借优良的产品性能、多样的产品种</w:t>
      </w:r>
    </w:p>
    <w:p>
      <w:pPr>
        <w:pStyle w:val="Heading3"/>
        <w:spacing w:line="312" w:lineRule="exact" w:before="29"/>
        <w:ind w:right="96"/>
        <w:jc w:val="left"/>
      </w:pPr>
      <w:r>
        <w:rPr/>
        <w:t>类、良好的企业品牌获得了市场的认同，建立了广泛的客户基础和客户资源；同时，公司的 </w:t>
      </w:r>
      <w:r>
        <w:rPr>
          <w:spacing w:val="-3"/>
        </w:rPr>
        <w:t>募投项目市场前景较好，毛利水平较高。但随着项目的建成，如果市场容量增长未达到预期，</w:t>
      </w:r>
      <w:r>
        <w:rPr>
          <w:spacing w:val="-81"/>
        </w:rPr>
        <w:t> </w:t>
      </w:r>
      <w:r>
        <w:rPr>
          <w:spacing w:val="-81"/>
        </w:rPr>
      </w:r>
      <w:r>
        <w:rPr/>
        <w:t>或者公司在产能提高的同时新市场开拓等方面不能达到预期目标消化新增产能，则存在公司 产能利用不足的风险。</w:t>
      </w:r>
    </w:p>
    <w:p>
      <w:pPr>
        <w:pStyle w:val="Heading3"/>
        <w:spacing w:line="312" w:lineRule="auto" w:before="90"/>
        <w:ind w:left="573" w:right="220"/>
        <w:jc w:val="left"/>
      </w:pPr>
      <w:r>
        <w:rPr/>
        <w:t>（</w:t>
      </w:r>
      <w:r>
        <w:rPr>
          <w:rFonts w:ascii="Times New Roman" w:hAnsi="Times New Roman" w:cs="Times New Roman" w:eastAsia="Times New Roman" w:hint="default"/>
        </w:rPr>
        <w:t>2</w:t>
      </w:r>
      <w:r>
        <w:rPr/>
        <w:t>）募投项目未能顺利实施的风险 </w:t>
      </w:r>
      <w:r>
        <w:rPr>
          <w:spacing w:val="-3"/>
          <w:w w:val="100"/>
        </w:rPr>
        <w:t>非公开募集资金投资项目为</w:t>
      </w:r>
      <w:r>
        <w:rPr>
          <w:rFonts w:ascii="Times New Roman" w:hAnsi="Times New Roman" w:cs="Times New Roman" w:eastAsia="Times New Roman" w:hint="default"/>
          <w:spacing w:val="-3"/>
          <w:w w:val="100"/>
        </w:rPr>
        <w:t>“</w:t>
      </w:r>
      <w:r>
        <w:rPr>
          <w:spacing w:val="-3"/>
          <w:w w:val="100"/>
        </w:rPr>
        <w:t>年产一亿平米光学膜项目</w:t>
      </w:r>
      <w:r>
        <w:rPr>
          <w:rFonts w:ascii="Times New Roman" w:hAnsi="Times New Roman" w:cs="Times New Roman" w:eastAsia="Times New Roman" w:hint="default"/>
          <w:spacing w:val="-3"/>
          <w:w w:val="100"/>
        </w:rPr>
        <w:t>”</w:t>
      </w:r>
      <w:r>
        <w:rPr>
          <w:spacing w:val="-3"/>
          <w:w w:val="100"/>
        </w:rPr>
        <w:t>，项目的可行性相关结论均是基于</w:t>
      </w:r>
    </w:p>
    <w:p>
      <w:pPr>
        <w:pStyle w:val="Heading3"/>
        <w:spacing w:line="213" w:lineRule="exact"/>
        <w:ind w:right="96"/>
        <w:jc w:val="left"/>
      </w:pPr>
      <w:r>
        <w:rPr/>
        <w:t>当前市场环境、国家产业政策、公司发展战略、国内外市场环境和技术水平等条件做出的。</w:t>
      </w:r>
    </w:p>
    <w:p>
      <w:pPr>
        <w:pStyle w:val="Heading3"/>
        <w:spacing w:line="312" w:lineRule="exact" w:before="29"/>
        <w:ind w:right="271"/>
        <w:jc w:val="both"/>
      </w:pPr>
      <w:r>
        <w:rPr/>
        <w:t>该类聚酯薄膜生产同时兼备技术密集型、资金密集型及人才密集型的特性，存在着较高的进 入壁垒。虽然公司依托自身人才优势和技术积累并结合强有力第三方机构支持，为该类产品 的研发及批量生产提供了可操作性及可行性，但是如果项目实施过程中原有条件发生不可预 见的变化，项目的建设计划和实施过程将可能受到影响。</w:t>
      </w:r>
    </w:p>
    <w:p>
      <w:pPr>
        <w:pStyle w:val="Heading3"/>
        <w:spacing w:line="240" w:lineRule="auto" w:before="89"/>
        <w:ind w:left="573" w:right="96"/>
        <w:jc w:val="left"/>
      </w:pPr>
      <w:r>
        <w:rPr/>
        <w:t>（</w:t>
      </w:r>
      <w:r>
        <w:rPr>
          <w:rFonts w:ascii="Times New Roman" w:hAnsi="Times New Roman" w:cs="Times New Roman" w:eastAsia="Times New Roman" w:hint="default"/>
        </w:rPr>
        <w:t>3</w:t>
      </w:r>
      <w:r>
        <w:rPr/>
        <w:t>）募投项目能否达到预期收益的风险</w:t>
      </w:r>
    </w:p>
    <w:p>
      <w:pPr>
        <w:spacing w:after="0" w:line="240" w:lineRule="auto"/>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3"/>
        <w:spacing w:line="237" w:lineRule="auto" w:before="28"/>
        <w:ind w:right="271" w:firstLine="420"/>
        <w:jc w:val="both"/>
      </w:pPr>
      <w:r>
        <w:rPr/>
        <w:t>公司历次募投项目经过了充分的调查论证，具备良好的技术和市场基础。但公司募集资 金投资项目的可行性分析是基于当前市场环境、现有技术基础、发展趋势等因素作出的合理 判断。如果未来市场环境、国际贸易争端、技术水平出现重大不利变化，或者整体宏观经济 形势出现大幅度下滑，导致产品单价大幅下降或产能利用率不足的情况，可能在一段时间内 对公司募投项目预期的盈利水平产生影响。</w:t>
      </w:r>
    </w:p>
    <w:p>
      <w:pPr>
        <w:pStyle w:val="Heading3"/>
        <w:spacing w:line="312" w:lineRule="auto" w:before="118"/>
        <w:ind w:left="573" w:right="313"/>
        <w:jc w:val="left"/>
      </w:pPr>
      <w:r>
        <w:rPr/>
        <w:t>（</w:t>
      </w:r>
      <w:r>
        <w:rPr>
          <w:rFonts w:ascii="Times New Roman" w:hAnsi="Times New Roman" w:cs="Times New Roman" w:eastAsia="Times New Roman" w:hint="default"/>
        </w:rPr>
        <w:t>4</w:t>
      </w:r>
      <w:r>
        <w:rPr/>
        <w:t>）新增固定资产折旧影响未来经营业绩的风险 公司募集资金投资项目建成后，固定资产将大幅增加，导致每年新增折旧金额也较大。</w:t>
      </w:r>
    </w:p>
    <w:p>
      <w:pPr>
        <w:pStyle w:val="Heading3"/>
        <w:spacing w:line="239" w:lineRule="exact"/>
        <w:ind w:right="0"/>
        <w:jc w:val="both"/>
      </w:pPr>
      <w:r>
        <w:rPr/>
        <w:t>在募投项目完全达产前或不能如期达产并发挥经济效益的情况下，公司存在因折旧增加而导</w:t>
      </w:r>
    </w:p>
    <w:p>
      <w:pPr>
        <w:pStyle w:val="Heading3"/>
        <w:spacing w:line="313" w:lineRule="exact"/>
        <w:ind w:right="0"/>
        <w:jc w:val="both"/>
      </w:pPr>
      <w:r>
        <w:rPr/>
        <w:t>致利润下降的风险。</w:t>
      </w:r>
    </w:p>
    <w:p>
      <w:pPr>
        <w:pStyle w:val="Heading3"/>
        <w:spacing w:line="312" w:lineRule="auto" w:before="118"/>
        <w:ind w:left="573" w:right="313"/>
        <w:jc w:val="left"/>
      </w:pPr>
      <w:r>
        <w:rPr>
          <w:rFonts w:ascii="Times New Roman" w:hAnsi="Times New Roman" w:cs="Times New Roman" w:eastAsia="Times New Roman" w:hint="default"/>
        </w:rPr>
        <w:t>3</w:t>
      </w:r>
      <w:r>
        <w:rPr/>
        <w:t>、快速发展导致的管理风险 公司经过多年发展，产品已基本覆盖聚酯薄膜上下游的主要环节和主要产品领域，募投</w:t>
      </w:r>
    </w:p>
    <w:p>
      <w:pPr>
        <w:pStyle w:val="Heading3"/>
        <w:spacing w:line="240" w:lineRule="exact"/>
        <w:ind w:right="0"/>
        <w:jc w:val="both"/>
      </w:pPr>
      <w:r>
        <w:rPr>
          <w:spacing w:val="-2"/>
        </w:rPr>
        <w:t>项目使公司进一步提升聚酯薄膜生产能力，丰富聚酯薄膜产品品种，扩大高端市场产品产能，</w:t>
      </w:r>
    </w:p>
    <w:p>
      <w:pPr>
        <w:pStyle w:val="Heading3"/>
        <w:spacing w:line="312" w:lineRule="exact" w:before="29"/>
        <w:ind w:right="254"/>
        <w:jc w:val="left"/>
      </w:pPr>
      <w:r>
        <w:rPr/>
        <w:t>提高国内外市场地位。伴随着公司业务的快速发展，如公司不能进一步提升管理水平，组织 模式、管理制度和管理人员不能适应公司内外环境的变化，将给公司带来不利影响。</w:t>
      </w:r>
    </w:p>
    <w:p>
      <w:pPr>
        <w:pStyle w:val="Heading3"/>
        <w:spacing w:line="240" w:lineRule="auto" w:before="89"/>
        <w:ind w:left="573" w:right="96"/>
        <w:jc w:val="left"/>
      </w:pPr>
      <w:r>
        <w:rPr>
          <w:rFonts w:ascii="Times New Roman" w:hAnsi="Times New Roman" w:cs="Times New Roman" w:eastAsia="Times New Roman" w:hint="default"/>
        </w:rPr>
        <w:t>4</w:t>
      </w:r>
      <w:r>
        <w:rPr/>
        <w:t>、技术风险</w:t>
      </w:r>
    </w:p>
    <w:p>
      <w:pPr>
        <w:pStyle w:val="Heading3"/>
        <w:spacing w:line="312" w:lineRule="auto" w:before="99"/>
        <w:ind w:left="573" w:right="313"/>
        <w:jc w:val="left"/>
      </w:pPr>
      <w:r>
        <w:rPr/>
        <w:t>（</w:t>
      </w:r>
      <w:r>
        <w:rPr>
          <w:rFonts w:ascii="Times New Roman" w:hAnsi="Times New Roman" w:cs="Times New Roman" w:eastAsia="Times New Roman" w:hint="default"/>
        </w:rPr>
        <w:t>1</w:t>
      </w:r>
      <w:r>
        <w:rPr/>
        <w:t>）核心技术人员流失风险 公司拥有较强的研发队伍和优秀的核心技术人员，这是公司技术领先、产品创新的主要</w:t>
      </w:r>
    </w:p>
    <w:p>
      <w:pPr>
        <w:pStyle w:val="Heading3"/>
        <w:spacing w:line="239" w:lineRule="exact"/>
        <w:ind w:right="0"/>
        <w:jc w:val="both"/>
      </w:pPr>
      <w:r>
        <w:rPr/>
        <w:t>因素之一。公司一贯重视并不断完善技术人员的激励约束机制，制定了向技术人员倾斜的收</w:t>
      </w:r>
    </w:p>
    <w:p>
      <w:pPr>
        <w:pStyle w:val="Heading3"/>
        <w:spacing w:line="312" w:lineRule="exact" w:before="29"/>
        <w:ind w:right="254"/>
        <w:jc w:val="left"/>
      </w:pPr>
      <w:r>
        <w:rPr/>
        <w:t>入分配制度。随着市场竞争的加剧，如果公司不能持续完善各类激励机制，可能面临核心技 术人员流失的风险。</w:t>
      </w:r>
    </w:p>
    <w:p>
      <w:pPr>
        <w:pStyle w:val="Heading3"/>
        <w:spacing w:line="312" w:lineRule="auto" w:before="89"/>
        <w:ind w:left="537" w:right="226" w:firstLine="36"/>
        <w:jc w:val="left"/>
      </w:pPr>
      <w:r>
        <w:rPr/>
        <w:t>（</w:t>
      </w:r>
      <w:r>
        <w:rPr>
          <w:rFonts w:ascii="Times New Roman" w:hAnsi="Times New Roman" w:cs="Times New Roman" w:eastAsia="Times New Roman" w:hint="default"/>
        </w:rPr>
        <w:t>2</w:t>
      </w:r>
      <w:r>
        <w:rPr/>
        <w:t>）技术泄密的风险 </w:t>
      </w:r>
      <w:r>
        <w:rPr>
          <w:spacing w:val="-3"/>
        </w:rPr>
        <w:t>工艺流程设计和原材料配比是公司技术实力的主要体现，经过多年的研发与生产，公司积</w:t>
      </w:r>
    </w:p>
    <w:p>
      <w:pPr>
        <w:pStyle w:val="Heading3"/>
        <w:spacing w:line="239" w:lineRule="exact"/>
        <w:ind w:right="0"/>
        <w:jc w:val="both"/>
      </w:pPr>
      <w:r>
        <w:rPr/>
        <w:t>累了大量聚酯薄膜生产的技术诀窍，掌握了一整套与薄膜制造相关的关键技术和工艺流程、</w:t>
      </w:r>
    </w:p>
    <w:p>
      <w:pPr>
        <w:pStyle w:val="Heading3"/>
        <w:spacing w:line="312" w:lineRule="exact" w:before="29"/>
        <w:ind w:right="235"/>
        <w:jc w:val="both"/>
      </w:pPr>
      <w:r>
        <w:rPr/>
        <w:t>设备参数调试等方面的非专利技术，这些专利技术及非专利技术均为公司拥有，但其转化为</w:t>
      </w:r>
      <w:r>
        <w:rPr>
          <w:spacing w:val="-91"/>
        </w:rPr>
        <w:t> </w:t>
      </w:r>
      <w:r>
        <w:rPr>
          <w:spacing w:val="-91"/>
        </w:rPr>
      </w:r>
      <w:r>
        <w:rPr/>
        <w:t>生产力与技术人员和生产人员的熟练掌握程度密切相关。虽然目前公司已采取了多项措施以</w:t>
      </w:r>
      <w:r>
        <w:rPr>
          <w:spacing w:val="-91"/>
        </w:rPr>
        <w:t> </w:t>
      </w:r>
      <w:r>
        <w:rPr>
          <w:spacing w:val="-91"/>
        </w:rPr>
      </w:r>
      <w:r>
        <w:rPr/>
        <w:t>稳定员工队伍，包括主要技术人员持有公司股份等方式使其切身利益与公司的长远发展紧密</w:t>
      </w:r>
      <w:r>
        <w:rPr>
          <w:spacing w:val="-87"/>
        </w:rPr>
        <w:t> </w:t>
      </w:r>
      <w:r>
        <w:rPr>
          <w:spacing w:val="-87"/>
        </w:rPr>
      </w:r>
      <w:r>
        <w:rPr/>
        <w:t>相连，但随着国内聚酯薄膜行业的快速发展，聚酯薄膜企业对专业技术人才的竞争将趋于激</w:t>
      </w:r>
      <w:r>
        <w:rPr>
          <w:spacing w:val="-91"/>
        </w:rPr>
        <w:t> </w:t>
      </w:r>
      <w:r>
        <w:rPr>
          <w:spacing w:val="-91"/>
        </w:rPr>
      </w:r>
      <w:r>
        <w:rPr/>
        <w:t>烈，如果管理不善或核心技术人员流失，仍存在技术泄密的风险。</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r>
        <w:rPr/>
        <w:t>十、与上年度财务报告相比，会计政策、会计估计和核算方法发生变化的情况说明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0" w:firstLine="0"/>
        <w:jc w:val="both"/>
        <w:rPr>
          <w:rFonts w:ascii="宋体" w:hAnsi="宋体" w:cs="宋体" w:eastAsia="宋体" w:hint="default"/>
          <w:sz w:val="18"/>
          <w:szCs w:val="18"/>
        </w:rPr>
      </w:pPr>
      <w:r>
        <w:rPr>
          <w:rFonts w:ascii="宋体" w:hAnsi="宋体" w:cs="宋体" w:eastAsia="宋体" w:hint="default"/>
          <w:sz w:val="18"/>
          <w:szCs w:val="18"/>
        </w:rPr>
        <w:t>（一）会计政策变更概况</w:t>
      </w:r>
    </w:p>
    <w:p>
      <w:pPr>
        <w:spacing w:before="76"/>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、会计政策变更日期：</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p>
      <w:pPr>
        <w:spacing w:line="300" w:lineRule="auto" w:before="63"/>
        <w:ind w:left="369" w:right="142" w:hanging="2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、变更前公司采用的会计政策 </w:t>
      </w:r>
      <w:r>
        <w:rPr>
          <w:rFonts w:ascii="宋体" w:hAnsi="宋体" w:cs="宋体" w:eastAsia="宋体" w:hint="default"/>
          <w:spacing w:val="-2"/>
          <w:sz w:val="18"/>
          <w:szCs w:val="18"/>
        </w:rPr>
        <w:t>本次变更前，公司是按照财政部自</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日起发布的《企业会计准则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基本准则》和《企业会计准则第</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存货》</w:t>
      </w:r>
    </w:p>
    <w:p>
      <w:pPr>
        <w:spacing w:before="13"/>
        <w:ind w:left="152" w:right="0" w:firstLine="0"/>
        <w:jc w:val="both"/>
        <w:rPr>
          <w:rFonts w:ascii="宋体" w:hAnsi="宋体" w:cs="宋体" w:eastAsia="宋体" w:hint="default"/>
          <w:sz w:val="18"/>
          <w:szCs w:val="18"/>
        </w:rPr>
      </w:pPr>
      <w:r>
        <w:rPr>
          <w:rFonts w:ascii="宋体" w:hAnsi="宋体" w:cs="宋体" w:eastAsia="宋体" w:hint="default"/>
          <w:sz w:val="18"/>
          <w:szCs w:val="18"/>
        </w:rPr>
        <w:t>等</w:t>
      </w:r>
      <w:r>
        <w:rPr>
          <w:rFonts w:ascii="Times New Roman" w:hAnsi="Times New Roman" w:cs="Times New Roman" w:eastAsia="Times New Roman" w:hint="default"/>
          <w:sz w:val="18"/>
          <w:szCs w:val="18"/>
        </w:rPr>
        <w:t>38</w:t>
      </w:r>
      <w:r>
        <w:rPr>
          <w:rFonts w:ascii="宋体" w:hAnsi="宋体" w:cs="宋体" w:eastAsia="宋体" w:hint="default"/>
          <w:sz w:val="18"/>
          <w:szCs w:val="18"/>
        </w:rPr>
        <w:t>项具体会计准则、企业会计准则应用指南、企业会计准则解释公告以及其他相关规定制定公司的会计政策和会计制度。</w:t>
      </w:r>
    </w:p>
    <w:p>
      <w:pPr>
        <w:spacing w:after="0"/>
        <w:jc w:val="both"/>
        <w:rPr>
          <w:rFonts w:ascii="宋体" w:hAnsi="宋体" w:cs="宋体" w:eastAsia="宋体" w:hint="default"/>
          <w:sz w:val="18"/>
          <w:szCs w:val="18"/>
        </w:rPr>
        <w:sectPr>
          <w:pgSz w:w="11910" w:h="16840"/>
          <w:pgMar w:header="745" w:footer="980" w:top="1060" w:bottom="1160" w:left="980" w:right="900"/>
        </w:sectPr>
      </w:pPr>
    </w:p>
    <w:p>
      <w:pPr>
        <w:spacing w:line="240" w:lineRule="auto" w:before="9"/>
        <w:rPr>
          <w:rFonts w:ascii="宋体" w:hAnsi="宋体" w:cs="宋体" w:eastAsia="宋体" w:hint="default"/>
          <w:sz w:val="25"/>
          <w:szCs w:val="25"/>
        </w:rPr>
      </w:pPr>
    </w:p>
    <w:p>
      <w:pPr>
        <w:spacing w:line="300" w:lineRule="auto" w:before="44"/>
        <w:ind w:left="369" w:right="197" w:hanging="2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、变更后采用的会计政策 本次变更后，公司按照财政部自</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日起陆续发布的《企业会计准则》第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号、第</w:t>
      </w:r>
      <w:r>
        <w:rPr>
          <w:rFonts w:ascii="Times New Roman" w:hAnsi="Times New Roman" w:cs="Times New Roman" w:eastAsia="Times New Roman" w:hint="default"/>
          <w:sz w:val="18"/>
          <w:szCs w:val="18"/>
        </w:rPr>
        <w:t>9</w:t>
      </w:r>
      <w:r>
        <w:rPr>
          <w:rFonts w:ascii="宋体" w:hAnsi="宋体" w:cs="宋体" w:eastAsia="宋体" w:hint="default"/>
          <w:sz w:val="18"/>
          <w:szCs w:val="18"/>
        </w:rPr>
        <w:t>号、第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号、第</w:t>
      </w:r>
      <w:r>
        <w:rPr>
          <w:rFonts w:ascii="Times New Roman" w:hAnsi="Times New Roman" w:cs="Times New Roman" w:eastAsia="Times New Roman" w:hint="default"/>
          <w:sz w:val="18"/>
          <w:szCs w:val="18"/>
        </w:rPr>
        <w:t>33</w:t>
      </w:r>
      <w:r>
        <w:rPr>
          <w:rFonts w:ascii="宋体" w:hAnsi="宋体" w:cs="宋体" w:eastAsia="宋体" w:hint="default"/>
          <w:sz w:val="18"/>
          <w:szCs w:val="18"/>
        </w:rPr>
        <w:t>号、第</w:t>
      </w:r>
      <w:r>
        <w:rPr>
          <w:rFonts w:ascii="Times New Roman" w:hAnsi="Times New Roman" w:cs="Times New Roman" w:eastAsia="Times New Roman" w:hint="default"/>
          <w:sz w:val="18"/>
          <w:szCs w:val="18"/>
        </w:rPr>
        <w:t>37</w:t>
      </w:r>
    </w:p>
    <w:p>
      <w:pPr>
        <w:spacing w:line="300" w:lineRule="auto" w:before="13"/>
        <w:ind w:left="152" w:right="144" w:firstLine="0"/>
        <w:jc w:val="left"/>
        <w:rPr>
          <w:rFonts w:ascii="宋体" w:hAnsi="宋体" w:cs="宋体" w:eastAsia="宋体" w:hint="default"/>
          <w:sz w:val="18"/>
          <w:szCs w:val="18"/>
        </w:rPr>
      </w:pPr>
      <w:r>
        <w:rPr>
          <w:rFonts w:ascii="宋体" w:hAnsi="宋体" w:cs="宋体" w:eastAsia="宋体" w:hint="default"/>
          <w:sz w:val="18"/>
          <w:szCs w:val="18"/>
        </w:rPr>
        <w:t>号、第</w:t>
      </w:r>
      <w:r>
        <w:rPr>
          <w:rFonts w:ascii="Times New Roman" w:hAnsi="Times New Roman" w:cs="Times New Roman" w:eastAsia="Times New Roman" w:hint="default"/>
          <w:sz w:val="18"/>
          <w:szCs w:val="18"/>
        </w:rPr>
        <w:t>39</w:t>
      </w:r>
      <w:r>
        <w:rPr>
          <w:rFonts w:ascii="宋体" w:hAnsi="宋体" w:cs="宋体" w:eastAsia="宋体" w:hint="default"/>
          <w:sz w:val="18"/>
          <w:szCs w:val="18"/>
        </w:rPr>
        <w:t>号、第</w:t>
      </w:r>
      <w:r>
        <w:rPr>
          <w:rFonts w:ascii="Times New Roman" w:hAnsi="Times New Roman" w:cs="Times New Roman" w:eastAsia="Times New Roman" w:hint="default"/>
          <w:sz w:val="18"/>
          <w:szCs w:val="18"/>
        </w:rPr>
        <w:t>40</w:t>
      </w:r>
      <w:r>
        <w:rPr>
          <w:rFonts w:ascii="宋体" w:hAnsi="宋体" w:cs="宋体" w:eastAsia="宋体" w:hint="default"/>
          <w:sz w:val="18"/>
          <w:szCs w:val="18"/>
        </w:rPr>
        <w:t>号、第</w:t>
      </w:r>
      <w:r>
        <w:rPr>
          <w:rFonts w:ascii="Times New Roman" w:hAnsi="Times New Roman" w:cs="Times New Roman" w:eastAsia="Times New Roman" w:hint="default"/>
          <w:sz w:val="18"/>
          <w:szCs w:val="18"/>
        </w:rPr>
        <w:t>41</w:t>
      </w:r>
      <w:r>
        <w:rPr>
          <w:rFonts w:ascii="宋体" w:hAnsi="宋体" w:cs="宋体" w:eastAsia="宋体" w:hint="default"/>
          <w:sz w:val="18"/>
          <w:szCs w:val="18"/>
        </w:rPr>
        <w:t>号等八项准则和</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日修改的《企业会计准则</w:t>
      </w:r>
      <w:r>
        <w:rPr>
          <w:rFonts w:ascii="Times New Roman" w:hAnsi="Times New Roman" w:cs="Times New Roman" w:eastAsia="Times New Roman" w:hint="default"/>
          <w:sz w:val="18"/>
          <w:szCs w:val="18"/>
        </w:rPr>
        <w:t>—</w:t>
      </w:r>
      <w:r>
        <w:rPr>
          <w:rFonts w:ascii="宋体" w:hAnsi="宋体" w:cs="宋体" w:eastAsia="宋体" w:hint="default"/>
          <w:sz w:val="18"/>
          <w:szCs w:val="18"/>
        </w:rPr>
        <w:t>基本准则》的执行。其余未变更部分， 公司仍执行财政部自</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日起发布的相关准则及有关规定。</w:t>
      </w:r>
    </w:p>
    <w:p>
      <w:pPr>
        <w:spacing w:line="307" w:lineRule="auto" w:before="13"/>
        <w:ind w:left="152" w:right="146" w:firstLine="0"/>
        <w:jc w:val="left"/>
        <w:rPr>
          <w:rFonts w:ascii="宋体" w:hAnsi="宋体" w:cs="宋体" w:eastAsia="宋体" w:hint="default"/>
          <w:sz w:val="18"/>
          <w:szCs w:val="18"/>
        </w:rPr>
      </w:pPr>
      <w:r>
        <w:rPr>
          <w:rFonts w:ascii="宋体" w:hAnsi="宋体" w:cs="宋体" w:eastAsia="宋体" w:hint="default"/>
          <w:sz w:val="18"/>
          <w:szCs w:val="18"/>
        </w:rPr>
        <w:t>（二）会计政策变更的具体情况及对公司的影响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、公司根据财政部（财会</w:t>
      </w:r>
      <w:r>
        <w:rPr>
          <w:rFonts w:ascii="Times New Roman" w:hAnsi="Times New Roman" w:cs="Times New Roman" w:eastAsia="Times New Roman" w:hint="default"/>
          <w:spacing w:val="-1"/>
          <w:sz w:val="18"/>
          <w:szCs w:val="18"/>
        </w:rPr>
        <w:t>[2014]6</w:t>
      </w:r>
      <w:r>
        <w:rPr>
          <w:rFonts w:ascii="宋体" w:hAnsi="宋体" w:cs="宋体" w:eastAsia="宋体" w:hint="default"/>
          <w:spacing w:val="-1"/>
          <w:sz w:val="18"/>
          <w:szCs w:val="18"/>
        </w:rPr>
        <w:t>号）的通知要求，执行《企业会计准则第</w:t>
      </w:r>
      <w:r>
        <w:rPr>
          <w:rFonts w:ascii="Times New Roman" w:hAnsi="Times New Roman" w:cs="Times New Roman" w:eastAsia="Times New Roman" w:hint="default"/>
          <w:spacing w:val="-1"/>
          <w:sz w:val="18"/>
          <w:szCs w:val="18"/>
        </w:rPr>
        <w:t>39</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公允价值计量》，该会计政策的变更对公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司财务报表无重大影响。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、公司根据财政部（财会</w:t>
      </w:r>
      <w:r>
        <w:rPr>
          <w:rFonts w:ascii="Times New Roman" w:hAnsi="Times New Roman" w:cs="Times New Roman" w:eastAsia="Times New Roman" w:hint="default"/>
          <w:spacing w:val="-1"/>
          <w:sz w:val="18"/>
          <w:szCs w:val="18"/>
        </w:rPr>
        <w:t>[2014]7</w:t>
      </w:r>
      <w:r>
        <w:rPr>
          <w:rFonts w:ascii="宋体" w:hAnsi="宋体" w:cs="宋体" w:eastAsia="宋体" w:hint="default"/>
          <w:spacing w:val="-1"/>
          <w:sz w:val="18"/>
          <w:szCs w:val="18"/>
        </w:rPr>
        <w:t>号）的通知要求，执行《企业会计准则第</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财务报表列报》的会计准则，修改了财务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报表中的列报，该会计政策的变更对公司财务报表无重大影响。 </w:t>
      </w:r>
      <w:r>
        <w:rPr>
          <w:rFonts w:ascii="Times New Roman" w:hAnsi="Times New Roman" w:cs="Times New Roman" w:eastAsia="Times New Roman" w:hint="default"/>
          <w:sz w:val="18"/>
          <w:szCs w:val="18"/>
        </w:rPr>
        <w:t>3</w:t>
      </w:r>
      <w:r>
        <w:rPr>
          <w:rFonts w:ascii="宋体" w:hAnsi="宋体" w:cs="宋体" w:eastAsia="宋体" w:hint="default"/>
          <w:sz w:val="18"/>
          <w:szCs w:val="18"/>
        </w:rPr>
        <w:t>、公司根据财政部（财会</w:t>
      </w:r>
      <w:r>
        <w:rPr>
          <w:rFonts w:ascii="Times New Roman" w:hAnsi="Times New Roman" w:cs="Times New Roman" w:eastAsia="Times New Roman" w:hint="default"/>
          <w:sz w:val="18"/>
          <w:szCs w:val="18"/>
        </w:rPr>
        <w:t>[2014]8</w:t>
      </w:r>
      <w:r>
        <w:rPr>
          <w:rFonts w:ascii="宋体" w:hAnsi="宋体" w:cs="宋体" w:eastAsia="宋体" w:hint="default"/>
          <w:sz w:val="18"/>
          <w:szCs w:val="18"/>
        </w:rPr>
        <w:t>号）的通知要求，执行《企业会计准则第</w:t>
      </w:r>
      <w:r>
        <w:rPr>
          <w:rFonts w:ascii="Times New Roman" w:hAnsi="Times New Roman" w:cs="Times New Roman" w:eastAsia="Times New Roman" w:hint="default"/>
          <w:sz w:val="18"/>
          <w:szCs w:val="18"/>
        </w:rPr>
        <w:t>9</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职工薪酬》，该会计政策的变更对公司财 务报表无重大影响。 </w:t>
      </w:r>
      <w:r>
        <w:rPr>
          <w:rFonts w:ascii="Times New Roman" w:hAnsi="Times New Roman" w:cs="Times New Roman" w:eastAsia="Times New Roman" w:hint="default"/>
          <w:sz w:val="18"/>
          <w:szCs w:val="18"/>
        </w:rPr>
        <w:t>4</w:t>
      </w:r>
      <w:r>
        <w:rPr>
          <w:rFonts w:ascii="宋体" w:hAnsi="宋体" w:cs="宋体" w:eastAsia="宋体" w:hint="default"/>
          <w:sz w:val="18"/>
          <w:szCs w:val="18"/>
        </w:rPr>
        <w:t>、公司根据财政部（财会</w:t>
      </w:r>
      <w:r>
        <w:rPr>
          <w:rFonts w:ascii="Times New Roman" w:hAnsi="Times New Roman" w:cs="Times New Roman" w:eastAsia="Times New Roman" w:hint="default"/>
          <w:sz w:val="18"/>
          <w:szCs w:val="18"/>
        </w:rPr>
        <w:t>[2014]10</w:t>
      </w:r>
      <w:r>
        <w:rPr>
          <w:rFonts w:ascii="宋体" w:hAnsi="宋体" w:cs="宋体" w:eastAsia="宋体" w:hint="default"/>
          <w:sz w:val="18"/>
          <w:szCs w:val="18"/>
        </w:rPr>
        <w:t>号）的通知要求，执行《企业会计准则第</w:t>
      </w:r>
      <w:r>
        <w:rPr>
          <w:rFonts w:ascii="Times New Roman" w:hAnsi="Times New Roman" w:cs="Times New Roman" w:eastAsia="Times New Roman" w:hint="default"/>
          <w:sz w:val="18"/>
          <w:szCs w:val="18"/>
        </w:rPr>
        <w:t>33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合并财务报表》，该会计政策的变更对 公司财务报表无重大影响。 </w:t>
      </w:r>
      <w:r>
        <w:rPr>
          <w:rFonts w:ascii="Times New Roman" w:hAnsi="Times New Roman" w:cs="Times New Roman" w:eastAsia="Times New Roman" w:hint="default"/>
          <w:sz w:val="18"/>
          <w:szCs w:val="18"/>
        </w:rPr>
        <w:t>5</w:t>
      </w:r>
      <w:r>
        <w:rPr>
          <w:rFonts w:ascii="宋体" w:hAnsi="宋体" w:cs="宋体" w:eastAsia="宋体" w:hint="default"/>
          <w:sz w:val="18"/>
          <w:szCs w:val="18"/>
        </w:rPr>
        <w:t>、公司根据财政部（财会</w:t>
      </w:r>
      <w:r>
        <w:rPr>
          <w:rFonts w:ascii="Times New Roman" w:hAnsi="Times New Roman" w:cs="Times New Roman" w:eastAsia="Times New Roman" w:hint="default"/>
          <w:sz w:val="18"/>
          <w:szCs w:val="18"/>
        </w:rPr>
        <w:t>[2014]11</w:t>
      </w:r>
      <w:r>
        <w:rPr>
          <w:rFonts w:ascii="宋体" w:hAnsi="宋体" w:cs="宋体" w:eastAsia="宋体" w:hint="default"/>
          <w:sz w:val="18"/>
          <w:szCs w:val="18"/>
        </w:rPr>
        <w:t>号）的通知要求，执行《企业会计准则第</w:t>
      </w:r>
      <w:r>
        <w:rPr>
          <w:rFonts w:ascii="Times New Roman" w:hAnsi="Times New Roman" w:cs="Times New Roman" w:eastAsia="Times New Roman" w:hint="default"/>
          <w:sz w:val="18"/>
          <w:szCs w:val="18"/>
        </w:rPr>
        <w:t>40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合营安排》，该会计政策变更对公司财 务报表无重大影响。 </w:t>
      </w:r>
      <w:r>
        <w:rPr>
          <w:rFonts w:ascii="Times New Roman" w:hAnsi="Times New Roman" w:cs="Times New Roman" w:eastAsia="Times New Roman" w:hint="default"/>
          <w:sz w:val="18"/>
          <w:szCs w:val="18"/>
        </w:rPr>
        <w:t>6</w:t>
      </w:r>
      <w:r>
        <w:rPr>
          <w:rFonts w:ascii="宋体" w:hAnsi="宋体" w:cs="宋体" w:eastAsia="宋体" w:hint="default"/>
          <w:sz w:val="18"/>
          <w:szCs w:val="18"/>
        </w:rPr>
        <w:t>、公司根据财政部（财会</w:t>
      </w:r>
      <w:r>
        <w:rPr>
          <w:rFonts w:ascii="Times New Roman" w:hAnsi="Times New Roman" w:cs="Times New Roman" w:eastAsia="Times New Roman" w:hint="default"/>
          <w:sz w:val="18"/>
          <w:szCs w:val="18"/>
        </w:rPr>
        <w:t>[2014]14</w:t>
      </w:r>
      <w:r>
        <w:rPr>
          <w:rFonts w:ascii="宋体" w:hAnsi="宋体" w:cs="宋体" w:eastAsia="宋体" w:hint="default"/>
          <w:sz w:val="18"/>
          <w:szCs w:val="18"/>
        </w:rPr>
        <w:t>号）的通知要求，执行《企业会计准则第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长期股权投资》，对</w:t>
      </w:r>
      <w:r>
        <w:rPr>
          <w:rFonts w:ascii="Times New Roman" w:hAnsi="Times New Roman" w:cs="Times New Roman" w:eastAsia="Times New Roman" w:hint="default"/>
          <w:sz w:val="18"/>
          <w:szCs w:val="18"/>
        </w:rPr>
        <w:t>“</w:t>
      </w:r>
      <w:r>
        <w:rPr>
          <w:rFonts w:ascii="宋体" w:hAnsi="宋体" w:cs="宋体" w:eastAsia="宋体" w:hint="default"/>
          <w:sz w:val="18"/>
          <w:szCs w:val="18"/>
        </w:rPr>
        <w:t>投资方持有的对被 投资单位不具有控制、共同控制或重大影响，并在活跃市场中无报价、公允价值不能可靠计量的长期股权投资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，按《企业 会计准则第</w:t>
      </w:r>
      <w:r>
        <w:rPr>
          <w:rFonts w:ascii="Times New Roman" w:hAnsi="Times New Roman" w:cs="Times New Roman" w:eastAsia="Times New Roman" w:hint="default"/>
          <w:sz w:val="18"/>
          <w:szCs w:val="18"/>
        </w:rPr>
        <w:t>22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金融资产的确认和计量》核算，对被投资企业的投资采用成本法核算。 </w:t>
      </w:r>
      <w:r>
        <w:rPr>
          <w:rFonts w:ascii="Times New Roman" w:hAnsi="Times New Roman" w:cs="Times New Roman" w:eastAsia="Times New Roman" w:hint="default"/>
          <w:sz w:val="18"/>
          <w:szCs w:val="18"/>
        </w:rPr>
        <w:t>7</w:t>
      </w:r>
      <w:r>
        <w:rPr>
          <w:rFonts w:ascii="宋体" w:hAnsi="宋体" w:cs="宋体" w:eastAsia="宋体" w:hint="default"/>
          <w:sz w:val="18"/>
          <w:szCs w:val="18"/>
        </w:rPr>
        <w:t>、公司根据财政部（财会</w:t>
      </w:r>
      <w:r>
        <w:rPr>
          <w:rFonts w:ascii="Times New Roman" w:hAnsi="Times New Roman" w:cs="Times New Roman" w:eastAsia="Times New Roman" w:hint="default"/>
          <w:sz w:val="18"/>
          <w:szCs w:val="18"/>
        </w:rPr>
        <w:t>[2014]16</w:t>
      </w:r>
      <w:r>
        <w:rPr>
          <w:rFonts w:ascii="宋体" w:hAnsi="宋体" w:cs="宋体" w:eastAsia="宋体" w:hint="default"/>
          <w:sz w:val="18"/>
          <w:szCs w:val="18"/>
        </w:rPr>
        <w:t>号）的通知要求，执行《企业会计准则第</w:t>
      </w:r>
      <w:r>
        <w:rPr>
          <w:rFonts w:ascii="Times New Roman" w:hAnsi="Times New Roman" w:cs="Times New Roman" w:eastAsia="Times New Roman" w:hint="default"/>
          <w:sz w:val="18"/>
          <w:szCs w:val="18"/>
        </w:rPr>
        <w:t>41</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在其他主体中权益的披露》。该会计政 策的变更对公司财务报表无重大影响。 </w:t>
      </w:r>
      <w:r>
        <w:rPr>
          <w:rFonts w:ascii="Times New Roman" w:hAnsi="Times New Roman" w:cs="Times New Roman" w:eastAsia="Times New Roman" w:hint="default"/>
          <w:sz w:val="18"/>
          <w:szCs w:val="18"/>
        </w:rPr>
        <w:t>8</w:t>
      </w:r>
      <w:r>
        <w:rPr>
          <w:rFonts w:ascii="宋体" w:hAnsi="宋体" w:cs="宋体" w:eastAsia="宋体" w:hint="default"/>
          <w:sz w:val="18"/>
          <w:szCs w:val="18"/>
        </w:rPr>
        <w:t>、公司根据财政部（财会</w:t>
      </w:r>
      <w:r>
        <w:rPr>
          <w:rFonts w:ascii="Times New Roman" w:hAnsi="Times New Roman" w:cs="Times New Roman" w:eastAsia="Times New Roman" w:hint="default"/>
          <w:sz w:val="18"/>
          <w:szCs w:val="18"/>
        </w:rPr>
        <w:t>[2014]23</w:t>
      </w:r>
      <w:r>
        <w:rPr>
          <w:rFonts w:ascii="宋体" w:hAnsi="宋体" w:cs="宋体" w:eastAsia="宋体" w:hint="default"/>
          <w:sz w:val="18"/>
          <w:szCs w:val="18"/>
        </w:rPr>
        <w:t>号）的通知要求，执行《企业会计准则第</w:t>
      </w:r>
      <w:r>
        <w:rPr>
          <w:rFonts w:ascii="Times New Roman" w:hAnsi="Times New Roman" w:cs="Times New Roman" w:eastAsia="Times New Roman" w:hint="default"/>
          <w:sz w:val="18"/>
          <w:szCs w:val="18"/>
        </w:rPr>
        <w:t>37</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金融工具列表》。该会计政策的变更对 公司财务报表无重大影响。</w:t>
      </w:r>
    </w:p>
    <w:p>
      <w:pPr>
        <w:spacing w:line="300" w:lineRule="auto" w:before="26"/>
        <w:ind w:left="369" w:right="197" w:firstLine="0"/>
        <w:jc w:val="left"/>
        <w:rPr>
          <w:rFonts w:ascii="宋体" w:hAnsi="宋体" w:cs="宋体" w:eastAsia="宋体" w:hint="default"/>
          <w:sz w:val="18"/>
          <w:szCs w:val="18"/>
        </w:rPr>
      </w:pPr>
      <w:r>
        <w:rPr>
          <w:rFonts w:ascii="宋体" w:hAnsi="宋体" w:cs="宋体" w:eastAsia="宋体" w:hint="default"/>
          <w:sz w:val="18"/>
          <w:szCs w:val="18"/>
        </w:rPr>
        <w:t>本次会计政策变更的实施不会对公司</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年度和</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年已披露的财务报表项目金额产生重大影响。 本次会计政策变更能够更加客观公正地反映公司财务状况和经营成果，为投资者提供更可靠、更准确的会计信息。本次</w:t>
      </w:r>
    </w:p>
    <w:p>
      <w:pPr>
        <w:spacing w:before="32"/>
        <w:ind w:left="152" w:right="146" w:firstLine="0"/>
        <w:jc w:val="left"/>
        <w:rPr>
          <w:rFonts w:ascii="宋体" w:hAnsi="宋体" w:cs="宋体" w:eastAsia="宋体" w:hint="default"/>
          <w:sz w:val="18"/>
          <w:szCs w:val="18"/>
        </w:rPr>
      </w:pPr>
      <w:r>
        <w:rPr>
          <w:rFonts w:ascii="宋体" w:hAnsi="宋体" w:cs="宋体" w:eastAsia="宋体" w:hint="default"/>
          <w:sz w:val="18"/>
          <w:szCs w:val="18"/>
        </w:rPr>
        <w:t>会计政策变更符合公司的实际情况，符合《企业会计准则》及相关规定。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146"/>
        <w:jc w:val="left"/>
        <w:rPr>
          <w:b w:val="0"/>
          <w:bCs w:val="0"/>
        </w:rPr>
      </w:pPr>
      <w:r>
        <w:rPr/>
        <w:t>十一、报告期内发生重大会计差错更正需追溯重述的情况说明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right="146"/>
        <w:jc w:val="left"/>
        <w:rPr>
          <w:b w:val="0"/>
          <w:bCs w:val="0"/>
        </w:rPr>
      </w:pPr>
      <w:r>
        <w:rPr/>
        <w:t>十二、与上年度财务报告相比，合并报表范围发生变化的情况说明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公司报告期无合并报表范围发生变化的情况。</w:t>
      </w:r>
    </w:p>
    <w:p>
      <w:pPr>
        <w:spacing w:line="240" w:lineRule="auto" w:before="8"/>
        <w:rPr>
          <w:rFonts w:ascii="宋体" w:hAnsi="宋体" w:cs="宋体" w:eastAsia="宋体" w:hint="default"/>
          <w:sz w:val="19"/>
          <w:szCs w:val="19"/>
        </w:rPr>
      </w:pPr>
    </w:p>
    <w:p>
      <w:pPr>
        <w:pStyle w:val="Heading2"/>
        <w:spacing w:line="240" w:lineRule="auto"/>
        <w:ind w:right="146"/>
        <w:jc w:val="left"/>
        <w:rPr>
          <w:b w:val="0"/>
          <w:bCs w:val="0"/>
        </w:rPr>
      </w:pPr>
      <w:r>
        <w:rPr/>
        <w:t>十三、公司利润分配及分红派息情况</w:t>
      </w:r>
      <w:r>
        <w:rPr>
          <w:b w:val="0"/>
          <w:bCs w:val="0"/>
        </w:rPr>
      </w:r>
    </w:p>
    <w:p>
      <w:pPr>
        <w:spacing w:line="240" w:lineRule="auto" w:before="6"/>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line="338" w:lineRule="auto" w:before="117"/>
        <w:ind w:left="152" w:right="1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根据中国证监会关于上市公司利润分配政策的要求，现对《公司章程》第一百六十一条内容予以修订。</w:t>
      </w:r>
    </w:p>
    <w:p>
      <w:pPr>
        <w:spacing w:line="316" w:lineRule="auto" w:before="2"/>
        <w:ind w:left="152" w:right="5814" w:firstLine="0"/>
        <w:jc w:val="left"/>
        <w:rPr>
          <w:rFonts w:ascii="宋体" w:hAnsi="宋体" w:cs="宋体" w:eastAsia="宋体" w:hint="default"/>
          <w:sz w:val="18"/>
          <w:szCs w:val="18"/>
        </w:rPr>
      </w:pPr>
      <w:r>
        <w:rPr>
          <w:rFonts w:ascii="宋体" w:hAnsi="宋体" w:cs="宋体" w:eastAsia="宋体" w:hint="default"/>
          <w:sz w:val="18"/>
          <w:szCs w:val="18"/>
        </w:rPr>
        <w:t>《公司章程》第一百六十一条：公司利润分配政策 原为：</w:t>
      </w:r>
    </w:p>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line="319" w:lineRule="auto" w:before="44"/>
        <w:ind w:left="152" w:right="153" w:firstLine="0"/>
        <w:jc w:val="both"/>
        <w:rPr>
          <w:rFonts w:ascii="宋体" w:hAnsi="宋体" w:cs="宋体" w:eastAsia="宋体" w:hint="default"/>
          <w:sz w:val="18"/>
          <w:szCs w:val="18"/>
        </w:rPr>
      </w:pPr>
      <w:r>
        <w:rPr>
          <w:rFonts w:ascii="宋体" w:hAnsi="宋体" w:cs="宋体" w:eastAsia="宋体" w:hint="default"/>
          <w:spacing w:val="-2"/>
          <w:sz w:val="18"/>
          <w:szCs w:val="18"/>
        </w:rPr>
        <w:t>（一）利润分配原则：公司实行持续、稳定的利润分配政策，充分考虑对投资者的回报并兼顾公司可持续发展；每年按照规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定比例以当年实现的可供分配利润向股东分配股利；公司董事会、监事会和股东大会对利润分配政策的决策和论证过程中应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当充分考虑独立董事、外部监事和公众投资者的意见；</w:t>
      </w:r>
    </w:p>
    <w:p>
      <w:pPr>
        <w:spacing w:line="316" w:lineRule="auto" w:before="17"/>
        <w:ind w:left="152" w:right="155" w:firstLine="0"/>
        <w:jc w:val="both"/>
        <w:rPr>
          <w:rFonts w:ascii="宋体" w:hAnsi="宋体" w:cs="宋体" w:eastAsia="宋体" w:hint="default"/>
          <w:sz w:val="18"/>
          <w:szCs w:val="18"/>
        </w:rPr>
      </w:pPr>
      <w:r>
        <w:rPr>
          <w:rFonts w:ascii="宋体" w:hAnsi="宋体" w:cs="宋体" w:eastAsia="宋体" w:hint="default"/>
          <w:spacing w:val="-2"/>
          <w:sz w:val="18"/>
          <w:szCs w:val="18"/>
        </w:rPr>
        <w:t>（二）利润分配形式：公司可以采取现金、股票或现金与股票相结合的方式分配股利；在满足利润分配条件的前提下，公司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每年至少进行</w:t>
      </w:r>
      <w:r>
        <w:rPr>
          <w:rFonts w:ascii="Times New Roman" w:hAnsi="Times New Roman" w:cs="Times New Roman" w:eastAsia="Times New Roman" w:hint="default"/>
          <w:sz w:val="18"/>
          <w:szCs w:val="18"/>
        </w:rPr>
        <w:t>1</w:t>
      </w:r>
      <w:r>
        <w:rPr>
          <w:rFonts w:ascii="宋体" w:hAnsi="宋体" w:cs="宋体" w:eastAsia="宋体" w:hint="default"/>
          <w:sz w:val="18"/>
          <w:szCs w:val="18"/>
        </w:rPr>
        <w:t>次利润分配；公司董事会可以根据公司的资金需求情况提议公司进行中期利润分配；</w:t>
      </w:r>
    </w:p>
    <w:p>
      <w:pPr>
        <w:spacing w:line="309" w:lineRule="auto" w:before="0"/>
        <w:ind w:left="152" w:right="139" w:firstLine="0"/>
        <w:jc w:val="left"/>
        <w:rPr>
          <w:rFonts w:ascii="宋体" w:hAnsi="宋体" w:cs="宋体" w:eastAsia="宋体" w:hint="default"/>
          <w:sz w:val="18"/>
          <w:szCs w:val="18"/>
        </w:rPr>
      </w:pPr>
      <w:r>
        <w:rPr>
          <w:rFonts w:ascii="宋体" w:hAnsi="宋体" w:cs="宋体" w:eastAsia="宋体" w:hint="default"/>
          <w:spacing w:val="-2"/>
          <w:sz w:val="18"/>
          <w:szCs w:val="18"/>
        </w:rPr>
        <w:t>（三）现金分红条件及比例：公司在当年盈利且累计未分配利润为正的情况下，如无重大投资计划或重大现金支出等事项发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生，公司应当采取现金方式分配股利，以现金方式分配的利润不少于当年实现的可分配利润的</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。且任意三个连续会计年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度内，公司以现金方式累计分配的利润不少于该三年实现的年均可分配利润的</w:t>
      </w:r>
      <w:r>
        <w:rPr>
          <w:rFonts w:ascii="Times New Roman" w:hAnsi="Times New Roman" w:cs="Times New Roman" w:eastAsia="Times New Roman" w:hint="default"/>
          <w:sz w:val="18"/>
          <w:szCs w:val="18"/>
        </w:rPr>
        <w:t>30%</w:t>
      </w:r>
      <w:r>
        <w:rPr>
          <w:rFonts w:ascii="宋体" w:hAnsi="宋体" w:cs="宋体" w:eastAsia="宋体" w:hint="default"/>
          <w:sz w:val="18"/>
          <w:szCs w:val="18"/>
        </w:rPr>
        <w:t>。 重大投资计划或重大现金支出是指公司在一年内购买资产以及对外投资等交易涉及的资产总额占公司最近一期经审计净资 产</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以上的事项。</w:t>
      </w:r>
    </w:p>
    <w:p>
      <w:pPr>
        <w:spacing w:line="316" w:lineRule="auto" w:before="5"/>
        <w:ind w:left="152" w:right="151" w:firstLine="0"/>
        <w:jc w:val="both"/>
        <w:rPr>
          <w:rFonts w:ascii="宋体" w:hAnsi="宋体" w:cs="宋体" w:eastAsia="宋体" w:hint="default"/>
          <w:sz w:val="18"/>
          <w:szCs w:val="18"/>
        </w:rPr>
      </w:pPr>
      <w:r>
        <w:rPr>
          <w:rFonts w:ascii="宋体" w:hAnsi="宋体" w:cs="宋体" w:eastAsia="宋体" w:hint="default"/>
          <w:spacing w:val="-2"/>
          <w:sz w:val="18"/>
          <w:szCs w:val="18"/>
        </w:rPr>
        <w:t>（四）公司发放股票股利条件：公司在经营情况良好，并且董事会认为公司股票价格与公司股本规模不匹配、发放股票股利</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有利于公司全体股东整体利益时，可以在满足上述现金分红的条件下，提出股票股利分配预案。</w:t>
      </w:r>
    </w:p>
    <w:p>
      <w:pPr>
        <w:spacing w:line="316" w:lineRule="auto" w:before="19"/>
        <w:ind w:left="152" w:right="153" w:firstLine="0"/>
        <w:jc w:val="both"/>
        <w:rPr>
          <w:rFonts w:ascii="宋体" w:hAnsi="宋体" w:cs="宋体" w:eastAsia="宋体" w:hint="default"/>
          <w:sz w:val="18"/>
          <w:szCs w:val="18"/>
        </w:rPr>
      </w:pPr>
      <w:r>
        <w:rPr>
          <w:rFonts w:ascii="宋体" w:hAnsi="宋体" w:cs="宋体" w:eastAsia="宋体" w:hint="default"/>
          <w:spacing w:val="-2"/>
          <w:sz w:val="18"/>
          <w:szCs w:val="18"/>
        </w:rPr>
        <w:t>（五）利润分配需履行的决策程序：公司董事会、监事会应当对利润分配方案的合理性进行充分讨论，并形成有效决议；公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司董事会审议通过后公司利润分配方案应当提交公司股东大会进行审议；股东大会审议利润分配方案时，公司应当为股东提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供网络投票方式，切实保障社会公众股股东参与股东大会的权利。</w:t>
      </w:r>
    </w:p>
    <w:p>
      <w:pPr>
        <w:spacing w:line="316" w:lineRule="auto" w:before="19"/>
        <w:ind w:left="152" w:right="152" w:firstLine="0"/>
        <w:jc w:val="both"/>
        <w:rPr>
          <w:rFonts w:ascii="宋体" w:hAnsi="宋体" w:cs="宋体" w:eastAsia="宋体" w:hint="default"/>
          <w:sz w:val="18"/>
          <w:szCs w:val="18"/>
        </w:rPr>
      </w:pPr>
      <w:r>
        <w:rPr>
          <w:rFonts w:ascii="宋体" w:hAnsi="宋体" w:cs="宋体" w:eastAsia="宋体" w:hint="default"/>
          <w:spacing w:val="-2"/>
          <w:sz w:val="18"/>
          <w:szCs w:val="18"/>
        </w:rPr>
        <w:t>（六）公司当年盈利但未提出现金利润分配预案，董事会应当在指定媒体上披露未进行现金分红的具体原因以及未用于现金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分红的资金留存公司的用途，并由公司独立董事对此发表相关的独立意见后提交股东大会审议。</w:t>
      </w:r>
    </w:p>
    <w:p>
      <w:pPr>
        <w:spacing w:line="316" w:lineRule="auto" w:before="19"/>
        <w:ind w:left="152" w:right="149" w:firstLine="0"/>
        <w:jc w:val="both"/>
        <w:rPr>
          <w:rFonts w:ascii="宋体" w:hAnsi="宋体" w:cs="宋体" w:eastAsia="宋体" w:hint="default"/>
          <w:sz w:val="18"/>
          <w:szCs w:val="18"/>
        </w:rPr>
      </w:pPr>
      <w:r>
        <w:rPr>
          <w:rFonts w:ascii="宋体" w:hAnsi="宋体" w:cs="宋体" w:eastAsia="宋体" w:hint="default"/>
          <w:spacing w:val="-2"/>
          <w:sz w:val="18"/>
          <w:szCs w:val="18"/>
        </w:rPr>
        <w:t>（七）公司利润分配政策的调整：如遇到战争、自然灾害等不可抗力时，并对公司生产经营造成重大影响，或公司根据生产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经营情况、投资规划和长期发展的需要，或者外部经营环境发生变化，确需调整利润分配政策的，公司可以调整利润分配政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策。有关调整利润分配政策的方案应由董事会进行详细论证说明，并由公司独立董事发表独立意见后提交公司股东大会特别</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决议通过，股东大会审议利润分配政策调整事项时，应当为股东提供网络投票方式。调整后的利润分配政策不得违反中国证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监会和深圳证券交易所的有关规定。</w:t>
      </w:r>
    </w:p>
    <w:p>
      <w:pPr>
        <w:spacing w:before="19"/>
        <w:ind w:left="152" w:right="0" w:firstLine="0"/>
        <w:jc w:val="both"/>
        <w:rPr>
          <w:rFonts w:ascii="宋体" w:hAnsi="宋体" w:cs="宋体" w:eastAsia="宋体" w:hint="default"/>
          <w:sz w:val="18"/>
          <w:szCs w:val="18"/>
        </w:rPr>
      </w:pPr>
      <w:r>
        <w:rPr>
          <w:rFonts w:ascii="宋体" w:hAnsi="宋体" w:cs="宋体" w:eastAsia="宋体" w:hint="default"/>
          <w:sz w:val="18"/>
          <w:szCs w:val="18"/>
        </w:rPr>
        <w:t>修订为：</w:t>
      </w:r>
    </w:p>
    <w:p>
      <w:pPr>
        <w:spacing w:line="319" w:lineRule="auto" w:before="76"/>
        <w:ind w:left="152" w:right="153" w:firstLine="0"/>
        <w:jc w:val="both"/>
        <w:rPr>
          <w:rFonts w:ascii="宋体" w:hAnsi="宋体" w:cs="宋体" w:eastAsia="宋体" w:hint="default"/>
          <w:sz w:val="18"/>
          <w:szCs w:val="18"/>
        </w:rPr>
      </w:pPr>
      <w:r>
        <w:rPr>
          <w:rFonts w:ascii="宋体" w:hAnsi="宋体" w:cs="宋体" w:eastAsia="宋体" w:hint="default"/>
          <w:spacing w:val="-2"/>
          <w:sz w:val="18"/>
          <w:szCs w:val="18"/>
        </w:rPr>
        <w:t>（一）利润分配原则：公司实行持续、稳定、一致的利润分配政策，充分考虑对投资者的回报并兼顾公司可持续发展；每年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按照规定比例以当年实现的可供分配利润向股东分配股利；公司董事会、监事会和股东大会对利润分配政策的决策和论证过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程中应当充分考虑独立董事、外部监事和公众投资者的意见，并如实披露公司利润分配特别是现金分红信息。</w:t>
      </w:r>
    </w:p>
    <w:p>
      <w:pPr>
        <w:spacing w:line="316" w:lineRule="auto" w:before="17"/>
        <w:ind w:left="152" w:right="153" w:firstLine="0"/>
        <w:jc w:val="both"/>
        <w:rPr>
          <w:rFonts w:ascii="宋体" w:hAnsi="宋体" w:cs="宋体" w:eastAsia="宋体" w:hint="default"/>
          <w:sz w:val="18"/>
          <w:szCs w:val="18"/>
        </w:rPr>
      </w:pPr>
      <w:r>
        <w:rPr>
          <w:rFonts w:ascii="宋体" w:hAnsi="宋体" w:cs="宋体" w:eastAsia="宋体" w:hint="default"/>
          <w:spacing w:val="-2"/>
          <w:sz w:val="18"/>
          <w:szCs w:val="18"/>
        </w:rPr>
        <w:t>（二）利润分配形式：公司可以采取现金、股票或现金与股票相结合的方式分配股利；在满足利润分配条件的前提下，公司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每年至少进行</w:t>
      </w:r>
      <w:r>
        <w:rPr>
          <w:rFonts w:ascii="Times New Roman" w:hAnsi="Times New Roman" w:cs="Times New Roman" w:eastAsia="Times New Roman" w:hint="default"/>
          <w:sz w:val="18"/>
          <w:szCs w:val="18"/>
        </w:rPr>
        <w:t>1</w:t>
      </w:r>
      <w:r>
        <w:rPr>
          <w:rFonts w:ascii="宋体" w:hAnsi="宋体" w:cs="宋体" w:eastAsia="宋体" w:hint="default"/>
          <w:sz w:val="18"/>
          <w:szCs w:val="18"/>
        </w:rPr>
        <w:t>次利润分配；公司董事会可以根据公司的资金需求情况提议公司进行中期利润分配。</w:t>
      </w:r>
    </w:p>
    <w:p>
      <w:pPr>
        <w:spacing w:line="312" w:lineRule="auto" w:before="0"/>
        <w:ind w:left="152" w:right="139" w:firstLine="0"/>
        <w:jc w:val="left"/>
        <w:rPr>
          <w:rFonts w:ascii="宋体" w:hAnsi="宋体" w:cs="宋体" w:eastAsia="宋体" w:hint="default"/>
          <w:sz w:val="18"/>
          <w:szCs w:val="18"/>
        </w:rPr>
      </w:pPr>
      <w:r>
        <w:rPr>
          <w:rFonts w:ascii="宋体" w:hAnsi="宋体" w:cs="宋体" w:eastAsia="宋体" w:hint="default"/>
          <w:spacing w:val="-2"/>
          <w:sz w:val="18"/>
          <w:szCs w:val="18"/>
        </w:rPr>
        <w:t>（三）现金分红条件及比例：公司在当年盈利且累计未分配利润为正的情况下，如无重大资金支出安排等事项发生，公司应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当采取现金方式分配股利，以现金方式分配的利润不少于当年实现的可分配利润的</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。且任意三个连续会计年度内，公司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以现金方式累计分配的利润不少于该三年实现的年均可分配利润的</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宋体" w:hAnsi="宋体" w:cs="宋体" w:eastAsia="宋体" w:hint="default"/>
          <w:spacing w:val="-2"/>
          <w:sz w:val="18"/>
          <w:szCs w:val="18"/>
        </w:rPr>
        <w:t>公司实行差异化的现金分红政策，公司董事会对利润分配方案进行讨论时，应当综合考虑所处行业特点、发展阶段、自身经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营模式、盈利水平以及是否有重大资金支出安排等因素，区分下列情形，并按照本章程规定的程序，提出差异化的现金分红</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政策：</w:t>
      </w:r>
    </w:p>
    <w:p>
      <w:pPr>
        <w:spacing w:before="22"/>
        <w:ind w:left="15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）当公司发展阶段属成熟期且无重大资金支出安排，进行利润分配时，现金分红在本次利润分配中所占比例最低应达到</w:t>
      </w:r>
    </w:p>
    <w:p>
      <w:pPr>
        <w:spacing w:before="63"/>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）当公司发展阶段属成熟期且有重大资金支出安排，进行利润分配时，现金分红在本次利润分配中所占比例最低应达到</w:t>
      </w:r>
    </w:p>
    <w:p>
      <w:pPr>
        <w:spacing w:before="63"/>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p>
      <w:pPr>
        <w:spacing w:line="304" w:lineRule="auto" w:before="63"/>
        <w:ind w:left="152" w:right="8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）当公司发展阶段属成长期或公司发展阶段不易区分，且有重大资金支出安排，进行利润分配时，现金分红在本次利润 分配中所占比例最低应达到</w:t>
      </w:r>
      <w:r>
        <w:rPr>
          <w:rFonts w:ascii="Times New Roman" w:hAnsi="Times New Roman" w:cs="Times New Roman" w:eastAsia="Times New Roman" w:hint="default"/>
          <w:sz w:val="18"/>
          <w:szCs w:val="18"/>
        </w:rPr>
        <w:t>20%</w:t>
      </w:r>
      <w:r>
        <w:rPr>
          <w:rFonts w:ascii="宋体" w:hAnsi="宋体" w:cs="宋体" w:eastAsia="宋体" w:hint="default"/>
          <w:sz w:val="18"/>
          <w:szCs w:val="18"/>
        </w:rPr>
        <w:t>； 重大资金支出安排是指公司在一年内购买资产以及对外投资等交易涉及的资产总额占公司最近一期经审计净资产</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 的事项。 鉴于公司目前的发展阶段尚属于成长期，因此，公司在进行利润分配时，现金分红在利润分配中所占比例最低应达到</w:t>
      </w:r>
      <w:r>
        <w:rPr>
          <w:rFonts w:ascii="Times New Roman" w:hAnsi="Times New Roman" w:cs="Times New Roman" w:eastAsia="Times New Roman" w:hint="default"/>
          <w:sz w:val="18"/>
          <w:szCs w:val="18"/>
        </w:rPr>
        <w:t>20%</w:t>
      </w:r>
      <w:r>
        <w:rPr>
          <w:rFonts w:ascii="宋体" w:hAnsi="宋体" w:cs="宋体" w:eastAsia="宋体" w:hint="default"/>
          <w:sz w:val="18"/>
          <w:szCs w:val="18"/>
        </w:rPr>
        <w:t>。 公司董事会应根据公司的经营发展情况根据前项规定适时修改本条关于公司发展阶段的规定。</w:t>
      </w:r>
    </w:p>
    <w:p>
      <w:pPr>
        <w:spacing w:after="0" w:line="30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line="319" w:lineRule="auto" w:before="44"/>
        <w:ind w:left="152" w:right="146" w:firstLine="0"/>
        <w:jc w:val="left"/>
        <w:rPr>
          <w:rFonts w:ascii="宋体" w:hAnsi="宋体" w:cs="宋体" w:eastAsia="宋体" w:hint="default"/>
          <w:sz w:val="18"/>
          <w:szCs w:val="18"/>
        </w:rPr>
      </w:pPr>
      <w:r>
        <w:rPr>
          <w:rFonts w:ascii="宋体" w:hAnsi="宋体" w:cs="宋体" w:eastAsia="宋体" w:hint="default"/>
          <w:spacing w:val="-2"/>
          <w:sz w:val="18"/>
          <w:szCs w:val="18"/>
        </w:rPr>
        <w:t>（四）公司发放股票股利条件：公司在经营情况良好，并且董事会认为公司股票价格与公司股本规模不匹配、发放股票股利</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有利于公司全体股东整体利益时，可以在满足上述现金分红的条件下，提出股票股利分配预案。</w:t>
      </w:r>
    </w:p>
    <w:p>
      <w:pPr>
        <w:spacing w:line="316" w:lineRule="auto" w:before="17"/>
        <w:ind w:left="152" w:right="150" w:firstLine="0"/>
        <w:jc w:val="both"/>
        <w:rPr>
          <w:rFonts w:ascii="宋体" w:hAnsi="宋体" w:cs="宋体" w:eastAsia="宋体" w:hint="default"/>
          <w:sz w:val="18"/>
          <w:szCs w:val="18"/>
        </w:rPr>
      </w:pPr>
      <w:r>
        <w:rPr>
          <w:rFonts w:ascii="宋体" w:hAnsi="宋体" w:cs="宋体" w:eastAsia="宋体" w:hint="default"/>
          <w:spacing w:val="-2"/>
          <w:sz w:val="18"/>
          <w:szCs w:val="18"/>
        </w:rPr>
        <w:t>（五）现金分红与股票股利在利润分配中的顺序：公司在进行利润分配时，现金分红优先于股票股利。当公司满足前述现金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分红条件时，应当采用现金分红进行利润分配。采用股票股利进行利润分配的，应当具有公司成长性、每股净资产的摊薄等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合理因素。公司董事会讨论利润分配方案时，需就采用股票股利进行利润分配的合理因素进行说明。</w:t>
      </w:r>
    </w:p>
    <w:p>
      <w:pPr>
        <w:spacing w:line="316" w:lineRule="auto" w:before="19"/>
        <w:ind w:left="152" w:right="146" w:firstLine="0"/>
        <w:jc w:val="left"/>
        <w:rPr>
          <w:rFonts w:ascii="宋体" w:hAnsi="宋体" w:cs="宋体" w:eastAsia="宋体" w:hint="default"/>
          <w:sz w:val="18"/>
          <w:szCs w:val="18"/>
        </w:rPr>
      </w:pPr>
      <w:r>
        <w:rPr>
          <w:rFonts w:ascii="宋体" w:hAnsi="宋体" w:cs="宋体" w:eastAsia="宋体" w:hint="default"/>
          <w:spacing w:val="-2"/>
          <w:sz w:val="18"/>
          <w:szCs w:val="18"/>
        </w:rPr>
        <w:t>（六）利润分配需履行的决策程序：公司董事会、监事会应当对利润分配方案的合理性进行充分讨论，并形成有效决议；董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事会审议现金分红具体方案时，应当认真研究和论证公司现金分红的时机、条件和最低比例、调整的条件及其决策程序要求</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等事宜，独立董事应当发表明确意见；公司董事会审议通过后公司利润分配方案应当提交公司股东大会进行审议；股东大会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审议利润分配方案前，公司应当通过多种渠道（包括但不限于【董秘邮箱、专线电话】等）与股东特别是中小股东进行沟通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和交流，充分听取中小股东的意见和诉求，及时答复中小股东关心的问题；股东大会审议利润分配方案时，公司应当为股东</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提供网络投票方式，切实保障社会公众股股东参与股东大会的权利。公司应当采取有效措施鼓励广大中小投资者以及机构投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资者主动参与公司利润分配事项的决策，充分发挥中介机构的专业引导作用。 独立董事可以征集中小股东的意见，提出分红提案，并直接提交董事会审议。</w:t>
      </w:r>
    </w:p>
    <w:p>
      <w:pPr>
        <w:spacing w:line="316" w:lineRule="auto" w:before="19"/>
        <w:ind w:left="152" w:right="146" w:firstLine="0"/>
        <w:jc w:val="left"/>
        <w:rPr>
          <w:rFonts w:ascii="宋体" w:hAnsi="宋体" w:cs="宋体" w:eastAsia="宋体" w:hint="default"/>
          <w:sz w:val="18"/>
          <w:szCs w:val="18"/>
        </w:rPr>
      </w:pPr>
      <w:r>
        <w:rPr>
          <w:rFonts w:ascii="宋体" w:hAnsi="宋体" w:cs="宋体" w:eastAsia="宋体" w:hint="default"/>
          <w:spacing w:val="-2"/>
          <w:sz w:val="18"/>
          <w:szCs w:val="18"/>
        </w:rPr>
        <w:t>（七）公司在定期报告中的说明：公司应当在年度报告中详细披露现金分红政策的制定及执行情况，并对下列事项进行专项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说明：</w:t>
      </w:r>
    </w:p>
    <w:p>
      <w:pPr>
        <w:spacing w:before="19"/>
        <w:ind w:left="15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）是否符合公司章程的规定或者股东大会决议的要求；</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）分红标准和比例是否明确和清晰；</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）相关的决策程序和机制是否完备；</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）独立董事是否履职尽责并发挥了应有的作用；</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）中小股东是否有充分表达意见和诉求的机会，中小股东的合法权益是否得到了充分保护等。</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）对现金分红政策进行调整或变更的，还应对调整或变更的条件及程序是否合规和透明等进行详细说明。</w:t>
      </w:r>
    </w:p>
    <w:p>
      <w:pPr>
        <w:spacing w:line="316" w:lineRule="auto" w:before="63"/>
        <w:ind w:left="152" w:right="146" w:firstLine="0"/>
        <w:jc w:val="left"/>
        <w:rPr>
          <w:rFonts w:ascii="宋体" w:hAnsi="宋体" w:cs="宋体" w:eastAsia="宋体" w:hint="default"/>
          <w:sz w:val="18"/>
          <w:szCs w:val="18"/>
        </w:rPr>
      </w:pPr>
      <w:r>
        <w:rPr>
          <w:rFonts w:ascii="宋体" w:hAnsi="宋体" w:cs="宋体" w:eastAsia="宋体" w:hint="default"/>
          <w:spacing w:val="-2"/>
          <w:sz w:val="18"/>
          <w:szCs w:val="18"/>
        </w:rPr>
        <w:t>（八）公司当年盈利但未提出现金利润分配预案，董事会应当在指定媒体上披露未进行现金分红的具体原因以及未用于现金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分红的资金留存公司的用途，并由公司独立董事对此发表相关的独立意见后提交股东大会审议。</w:t>
      </w:r>
    </w:p>
    <w:p>
      <w:pPr>
        <w:spacing w:line="319" w:lineRule="auto" w:before="19"/>
        <w:ind w:left="152" w:right="150" w:firstLine="0"/>
        <w:jc w:val="both"/>
        <w:rPr>
          <w:rFonts w:ascii="宋体" w:hAnsi="宋体" w:cs="宋体" w:eastAsia="宋体" w:hint="default"/>
          <w:sz w:val="18"/>
          <w:szCs w:val="18"/>
        </w:rPr>
      </w:pPr>
      <w:r>
        <w:rPr>
          <w:rFonts w:ascii="宋体" w:hAnsi="宋体" w:cs="宋体" w:eastAsia="宋体" w:hint="default"/>
          <w:spacing w:val="-2"/>
          <w:sz w:val="18"/>
          <w:szCs w:val="18"/>
        </w:rPr>
        <w:t>（九）公司利润分配政策的调整：如遇到战争、自然灾害等不可抗力时，并对公司生产经营造成重大影响，或公司根据生产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经营情况、投资规划和长期发展的需要，或者外部经营环境发生变化，确需调整利润分配政策的，公司可以调整利润分配政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策。有关调整利润分配政策的方案应由董事会进行详细论证说明，并由公司独立董事发表独立意见后提交公司股东大会特别</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决议通过，股东大会审议利润分配政策调整事项时，应当为股东提供网络投票方式。调整后的利润分配政策不得违反中国证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监会和深圳证券交易所的有关规定。</w:t>
      </w: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8"/>
        <w:ind w:left="152" w:right="0" w:firstLine="0"/>
        <w:jc w:val="both"/>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w:t>
      </w:r>
    </w:p>
    <w:p>
      <w:pPr>
        <w:spacing w:line="240" w:lineRule="auto" w:before="5"/>
        <w:rPr>
          <w:rFonts w:ascii="宋体" w:hAnsi="宋体" w:cs="宋体" w:eastAsia="宋体" w:hint="default"/>
          <w:sz w:val="12"/>
          <w:szCs w:val="12"/>
        </w:rPr>
      </w:pPr>
    </w:p>
    <w:p>
      <w:pPr>
        <w:pStyle w:val="BodyText"/>
        <w:spacing w:line="240" w:lineRule="auto"/>
        <w:ind w:left="573" w:right="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2011</w:t>
      </w:r>
      <w:r>
        <w:rPr/>
        <w:t>年度利润分配方案为：以公司总股本</w:t>
      </w:r>
      <w:r>
        <w:rPr>
          <w:rFonts w:ascii="Times New Roman" w:hAnsi="Times New Roman" w:cs="Times New Roman" w:eastAsia="Times New Roman" w:hint="default"/>
        </w:rPr>
        <w:t>208,000,000</w:t>
      </w:r>
      <w:r>
        <w:rPr/>
        <w:t>股为基数，每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10.00</w:t>
      </w:r>
      <w:r>
        <w:rPr/>
        <w:t>元</w:t>
      </w:r>
    </w:p>
    <w:p>
      <w:pPr>
        <w:pStyle w:val="BodyText"/>
        <w:spacing w:line="256" w:lineRule="auto" w:before="19"/>
        <w:ind w:right="148"/>
        <w:jc w:val="both"/>
      </w:pPr>
      <w:r>
        <w:rPr>
          <w:spacing w:val="-6"/>
        </w:rPr>
        <w:t>（含税），共计派发</w:t>
      </w:r>
      <w:r>
        <w:rPr>
          <w:rFonts w:ascii="Times New Roman" w:hAnsi="Times New Roman" w:cs="Times New Roman" w:eastAsia="Times New Roman" w:hint="default"/>
          <w:spacing w:val="-6"/>
        </w:rPr>
        <w:t>208,000,000</w:t>
      </w:r>
      <w:r>
        <w:rPr>
          <w:spacing w:val="-6"/>
        </w:rPr>
        <w:t>元。剩余未分配利润暂不分配，结转入下一年度；以公司总股本</w:t>
      </w:r>
      <w:r>
        <w:rPr>
          <w:rFonts w:ascii="Times New Roman" w:hAnsi="Times New Roman" w:cs="Times New Roman" w:eastAsia="Times New Roman" w:hint="default"/>
          <w:spacing w:val="-6"/>
        </w:rPr>
        <w:t>208,000,000</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5"/>
        </w:rPr>
        <w:t>股为基数，以资本公积转增股本，每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10</w:t>
      </w:r>
      <w:r>
        <w:rPr>
          <w:spacing w:val="5"/>
        </w:rPr>
        <w:t>股，共计转增</w:t>
      </w:r>
      <w:r>
        <w:rPr>
          <w:rFonts w:ascii="Times New Roman" w:hAnsi="Times New Roman" w:cs="Times New Roman" w:eastAsia="Times New Roman" w:hint="default"/>
          <w:spacing w:val="5"/>
        </w:rPr>
        <w:t>208,000,000</w:t>
      </w:r>
      <w:r>
        <w:rPr>
          <w:spacing w:val="5"/>
        </w:rPr>
        <w:t>股，转增后公司总股本增至</w:t>
      </w:r>
      <w:r>
        <w:rPr>
          <w:spacing w:val="12"/>
        </w:rPr>
        <w:t> </w:t>
      </w:r>
      <w:r>
        <w:rPr>
          <w:spacing w:val="12"/>
        </w:rPr>
      </w:r>
      <w:r>
        <w:rPr>
          <w:rFonts w:ascii="Times New Roman" w:hAnsi="Times New Roman" w:cs="Times New Roman" w:eastAsia="Times New Roman" w:hint="default"/>
        </w:rPr>
        <w:t>416,000,000</w:t>
      </w:r>
      <w:r>
        <w:rPr/>
        <w:t>股。</w:t>
      </w:r>
    </w:p>
    <w:p>
      <w:pPr>
        <w:spacing w:after="0" w:line="256"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56" w:lineRule="auto" w:before="36"/>
        <w:ind w:right="146" w:firstLine="420"/>
        <w:jc w:val="both"/>
      </w:pPr>
      <w:r>
        <w:rPr>
          <w:rFonts w:ascii="Times New Roman" w:hAnsi="Times New Roman" w:cs="Times New Roman" w:eastAsia="Times New Roman" w:hint="default"/>
          <w:spacing w:val="-7"/>
        </w:rPr>
        <w:t>2</w:t>
      </w:r>
      <w:r>
        <w:rPr>
          <w:spacing w:val="-7"/>
        </w:rPr>
        <w:t>、公司</w:t>
      </w:r>
      <w:r>
        <w:rPr>
          <w:rFonts w:ascii="Times New Roman" w:hAnsi="Times New Roman" w:cs="Times New Roman" w:eastAsia="Times New Roman" w:hint="default"/>
          <w:spacing w:val="-7"/>
        </w:rPr>
        <w:t>2012</w:t>
      </w:r>
      <w:r>
        <w:rPr>
          <w:spacing w:val="-7"/>
        </w:rPr>
        <w:t>年度利润分配方案为：以公司总股本</w:t>
      </w:r>
      <w:r>
        <w:rPr>
          <w:rFonts w:ascii="Times New Roman" w:hAnsi="Times New Roman" w:cs="Times New Roman" w:eastAsia="Times New Roman" w:hint="default"/>
          <w:spacing w:val="-7"/>
        </w:rPr>
        <w:t>416,000,000</w:t>
      </w:r>
      <w:r>
        <w:rPr>
          <w:spacing w:val="-7"/>
        </w:rPr>
        <w:t>股为基数，每</w:t>
      </w:r>
      <w:r>
        <w:rPr>
          <w:rFonts w:ascii="Times New Roman" w:hAnsi="Times New Roman" w:cs="Times New Roman" w:eastAsia="Times New Roman" w:hint="default"/>
          <w:spacing w:val="-7"/>
        </w:rPr>
        <w:t>10</w:t>
      </w:r>
      <w:r>
        <w:rPr>
          <w:spacing w:val="-7"/>
        </w:rPr>
        <w:t>股派发现金红利</w:t>
      </w:r>
      <w:r>
        <w:rPr>
          <w:rFonts w:ascii="Times New Roman" w:hAnsi="Times New Roman" w:cs="Times New Roman" w:eastAsia="Times New Roman" w:hint="default"/>
          <w:spacing w:val="-7"/>
        </w:rPr>
        <w:t>1.00</w:t>
      </w:r>
      <w:r>
        <w:rPr>
          <w:spacing w:val="-7"/>
        </w:rPr>
        <w:t>元（含</w:t>
      </w:r>
      <w:r>
        <w:rPr>
          <w:w w:val="100"/>
        </w:rPr>
        <w:t> </w:t>
      </w:r>
      <w:r>
        <w:rPr/>
        <w:t>税），共计派发</w:t>
      </w:r>
      <w:r>
        <w:rPr>
          <w:rFonts w:ascii="Times New Roman" w:hAnsi="Times New Roman" w:cs="Times New Roman" w:eastAsia="Times New Roman" w:hint="default"/>
        </w:rPr>
        <w:t>41,600,000</w:t>
      </w:r>
      <w:r>
        <w:rPr/>
        <w:t>元。剩余未分配利润暂不分配，结转入下一年度；公司</w:t>
      </w:r>
      <w:r>
        <w:rPr>
          <w:rFonts w:ascii="Times New Roman" w:hAnsi="Times New Roman" w:cs="Times New Roman" w:eastAsia="Times New Roman" w:hint="default"/>
        </w:rPr>
        <w:t>2012</w:t>
      </w:r>
      <w:r>
        <w:rPr/>
        <w:t>年度不进行资本公</w:t>
      </w:r>
      <w:r>
        <w:rPr>
          <w:spacing w:val="-26"/>
        </w:rPr>
        <w:t> </w:t>
      </w:r>
      <w:r>
        <w:rPr>
          <w:spacing w:val="-26"/>
        </w:rPr>
      </w:r>
      <w:r>
        <w:rPr/>
        <w:t>积金转增股本。</w:t>
      </w:r>
    </w:p>
    <w:p>
      <w:pPr>
        <w:pStyle w:val="BodyText"/>
        <w:spacing w:line="256" w:lineRule="auto" w:before="142"/>
        <w:ind w:right="146" w:firstLine="420"/>
        <w:jc w:val="both"/>
      </w:pPr>
      <w:r>
        <w:rPr>
          <w:rFonts w:ascii="Times New Roman" w:hAnsi="Times New Roman" w:cs="Times New Roman" w:eastAsia="Times New Roman" w:hint="default"/>
          <w:spacing w:val="-7"/>
        </w:rPr>
        <w:t>3</w:t>
      </w:r>
      <w:r>
        <w:rPr>
          <w:spacing w:val="-7"/>
        </w:rPr>
        <w:t>、公司</w:t>
      </w:r>
      <w:r>
        <w:rPr>
          <w:rFonts w:ascii="Times New Roman" w:hAnsi="Times New Roman" w:cs="Times New Roman" w:eastAsia="Times New Roman" w:hint="default"/>
          <w:spacing w:val="-7"/>
        </w:rPr>
        <w:t>2013</w:t>
      </w:r>
      <w:r>
        <w:rPr>
          <w:spacing w:val="-7"/>
        </w:rPr>
        <w:t>年度利润分配方案为：以公司总股本</w:t>
      </w:r>
      <w:r>
        <w:rPr>
          <w:rFonts w:ascii="Times New Roman" w:hAnsi="Times New Roman" w:cs="Times New Roman" w:eastAsia="Times New Roman" w:hint="default"/>
          <w:spacing w:val="-7"/>
        </w:rPr>
        <w:t>416,000,000</w:t>
      </w:r>
      <w:r>
        <w:rPr>
          <w:spacing w:val="-7"/>
        </w:rPr>
        <w:t>股为基数，每</w:t>
      </w:r>
      <w:r>
        <w:rPr>
          <w:rFonts w:ascii="Times New Roman" w:hAnsi="Times New Roman" w:cs="Times New Roman" w:eastAsia="Times New Roman" w:hint="default"/>
          <w:spacing w:val="-7"/>
        </w:rPr>
        <w:t>10</w:t>
      </w:r>
      <w:r>
        <w:rPr>
          <w:spacing w:val="-7"/>
        </w:rPr>
        <w:t>股派发现金红利</w:t>
      </w:r>
      <w:r>
        <w:rPr>
          <w:rFonts w:ascii="Times New Roman" w:hAnsi="Times New Roman" w:cs="Times New Roman" w:eastAsia="Times New Roman" w:hint="default"/>
          <w:spacing w:val="-7"/>
        </w:rPr>
        <w:t>0.25</w:t>
      </w:r>
      <w:r>
        <w:rPr>
          <w:spacing w:val="-7"/>
        </w:rPr>
        <w:t>元（含</w:t>
      </w:r>
      <w:r>
        <w:rPr>
          <w:w w:val="100"/>
        </w:rPr>
        <w:t> </w:t>
      </w:r>
      <w:r>
        <w:rPr/>
        <w:t>税），共计派发</w:t>
      </w:r>
      <w:r>
        <w:rPr>
          <w:rFonts w:ascii="Times New Roman" w:hAnsi="Times New Roman" w:cs="Times New Roman" w:eastAsia="Times New Roman" w:hint="default"/>
        </w:rPr>
        <w:t>10,400,000</w:t>
      </w:r>
      <w:r>
        <w:rPr/>
        <w:t>元。剩余未分配利润暂不分配，结转入下一年度；公司</w:t>
      </w:r>
      <w:r>
        <w:rPr>
          <w:rFonts w:ascii="Times New Roman" w:hAnsi="Times New Roman" w:cs="Times New Roman" w:eastAsia="Times New Roman" w:hint="default"/>
        </w:rPr>
        <w:t>2013</w:t>
      </w:r>
      <w:r>
        <w:rPr/>
        <w:t>年度不进行资本公</w:t>
      </w:r>
      <w:r>
        <w:rPr>
          <w:spacing w:val="-26"/>
        </w:rPr>
        <w:t> </w:t>
      </w:r>
      <w:r>
        <w:rPr>
          <w:spacing w:val="-26"/>
        </w:rPr>
      </w:r>
      <w:r>
        <w:rPr/>
        <w:t>积金转增股本。</w:t>
      </w:r>
    </w:p>
    <w:p>
      <w:pPr>
        <w:pStyle w:val="BodyText"/>
        <w:spacing w:line="256" w:lineRule="auto" w:before="142"/>
        <w:ind w:right="146" w:firstLine="420"/>
        <w:jc w:val="both"/>
      </w:pPr>
      <w:r>
        <w:rPr>
          <w:rFonts w:ascii="Times New Roman" w:hAnsi="Times New Roman" w:cs="Times New Roman" w:eastAsia="Times New Roman" w:hint="default"/>
          <w:spacing w:val="-5"/>
        </w:rPr>
        <w:t>4</w:t>
      </w:r>
      <w:r>
        <w:rPr>
          <w:spacing w:val="-5"/>
        </w:rPr>
        <w:t>、公司</w:t>
      </w:r>
      <w:r>
        <w:rPr>
          <w:rFonts w:ascii="Times New Roman" w:hAnsi="Times New Roman" w:cs="Times New Roman" w:eastAsia="Times New Roman" w:hint="default"/>
          <w:spacing w:val="-5"/>
        </w:rPr>
        <w:t>2014</w:t>
      </w:r>
      <w:r>
        <w:rPr>
          <w:spacing w:val="-5"/>
        </w:rPr>
        <w:t>年度利润分配方案为：以公司总股本</w:t>
      </w:r>
      <w:r>
        <w:rPr>
          <w:rFonts w:ascii="Times New Roman" w:hAnsi="Times New Roman" w:cs="Times New Roman" w:eastAsia="Times New Roman" w:hint="default"/>
          <w:spacing w:val="-5"/>
        </w:rPr>
        <w:t>551,790,494</w:t>
      </w:r>
      <w:r>
        <w:rPr>
          <w:spacing w:val="-5"/>
        </w:rPr>
        <w:t>股为基数，每</w:t>
      </w:r>
      <w:r>
        <w:rPr>
          <w:rFonts w:ascii="Times New Roman" w:hAnsi="Times New Roman" w:cs="Times New Roman" w:eastAsia="Times New Roman" w:hint="default"/>
          <w:spacing w:val="-5"/>
        </w:rPr>
        <w:t>10</w:t>
      </w:r>
      <w:r>
        <w:rPr>
          <w:spacing w:val="-5"/>
        </w:rPr>
        <w:t>股派发现金红利</w:t>
      </w:r>
      <w:r>
        <w:rPr>
          <w:rFonts w:ascii="Times New Roman" w:hAnsi="Times New Roman" w:cs="Times New Roman" w:eastAsia="Times New Roman" w:hint="default"/>
          <w:spacing w:val="-5"/>
        </w:rPr>
        <w:t>0.3</w:t>
      </w:r>
      <w:r>
        <w:rPr>
          <w:spacing w:val="-5"/>
        </w:rPr>
        <w:t>元（含</w:t>
      </w:r>
      <w:r>
        <w:rPr>
          <w:w w:val="100"/>
        </w:rPr>
        <w:t> </w:t>
      </w:r>
      <w:r>
        <w:rPr>
          <w:spacing w:val="-1"/>
        </w:rPr>
        <w:t>税），共计派发</w:t>
      </w:r>
      <w:r>
        <w:rPr>
          <w:rFonts w:ascii="Times New Roman" w:hAnsi="Times New Roman" w:cs="Times New Roman" w:eastAsia="Times New Roman" w:hint="default"/>
          <w:spacing w:val="-1"/>
        </w:rPr>
        <w:t>16,553,714.82</w:t>
      </w:r>
      <w:r>
        <w:rPr>
          <w:spacing w:val="-1"/>
        </w:rPr>
        <w:t>元。剩余未分配利润暂不分配，结转入下一年度；以公司总股本</w:t>
      </w:r>
      <w:r>
        <w:rPr>
          <w:rFonts w:ascii="Times New Roman" w:hAnsi="Times New Roman" w:cs="Times New Roman" w:eastAsia="Times New Roman" w:hint="default"/>
          <w:spacing w:val="-1"/>
        </w:rPr>
        <w:t>551,790,494</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spacing w:val="7"/>
        </w:rPr>
        <w:t>股为基数，以资本公积转增股本，每</w:t>
      </w:r>
      <w:r>
        <w:rPr>
          <w:rFonts w:ascii="Times New Roman" w:hAnsi="Times New Roman" w:cs="Times New Roman" w:eastAsia="Times New Roman" w:hint="default"/>
          <w:spacing w:val="7"/>
        </w:rPr>
        <w:t>10</w:t>
      </w:r>
      <w:r>
        <w:rPr>
          <w:spacing w:val="7"/>
        </w:rPr>
        <w:t>股转增</w:t>
      </w:r>
      <w:r>
        <w:rPr>
          <w:rFonts w:ascii="Times New Roman" w:hAnsi="Times New Roman" w:cs="Times New Roman" w:eastAsia="Times New Roman" w:hint="default"/>
          <w:spacing w:val="7"/>
        </w:rPr>
        <w:t>3</w:t>
      </w:r>
      <w:r>
        <w:rPr>
          <w:spacing w:val="7"/>
        </w:rPr>
        <w:t>股，共计转增</w:t>
      </w:r>
      <w:r>
        <w:rPr>
          <w:rFonts w:ascii="Times New Roman" w:hAnsi="Times New Roman" w:cs="Times New Roman" w:eastAsia="Times New Roman" w:hint="default"/>
          <w:spacing w:val="7"/>
        </w:rPr>
        <w:t>165,537,148</w:t>
      </w:r>
      <w:r>
        <w:rPr>
          <w:spacing w:val="7"/>
        </w:rPr>
        <w:t>股，转增后公司总股本增至</w:t>
      </w:r>
      <w:r>
        <w:rPr>
          <w:spacing w:val="26"/>
        </w:rPr>
        <w:t> </w:t>
      </w:r>
      <w:r>
        <w:rPr>
          <w:spacing w:val="26"/>
        </w:rPr>
      </w:r>
      <w:r>
        <w:rPr>
          <w:rFonts w:ascii="Times New Roman" w:hAnsi="Times New Roman" w:cs="Times New Roman" w:eastAsia="Times New Roman" w:hint="default"/>
        </w:rPr>
        <w:t>717,327,642</w:t>
      </w:r>
      <w:r>
        <w:rPr/>
        <w:t>股。</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44"/>
        <w:ind w:left="152" w:right="146"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16,553,714.82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100,384,837.64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90,037,671.64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118,833,435.20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146"/>
        <w:jc w:val="left"/>
        <w:rPr>
          <w:b w:val="0"/>
          <w:bCs w:val="0"/>
        </w:rPr>
      </w:pPr>
      <w:r>
        <w:rPr/>
        <w:t>十四、本报告期利润分配及资本公积金转增股本预案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3"/>
        <w:gridCol w:w="5865"/>
      </w:tblGrid>
      <w:tr>
        <w:trPr>
          <w:trHeight w:val="403"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0.30</w:t>
            </w:r>
          </w:p>
        </w:tc>
      </w:tr>
      <w:tr>
        <w:trPr>
          <w:trHeight w:val="403"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551,790,494</w:t>
            </w:r>
          </w:p>
        </w:tc>
      </w:tr>
      <w:tr>
        <w:trPr>
          <w:trHeight w:val="403"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16,553,714.82</w:t>
            </w:r>
          </w:p>
        </w:tc>
      </w:tr>
      <w:tr>
        <w:trPr>
          <w:trHeight w:val="401"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665,083,527.91</w:t>
            </w:r>
          </w:p>
        </w:tc>
      </w:tr>
      <w:tr>
        <w:trPr>
          <w:trHeight w:val="403"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5"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年度利润分配方案</w:t>
            </w:r>
            <w:r>
              <w:rPr>
                <w:rFonts w:ascii="宋体" w:hAnsi="宋体" w:cs="宋体" w:eastAsia="宋体" w:hint="default"/>
                <w:spacing w:val="-3"/>
                <w:sz w:val="18"/>
                <w:szCs w:val="18"/>
              </w:rPr>
              <w:t>为</w:t>
            </w:r>
            <w:r>
              <w:rPr>
                <w:rFonts w:ascii="宋体" w:hAnsi="宋体" w:cs="宋体" w:eastAsia="宋体" w:hint="default"/>
                <w:sz w:val="18"/>
                <w:szCs w:val="18"/>
              </w:rPr>
              <w:t>：以公司总股本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t>为基数，每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，共计派发</w:t>
            </w:r>
          </w:p>
          <w:p>
            <w:pPr>
              <w:pStyle w:val="TableParagraph"/>
              <w:spacing w:line="240" w:lineRule="auto" w:before="6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16,553,714.82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元。剩余未分配利润暂不分配，结转入下一年度；以公司总股本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551,790,494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股为基数，以资本公积转增股</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本，每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股，共计转增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165,537,148 </w:t>
            </w:r>
            <w:r>
              <w:rPr>
                <w:rFonts w:ascii="宋体" w:hAnsi="宋体" w:cs="宋体" w:eastAsia="宋体" w:hint="default"/>
                <w:sz w:val="18"/>
                <w:szCs w:val="18"/>
              </w:rPr>
              <w:t>股，转增后公司总股本增至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717,327,642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6"/>
        <w:jc w:val="left"/>
        <w:rPr>
          <w:b w:val="0"/>
          <w:bCs w:val="0"/>
        </w:rPr>
      </w:pPr>
      <w:r>
        <w:rPr/>
        <w:t>十五、社会责任情况</w:t>
      </w:r>
      <w:r>
        <w:rPr>
          <w:b w:val="0"/>
          <w:bCs w:val="0"/>
        </w:rPr>
      </w:r>
    </w:p>
    <w:p>
      <w:pPr>
        <w:spacing w:line="240" w:lineRule="auto" w:before="7"/>
        <w:rPr>
          <w:rFonts w:ascii="宋体" w:hAnsi="宋体" w:cs="宋体" w:eastAsia="宋体" w:hint="default"/>
          <w:b/>
          <w:bCs/>
          <w:sz w:val="26"/>
          <w:szCs w:val="26"/>
        </w:rPr>
      </w:pPr>
    </w:p>
    <w:p>
      <w:pPr>
        <w:spacing w:before="0"/>
        <w:ind w:left="152" w:right="9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pStyle w:val="Heading3"/>
        <w:spacing w:line="240" w:lineRule="auto" w:before="148"/>
        <w:ind w:right="96"/>
        <w:jc w:val="left"/>
      </w:pPr>
      <w:r>
        <w:rPr/>
        <w:t>（一）本报告期公司不披露专项社会责任报告。</w:t>
      </w:r>
    </w:p>
    <w:p>
      <w:pPr>
        <w:pStyle w:val="Heading3"/>
        <w:spacing w:line="362" w:lineRule="auto" w:before="118"/>
        <w:ind w:left="573" w:right="313" w:hanging="421"/>
        <w:jc w:val="left"/>
      </w:pPr>
      <w:r>
        <w:rPr/>
        <w:t>（二）报告期内公司履行社会责任的情况 公司股东大会、董事会、监事会运作规范，真实、准确、完整、及时的披露各项可能对</w:t>
      </w:r>
    </w:p>
    <w:p>
      <w:pPr>
        <w:pStyle w:val="Heading3"/>
        <w:spacing w:line="266" w:lineRule="exact"/>
        <w:ind w:right="96"/>
        <w:jc w:val="left"/>
      </w:pPr>
      <w:r>
        <w:rPr/>
        <w:t>股价有影响的各类信息，同时，公司设置专门人员接受投资者的问询，对相关质疑均及时回</w:t>
      </w:r>
    </w:p>
    <w:p>
      <w:pPr>
        <w:pStyle w:val="Heading3"/>
        <w:spacing w:line="297" w:lineRule="auto" w:before="77"/>
        <w:ind w:right="271"/>
        <w:jc w:val="both"/>
      </w:pPr>
      <w:r>
        <w:rPr/>
        <w:t>复，确保中小投资者的知情权。公司实行持续、稳定的利润分配政策，充分考虑对投资者的 回报并兼顾公司可持续发展，每年按照比例以当年实现的可供分配利润向股东分配股利，回 报股东和投资者。</w:t>
      </w:r>
    </w:p>
    <w:p>
      <w:pPr>
        <w:pStyle w:val="Heading3"/>
        <w:spacing w:line="297" w:lineRule="auto" w:before="137"/>
        <w:ind w:right="96" w:firstLine="420"/>
        <w:jc w:val="left"/>
      </w:pPr>
      <w:r>
        <w:rPr/>
        <w:t>公司以市场为导向，不断完善和进行产品升级，诚信经营。公司与供应商在遵守国家法 </w:t>
      </w:r>
      <w:r>
        <w:rPr>
          <w:spacing w:val="-2"/>
        </w:rPr>
        <w:t>律法规的前提下，本着平等互利的原则，构建与供应商利益共享、合作共赢的战略合作关系。</w:t>
      </w:r>
      <w:r>
        <w:rPr/>
        <w:t> 公司严格遵守商业道德和社会公德，制定了相关内控制度，严格监控和防范各类商业贿赂行 为。</w:t>
      </w:r>
    </w:p>
    <w:p>
      <w:pPr>
        <w:pStyle w:val="Heading3"/>
        <w:spacing w:line="297" w:lineRule="auto" w:before="137"/>
        <w:ind w:right="271" w:firstLine="420"/>
        <w:jc w:val="both"/>
      </w:pPr>
      <w:r>
        <w:rPr/>
        <w:t>公司严格按照《劳动法》、《劳动合同法》的要求与员工签订劳动合同，尊重员工各项 权利。按照国家相关规定为职工缴纳各项社会保险、公积金等。公司建立了较为完善的绩效 考核与调薪机制，充分提高员工积极性，为员工发展提供了广阔的前景。</w:t>
      </w:r>
    </w:p>
    <w:p>
      <w:pPr>
        <w:pStyle w:val="Heading3"/>
        <w:spacing w:line="240" w:lineRule="auto" w:before="98"/>
        <w:ind w:left="573" w:right="96"/>
        <w:jc w:val="left"/>
      </w:pPr>
      <w:r>
        <w:rPr/>
        <w:t>（三）报告期内环保情况</w:t>
      </w:r>
    </w:p>
    <w:p>
      <w:pPr>
        <w:pStyle w:val="Heading3"/>
        <w:spacing w:line="312" w:lineRule="auto" w:before="118"/>
        <w:ind w:left="669" w:right="217" w:hanging="96"/>
        <w:jc w:val="left"/>
      </w:pPr>
      <w:r>
        <w:rPr>
          <w:rFonts w:ascii="Times New Roman" w:hAnsi="Times New Roman" w:cs="Times New Roman" w:eastAsia="Times New Roman" w:hint="default"/>
        </w:rPr>
        <w:t>1</w:t>
      </w:r>
      <w:r>
        <w:rPr/>
        <w:t>、主要污染物达标排放情况； 公司在生产经营活动中严格遵守国家有关环保的法律、法规及相关政策。公司</w:t>
      </w:r>
      <w:r>
        <w:rPr>
          <w:rFonts w:ascii="Times New Roman" w:hAnsi="Times New Roman" w:cs="Times New Roman" w:eastAsia="Times New Roman" w:hint="default"/>
        </w:rPr>
        <w:t>2014</w:t>
      </w:r>
      <w:r>
        <w:rPr/>
        <w:t>年度</w:t>
      </w:r>
    </w:p>
    <w:p>
      <w:pPr>
        <w:pStyle w:val="Heading3"/>
        <w:spacing w:line="214" w:lineRule="exact"/>
        <w:ind w:right="96"/>
        <w:jc w:val="left"/>
      </w:pPr>
      <w:r>
        <w:rPr/>
        <w:t>各类污染物均做到达标排放。</w:t>
      </w:r>
    </w:p>
    <w:p>
      <w:pPr>
        <w:pStyle w:val="Heading3"/>
        <w:spacing w:line="312" w:lineRule="auto" w:before="118"/>
        <w:ind w:left="573" w:right="313"/>
        <w:jc w:val="left"/>
      </w:pPr>
      <w:r>
        <w:rPr>
          <w:rFonts w:ascii="Times New Roman" w:hAnsi="Times New Roman" w:cs="Times New Roman" w:eastAsia="Times New Roman" w:hint="default"/>
        </w:rPr>
        <w:t>2</w:t>
      </w:r>
      <w:r>
        <w:rPr/>
        <w:t>、一般工业固体废物和危险废物依法处理处置情况 公司严格按照有关法律法规和公司制度管理固体废物。对于可以回收循环利用的材料，</w:t>
      </w:r>
    </w:p>
    <w:p>
      <w:pPr>
        <w:pStyle w:val="Heading3"/>
        <w:spacing w:line="239" w:lineRule="exact"/>
        <w:ind w:right="96"/>
        <w:jc w:val="left"/>
      </w:pPr>
      <w:r>
        <w:rPr/>
        <w:t>设置专人负责废旧物资的回收和循环使用工作，公司生产过程中产生的固体废弃物交由专业</w:t>
      </w:r>
    </w:p>
    <w:p>
      <w:pPr>
        <w:pStyle w:val="Heading3"/>
        <w:spacing w:line="321" w:lineRule="auto"/>
        <w:ind w:left="573" w:right="253" w:hanging="421"/>
        <w:jc w:val="left"/>
      </w:pPr>
      <w:r>
        <w:rPr/>
        <w:t>公司回收处理；一般生活垃圾由环卫部门统一回收处理。 </w:t>
      </w:r>
      <w:r>
        <w:rPr>
          <w:rFonts w:ascii="Times New Roman" w:hAnsi="Times New Roman" w:cs="Times New Roman" w:eastAsia="Times New Roman" w:hint="default"/>
        </w:rPr>
        <w:t>3</w:t>
      </w:r>
      <w:r>
        <w:rPr/>
        <w:t>、企业环保设施的建设和运营情况 公司环保设施总体运行情况良好，节能减排工作有序进行。</w:t>
      </w:r>
    </w:p>
    <w:p>
      <w:pPr>
        <w:spacing w:before="83"/>
        <w:ind w:left="152" w:right="96"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40" w:lineRule="auto" w:before="117"/>
        <w:ind w:left="152" w:right="5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上市公司及其子公司是否存在其他重大社会安全问题</w:t>
      </w:r>
    </w:p>
    <w:p>
      <w:pPr>
        <w:spacing w:line="340" w:lineRule="auto" w:before="39"/>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报告期内是否被行政处罚</w:t>
      </w:r>
    </w:p>
    <w:p>
      <w:pPr>
        <w:spacing w:before="41"/>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00"/>
        </w:sectPr>
      </w:pPr>
    </w:p>
    <w:p>
      <w:pPr>
        <w:spacing w:line="240" w:lineRule="auto" w:before="8"/>
        <w:rPr>
          <w:rFonts w:ascii="宋体" w:hAnsi="宋体" w:cs="宋体" w:eastAsia="宋体" w:hint="default"/>
          <w:sz w:val="23"/>
          <w:szCs w:val="23"/>
        </w:rPr>
      </w:pPr>
      <w:r>
        <w:rPr/>
        <w:pict>
          <v:group style="position:absolute;margin-left:432.309998pt;margin-top:282.049988pt;width:101.55pt;height:33.15pt;mso-position-horizontal-relative:page;mso-position-vertical-relative:page;z-index:-585160" coordorigin="8646,5641" coordsize="2031,663">
            <v:group style="position:absolute;left:8646;top:5641;width:2031;height:351" coordorigin="8646,5641" coordsize="2031,351">
              <v:shape style="position:absolute;left:8646;top:5641;width:2031;height:351" coordorigin="8646,5641" coordsize="2031,351" path="m8646,5991l10677,5991,10677,5641,8646,5641,8646,5991xe" filled="true" fillcolor="#ffffff" stroked="false">
                <v:path arrowok="t"/>
                <v:fill type="solid"/>
              </v:shape>
            </v:group>
            <v:group style="position:absolute;left:8646;top:5991;width:2031;height:312" coordorigin="8646,5991" coordsize="2031,312">
              <v:shape style="position:absolute;left:8646;top:5991;width:2031;height:312" coordorigin="8646,5991" coordsize="2031,312" path="m8646,6303l10677,6303,10677,5991,8646,5991,8646,6303xe" filled="true" fillcolor="#ffffff" stroked="false">
                <v:path arrowok="t"/>
                <v:fill type="solid"/>
              </v:shape>
            </v:group>
            <w10:wrap type="none"/>
          </v:group>
        </w:pict>
      </w:r>
      <w:r>
        <w:rPr/>
        <w:pict>
          <v:group style="position:absolute;margin-left:432.309998pt;margin-top:346.369995pt;width:101.55pt;height:33.25pt;mso-position-horizontal-relative:page;mso-position-vertical-relative:page;z-index:-585136" coordorigin="8646,6927" coordsize="2031,665">
            <v:group style="position:absolute;left:8646;top:6927;width:2031;height:312" coordorigin="8646,6927" coordsize="2031,312">
              <v:shape style="position:absolute;left:8646;top:6927;width:2031;height:312" coordorigin="8646,6927" coordsize="2031,312" path="m8646,7239l10677,7239,10677,6927,8646,6927,8646,7239xe" filled="true" fillcolor="#ffffff" stroked="false">
                <v:path arrowok="t"/>
                <v:fill type="solid"/>
              </v:shape>
            </v:group>
            <v:group style="position:absolute;left:8646;top:7239;width:2031;height:353" coordorigin="8646,7239" coordsize="2031,353">
              <v:shape style="position:absolute;left:8646;top:7239;width:2031;height:353" coordorigin="8646,7239" coordsize="2031,353" path="m8646,7592l10677,7592,10677,7239,8646,7239,8646,7592xe" filled="true" fillcolor="#ffffff" stroked="false">
                <v:path arrowok="t"/>
                <v:fill type="solid"/>
              </v:shape>
            </v:group>
            <w10:wrap type="none"/>
          </v:group>
        </w:pict>
      </w:r>
    </w:p>
    <w:p>
      <w:pPr>
        <w:pStyle w:val="Heading2"/>
        <w:spacing w:line="240" w:lineRule="auto" w:before="26"/>
        <w:ind w:right="146"/>
        <w:jc w:val="left"/>
        <w:rPr>
          <w:b w:val="0"/>
          <w:bCs w:val="0"/>
        </w:rPr>
      </w:pPr>
      <w:r>
        <w:rPr/>
        <w:t>十六、报告期内接待调研、沟通、采访等活动登记表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496"/>
        <w:gridCol w:w="845"/>
        <w:gridCol w:w="1081"/>
        <w:gridCol w:w="900"/>
        <w:gridCol w:w="3164"/>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6" w:right="83"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227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89"/>
              <w:jc w:val="left"/>
              <w:rPr>
                <w:rFonts w:ascii="宋体" w:hAnsi="宋体" w:cs="宋体" w:eastAsia="宋体" w:hint="default"/>
                <w:sz w:val="18"/>
                <w:szCs w:val="18"/>
              </w:rPr>
            </w:pPr>
            <w:r>
              <w:rPr>
                <w:rFonts w:ascii="宋体" w:hAnsi="宋体" w:cs="宋体" w:eastAsia="宋体" w:hint="default"/>
                <w:sz w:val="18"/>
                <w:szCs w:val="18"/>
              </w:rPr>
              <w:t>公司第一 会议室</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69"/>
              <w:jc w:val="left"/>
              <w:rPr>
                <w:rFonts w:ascii="宋体" w:hAnsi="宋体" w:cs="宋体" w:eastAsia="宋体" w:hint="default"/>
                <w:sz w:val="18"/>
                <w:szCs w:val="18"/>
              </w:rPr>
            </w:pPr>
            <w:r>
              <w:rPr>
                <w:rFonts w:ascii="宋体" w:hAnsi="宋体" w:cs="宋体" w:eastAsia="宋体" w:hint="default"/>
                <w:sz w:val="18"/>
                <w:szCs w:val="18"/>
              </w:rPr>
              <w:t>华创证券，基础化工分析师，曹令；益 民基金管理有限公司，研究员，牛明俊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调研人对公司业绩、募集 资金项目和光学膜项目的 相关情况进行了询问和了 解。公司一一进行了解答 与沟通。调研员对承诺书 的内容也进行了签字承 诺。未提供书面资料。</w:t>
            </w:r>
          </w:p>
        </w:tc>
      </w:tr>
      <w:tr>
        <w:trPr>
          <w:trHeight w:val="227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3" w:right="89"/>
              <w:jc w:val="left"/>
              <w:rPr>
                <w:rFonts w:ascii="宋体" w:hAnsi="宋体" w:cs="宋体" w:eastAsia="宋体" w:hint="default"/>
                <w:sz w:val="18"/>
                <w:szCs w:val="18"/>
              </w:rPr>
            </w:pPr>
            <w:r>
              <w:rPr>
                <w:rFonts w:ascii="宋体" w:hAnsi="宋体" w:cs="宋体" w:eastAsia="宋体" w:hint="default"/>
                <w:sz w:val="18"/>
                <w:szCs w:val="18"/>
              </w:rPr>
              <w:t>公司第一 会议室</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164"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华创证券，基础化工分析师，周铮；中 </w:t>
            </w:r>
            <w:r>
              <w:rPr>
                <w:rFonts w:ascii="宋体" w:hAnsi="宋体" w:cs="宋体" w:eastAsia="宋体" w:hint="default"/>
                <w:spacing w:val="-3"/>
                <w:sz w:val="18"/>
                <w:szCs w:val="18"/>
              </w:rPr>
              <w:t>国证券报有限责任公司，证券研究中心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研究员，季巍；方正证券，吴钊华；招 商证券，研究发展中心，高级经理，基 础化工行业研究员，李辉；招商证券， </w:t>
            </w:r>
            <w:r>
              <w:rPr>
                <w:rFonts w:ascii="宋体" w:hAnsi="宋体" w:cs="宋体" w:eastAsia="宋体" w:hint="default"/>
                <w:spacing w:val="-3"/>
                <w:sz w:val="18"/>
                <w:szCs w:val="18"/>
              </w:rPr>
              <w:t>研究发展中心，经理，化工行业分析师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马太</w:t>
            </w:r>
          </w:p>
        </w:tc>
        <w:tc>
          <w:tcPr>
            <w:tcW w:w="208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195" w:lineRule="exact"/>
              <w:ind w:left="16" w:right="0"/>
              <w:jc w:val="both"/>
              <w:rPr>
                <w:rFonts w:ascii="宋体" w:hAnsi="宋体" w:cs="宋体" w:eastAsia="宋体" w:hint="default"/>
                <w:sz w:val="18"/>
                <w:szCs w:val="18"/>
              </w:rPr>
            </w:pPr>
            <w:r>
              <w:rPr>
                <w:rFonts w:ascii="宋体" w:hAnsi="宋体" w:cs="宋体" w:eastAsia="宋体" w:hint="default"/>
                <w:sz w:val="18"/>
                <w:szCs w:val="18"/>
              </w:rPr>
              <w:t>调研人对公司光学膜项目</w:t>
            </w:r>
          </w:p>
          <w:p>
            <w:pPr>
              <w:pStyle w:val="TableParagraph"/>
              <w:spacing w:line="155"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both"/>
              <w:rPr>
                <w:rFonts w:ascii="宋体" w:hAnsi="宋体" w:cs="宋体" w:eastAsia="宋体" w:hint="default"/>
                <w:sz w:val="18"/>
                <w:szCs w:val="18"/>
              </w:rPr>
            </w:pPr>
            <w:r>
              <w:rPr>
                <w:rFonts w:ascii="宋体" w:hAnsi="宋体" w:cs="宋体" w:eastAsia="宋体" w:hint="default"/>
                <w:sz w:val="18"/>
                <w:szCs w:val="18"/>
              </w:rPr>
              <w:t>的相关情况进行了询问和</w:t>
            </w:r>
          </w:p>
          <w:p>
            <w:pPr>
              <w:pStyle w:val="TableParagraph"/>
              <w:spacing w:line="310" w:lineRule="atLeast" w:before="2"/>
              <w:ind w:left="16" w:right="70"/>
              <w:jc w:val="both"/>
              <w:rPr>
                <w:rFonts w:ascii="宋体" w:hAnsi="宋体" w:cs="宋体" w:eastAsia="宋体" w:hint="default"/>
                <w:sz w:val="18"/>
                <w:szCs w:val="18"/>
              </w:rPr>
            </w:pPr>
            <w:r>
              <w:rPr>
                <w:rFonts w:ascii="宋体" w:hAnsi="宋体" w:cs="宋体" w:eastAsia="宋体" w:hint="default"/>
                <w:sz w:val="18"/>
                <w:szCs w:val="18"/>
              </w:rPr>
              <w:t>了解。公司一一进行了解 答与沟通。调研员对承诺 书的内容也进行了签字承</w:t>
            </w:r>
          </w:p>
          <w:p>
            <w:pPr>
              <w:pStyle w:val="TableParagraph"/>
              <w:spacing w:line="11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both"/>
              <w:rPr>
                <w:rFonts w:ascii="宋体" w:hAnsi="宋体" w:cs="宋体" w:eastAsia="宋体" w:hint="default"/>
                <w:sz w:val="18"/>
                <w:szCs w:val="18"/>
              </w:rPr>
            </w:pPr>
            <w:r>
              <w:rPr>
                <w:rFonts w:ascii="宋体" w:hAnsi="宋体" w:cs="宋体" w:eastAsia="宋体" w:hint="default"/>
                <w:sz w:val="18"/>
                <w:szCs w:val="18"/>
              </w:rPr>
              <w:t>诺。未提供书面资料。</w:t>
            </w:r>
          </w:p>
        </w:tc>
      </w:tr>
      <w:tr>
        <w:trPr>
          <w:trHeight w:val="196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89"/>
              <w:jc w:val="left"/>
              <w:rPr>
                <w:rFonts w:ascii="宋体" w:hAnsi="宋体" w:cs="宋体" w:eastAsia="宋体" w:hint="default"/>
                <w:sz w:val="18"/>
                <w:szCs w:val="18"/>
              </w:rPr>
            </w:pPr>
            <w:r>
              <w:rPr>
                <w:rFonts w:ascii="宋体" w:hAnsi="宋体" w:cs="宋体" w:eastAsia="宋体" w:hint="default"/>
                <w:sz w:val="18"/>
                <w:szCs w:val="18"/>
              </w:rPr>
              <w:t>公司第一 会议室</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67"/>
              <w:jc w:val="both"/>
              <w:rPr>
                <w:rFonts w:ascii="宋体" w:hAnsi="宋体" w:cs="宋体" w:eastAsia="宋体" w:hint="default"/>
                <w:sz w:val="18"/>
                <w:szCs w:val="18"/>
              </w:rPr>
            </w:pPr>
            <w:r>
              <w:rPr>
                <w:rFonts w:ascii="宋体" w:hAnsi="宋体" w:cs="宋体" w:eastAsia="宋体" w:hint="default"/>
                <w:sz w:val="18"/>
                <w:szCs w:val="18"/>
              </w:rPr>
              <w:t>云祥东方（北京）资产管理有限公司， 孙旭东；浙江嘉远实业发展有限公司， 投资部经理，鲍昕；浙江嘉远实业发展 有限公司，投资经理，翁卿瑜。</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来访者参观公司产品展 厅、实地观看公司，感受 企业文化，了解公司发展 历程，公司在社会各个方 面的突出贡献。未提供书 面资料。</w:t>
            </w:r>
          </w:p>
        </w:tc>
      </w:tr>
      <w:tr>
        <w:trPr>
          <w:trHeight w:val="164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89"/>
              <w:jc w:val="left"/>
              <w:rPr>
                <w:rFonts w:ascii="宋体" w:hAnsi="宋体" w:cs="宋体" w:eastAsia="宋体" w:hint="default"/>
                <w:sz w:val="18"/>
                <w:szCs w:val="18"/>
              </w:rPr>
            </w:pPr>
            <w:r>
              <w:rPr>
                <w:rFonts w:ascii="宋体" w:hAnsi="宋体" w:cs="宋体" w:eastAsia="宋体" w:hint="default"/>
                <w:sz w:val="18"/>
                <w:szCs w:val="18"/>
              </w:rPr>
              <w:t>公司第一 会议室</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中信建投证券股份有限公司，高级副总 裁，张朝晖；上海清科凯盛投资管理有 限公司，副总裁，孙峰；中和资本，投 资总监，张喆；和君资本，投资经理， 陈立欣。</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来访者参观公司产品展 厅、实地观看公司，来访 者对承诺书的内容也进行 了签字承诺。未提供书面 资料。</w:t>
            </w:r>
          </w:p>
        </w:tc>
      </w:tr>
      <w:tr>
        <w:trPr>
          <w:trHeight w:val="164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89"/>
              <w:jc w:val="left"/>
              <w:rPr>
                <w:rFonts w:ascii="宋体" w:hAnsi="宋体" w:cs="宋体" w:eastAsia="宋体" w:hint="default"/>
                <w:sz w:val="18"/>
                <w:szCs w:val="18"/>
              </w:rPr>
            </w:pPr>
            <w:r>
              <w:rPr>
                <w:rFonts w:ascii="宋体" w:hAnsi="宋体" w:cs="宋体" w:eastAsia="宋体" w:hint="default"/>
                <w:sz w:val="18"/>
                <w:szCs w:val="18"/>
              </w:rPr>
              <w:t>公司第一 会议室</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9"/>
              <w:jc w:val="left"/>
              <w:rPr>
                <w:rFonts w:ascii="宋体" w:hAnsi="宋体" w:cs="宋体" w:eastAsia="宋体" w:hint="default"/>
                <w:sz w:val="18"/>
                <w:szCs w:val="18"/>
              </w:rPr>
            </w:pPr>
            <w:r>
              <w:rPr>
                <w:rFonts w:ascii="宋体" w:hAnsi="宋体" w:cs="宋体" w:eastAsia="宋体" w:hint="default"/>
                <w:sz w:val="18"/>
                <w:szCs w:val="18"/>
              </w:rPr>
              <w:t>广州财子金投资顾问有限公司，执行总 经理，罗婧琪</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来访者参观公司产品展 厅、实地观看公司，来访 者对承诺书的内容也进行 了签字承诺。未提供书面 资料。</w:t>
            </w:r>
          </w:p>
        </w:tc>
      </w:tr>
      <w:tr>
        <w:trPr>
          <w:trHeight w:val="223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3" w:right="89"/>
              <w:jc w:val="left"/>
              <w:rPr>
                <w:rFonts w:ascii="宋体" w:hAnsi="宋体" w:cs="宋体" w:eastAsia="宋体" w:hint="default"/>
                <w:sz w:val="18"/>
                <w:szCs w:val="18"/>
              </w:rPr>
            </w:pPr>
            <w:r>
              <w:rPr>
                <w:rFonts w:ascii="宋体" w:hAnsi="宋体" w:cs="宋体" w:eastAsia="宋体" w:hint="default"/>
                <w:sz w:val="18"/>
                <w:szCs w:val="18"/>
              </w:rPr>
              <w:t>公司第三 会议室</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中信证券股份有限公司，执行总经理， 万新平；中信证券股份有限公司，副总 裁，唐雷；万家基金管理有限公司，专 户高级经理，罗定超；中国银河投资管 理有限公司，投资总监，张恒；中国银 河投资管理有限公司，投资部总经理， 孙学林；中国银河证券股份有限公司，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来访者参观公司产品展 厅、实地观看公司，来访 者对承诺书的内容也进行 了签字承诺。未提供书面 资料。</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406.970001pt;margin-top:72.47998pt;width:128.1pt;height:173.7pt;mso-position-horizontal-relative:page;mso-position-vertical-relative:page;z-index:-585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3"/>
                    <w:ind w:left="0" w:right="0" w:hanging="1"/>
                    <w:jc w:val="left"/>
                    <w:rPr>
                      <w:rFonts w:ascii="宋体" w:hAnsi="宋体" w:cs="宋体" w:eastAsia="宋体" w:hint="default"/>
                      <w:sz w:val="18"/>
                      <w:szCs w:val="18"/>
                    </w:rPr>
                  </w:pPr>
                  <w:r>
                    <w:rPr>
                      <w:rFonts w:ascii="宋体" w:hAnsi="宋体" w:cs="宋体" w:eastAsia="宋体" w:hint="default"/>
                      <w:sz w:val="18"/>
                      <w:szCs w:val="18"/>
                    </w:rPr>
                    <w:t>唐杰；</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投资，</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845"/>
        <w:gridCol w:w="1081"/>
        <w:gridCol w:w="900"/>
        <w:gridCol w:w="3164"/>
        <w:gridCol w:w="2086"/>
      </w:tblGrid>
      <w:tr>
        <w:trPr>
          <w:trHeight w:val="315" w:hRule="exact"/>
        </w:trPr>
        <w:tc>
          <w:tcPr>
            <w:tcW w:w="1496"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1081"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31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证券投资部总监，尤涛；首善财富投资</w:t>
            </w:r>
          </w:p>
        </w:tc>
        <w:tc>
          <w:tcPr>
            <w:tcW w:w="2086" w:type="dxa"/>
            <w:vMerge w:val="restart"/>
            <w:tcBorders>
              <w:top w:val="single" w:sz="4" w:space="0" w:color="000000"/>
              <w:left w:val="single" w:sz="4" w:space="0" w:color="000000"/>
              <w:right w:val="single" w:sz="4" w:space="0" w:color="000000"/>
            </w:tcBorders>
          </w:tcPr>
          <w:p>
            <w:pPr>
              <w:pStyle w:val="TableParagraph"/>
              <w:spacing w:line="3473"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pict>
                <v:group style="width:103.95pt;height:173.7pt;mso-position-horizontal-relative:char;mso-position-vertical-relative:line" coordorigin="0,0" coordsize="2079,3474">
                  <v:group style="position:absolute;left:0;top:0;width:2079;height:3474" coordorigin="0,0" coordsize="2079,3474">
                    <v:shape style="position:absolute;left:0;top:0;width:2079;height:3474" coordorigin="0,0" coordsize="2079,3474" path="m0,3473l2079,3473,2079,0,0,0,0,3473xe" filled="true" fillcolor="#ffffff" stroked="false">
                      <v:path arrowok="t"/>
                      <v:fill type="solid"/>
                    </v:shape>
                  </v:group>
                </v:group>
              </w:pict>
            </w:r>
            <w:r>
              <w:rPr>
                <w:rFonts w:ascii="Times New Roman" w:hAnsi="Times New Roman" w:cs="Times New Roman" w:eastAsia="Times New Roman" w:hint="default"/>
                <w:position w:val="-68"/>
                <w:sz w:val="20"/>
                <w:szCs w:val="20"/>
              </w:rPr>
            </w:r>
          </w:p>
        </w:tc>
      </w:tr>
      <w:tr>
        <w:trPr>
          <w:trHeight w:val="312" w:hRule="exact"/>
        </w:trPr>
        <w:tc>
          <w:tcPr>
            <w:tcW w:w="1496"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管理有限公司，金融事业部经理，</w:t>
            </w:r>
          </w:p>
        </w:tc>
        <w:tc>
          <w:tcPr>
            <w:tcW w:w="2086" w:type="dxa"/>
            <w:vMerge/>
            <w:tcBorders>
              <w:left w:val="single" w:sz="4" w:space="0" w:color="000000"/>
              <w:right w:val="single" w:sz="4" w:space="0" w:color="000000"/>
            </w:tcBorders>
          </w:tcPr>
          <w:p>
            <w:pPr/>
          </w:p>
        </w:tc>
      </w:tr>
      <w:tr>
        <w:trPr>
          <w:trHeight w:val="312" w:hRule="exact"/>
        </w:trPr>
        <w:tc>
          <w:tcPr>
            <w:tcW w:w="1496"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兴业证券股份有限公司，卓佳亮；东海</w:t>
            </w:r>
          </w:p>
        </w:tc>
        <w:tc>
          <w:tcPr>
            <w:tcW w:w="2086" w:type="dxa"/>
            <w:vMerge/>
            <w:tcBorders>
              <w:left w:val="single" w:sz="4" w:space="0" w:color="000000"/>
              <w:right w:val="single" w:sz="4" w:space="0" w:color="000000"/>
            </w:tcBorders>
          </w:tcPr>
          <w:p>
            <w:pPr/>
          </w:p>
        </w:tc>
      </w:tr>
      <w:tr>
        <w:trPr>
          <w:trHeight w:val="312" w:hRule="exact"/>
        </w:trPr>
        <w:tc>
          <w:tcPr>
            <w:tcW w:w="1496"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证券股份有限公司，研究员，刘阳；华</w:t>
            </w:r>
          </w:p>
        </w:tc>
        <w:tc>
          <w:tcPr>
            <w:tcW w:w="2086" w:type="dxa"/>
            <w:vMerge/>
            <w:tcBorders>
              <w:left w:val="single" w:sz="4" w:space="0" w:color="000000"/>
              <w:right w:val="single" w:sz="4" w:space="0" w:color="000000"/>
            </w:tcBorders>
          </w:tcPr>
          <w:p>
            <w:pPr/>
          </w:p>
        </w:tc>
      </w:tr>
      <w:tr>
        <w:trPr>
          <w:trHeight w:val="312" w:hRule="exact"/>
        </w:trPr>
        <w:tc>
          <w:tcPr>
            <w:tcW w:w="1496"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宝证券有限责任公司，陆方；天首</w:t>
            </w:r>
          </w:p>
        </w:tc>
        <w:tc>
          <w:tcPr>
            <w:tcW w:w="2086" w:type="dxa"/>
            <w:vMerge/>
            <w:tcBorders>
              <w:left w:val="single" w:sz="4" w:space="0" w:color="000000"/>
              <w:right w:val="single" w:sz="4" w:space="0" w:color="000000"/>
            </w:tcBorders>
          </w:tcPr>
          <w:p>
            <w:pPr/>
          </w:p>
        </w:tc>
      </w:tr>
      <w:tr>
        <w:trPr>
          <w:trHeight w:val="312" w:hRule="exact"/>
        </w:trPr>
        <w:tc>
          <w:tcPr>
            <w:tcW w:w="1496"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张祺；工行资管，黄云火；中国对外经</w:t>
            </w:r>
          </w:p>
        </w:tc>
        <w:tc>
          <w:tcPr>
            <w:tcW w:w="2086" w:type="dxa"/>
            <w:vMerge/>
            <w:tcBorders>
              <w:left w:val="single" w:sz="4" w:space="0" w:color="000000"/>
              <w:right w:val="single" w:sz="4" w:space="0" w:color="000000"/>
            </w:tcBorders>
          </w:tcPr>
          <w:p>
            <w:pPr/>
          </w:p>
        </w:tc>
      </w:tr>
      <w:tr>
        <w:trPr>
          <w:trHeight w:val="312" w:hRule="exact"/>
        </w:trPr>
        <w:tc>
          <w:tcPr>
            <w:tcW w:w="1496"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济贸易信托有限公司，投资经理，王太</w:t>
            </w:r>
          </w:p>
        </w:tc>
        <w:tc>
          <w:tcPr>
            <w:tcW w:w="2086" w:type="dxa"/>
            <w:vMerge/>
            <w:tcBorders>
              <w:left w:val="single" w:sz="4" w:space="0" w:color="000000"/>
              <w:right w:val="single" w:sz="4" w:space="0" w:color="000000"/>
            </w:tcBorders>
          </w:tcPr>
          <w:p>
            <w:pPr/>
          </w:p>
        </w:tc>
      </w:tr>
      <w:tr>
        <w:trPr>
          <w:trHeight w:val="312" w:hRule="exact"/>
        </w:trPr>
        <w:tc>
          <w:tcPr>
            <w:tcW w:w="1496"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鹏；华富基金管理有限公司，助理行业</w:t>
            </w:r>
          </w:p>
        </w:tc>
        <w:tc>
          <w:tcPr>
            <w:tcW w:w="2086" w:type="dxa"/>
            <w:vMerge/>
            <w:tcBorders>
              <w:left w:val="single" w:sz="4" w:space="0" w:color="000000"/>
              <w:right w:val="single" w:sz="4" w:space="0" w:color="000000"/>
            </w:tcBorders>
          </w:tcPr>
          <w:p>
            <w:pPr/>
          </w:p>
        </w:tc>
      </w:tr>
      <w:tr>
        <w:trPr>
          <w:trHeight w:val="312" w:hRule="exact"/>
        </w:trPr>
        <w:tc>
          <w:tcPr>
            <w:tcW w:w="1496"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研究员，许一；海通证券股份有限公司</w:t>
            </w:r>
          </w:p>
        </w:tc>
        <w:tc>
          <w:tcPr>
            <w:tcW w:w="2086" w:type="dxa"/>
            <w:vMerge/>
            <w:tcBorders>
              <w:left w:val="single" w:sz="4" w:space="0" w:color="000000"/>
              <w:right w:val="single" w:sz="4" w:space="0" w:color="000000"/>
            </w:tcBorders>
          </w:tcPr>
          <w:p>
            <w:pPr/>
          </w:p>
        </w:tc>
      </w:tr>
      <w:tr>
        <w:trPr>
          <w:trHeight w:val="312" w:hRule="exact"/>
        </w:trPr>
        <w:tc>
          <w:tcPr>
            <w:tcW w:w="1496"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研究所，分析师，张瑞；海通证券股份</w:t>
            </w:r>
          </w:p>
        </w:tc>
        <w:tc>
          <w:tcPr>
            <w:tcW w:w="2086" w:type="dxa"/>
            <w:vMerge/>
            <w:tcBorders>
              <w:left w:val="single" w:sz="4" w:space="0" w:color="000000"/>
              <w:right w:val="single" w:sz="4" w:space="0" w:color="000000"/>
            </w:tcBorders>
          </w:tcPr>
          <w:p>
            <w:pPr/>
          </w:p>
        </w:tc>
      </w:tr>
      <w:tr>
        <w:trPr>
          <w:trHeight w:val="360" w:hRule="exact"/>
        </w:trPr>
        <w:tc>
          <w:tcPr>
            <w:tcW w:w="1496"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31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有限公司，投资经理，高鹏飞。</w:t>
            </w:r>
          </w:p>
        </w:tc>
        <w:tc>
          <w:tcPr>
            <w:tcW w:w="208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2240"/>
        <w:jc w:val="center"/>
        <w:rPr>
          <w:b w:val="0"/>
          <w:bCs w:val="0"/>
        </w:rPr>
      </w:pPr>
      <w:bookmarkStart w:name="_TOC_250007"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6"/>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146"/>
        <w:jc w:val="left"/>
        <w:rPr>
          <w:b w:val="0"/>
          <w:bCs w:val="0"/>
        </w:rPr>
      </w:pPr>
      <w:r>
        <w:rPr/>
        <w:t>二、媒体质疑情况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本报告期公司无媒体普遍质疑事项。</w:t>
      </w:r>
    </w:p>
    <w:p>
      <w:pPr>
        <w:spacing w:line="240" w:lineRule="auto" w:before="6"/>
        <w:rPr>
          <w:rFonts w:ascii="宋体" w:hAnsi="宋体" w:cs="宋体" w:eastAsia="宋体" w:hint="default"/>
          <w:sz w:val="19"/>
          <w:szCs w:val="19"/>
        </w:rPr>
      </w:pPr>
    </w:p>
    <w:p>
      <w:pPr>
        <w:pStyle w:val="Heading2"/>
        <w:spacing w:line="240" w:lineRule="auto"/>
        <w:ind w:right="146"/>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46"/>
        <w:jc w:val="left"/>
        <w:rPr>
          <w:b w:val="0"/>
          <w:bCs w:val="0"/>
        </w:rPr>
      </w:pPr>
      <w:r>
        <w:rPr/>
        <w:t>四、破产重整相关事项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46"/>
        <w:jc w:val="left"/>
        <w:rPr>
          <w:b w:val="0"/>
          <w:bCs w:val="0"/>
        </w:rPr>
      </w:pPr>
      <w:r>
        <w:rPr/>
        <w:t>五、资产交易事项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公司报告期未收购资产。</w:t>
      </w:r>
    </w:p>
    <w:p>
      <w:pPr>
        <w:spacing w:line="240" w:lineRule="auto" w:before="5"/>
        <w:rPr>
          <w:rFonts w:ascii="宋体" w:hAnsi="宋体" w:cs="宋体" w:eastAsia="宋体" w:hint="default"/>
          <w:sz w:val="21"/>
          <w:szCs w:val="21"/>
        </w:rPr>
      </w:pPr>
    </w:p>
    <w:p>
      <w:pPr>
        <w:pStyle w:val="Heading4"/>
        <w:spacing w:line="240" w:lineRule="auto"/>
        <w:ind w:right="146"/>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公司报告期未出售资产。</w:t>
      </w:r>
    </w:p>
    <w:p>
      <w:pPr>
        <w:spacing w:line="240" w:lineRule="auto" w:before="7"/>
        <w:rPr>
          <w:rFonts w:ascii="宋体" w:hAnsi="宋体" w:cs="宋体" w:eastAsia="宋体" w:hint="default"/>
          <w:sz w:val="21"/>
          <w:szCs w:val="21"/>
        </w:rPr>
      </w:pPr>
    </w:p>
    <w:p>
      <w:pPr>
        <w:pStyle w:val="Heading4"/>
        <w:spacing w:line="240" w:lineRule="auto"/>
        <w:ind w:right="146"/>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公司报告期未发生企业合并情况。</w:t>
      </w:r>
    </w:p>
    <w:p>
      <w:pPr>
        <w:spacing w:line="240" w:lineRule="auto" w:before="4"/>
        <w:rPr>
          <w:rFonts w:ascii="宋体" w:hAnsi="宋体" w:cs="宋体" w:eastAsia="宋体" w:hint="default"/>
          <w:sz w:val="19"/>
          <w:szCs w:val="19"/>
        </w:rPr>
      </w:pPr>
    </w:p>
    <w:p>
      <w:pPr>
        <w:pStyle w:val="Heading2"/>
        <w:spacing w:line="240" w:lineRule="auto"/>
        <w:ind w:right="146"/>
        <w:jc w:val="left"/>
        <w:rPr>
          <w:b w:val="0"/>
          <w:bCs w:val="0"/>
        </w:rPr>
      </w:pPr>
      <w:r>
        <w:rPr/>
        <w:t>六、公司股权激励的实施情况及其影响</w:t>
      </w:r>
      <w:r>
        <w:rPr>
          <w:b w:val="0"/>
          <w:bCs w:val="0"/>
        </w:rPr>
      </w:r>
    </w:p>
    <w:p>
      <w:pPr>
        <w:spacing w:line="240" w:lineRule="auto" w:before="6"/>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146" w:firstLine="0"/>
        <w:jc w:val="left"/>
        <w:rPr>
          <w:rFonts w:ascii="宋体" w:hAnsi="宋体" w:cs="宋体" w:eastAsia="宋体" w:hint="default"/>
          <w:sz w:val="18"/>
          <w:szCs w:val="18"/>
        </w:rPr>
      </w:pPr>
      <w:r>
        <w:rPr>
          <w:rFonts w:ascii="宋体" w:hAnsi="宋体" w:cs="宋体" w:eastAsia="宋体" w:hint="default"/>
          <w:sz w:val="18"/>
          <w:szCs w:val="18"/>
        </w:rPr>
        <w:t>公司报告期无股权激励计划及其实施情况。</w:t>
      </w:r>
    </w:p>
    <w:p>
      <w:pPr>
        <w:spacing w:line="240" w:lineRule="auto" w:before="4"/>
        <w:rPr>
          <w:rFonts w:ascii="宋体" w:hAnsi="宋体" w:cs="宋体" w:eastAsia="宋体" w:hint="default"/>
          <w:sz w:val="25"/>
          <w:szCs w:val="25"/>
        </w:rPr>
      </w:pPr>
    </w:p>
    <w:p>
      <w:pPr>
        <w:pStyle w:val="Heading2"/>
        <w:spacing w:line="240" w:lineRule="auto"/>
        <w:ind w:right="146"/>
        <w:jc w:val="left"/>
        <w:rPr>
          <w:b w:val="0"/>
          <w:bCs w:val="0"/>
        </w:rPr>
      </w:pPr>
      <w:r>
        <w:rPr/>
        <w:t>七、重大关联交易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pStyle w:val="Heading4"/>
        <w:spacing w:line="240" w:lineRule="auto"/>
        <w:ind w:right="146"/>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公司报告期未发生资产收购、出售的关联交易。</w:t>
      </w:r>
    </w:p>
    <w:p>
      <w:pPr>
        <w:spacing w:line="240" w:lineRule="auto" w:before="5"/>
        <w:rPr>
          <w:rFonts w:ascii="宋体" w:hAnsi="宋体" w:cs="宋体" w:eastAsia="宋体" w:hint="default"/>
          <w:sz w:val="21"/>
          <w:szCs w:val="21"/>
        </w:rPr>
      </w:pPr>
    </w:p>
    <w:p>
      <w:pPr>
        <w:pStyle w:val="Heading4"/>
        <w:spacing w:line="240" w:lineRule="auto"/>
        <w:ind w:right="146"/>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5"/>
        <w:rPr>
          <w:rFonts w:ascii="宋体" w:hAnsi="宋体" w:cs="宋体" w:eastAsia="宋体" w:hint="default"/>
          <w:sz w:val="21"/>
          <w:szCs w:val="21"/>
        </w:rPr>
      </w:pPr>
    </w:p>
    <w:p>
      <w:pPr>
        <w:pStyle w:val="Heading4"/>
        <w:spacing w:line="240" w:lineRule="auto"/>
        <w:ind w:right="146"/>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8"/>
        <w:rPr>
          <w:rFonts w:ascii="宋体" w:hAnsi="宋体" w:cs="宋体" w:eastAsia="宋体" w:hint="default"/>
          <w:sz w:val="21"/>
          <w:szCs w:val="21"/>
        </w:rPr>
      </w:pPr>
    </w:p>
    <w:p>
      <w:pPr>
        <w:pStyle w:val="Heading4"/>
        <w:spacing w:line="240" w:lineRule="auto"/>
        <w:ind w:right="146"/>
        <w:jc w:val="left"/>
        <w:rPr>
          <w:b w:val="0"/>
          <w:bCs w:val="0"/>
        </w:rPr>
      </w:pPr>
      <w:r>
        <w:rPr>
          <w:rFonts w:ascii="Times New Roman" w:hAnsi="Times New Roman" w:cs="Times New Roman" w:eastAsia="Times New Roman" w:hint="default"/>
        </w:rPr>
        <w:t>5</w:t>
      </w:r>
      <w:r>
        <w:rPr/>
        <w:t>、其他关联交易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公司报告期无其他关联交易。</w:t>
      </w:r>
    </w:p>
    <w:p>
      <w:pPr>
        <w:spacing w:line="240" w:lineRule="auto" w:before="4"/>
        <w:rPr>
          <w:rFonts w:ascii="宋体" w:hAnsi="宋体" w:cs="宋体" w:eastAsia="宋体" w:hint="default"/>
          <w:sz w:val="19"/>
          <w:szCs w:val="19"/>
        </w:rPr>
      </w:pPr>
    </w:p>
    <w:p>
      <w:pPr>
        <w:pStyle w:val="Heading2"/>
        <w:spacing w:line="240" w:lineRule="auto"/>
        <w:ind w:right="146"/>
        <w:jc w:val="left"/>
        <w:rPr>
          <w:b w:val="0"/>
          <w:bCs w:val="0"/>
        </w:rPr>
      </w:pPr>
      <w:r>
        <w:rPr/>
        <w:t>八、重大合同及其履行情况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5"/>
        <w:rPr>
          <w:rFonts w:ascii="宋体" w:hAnsi="宋体" w:cs="宋体" w:eastAsia="宋体" w:hint="default"/>
          <w:sz w:val="21"/>
          <w:szCs w:val="21"/>
        </w:rPr>
      </w:pPr>
    </w:p>
    <w:p>
      <w:pPr>
        <w:pStyle w:val="Heading4"/>
        <w:spacing w:line="240" w:lineRule="auto"/>
        <w:ind w:right="146"/>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after="0" w:line="3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7"/>
        <w:rPr>
          <w:rFonts w:ascii="宋体" w:hAnsi="宋体" w:cs="宋体" w:eastAsia="宋体" w:hint="default"/>
          <w:sz w:val="21"/>
          <w:szCs w:val="21"/>
        </w:rPr>
      </w:pPr>
    </w:p>
    <w:p>
      <w:pPr>
        <w:pStyle w:val="Heading4"/>
        <w:spacing w:line="240" w:lineRule="auto"/>
        <w:ind w:right="146"/>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7"/>
        <w:rPr>
          <w:rFonts w:ascii="宋体" w:hAnsi="宋体" w:cs="宋体" w:eastAsia="宋体" w:hint="default"/>
          <w:sz w:val="21"/>
          <w:szCs w:val="21"/>
        </w:rPr>
      </w:pPr>
    </w:p>
    <w:p>
      <w:pPr>
        <w:pStyle w:val="Heading4"/>
        <w:spacing w:line="240" w:lineRule="auto"/>
        <w:ind w:right="146"/>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21"/>
          <w:szCs w:val="21"/>
        </w:rPr>
      </w:pPr>
    </w:p>
    <w:p>
      <w:pPr>
        <w:pStyle w:val="Heading4"/>
        <w:spacing w:line="240" w:lineRule="auto"/>
        <w:ind w:right="146"/>
        <w:jc w:val="left"/>
        <w:rPr>
          <w:b w:val="0"/>
          <w:bCs w:val="0"/>
        </w:rPr>
      </w:pPr>
      <w:r>
        <w:rPr>
          <w:rFonts w:ascii="Times New Roman" w:hAnsi="Times New Roman" w:cs="Times New Roman" w:eastAsia="Times New Roman" w:hint="default"/>
        </w:rPr>
        <w:t>4</w:t>
      </w:r>
      <w:r>
        <w:rPr/>
        <w:t>、其他重大交易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公司报告期不存在其他重大交易。</w:t>
      </w:r>
    </w:p>
    <w:p>
      <w:pPr>
        <w:spacing w:line="240" w:lineRule="auto" w:before="4"/>
        <w:rPr>
          <w:rFonts w:ascii="宋体" w:hAnsi="宋体" w:cs="宋体" w:eastAsia="宋体" w:hint="default"/>
          <w:sz w:val="19"/>
          <w:szCs w:val="19"/>
        </w:rPr>
      </w:pPr>
    </w:p>
    <w:p>
      <w:pPr>
        <w:pStyle w:val="Heading2"/>
        <w:spacing w:line="240" w:lineRule="auto"/>
        <w:ind w:right="146"/>
        <w:jc w:val="left"/>
        <w:rPr>
          <w:b w:val="0"/>
          <w:bCs w:val="0"/>
        </w:rPr>
      </w:pPr>
      <w:r>
        <w:rPr/>
        <w:t>九、承诺事项履行情况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1</w:t>
      </w:r>
      <w:r>
        <w:rPr/>
        <w:t>、公司或持股</w:t>
      </w:r>
      <w:r>
        <w:rPr>
          <w:spacing w:val="-55"/>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5"/>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58"/>
        <w:gridCol w:w="1271"/>
        <w:gridCol w:w="3519"/>
        <w:gridCol w:w="1081"/>
        <w:gridCol w:w="982"/>
        <w:gridCol w:w="847"/>
      </w:tblGrid>
      <w:tr>
        <w:trPr>
          <w:trHeight w:val="401" w:hRule="exact"/>
        </w:trPr>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1" w:type="dxa"/>
            <w:tcBorders>
              <w:top w:val="single" w:sz="4" w:space="0" w:color="000000"/>
              <w:left w:val="single" w:sz="9" w:space="0" w:color="D2D2D2"/>
              <w:bottom w:val="single" w:sz="4" w:space="0" w:color="000000"/>
              <w:right w:val="single" w:sz="4" w:space="0" w:color="000000"/>
            </w:tcBorders>
          </w:tcPr>
          <w:p>
            <w:pPr/>
          </w:p>
        </w:tc>
        <w:tc>
          <w:tcPr>
            <w:tcW w:w="3519"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35"/>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1271" w:type="dxa"/>
            <w:tcBorders>
              <w:top w:val="single" w:sz="4" w:space="0" w:color="000000"/>
              <w:left w:val="single" w:sz="9" w:space="0" w:color="D2D2D2"/>
              <w:bottom w:val="single" w:sz="4" w:space="0" w:color="000000"/>
              <w:right w:val="single" w:sz="4" w:space="0" w:color="000000"/>
            </w:tcBorders>
          </w:tcPr>
          <w:p>
            <w:pPr/>
          </w:p>
        </w:tc>
        <w:tc>
          <w:tcPr>
            <w:tcW w:w="3519"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1" w:type="dxa"/>
            <w:tcBorders>
              <w:top w:val="single" w:sz="4" w:space="0" w:color="000000"/>
              <w:left w:val="single" w:sz="9" w:space="0" w:color="D2D2D2"/>
              <w:bottom w:val="single" w:sz="4" w:space="0" w:color="000000"/>
              <w:right w:val="single" w:sz="4" w:space="0" w:color="000000"/>
            </w:tcBorders>
          </w:tcPr>
          <w:p>
            <w:pPr/>
          </w:p>
        </w:tc>
        <w:tc>
          <w:tcPr>
            <w:tcW w:w="3519"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984" w:hRule="exact"/>
        </w:trPr>
        <w:tc>
          <w:tcPr>
            <w:tcW w:w="1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20"/>
              <w:jc w:val="left"/>
              <w:rPr>
                <w:rFonts w:ascii="宋体" w:hAnsi="宋体" w:cs="宋体" w:eastAsia="宋体" w:hint="default"/>
                <w:sz w:val="18"/>
                <w:szCs w:val="18"/>
              </w:rPr>
            </w:pPr>
            <w:r>
              <w:rPr>
                <w:rFonts w:ascii="宋体" w:hAnsi="宋体" w:cs="宋体" w:eastAsia="宋体" w:hint="default"/>
                <w:spacing w:val="-8"/>
                <w:sz w:val="18"/>
                <w:szCs w:val="18"/>
              </w:rPr>
              <w:t>吴培服、迪智成</w:t>
            </w:r>
            <w:r>
              <w:rPr>
                <w:rFonts w:ascii="宋体" w:hAnsi="宋体" w:cs="宋体" w:eastAsia="宋体" w:hint="default"/>
                <w:sz w:val="18"/>
                <w:szCs w:val="18"/>
              </w:rPr>
              <w:t> 投资、启恒投 资、雷石投资</w:t>
            </w:r>
          </w:p>
        </w:tc>
        <w:tc>
          <w:tcPr>
            <w:tcW w:w="35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63"/>
              <w:jc w:val="both"/>
              <w:rPr>
                <w:rFonts w:ascii="宋体" w:hAnsi="宋体" w:cs="宋体" w:eastAsia="宋体" w:hint="default"/>
                <w:sz w:val="18"/>
                <w:szCs w:val="18"/>
              </w:rPr>
            </w:pPr>
            <w:r>
              <w:rPr>
                <w:rFonts w:ascii="宋体" w:hAnsi="宋体" w:cs="宋体" w:eastAsia="宋体" w:hint="default"/>
                <w:sz w:val="18"/>
                <w:szCs w:val="18"/>
              </w:rPr>
              <w:t>自公司股票上市之日起三十六个月内，不转 让或者委托他人管理其本次发行前已持有的 公司股份，也不由公司收购该部分股份（包 括由该部分股份派生的股份如送红股、资本 </w:t>
            </w:r>
            <w:r>
              <w:rPr>
                <w:rFonts w:ascii="宋体" w:hAnsi="宋体" w:cs="宋体" w:eastAsia="宋体" w:hint="default"/>
                <w:spacing w:val="-12"/>
                <w:sz w:val="18"/>
                <w:szCs w:val="18"/>
              </w:rPr>
              <w:t>公积金转增等）。</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665" w:hRule="exact"/>
        </w:trPr>
        <w:tc>
          <w:tcPr>
            <w:tcW w:w="19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35"/>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1271" w:type="dxa"/>
            <w:vMerge/>
            <w:tcBorders>
              <w:left w:val="single" w:sz="9" w:space="0" w:color="D2D2D2"/>
              <w:bottom w:val="single" w:sz="4" w:space="0" w:color="000000"/>
              <w:right w:val="single" w:sz="4" w:space="0" w:color="000000"/>
            </w:tcBorders>
          </w:tcPr>
          <w:p>
            <w:pPr/>
          </w:p>
        </w:tc>
        <w:tc>
          <w:tcPr>
            <w:tcW w:w="3519"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r>
      <w:tr>
        <w:trPr>
          <w:trHeight w:val="1027" w:hRule="exact"/>
        </w:trPr>
        <w:tc>
          <w:tcPr>
            <w:tcW w:w="1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 w:right="146"/>
              <w:jc w:val="left"/>
              <w:rPr>
                <w:rFonts w:ascii="宋体" w:hAnsi="宋体" w:cs="宋体" w:eastAsia="宋体" w:hint="default"/>
                <w:sz w:val="18"/>
                <w:szCs w:val="18"/>
              </w:rPr>
            </w:pPr>
            <w:r>
              <w:rPr>
                <w:rFonts w:ascii="宋体" w:hAnsi="宋体" w:cs="宋体" w:eastAsia="宋体" w:hint="default"/>
                <w:sz w:val="18"/>
                <w:szCs w:val="18"/>
              </w:rPr>
              <w:t>平安大华基金 管理有限公司</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both"/>
              <w:rPr>
                <w:rFonts w:ascii="宋体" w:hAnsi="宋体" w:cs="宋体" w:eastAsia="宋体" w:hint="default"/>
                <w:sz w:val="18"/>
                <w:szCs w:val="18"/>
              </w:rPr>
            </w:pPr>
            <w:r>
              <w:rPr>
                <w:rFonts w:ascii="宋体" w:hAnsi="宋体" w:cs="宋体" w:eastAsia="宋体" w:hint="default"/>
                <w:sz w:val="18"/>
                <w:szCs w:val="18"/>
              </w:rPr>
              <w:t>本次发行认购的股份自新增股份上市首日起 十二个月内不转让，也不由公司回购该部分 股份</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7"/>
              <w:jc w:val="both"/>
              <w:rPr>
                <w:rFonts w:ascii="宋体" w:hAnsi="宋体" w:cs="宋体" w:eastAsia="宋体" w:hint="default"/>
                <w:sz w:val="18"/>
                <w:szCs w:val="18"/>
              </w:rPr>
            </w:pPr>
            <w:r>
              <w:rPr>
                <w:rFonts w:ascii="宋体" w:hAnsi="宋体" w:cs="宋体" w:eastAsia="宋体" w:hint="default"/>
                <w:sz w:val="18"/>
                <w:szCs w:val="18"/>
              </w:rPr>
              <w:t>自新增股份 上市首日起 十二个月</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7"/>
              <w:jc w:val="center"/>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7" w:hRule="exact"/>
        </w:trPr>
        <w:tc>
          <w:tcPr>
            <w:tcW w:w="1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35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63"/>
              <w:jc w:val="both"/>
              <w:rPr>
                <w:rFonts w:ascii="宋体" w:hAnsi="宋体" w:cs="宋体" w:eastAsia="宋体" w:hint="default"/>
                <w:sz w:val="18"/>
                <w:szCs w:val="18"/>
              </w:rPr>
            </w:pPr>
            <w:r>
              <w:rPr>
                <w:rFonts w:ascii="宋体" w:hAnsi="宋体" w:cs="宋体" w:eastAsia="宋体" w:hint="default"/>
                <w:sz w:val="18"/>
                <w:szCs w:val="18"/>
              </w:rPr>
              <w:t>在增持期间及法定期限内不减持所持有的公 司股份，在增持公司股份期间及增持完成后 法定期限内，不进行内幕交易、敏感期买卖 股份、短线交易、超计划增持等行为。</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703" w:hRule="exact"/>
        </w:trPr>
        <w:tc>
          <w:tcPr>
            <w:tcW w:w="19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33"/>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1271" w:type="dxa"/>
            <w:vMerge/>
            <w:tcBorders>
              <w:left w:val="single" w:sz="9" w:space="0" w:color="D2D2D2"/>
              <w:right w:val="single" w:sz="4" w:space="0" w:color="000000"/>
            </w:tcBorders>
          </w:tcPr>
          <w:p>
            <w:pPr/>
          </w:p>
        </w:tc>
        <w:tc>
          <w:tcPr>
            <w:tcW w:w="3519"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982" w:type="dxa"/>
            <w:vMerge/>
            <w:tcBorders>
              <w:left w:val="single" w:sz="4" w:space="0" w:color="000000"/>
              <w:right w:val="single" w:sz="4" w:space="0" w:color="000000"/>
            </w:tcBorders>
          </w:tcPr>
          <w:p>
            <w:pPr/>
          </w:p>
        </w:tc>
        <w:tc>
          <w:tcPr>
            <w:tcW w:w="847" w:type="dxa"/>
            <w:vMerge/>
            <w:tcBorders>
              <w:left w:val="single" w:sz="4" w:space="0" w:color="000000"/>
              <w:right w:val="single" w:sz="4" w:space="0" w:color="000000"/>
            </w:tcBorders>
          </w:tcPr>
          <w:p>
            <w:pPr/>
          </w:p>
        </w:tc>
      </w:tr>
      <w:tr>
        <w:trPr>
          <w:trHeight w:val="317" w:hRule="exact"/>
        </w:trPr>
        <w:tc>
          <w:tcPr>
            <w:tcW w:w="1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1" w:type="dxa"/>
            <w:vMerge/>
            <w:tcBorders>
              <w:left w:val="single" w:sz="9" w:space="0" w:color="D2D2D2"/>
              <w:bottom w:val="single" w:sz="4" w:space="0" w:color="000000"/>
              <w:right w:val="single" w:sz="4" w:space="0" w:color="000000"/>
            </w:tcBorders>
          </w:tcPr>
          <w:p>
            <w:pPr/>
          </w:p>
        </w:tc>
        <w:tc>
          <w:tcPr>
            <w:tcW w:w="3519"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79"/>
        <w:gridCol w:w="7689"/>
      </w:tblGrid>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未完成履行的具体原因 及下一步计划（如有）</w:t>
            </w:r>
          </w:p>
        </w:tc>
        <w:tc>
          <w:tcPr>
            <w:tcW w:w="7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59" w:lineRule="auto" w:before="36"/>
        <w:ind w:right="146"/>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46"/>
        <w:jc w:val="left"/>
        <w:rPr>
          <w:b w:val="0"/>
          <w:bCs w:val="0"/>
        </w:rPr>
      </w:pPr>
      <w:r>
        <w:rPr/>
        <w:t>十、聘任、解聘会计师事务所情况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5"/>
        <w:gridCol w:w="5684"/>
      </w:tblGrid>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陆仕敏、蒯薏苡</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39"/>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46"/>
        <w:jc w:val="left"/>
        <w:rPr>
          <w:b w:val="0"/>
          <w:bCs w:val="0"/>
        </w:rPr>
      </w:pP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46"/>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46"/>
        <w:jc w:val="left"/>
        <w:rPr>
          <w:b w:val="0"/>
          <w:bCs w:val="0"/>
        </w:rPr>
      </w:pPr>
      <w:r>
        <w:rPr/>
        <w:t>十三、年度报告披露后面临暂停上市和终止上市情况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146"/>
        <w:jc w:val="left"/>
        <w:rPr>
          <w:b w:val="0"/>
          <w:bCs w:val="0"/>
        </w:rPr>
      </w:pPr>
      <w:r>
        <w:rPr/>
        <w:t>十四、其他重大事项的说明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146"/>
        <w:jc w:val="left"/>
        <w:rPr>
          <w:b w:val="0"/>
          <w:bCs w:val="0"/>
        </w:rPr>
      </w:pPr>
      <w:r>
        <w:rPr/>
        <w:t>十五、公司子公司重要事项</w:t>
      </w:r>
      <w:r>
        <w:rPr>
          <w:b w:val="0"/>
          <w:bCs w:val="0"/>
        </w:rPr>
      </w:r>
    </w:p>
    <w:p>
      <w:pPr>
        <w:spacing w:line="240" w:lineRule="auto" w:before="6"/>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46"/>
        <w:jc w:val="left"/>
        <w:rPr>
          <w:b w:val="0"/>
          <w:bCs w:val="0"/>
        </w:rPr>
      </w:pPr>
      <w:r>
        <w:rPr/>
        <w:t>十六、公司发行公司债券的情况</w:t>
      </w:r>
      <w:r>
        <w:rPr>
          <w:b w:val="0"/>
          <w:bCs w:val="0"/>
        </w:rPr>
      </w:r>
    </w:p>
    <w:p>
      <w:pPr>
        <w:spacing w:line="240" w:lineRule="auto" w:before="7"/>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227"/>
        <w:jc w:val="left"/>
        <w:rPr>
          <w:b w:val="0"/>
          <w:bCs w:val="0"/>
        </w:rPr>
      </w:pPr>
      <w:bookmarkStart w:name="_TOC_250006"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227"/>
        <w:jc w:val="left"/>
        <w:rPr>
          <w:b w:val="0"/>
          <w:bCs w:val="0"/>
        </w:rPr>
      </w:pPr>
      <w:r>
        <w:rPr/>
        <w:t>一、股份变动情况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58"/>
        <w:gridCol w:w="1091"/>
        <w:gridCol w:w="720"/>
        <w:gridCol w:w="1080"/>
        <w:gridCol w:w="540"/>
        <w:gridCol w:w="720"/>
        <w:gridCol w:w="540"/>
        <w:gridCol w:w="1081"/>
        <w:gridCol w:w="1080"/>
        <w:gridCol w:w="744"/>
      </w:tblGrid>
      <w:tr>
        <w:trPr>
          <w:trHeight w:val="401" w:hRule="exact"/>
        </w:trPr>
        <w:tc>
          <w:tcPr>
            <w:tcW w:w="1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6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58" w:type="dxa"/>
            <w:vMerge w:val="restart"/>
            <w:tcBorders>
              <w:top w:val="nil" w:sz="6" w:space="0" w:color="auto"/>
              <w:left w:val="single" w:sz="4" w:space="0" w:color="000000"/>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5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58"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20" w:type="dxa"/>
            <w:vMerge/>
            <w:tcBorders>
              <w:left w:val="single" w:sz="4" w:space="0" w:color="000000"/>
              <w:right w:val="single" w:sz="4" w:space="0" w:color="000000"/>
            </w:tcBorders>
            <w:shd w:val="clear" w:color="auto" w:fill="D2D2D2"/>
          </w:tcPr>
          <w:p>
            <w:pPr/>
          </w:p>
        </w:tc>
        <w:tc>
          <w:tcPr>
            <w:tcW w:w="5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58" w:type="dxa"/>
            <w:vMerge w:val="restart"/>
            <w:tcBorders>
              <w:top w:val="nil" w:sz="6" w:space="0" w:color="auto"/>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bottom w:val="nil" w:sz="6" w:space="0" w:color="auto"/>
              <w:right w:val="single" w:sz="4" w:space="0" w:color="000000"/>
            </w:tcBorders>
            <w:shd w:val="clear" w:color="auto" w:fill="D2D2D2"/>
          </w:tcPr>
          <w:p>
            <w:pPr/>
          </w:p>
        </w:tc>
        <w:tc>
          <w:tcPr>
            <w:tcW w:w="1080" w:type="dxa"/>
            <w:vMerge/>
            <w:tcBorders>
              <w:left w:val="single" w:sz="4" w:space="0" w:color="000000"/>
              <w:bottom w:val="nil" w:sz="6" w:space="0" w:color="auto"/>
              <w:right w:val="single" w:sz="4" w:space="0" w:color="000000"/>
            </w:tcBorders>
            <w:shd w:val="clear" w:color="auto" w:fill="D2D2D2"/>
          </w:tcPr>
          <w:p>
            <w:pPr/>
          </w:p>
        </w:tc>
        <w:tc>
          <w:tcPr>
            <w:tcW w:w="540"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540" w:type="dxa"/>
            <w:vMerge/>
            <w:tcBorders>
              <w:left w:val="single" w:sz="4" w:space="0" w:color="000000"/>
              <w:bottom w:val="nil" w:sz="6" w:space="0" w:color="auto"/>
              <w:right w:val="single" w:sz="4" w:space="0" w:color="000000"/>
            </w:tcBorders>
            <w:shd w:val="clear" w:color="auto" w:fill="D2D2D2"/>
          </w:tcPr>
          <w:p>
            <w:pPr/>
          </w:p>
        </w:tc>
        <w:tc>
          <w:tcPr>
            <w:tcW w:w="1081" w:type="dxa"/>
            <w:vMerge/>
            <w:tcBorders>
              <w:left w:val="single" w:sz="4" w:space="0" w:color="000000"/>
              <w:bottom w:val="nil" w:sz="6" w:space="0" w:color="auto"/>
              <w:right w:val="single" w:sz="4" w:space="0" w:color="000000"/>
            </w:tcBorders>
            <w:shd w:val="clear" w:color="auto" w:fill="D2D2D2"/>
          </w:tcPr>
          <w:p>
            <w:pPr/>
          </w:p>
        </w:tc>
        <w:tc>
          <w:tcPr>
            <w:tcW w:w="1080" w:type="dxa"/>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58"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5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135,786,184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135,790,494</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135,790,494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271,576,678</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49.22%</w:t>
            </w:r>
          </w:p>
        </w:tc>
      </w:tr>
      <w:tr>
        <w:trPr>
          <w:trHeight w:val="404" w:hRule="exact"/>
        </w:trPr>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91" w:type="dxa"/>
            <w:tcBorders>
              <w:top w:val="single" w:sz="4" w:space="0" w:color="000000"/>
              <w:left w:val="single" w:sz="9" w:space="0" w:color="D2D2D2"/>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13,676,042</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13,676,042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13,676,042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w:t>
            </w:r>
          </w:p>
        </w:tc>
      </w:tr>
      <w:tr>
        <w:trPr>
          <w:trHeight w:val="401" w:hRule="exact"/>
        </w:trPr>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135,786,184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122,114,452</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122,114,452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257,900,636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46.74%</w:t>
            </w:r>
          </w:p>
        </w:tc>
      </w:tr>
      <w:tr>
        <w:trPr>
          <w:trHeight w:val="403" w:hRule="exact"/>
        </w:trPr>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91" w:type="dxa"/>
            <w:tcBorders>
              <w:top w:val="single" w:sz="4" w:space="0" w:color="000000"/>
              <w:left w:val="single" w:sz="9" w:space="0" w:color="D2D2D2"/>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122,114,452</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122,114,452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122,114,452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22.13%</w:t>
            </w:r>
          </w:p>
        </w:tc>
      </w:tr>
      <w:tr>
        <w:trPr>
          <w:trHeight w:val="401" w:hRule="exact"/>
        </w:trPr>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135,786,184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32.64%</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135,786,184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24.61%</w:t>
            </w:r>
          </w:p>
        </w:tc>
      </w:tr>
      <w:tr>
        <w:trPr>
          <w:trHeight w:val="403" w:hRule="exact"/>
        </w:trPr>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280,213,816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67.36%</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280,213,816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50.78%</w:t>
            </w:r>
          </w:p>
        </w:tc>
      </w:tr>
      <w:tr>
        <w:trPr>
          <w:trHeight w:val="401" w:hRule="exact"/>
        </w:trPr>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280,213,816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67.36%</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280,213,816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50.78%</w:t>
            </w:r>
          </w:p>
        </w:tc>
      </w:tr>
      <w:tr>
        <w:trPr>
          <w:trHeight w:val="403" w:hRule="exact"/>
        </w:trPr>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135,790,494</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135,790,494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551,790,494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227"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19" w:lineRule="auto" w:before="115"/>
        <w:ind w:left="152" w:right="1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、报告期内，公司向平安大华基金管理有限公司、财通基金管理有限公司、金鹰基金管理有限公司、兴业全球基金管理有 </w:t>
      </w:r>
      <w:r>
        <w:rPr>
          <w:rFonts w:ascii="宋体" w:hAnsi="宋体" w:cs="宋体" w:eastAsia="宋体" w:hint="default"/>
          <w:spacing w:val="-2"/>
          <w:sz w:val="18"/>
          <w:szCs w:val="18"/>
        </w:rPr>
        <w:t>限公司、山东省农村经济开发投资公司、兴业证券资产管理有限公司、东海基金管理有限责任公司七名认购对象非公开发行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Times New Roman" w:hAnsi="Times New Roman" w:cs="Times New Roman" w:eastAsia="Times New Roman" w:hint="default"/>
          <w:sz w:val="18"/>
          <w:szCs w:val="18"/>
        </w:rPr>
        <w:t>135,790,494</w:t>
      </w:r>
      <w:r>
        <w:rPr>
          <w:rFonts w:ascii="宋体" w:hAnsi="宋体" w:cs="宋体" w:eastAsia="宋体" w:hint="default"/>
          <w:sz w:val="18"/>
          <w:szCs w:val="18"/>
        </w:rPr>
        <w:t>股股票。新增股份上市时间为</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日，锁定期为本次新增股份上市之日起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w:t>
      </w:r>
    </w:p>
    <w:p>
      <w:pPr>
        <w:spacing w:line="340" w:lineRule="auto" w:before="0"/>
        <w:ind w:left="152" w:right="576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、报告期内高管锁定股按规定比例自动解除限售。 股份变动的批准情况</w:t>
      </w:r>
    </w:p>
    <w:p>
      <w:pPr>
        <w:spacing w:line="340" w:lineRule="auto" w:before="39"/>
        <w:ind w:left="152" w:right="1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日收到中国证券监督管理委员会《关于核准江苏双星彩塑新材料股份有限公司非公开发行股票的批复》</w:t>
      </w:r>
    </w:p>
    <w:p>
      <w:pPr>
        <w:spacing w:line="228" w:lineRule="exact" w:before="0"/>
        <w:ind w:left="152" w:right="227" w:firstLine="0"/>
        <w:jc w:val="left"/>
        <w:rPr>
          <w:rFonts w:ascii="宋体" w:hAnsi="宋体" w:cs="宋体" w:eastAsia="宋体" w:hint="default"/>
          <w:sz w:val="18"/>
          <w:szCs w:val="18"/>
        </w:rPr>
      </w:pP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612</w:t>
      </w:r>
      <w:r>
        <w:rPr>
          <w:rFonts w:ascii="宋体" w:hAnsi="宋体" w:cs="宋体" w:eastAsia="宋体" w:hint="default"/>
          <w:sz w:val="18"/>
          <w:szCs w:val="18"/>
        </w:rPr>
        <w:t>号），核准公司非公开发行不超过</w:t>
      </w:r>
      <w:r>
        <w:rPr>
          <w:rFonts w:ascii="Times New Roman" w:hAnsi="Times New Roman" w:cs="Times New Roman" w:eastAsia="Times New Roman" w:hint="default"/>
          <w:sz w:val="18"/>
          <w:szCs w:val="18"/>
        </w:rPr>
        <w:t>16,000</w:t>
      </w:r>
      <w:r>
        <w:rPr>
          <w:rFonts w:ascii="宋体" w:hAnsi="宋体" w:cs="宋体" w:eastAsia="宋体" w:hint="default"/>
          <w:sz w:val="18"/>
          <w:szCs w:val="18"/>
        </w:rPr>
        <w:t>万股新股。该批复自核准发行之日起</w:t>
      </w:r>
      <w:r>
        <w:rPr>
          <w:rFonts w:ascii="Times New Roman" w:hAnsi="Times New Roman" w:cs="Times New Roman" w:eastAsia="Times New Roman" w:hint="default"/>
          <w:sz w:val="18"/>
          <w:szCs w:val="18"/>
        </w:rPr>
        <w:t>6</w:t>
      </w:r>
      <w:r>
        <w:rPr>
          <w:rFonts w:ascii="宋体" w:hAnsi="宋体" w:cs="宋体" w:eastAsia="宋体" w:hint="default"/>
          <w:sz w:val="18"/>
          <w:szCs w:val="18"/>
        </w:rPr>
        <w:t>个月内有效。</w:t>
      </w:r>
    </w:p>
    <w:p>
      <w:pPr>
        <w:spacing w:before="103"/>
        <w:ind w:left="152" w:right="227"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5"/>
        <w:ind w:left="152" w:right="22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321" w:lineRule="auto" w:before="117"/>
        <w:ind w:left="152" w:right="184" w:firstLine="0"/>
        <w:jc w:val="left"/>
        <w:rPr>
          <w:rFonts w:ascii="宋体" w:hAnsi="宋体" w:cs="宋体" w:eastAsia="宋体" w:hint="default"/>
          <w:sz w:val="18"/>
          <w:szCs w:val="18"/>
        </w:rPr>
      </w:pPr>
      <w:r>
        <w:rPr>
          <w:rFonts w:ascii="宋体" w:hAnsi="宋体" w:cs="宋体" w:eastAsia="宋体" w:hint="default"/>
          <w:sz w:val="18"/>
          <w:szCs w:val="18"/>
        </w:rPr>
        <w:t>报告期内非公开发行所发新股于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月在中国登记结算有限公司深圳分公司完成全部股份的股权登记、托管等工作，并 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日在深圳证券交易所上市。</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月已完成了新增股份的工商变更登记工作。 股份变动对最近一年和最近一期基本每股收益和稀释每股收益、归属于公司普通股股东的每股净资产等财务指标的影响</w:t>
      </w:r>
    </w:p>
    <w:p>
      <w:pPr>
        <w:spacing w:line="319" w:lineRule="auto" w:before="53"/>
        <w:ind w:left="152" w:right="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报告期内，公司非公开发行股票</w:t>
      </w:r>
      <w:r>
        <w:rPr>
          <w:rFonts w:ascii="Times New Roman" w:hAnsi="Times New Roman" w:cs="Times New Roman" w:eastAsia="Times New Roman" w:hint="default"/>
          <w:spacing w:val="-2"/>
          <w:sz w:val="18"/>
          <w:szCs w:val="18"/>
        </w:rPr>
        <w:t>135,790,494</w:t>
      </w:r>
      <w:r>
        <w:rPr>
          <w:rFonts w:ascii="宋体" w:hAnsi="宋体" w:cs="宋体" w:eastAsia="宋体" w:hint="default"/>
          <w:spacing w:val="-2"/>
          <w:sz w:val="18"/>
          <w:szCs w:val="18"/>
        </w:rPr>
        <w:t>股，公司总股本变更为</w:t>
      </w:r>
      <w:r>
        <w:rPr>
          <w:rFonts w:ascii="Times New Roman" w:hAnsi="Times New Roman" w:cs="Times New Roman" w:eastAsia="Times New Roman" w:hint="default"/>
          <w:spacing w:val="-2"/>
          <w:sz w:val="18"/>
          <w:szCs w:val="18"/>
        </w:rPr>
        <w:t>551,790,494</w:t>
      </w:r>
      <w:r>
        <w:rPr>
          <w:rFonts w:ascii="宋体" w:hAnsi="宋体" w:cs="宋体" w:eastAsia="宋体" w:hint="default"/>
          <w:spacing w:val="-2"/>
          <w:sz w:val="18"/>
          <w:szCs w:val="18"/>
        </w:rPr>
        <w:t>股。由于总股本增加摊薄了每股收益，对最近</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2"/>
          <w:sz w:val="18"/>
          <w:szCs w:val="18"/>
        </w:rPr>
        <w:t>一年和最近一期基本每股收益和稀释每股收益及归属于公司普通股股东的每股净资产均产生一定影响。若按目前的总股本全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年摊薄计算，经模拟测算，公司非公开发行完成后，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年度的基本每股收益和稀释每股收益由</w:t>
      </w:r>
      <w:r>
        <w:rPr>
          <w:rFonts w:ascii="Times New Roman" w:hAnsi="Times New Roman" w:cs="Times New Roman" w:eastAsia="Times New Roman" w:hint="default"/>
          <w:sz w:val="18"/>
          <w:szCs w:val="18"/>
        </w:rPr>
        <w:t>0.22</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股调整为</w:t>
      </w:r>
      <w:r>
        <w:rPr>
          <w:rFonts w:ascii="Times New Roman" w:hAnsi="Times New Roman" w:cs="Times New Roman" w:eastAsia="Times New Roman" w:hint="default"/>
          <w:sz w:val="18"/>
          <w:szCs w:val="18"/>
        </w:rPr>
        <w:t>0.16</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p>
      <w:pPr>
        <w:spacing w:line="300" w:lineRule="auto" w:before="0"/>
        <w:ind w:left="152" w:right="26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日归属于上市公司股东的每股净资产由</w:t>
      </w:r>
      <w:r>
        <w:rPr>
          <w:rFonts w:ascii="Times New Roman" w:hAnsi="Times New Roman" w:cs="Times New Roman" w:eastAsia="Times New Roman" w:hint="default"/>
          <w:sz w:val="18"/>
          <w:szCs w:val="18"/>
        </w:rPr>
        <w:t>8.81</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股调整为</w:t>
      </w:r>
      <w:r>
        <w:rPr>
          <w:rFonts w:ascii="Times New Roman" w:hAnsi="Times New Roman" w:cs="Times New Roman" w:eastAsia="Times New Roman" w:hint="default"/>
          <w:sz w:val="18"/>
          <w:szCs w:val="18"/>
        </w:rPr>
        <w:t>6.59</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年度的每股收益已按相关规定以加权 平均股本计算。</w:t>
      </w:r>
    </w:p>
    <w:p>
      <w:pPr>
        <w:spacing w:after="0" w:line="30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6"/>
        <w:gridCol w:w="1366"/>
        <w:gridCol w:w="1368"/>
        <w:gridCol w:w="1366"/>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99" w:right="47"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46"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52,000,000</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非公开发行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 股票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135,790,494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135,790,494</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before="50"/>
        <w:ind w:left="152" w:right="0" w:firstLine="0"/>
        <w:jc w:val="both"/>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spacing w:line="240" w:lineRule="auto" w:before="6"/>
        <w:rPr>
          <w:rFonts w:ascii="宋体" w:hAnsi="宋体" w:cs="宋体" w:eastAsia="宋体" w:hint="default"/>
          <w:sz w:val="13"/>
          <w:szCs w:val="13"/>
        </w:rPr>
      </w:pPr>
    </w:p>
    <w:p>
      <w:pPr>
        <w:pStyle w:val="BodyText"/>
        <w:spacing w:line="256" w:lineRule="auto"/>
        <w:ind w:right="206"/>
        <w:jc w:val="both"/>
      </w:pPr>
      <w:r>
        <w:rPr>
          <w:rFonts w:ascii="Times New Roman" w:hAnsi="Times New Roman" w:cs="Times New Roman" w:eastAsia="Times New Roman" w:hint="default"/>
          <w:spacing w:val="-1"/>
        </w:rPr>
        <w:t>1</w:t>
      </w:r>
      <w:r>
        <w:rPr>
          <w:spacing w:val="-1"/>
        </w:rPr>
        <w:t>、经中国证券监督管理委员会</w:t>
      </w:r>
      <w:r>
        <w:rPr>
          <w:rFonts w:ascii="Times New Roman" w:hAnsi="Times New Roman" w:cs="Times New Roman" w:eastAsia="Times New Roman" w:hint="default"/>
          <w:spacing w:val="-1"/>
        </w:rPr>
        <w:t>“</w:t>
      </w:r>
      <w:r>
        <w:rPr>
          <w:spacing w:val="-1"/>
        </w:rPr>
        <w:t>证监许可</w:t>
      </w:r>
      <w:r>
        <w:rPr>
          <w:rFonts w:ascii="Times New Roman" w:hAnsi="Times New Roman" w:cs="Times New Roman" w:eastAsia="Times New Roman" w:hint="default"/>
          <w:spacing w:val="-1"/>
        </w:rPr>
        <w:t>[2011]713</w:t>
      </w:r>
      <w:r>
        <w:rPr>
          <w:spacing w:val="-1"/>
        </w:rPr>
        <w:t>号</w:t>
      </w:r>
      <w:r>
        <w:rPr>
          <w:rFonts w:ascii="Times New Roman" w:hAnsi="Times New Roman" w:cs="Times New Roman" w:eastAsia="Times New Roman" w:hint="default"/>
          <w:spacing w:val="-1"/>
        </w:rPr>
        <w:t>”</w:t>
      </w:r>
      <w:r>
        <w:rPr>
          <w:spacing w:val="-1"/>
        </w:rPr>
        <w:t>文核准，公司公开发行</w:t>
      </w:r>
      <w:r>
        <w:rPr>
          <w:rFonts w:ascii="Times New Roman" w:hAnsi="Times New Roman" w:cs="Times New Roman" w:eastAsia="Times New Roman" w:hint="default"/>
          <w:spacing w:val="-1"/>
        </w:rPr>
        <w:t>5,200</w:t>
      </w:r>
      <w:r>
        <w:rPr>
          <w:spacing w:val="-1"/>
        </w:rPr>
        <w:t>万股人民币普通股，每</w:t>
      </w:r>
      <w:r>
        <w:rPr>
          <w:spacing w:val="-38"/>
        </w:rPr>
        <w:t> </w:t>
      </w:r>
      <w:r>
        <w:rPr>
          <w:spacing w:val="-38"/>
        </w:rPr>
      </w:r>
      <w:r>
        <w:rPr>
          <w:spacing w:val="-3"/>
        </w:rPr>
        <w:t>股发行价格</w:t>
      </w:r>
      <w:r>
        <w:rPr>
          <w:rFonts w:ascii="Times New Roman" w:hAnsi="Times New Roman" w:cs="Times New Roman" w:eastAsia="Times New Roman" w:hint="default"/>
          <w:spacing w:val="-3"/>
        </w:rPr>
        <w:t>55.00</w:t>
      </w:r>
      <w:r>
        <w:rPr>
          <w:spacing w:val="-3"/>
        </w:rPr>
        <w:t>元，采用网下向询价对象询价配售和网上向社会公众投资者定价发行相结合的方式，经深</w:t>
      </w:r>
      <w:r>
        <w:rPr>
          <w:spacing w:val="-40"/>
        </w:rPr>
        <w:t> </w:t>
      </w:r>
      <w:r>
        <w:rPr>
          <w:spacing w:val="-40"/>
        </w:rPr>
      </w:r>
      <w:r>
        <w:rPr/>
        <w:t>圳证券交易所深证上</w:t>
      </w:r>
      <w:r>
        <w:rPr>
          <w:rFonts w:ascii="Times New Roman" w:hAnsi="Times New Roman" w:cs="Times New Roman" w:eastAsia="Times New Roman" w:hint="default"/>
        </w:rPr>
        <w:t>[2011]166</w:t>
      </w:r>
      <w:r>
        <w:rPr/>
        <w:t>号文批准，公司发行的人民币普通股股票在深圳交易所上市，股票简称</w:t>
      </w:r>
      <w:r>
        <w:rPr>
          <w:rFonts w:ascii="Times New Roman" w:hAnsi="Times New Roman" w:cs="Times New Roman" w:eastAsia="Times New Roman" w:hint="default"/>
        </w:rPr>
        <w:t>“</w:t>
      </w:r>
      <w:r>
        <w:rPr/>
        <w:t>双</w:t>
      </w:r>
      <w:r>
        <w:rPr>
          <w:spacing w:val="-45"/>
        </w:rPr>
        <w:t> </w:t>
      </w:r>
      <w:r>
        <w:rPr/>
        <w:t>星新材</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“002585”</w:t>
      </w:r>
      <w:r>
        <w:rPr/>
        <w:t>。</w:t>
      </w:r>
    </w:p>
    <w:p>
      <w:pPr>
        <w:pStyle w:val="BodyText"/>
        <w:spacing w:line="256" w:lineRule="auto" w:before="125"/>
        <w:ind w:right="206"/>
        <w:jc w:val="both"/>
      </w:pPr>
      <w:r>
        <w:rPr>
          <w:rFonts w:ascii="Times New Roman" w:hAnsi="Times New Roman" w:cs="Times New Roman" w:eastAsia="Times New Roman" w:hint="default"/>
          <w:spacing w:val="-5"/>
        </w:rPr>
        <w:t>2</w:t>
      </w:r>
      <w:r>
        <w:rPr>
          <w:spacing w:val="-5"/>
        </w:rPr>
        <w:t>、经中国证券监督管理委员会《关于核准江苏双星彩塑新材料股份有限公司非公开发行股票的批复》（证</w:t>
      </w:r>
      <w:r>
        <w:rPr>
          <w:spacing w:val="-7"/>
        </w:rPr>
        <w:t> </w:t>
      </w:r>
      <w:r>
        <w:rPr>
          <w:spacing w:val="-7"/>
        </w:rPr>
      </w:r>
      <w:r>
        <w:rPr>
          <w:spacing w:val="-1"/>
        </w:rPr>
        <w:t>监许可［</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612</w:t>
      </w:r>
      <w:r>
        <w:rPr>
          <w:spacing w:val="-1"/>
        </w:rPr>
        <w:t>号</w:t>
      </w:r>
      <w:r>
        <w:rPr>
          <w:rFonts w:ascii="Times New Roman" w:hAnsi="Times New Roman" w:cs="Times New Roman" w:eastAsia="Times New Roman" w:hint="default"/>
          <w:spacing w:val="-1"/>
        </w:rPr>
        <w:t>)</w:t>
      </w:r>
      <w:r>
        <w:rPr>
          <w:spacing w:val="-1"/>
        </w:rPr>
        <w:t>的核准，并经深圳证券交易所同意，本公司由主承销商海通证券股份有限公司采用</w:t>
      </w:r>
      <w:r>
        <w:rPr>
          <w:spacing w:val="-48"/>
        </w:rPr>
        <w:t> </w:t>
      </w:r>
      <w:r>
        <w:rPr>
          <w:spacing w:val="-48"/>
        </w:rPr>
      </w:r>
      <w:r>
        <w:rPr>
          <w:spacing w:val="-6"/>
        </w:rPr>
        <w:t>网下向询价对象询价配售的方式非公开发行人民币普通股（</w:t>
      </w:r>
      <w:r>
        <w:rPr>
          <w:rFonts w:ascii="Times New Roman" w:hAnsi="Times New Roman" w:cs="Times New Roman" w:eastAsia="Times New Roman" w:hint="default"/>
          <w:spacing w:val="-6"/>
        </w:rPr>
        <w:t>A</w:t>
      </w:r>
      <w:r>
        <w:rPr>
          <w:spacing w:val="-6"/>
        </w:rPr>
        <w:t>股）股票</w:t>
      </w:r>
      <w:r>
        <w:rPr>
          <w:rFonts w:ascii="Times New Roman" w:hAnsi="Times New Roman" w:cs="Times New Roman" w:eastAsia="Times New Roman" w:hint="default"/>
          <w:spacing w:val="-6"/>
        </w:rPr>
        <w:t>135,790,494</w:t>
      </w:r>
      <w:r>
        <w:rPr>
          <w:spacing w:val="-6"/>
        </w:rPr>
        <w:t>股，发行价格为每股</w:t>
      </w:r>
      <w:r>
        <w:rPr>
          <w:rFonts w:ascii="Times New Roman" w:hAnsi="Times New Roman" w:cs="Times New Roman" w:eastAsia="Times New Roman" w:hint="default"/>
          <w:spacing w:val="-6"/>
        </w:rPr>
        <w:t>10.31</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元。截止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日止，本公司募集资金总额为</w:t>
      </w:r>
      <w:r>
        <w:rPr>
          <w:rFonts w:ascii="Times New Roman" w:hAnsi="Times New Roman" w:cs="Times New Roman" w:eastAsia="Times New Roman" w:hint="default"/>
        </w:rPr>
        <w:t>1,399,999,993.14</w:t>
      </w:r>
      <w:r>
        <w:rPr/>
        <w:t>元，扣除非公开发行股票发生的费用</w:t>
      </w:r>
      <w:r>
        <w:rPr>
          <w:spacing w:val="-26"/>
        </w:rPr>
        <w:t> </w:t>
      </w:r>
      <w:r>
        <w:rPr>
          <w:spacing w:val="-26"/>
        </w:rPr>
      </w:r>
      <w:r>
        <w:rPr>
          <w:rFonts w:ascii="Times New Roman" w:hAnsi="Times New Roman" w:cs="Times New Roman" w:eastAsia="Times New Roman" w:hint="default"/>
          <w:spacing w:val="-1"/>
        </w:rPr>
        <w:t>32,060,616.06</w:t>
      </w:r>
      <w:r>
        <w:rPr>
          <w:spacing w:val="-1"/>
        </w:rPr>
        <w:t>元后，实际募集资金净额为</w:t>
      </w:r>
      <w:r>
        <w:rPr>
          <w:rFonts w:ascii="Times New Roman" w:hAnsi="Times New Roman" w:cs="Times New Roman" w:eastAsia="Times New Roman" w:hint="default"/>
          <w:spacing w:val="-1"/>
        </w:rPr>
        <w:t>1,367,939,377.08</w:t>
      </w:r>
      <w:r>
        <w:rPr>
          <w:spacing w:val="-1"/>
        </w:rPr>
        <w:t>元，本公司对募集资金采取了专户存储管理，前</w:t>
      </w:r>
      <w:r>
        <w:rPr>
          <w:spacing w:val="-15"/>
        </w:rPr>
        <w:t> </w:t>
      </w:r>
      <w:r>
        <w:rPr>
          <w:spacing w:val="-15"/>
        </w:rPr>
      </w:r>
      <w:r>
        <w:rPr/>
        <w:t>述</w:t>
      </w:r>
      <w:r>
        <w:rPr>
          <w:spacing w:val="-71"/>
        </w:rPr>
        <w:t> </w:t>
      </w:r>
      <w:r>
        <w:rPr/>
        <w:t>募</w:t>
      </w:r>
      <w:r>
        <w:rPr>
          <w:spacing w:val="-69"/>
        </w:rPr>
        <w:t> </w:t>
      </w:r>
      <w:r>
        <w:rPr/>
        <w:t>集</w:t>
      </w:r>
      <w:r>
        <w:rPr>
          <w:spacing w:val="-71"/>
        </w:rPr>
        <w:t> </w:t>
      </w:r>
      <w:r>
        <w:rPr/>
        <w:t>资</w:t>
      </w:r>
      <w:r>
        <w:rPr>
          <w:spacing w:val="-71"/>
        </w:rPr>
        <w:t> </w:t>
      </w:r>
      <w:r>
        <w:rPr/>
        <w:t>金</w:t>
      </w:r>
      <w:r>
        <w:rPr>
          <w:spacing w:val="-71"/>
        </w:rPr>
        <w:t> </w:t>
      </w:r>
      <w:r>
        <w:rPr/>
        <w:t>已</w:t>
      </w:r>
      <w:r>
        <w:rPr>
          <w:spacing w:val="-69"/>
        </w:rPr>
        <w:t> </w:t>
      </w:r>
      <w:r>
        <w:rPr/>
        <w:t>于</w:t>
      </w:r>
      <w:r>
        <w:rPr>
          <w:spacing w:val="-6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6"/>
        </w:rPr>
        <w:t> </w:t>
      </w:r>
      <w:r>
        <w:rPr/>
        <w:t>年</w:t>
      </w:r>
      <w:r>
        <w:rPr>
          <w:spacing w:val="-71"/>
        </w:rPr>
        <w:t>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t>月</w:t>
      </w:r>
      <w:r>
        <w:rPr>
          <w:spacing w:val="-70"/>
        </w:rPr>
        <w:t> </w:t>
      </w:r>
      <w:r>
        <w:rPr>
          <w:rFonts w:ascii="Times New Roman" w:hAnsi="Times New Roman" w:cs="Times New Roman" w:eastAsia="Times New Roman" w:hint="default"/>
        </w:rPr>
        <w:t>28</w:t>
      </w:r>
      <w:r>
        <w:rPr>
          <w:rFonts w:ascii="Times New Roman" w:hAnsi="Times New Roman" w:cs="Times New Roman" w:eastAsia="Times New Roman" w:hint="default"/>
          <w:spacing w:val="-18"/>
        </w:rPr>
        <w:t> </w:t>
      </w:r>
      <w:r>
        <w:rPr/>
        <w:t>日</w:t>
      </w:r>
      <w:r>
        <w:rPr>
          <w:spacing w:val="-71"/>
        </w:rPr>
        <w:t> </w:t>
      </w:r>
      <w:r>
        <w:rPr/>
        <w:t>存</w:t>
      </w:r>
      <w:r>
        <w:rPr>
          <w:spacing w:val="-69"/>
        </w:rPr>
        <w:t> </w:t>
      </w:r>
      <w:r>
        <w:rPr/>
        <w:t>入</w:t>
      </w:r>
      <w:r>
        <w:rPr>
          <w:spacing w:val="-71"/>
        </w:rPr>
        <w:t> </w:t>
      </w:r>
      <w:r>
        <w:rPr/>
        <w:t>本</w:t>
      </w:r>
      <w:r>
        <w:rPr>
          <w:spacing w:val="-71"/>
        </w:rPr>
        <w:t> </w:t>
      </w:r>
      <w:r>
        <w:rPr/>
        <w:t>公</w:t>
      </w:r>
      <w:r>
        <w:rPr>
          <w:spacing w:val="-71"/>
        </w:rPr>
        <w:t> </w:t>
      </w:r>
      <w:r>
        <w:rPr/>
        <w:t>司</w:t>
      </w:r>
      <w:r>
        <w:rPr>
          <w:spacing w:val="-69"/>
        </w:rPr>
        <w:t> </w:t>
      </w:r>
      <w:r>
        <w:rPr/>
        <w:t>在</w:t>
      </w:r>
      <w:r>
        <w:rPr>
          <w:spacing w:val="-71"/>
        </w:rPr>
        <w:t> </w:t>
      </w:r>
      <w:r>
        <w:rPr/>
        <w:t>中</w:t>
      </w:r>
      <w:r>
        <w:rPr>
          <w:spacing w:val="-71"/>
        </w:rPr>
        <w:t> </w:t>
      </w:r>
      <w:r>
        <w:rPr/>
        <w:t>国</w:t>
      </w:r>
      <w:r>
        <w:rPr>
          <w:spacing w:val="-69"/>
        </w:rPr>
        <w:t> </w:t>
      </w:r>
      <w:r>
        <w:rPr/>
        <w:t>工</w:t>
      </w:r>
      <w:r>
        <w:rPr>
          <w:spacing w:val="-71"/>
        </w:rPr>
        <w:t> </w:t>
      </w:r>
      <w:r>
        <w:rPr/>
        <w:t>商</w:t>
      </w:r>
      <w:r>
        <w:rPr>
          <w:spacing w:val="-71"/>
        </w:rPr>
        <w:t> </w:t>
      </w:r>
      <w:r>
        <w:rPr/>
        <w:t>银</w:t>
      </w:r>
      <w:r>
        <w:rPr>
          <w:spacing w:val="-71"/>
        </w:rPr>
        <w:t> </w:t>
      </w:r>
      <w:r>
        <w:rPr/>
        <w:t>行</w:t>
      </w:r>
      <w:r>
        <w:rPr>
          <w:spacing w:val="-69"/>
        </w:rPr>
        <w:t> </w:t>
      </w:r>
      <w:r>
        <w:rPr/>
        <w:t>股</w:t>
      </w:r>
      <w:r>
        <w:rPr>
          <w:spacing w:val="-71"/>
        </w:rPr>
        <w:t> </w:t>
      </w:r>
      <w:r>
        <w:rPr/>
        <w:t>份</w:t>
      </w:r>
      <w:r>
        <w:rPr>
          <w:spacing w:val="-71"/>
        </w:rPr>
        <w:t> </w:t>
      </w:r>
      <w:r>
        <w:rPr/>
        <w:t>有</w:t>
      </w:r>
      <w:r>
        <w:rPr>
          <w:spacing w:val="-71"/>
        </w:rPr>
        <w:t> </w:t>
      </w:r>
      <w:r>
        <w:rPr/>
        <w:t>限</w:t>
      </w:r>
      <w:r>
        <w:rPr>
          <w:spacing w:val="-71"/>
        </w:rPr>
        <w:t> </w:t>
      </w:r>
      <w:r>
        <w:rPr/>
        <w:t>公</w:t>
      </w:r>
      <w:r>
        <w:rPr>
          <w:spacing w:val="-71"/>
        </w:rPr>
        <w:t> </w:t>
      </w:r>
      <w:r>
        <w:rPr/>
        <w:t>司</w:t>
      </w:r>
      <w:r>
        <w:rPr>
          <w:spacing w:val="-69"/>
        </w:rPr>
        <w:t> </w:t>
      </w:r>
      <w:r>
        <w:rPr/>
        <w:t>宿</w:t>
      </w:r>
      <w:r>
        <w:rPr>
          <w:spacing w:val="-71"/>
        </w:rPr>
        <w:t> </w:t>
      </w:r>
      <w:r>
        <w:rPr/>
        <w:t>迁</w:t>
      </w:r>
      <w:r>
        <w:rPr>
          <w:spacing w:val="-71"/>
        </w:rPr>
        <w:t> </w:t>
      </w:r>
      <w:r>
        <w:rPr/>
        <w:t>分</w:t>
      </w:r>
      <w:r>
        <w:rPr>
          <w:spacing w:val="-71"/>
        </w:rPr>
        <w:t> </w:t>
      </w:r>
      <w:r>
        <w:rPr/>
        <w:t>行</w:t>
      </w:r>
      <w:r>
        <w:rPr>
          <w:spacing w:val="-69"/>
        </w:rPr>
        <w:t> </w:t>
      </w:r>
      <w:r>
        <w:rPr/>
        <w:t>（</w:t>
      </w:r>
      <w:r>
        <w:rPr>
          <w:spacing w:val="-71"/>
        </w:rPr>
        <w:t> </w:t>
      </w:r>
      <w:r>
        <w:rPr/>
        <w:t>账</w:t>
      </w:r>
      <w:r>
        <w:rPr>
          <w:spacing w:val="-71"/>
        </w:rPr>
        <w:t> </w:t>
      </w:r>
      <w:r>
        <w:rPr/>
        <w:t>号</w:t>
      </w:r>
      <w:r>
        <w:rPr>
          <w:spacing w:val="-69"/>
        </w:rPr>
        <w:t> </w:t>
      </w:r>
      <w:r>
        <w:rPr/>
        <w:t>：</w:t>
      </w:r>
      <w:r>
        <w:rPr>
          <w:w w:val="100"/>
        </w:rPr>
        <w:t> </w:t>
      </w:r>
      <w:r>
        <w:rPr>
          <w:rFonts w:ascii="Times New Roman" w:hAnsi="Times New Roman" w:cs="Times New Roman" w:eastAsia="Times New Roman" w:hint="default"/>
        </w:rPr>
        <w:t>1116020029300888808</w:t>
      </w:r>
      <w:r>
        <w:rPr/>
        <w:t>）和中国建设银行股份有限公司宿迁分行（账号：</w:t>
      </w:r>
      <w:r>
        <w:rPr>
          <w:rFonts w:ascii="Times New Roman" w:hAnsi="Times New Roman" w:cs="Times New Roman" w:eastAsia="Times New Roman" w:hint="default"/>
        </w:rPr>
        <w:t>32001778636059668888</w:t>
      </w:r>
      <w:r>
        <w:rPr/>
        <w:t>）开立的</w:t>
      </w:r>
      <w:r>
        <w:rPr>
          <w:spacing w:val="-26"/>
        </w:rPr>
        <w:t> </w:t>
      </w:r>
      <w:r>
        <w:rPr>
          <w:spacing w:val="-26"/>
        </w:rPr>
      </w:r>
      <w:r>
        <w:rPr>
          <w:spacing w:val="-4"/>
        </w:rPr>
        <w:t>的募集资金专户中。上述募集资金已经众华会计师事务所（特殊普通合伙）验证，并于</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14"/>
        </w:rPr>
        <w:t> </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月</w:t>
      </w:r>
      <w:r>
        <w:rPr>
          <w:rFonts w:ascii="Times New Roman" w:hAnsi="Times New Roman" w:cs="Times New Roman" w:eastAsia="Times New Roman" w:hint="default"/>
        </w:rPr>
        <w:t>28</w:t>
      </w:r>
      <w:r>
        <w:rPr/>
        <w:t>日出</w:t>
      </w:r>
      <w:r>
        <w:rPr>
          <w:spacing w:val="-97"/>
        </w:rPr>
        <w:t> </w:t>
      </w:r>
      <w:r>
        <w:rPr/>
        <w:t>具了众会验字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4614</w:t>
      </w:r>
      <w:r>
        <w:rPr/>
        <w:t>号《验资报告》。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spacing w:line="240" w:lineRule="auto" w:before="162"/>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0"/>
        <w:ind w:right="0"/>
        <w:jc w:val="left"/>
      </w:pPr>
      <w:r>
        <w:rPr>
          <w:rFonts w:ascii="Times New Roman" w:hAnsi="Times New Roman" w:cs="Times New Roman" w:eastAsia="Times New Roman" w:hint="default"/>
          <w:spacing w:val="-7"/>
          <w:w w:val="100"/>
          <w:sz w:val="18"/>
          <w:szCs w:val="18"/>
        </w:rPr>
        <w:t>1</w:t>
      </w:r>
      <w:r>
        <w:rPr>
          <w:spacing w:val="-7"/>
          <w:w w:val="100"/>
          <w:sz w:val="18"/>
          <w:szCs w:val="18"/>
        </w:rPr>
        <w:t>、</w:t>
      </w:r>
      <w:r>
        <w:rPr>
          <w:rFonts w:ascii="Times New Roman" w:hAnsi="Times New Roman" w:cs="Times New Roman" w:eastAsia="Times New Roman" w:hint="default"/>
          <w:spacing w:val="-7"/>
          <w:w w:val="100"/>
        </w:rPr>
        <w:t>2012</w:t>
      </w:r>
      <w:r>
        <w:rPr>
          <w:spacing w:val="-7"/>
          <w:w w:val="100"/>
        </w:rPr>
        <w:t>年</w:t>
      </w:r>
      <w:r>
        <w:rPr>
          <w:rFonts w:ascii="Times New Roman" w:hAnsi="Times New Roman" w:cs="Times New Roman" w:eastAsia="Times New Roman" w:hint="default"/>
          <w:spacing w:val="-7"/>
          <w:w w:val="100"/>
        </w:rPr>
        <w:t>4</w:t>
      </w:r>
      <w:r>
        <w:rPr>
          <w:spacing w:val="-7"/>
          <w:w w:val="100"/>
        </w:rPr>
        <w:t>月</w:t>
      </w:r>
      <w:r>
        <w:rPr>
          <w:rFonts w:ascii="Times New Roman" w:hAnsi="Times New Roman" w:cs="Times New Roman" w:eastAsia="Times New Roman" w:hint="default"/>
          <w:spacing w:val="-7"/>
          <w:w w:val="100"/>
        </w:rPr>
        <w:t>18</w:t>
      </w:r>
      <w:r>
        <w:rPr>
          <w:spacing w:val="-7"/>
          <w:w w:val="100"/>
        </w:rPr>
        <w:t>日，公司</w:t>
      </w:r>
      <w:r>
        <w:rPr>
          <w:rFonts w:ascii="Times New Roman" w:hAnsi="Times New Roman" w:cs="Times New Roman" w:eastAsia="Times New Roman" w:hint="default"/>
          <w:spacing w:val="-7"/>
          <w:w w:val="100"/>
        </w:rPr>
        <w:t>2011</w:t>
      </w:r>
      <w:r>
        <w:rPr>
          <w:spacing w:val="-7"/>
          <w:w w:val="100"/>
        </w:rPr>
        <w:t>年度股东大会审议通过了《</w:t>
      </w:r>
      <w:r>
        <w:rPr>
          <w:rFonts w:ascii="Times New Roman" w:hAnsi="Times New Roman" w:cs="Times New Roman" w:eastAsia="Times New Roman" w:hint="default"/>
          <w:spacing w:val="-7"/>
          <w:w w:val="100"/>
        </w:rPr>
        <w:t>2011</w:t>
      </w:r>
      <w:r>
        <w:rPr>
          <w:spacing w:val="-7"/>
          <w:w w:val="100"/>
        </w:rPr>
        <w:t>年度利润分配及资本公积金转增股本的预案》，</w:t>
      </w:r>
      <w:r>
        <w:rPr>
          <w:spacing w:val="-76"/>
          <w:w w:val="100"/>
        </w:rPr>
        <w:t> </w:t>
      </w:r>
      <w:r>
        <w:rPr>
          <w:spacing w:val="-76"/>
          <w:w w:val="100"/>
        </w:rPr>
      </w:r>
      <w:r>
        <w:rPr/>
        <w:t>以</w:t>
      </w:r>
      <w:r>
        <w:rPr>
          <w:rFonts w:ascii="Times New Roman" w:hAnsi="Times New Roman" w:cs="Times New Roman" w:eastAsia="Times New Roman" w:hint="default"/>
        </w:rPr>
        <w:t>2011</w:t>
      </w:r>
      <w:r>
        <w:rPr/>
        <w:t>年末总股本</w:t>
      </w:r>
      <w:r>
        <w:rPr>
          <w:rFonts w:ascii="Times New Roman" w:hAnsi="Times New Roman" w:cs="Times New Roman" w:eastAsia="Times New Roman" w:hint="default"/>
        </w:rPr>
        <w:t>208,000,000</w:t>
      </w:r>
      <w:r>
        <w:rPr/>
        <w:t>股为基数，向在股权登记日登记在册的全体股东，按每</w:t>
      </w:r>
      <w:r>
        <w:rPr>
          <w:rFonts w:ascii="Times New Roman" w:hAnsi="Times New Roman" w:cs="Times New Roman" w:eastAsia="Times New Roman" w:hint="default"/>
        </w:rPr>
        <w:t>10</w:t>
      </w:r>
      <w:r>
        <w:rPr/>
        <w:t>股派发现金股利</w:t>
      </w:r>
      <w:r>
        <w:rPr>
          <w:w w:val="100"/>
        </w:rPr>
        <w:t> </w:t>
      </w:r>
      <w:r>
        <w:rPr>
          <w:rFonts w:ascii="Times New Roman" w:hAnsi="Times New Roman" w:cs="Times New Roman" w:eastAsia="Times New Roman" w:hint="default"/>
          <w:spacing w:val="-3"/>
        </w:rPr>
        <w:t>10.00</w:t>
      </w:r>
      <w:r>
        <w:rPr>
          <w:spacing w:val="-3"/>
        </w:rPr>
        <w:t>元（含税），派发现金股利共计</w:t>
      </w:r>
      <w:r>
        <w:rPr>
          <w:rFonts w:ascii="Times New Roman" w:hAnsi="Times New Roman" w:cs="Times New Roman" w:eastAsia="Times New Roman" w:hint="default"/>
          <w:spacing w:val="-3"/>
        </w:rPr>
        <w:t>208,000,000</w:t>
      </w:r>
      <w:r>
        <w:rPr>
          <w:spacing w:val="-3"/>
        </w:rPr>
        <w:t>元，剩余未分配利润结转下一年度；公司以</w:t>
      </w:r>
      <w:r>
        <w:rPr>
          <w:rFonts w:ascii="Times New Roman" w:hAnsi="Times New Roman" w:cs="Times New Roman" w:eastAsia="Times New Roman" w:hint="default"/>
          <w:spacing w:val="-3"/>
        </w:rPr>
        <w:t>2011</w:t>
      </w:r>
      <w:r>
        <w:rPr>
          <w:spacing w:val="-3"/>
        </w:rPr>
        <w:t>年末总股</w:t>
      </w:r>
      <w:r>
        <w:rPr>
          <w:spacing w:val="-22"/>
        </w:rPr>
        <w:t> </w:t>
      </w:r>
      <w:r>
        <w:rPr>
          <w:spacing w:val="-22"/>
        </w:rPr>
      </w:r>
      <w:r>
        <w:rPr/>
        <w:t>本</w:t>
      </w:r>
      <w:r>
        <w:rPr>
          <w:rFonts w:ascii="Times New Roman" w:hAnsi="Times New Roman" w:cs="Times New Roman" w:eastAsia="Times New Roman" w:hint="default"/>
        </w:rPr>
        <w:t>208,000,000</w:t>
      </w:r>
      <w:r>
        <w:rPr/>
        <w:t>股为基数，向在股权登记日登记在册的全体股东以资本公积每</w:t>
      </w:r>
      <w:r>
        <w:rPr>
          <w:rFonts w:ascii="Times New Roman" w:hAnsi="Times New Roman" w:cs="Times New Roman" w:eastAsia="Times New Roman" w:hint="default"/>
        </w:rPr>
        <w:t>10</w:t>
      </w:r>
      <w:r>
        <w:rPr>
          <w:rFonts w:ascii="Times New Roman" w:hAnsi="Times New Roman" w:cs="Times New Roman" w:eastAsia="Times New Roman" w:hint="default"/>
          <w:spacing w:val="27"/>
        </w:rPr>
        <w:t> </w:t>
      </w:r>
      <w:r>
        <w:rPr/>
        <w:t>股转增</w:t>
      </w:r>
      <w:r>
        <w:rPr>
          <w:rFonts w:ascii="Times New Roman" w:hAnsi="Times New Roman" w:cs="Times New Roman" w:eastAsia="Times New Roman" w:hint="default"/>
        </w:rPr>
        <w:t>10</w:t>
      </w:r>
      <w:r>
        <w:rPr/>
        <w:t>股，转增后总股</w:t>
      </w:r>
      <w:r>
        <w:rPr>
          <w:w w:val="100"/>
        </w:rPr>
        <w:t> </w:t>
      </w:r>
      <w:r>
        <w:rPr/>
        <w:t>本为</w:t>
      </w:r>
      <w:r>
        <w:rPr>
          <w:rFonts w:ascii="Times New Roman" w:hAnsi="Times New Roman" w:cs="Times New Roman" w:eastAsia="Times New Roman" w:hint="default"/>
        </w:rPr>
        <w:t>416,000,000</w:t>
      </w:r>
      <w:r>
        <w:rPr/>
        <w:t>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日公司完成了上述权益分派。</w:t>
      </w:r>
    </w:p>
    <w:p>
      <w:pPr>
        <w:spacing w:after="0" w:line="256"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61" w:lineRule="auto" w:before="36"/>
        <w:ind w:right="146"/>
        <w:jc w:val="left"/>
      </w:pPr>
      <w:r>
        <w:rPr>
          <w:rFonts w:ascii="Times New Roman" w:hAnsi="Times New Roman" w:cs="Times New Roman" w:eastAsia="Times New Roman" w:hint="default"/>
        </w:rPr>
        <w:t>2</w:t>
      </w:r>
      <w:r>
        <w:rPr/>
        <w:t>、报告期内，公司向平安大华基金管理有限公司、财通基金管理有限公司、金鹰基金管理有限公司、兴</w:t>
      </w:r>
      <w:r>
        <w:rPr>
          <w:w w:val="100"/>
        </w:rPr>
        <w:t> </w:t>
      </w:r>
      <w:r>
        <w:rPr>
          <w:spacing w:val="-2"/>
        </w:rPr>
        <w:t>业全球基金管理有限公司、山东省农村经济开发投资公司、兴业证券资产管理有限公司、东海基金管理有</w:t>
      </w:r>
      <w:r>
        <w:rPr>
          <w:spacing w:val="-43"/>
        </w:rPr>
        <w:t> </w:t>
      </w:r>
      <w:r>
        <w:rPr>
          <w:spacing w:val="-43"/>
        </w:rPr>
      </w:r>
      <w:r>
        <w:rPr/>
        <w:t>限责任公司七名认购对象非公开发行</w:t>
      </w:r>
      <w:r>
        <w:rPr>
          <w:rFonts w:ascii="Times New Roman" w:hAnsi="Times New Roman" w:cs="Times New Roman" w:eastAsia="Times New Roman" w:hint="default"/>
        </w:rPr>
        <w:t>135,790,494</w:t>
      </w:r>
      <w:r>
        <w:rPr/>
        <w:t>股股票。新增股份上市时间为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日，锁定期为</w:t>
      </w:r>
      <w:r>
        <w:rPr>
          <w:w w:val="100"/>
        </w:rPr>
        <w:t> </w:t>
      </w:r>
      <w:r>
        <w:rPr/>
        <w:t>本次新增股份上市之日起</w:t>
      </w:r>
      <w:r>
        <w:rPr>
          <w:rFonts w:ascii="Times New Roman" w:hAnsi="Times New Roman" w:cs="Times New Roman" w:eastAsia="Times New Roman" w:hint="default"/>
        </w:rPr>
        <w:t>12</w:t>
      </w:r>
      <w:r>
        <w:rPr/>
        <w:t>个月。</w:t>
      </w:r>
    </w:p>
    <w:p>
      <w:pPr>
        <w:spacing w:line="240" w:lineRule="auto" w:before="12"/>
        <w:rPr>
          <w:rFonts w:ascii="宋体" w:hAnsi="宋体" w:cs="宋体" w:eastAsia="宋体" w:hint="default"/>
          <w:sz w:val="22"/>
          <w:szCs w:val="22"/>
        </w:rPr>
      </w:pPr>
    </w:p>
    <w:p>
      <w:pPr>
        <w:pStyle w:val="Heading4"/>
        <w:spacing w:line="240" w:lineRule="auto"/>
        <w:ind w:right="146"/>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46"/>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233"/>
        <w:gridCol w:w="1285"/>
        <w:gridCol w:w="324"/>
        <w:gridCol w:w="389"/>
        <w:gridCol w:w="1087"/>
        <w:gridCol w:w="92"/>
        <w:gridCol w:w="988"/>
        <w:gridCol w:w="631"/>
        <w:gridCol w:w="449"/>
        <w:gridCol w:w="1102"/>
        <w:gridCol w:w="879"/>
        <w:gridCol w:w="749"/>
      </w:tblGrid>
      <w:tr>
        <w:trPr>
          <w:trHeight w:val="161" w:hRule="exact"/>
        </w:trPr>
        <w:tc>
          <w:tcPr>
            <w:tcW w:w="1596" w:type="dxa"/>
            <w:gridSpan w:val="2"/>
            <w:vMerge w:val="restart"/>
            <w:tcBorders>
              <w:top w:val="single" w:sz="4" w:space="0" w:color="000000"/>
              <w:left w:val="single" w:sz="4" w:space="0" w:color="000000"/>
              <w:right w:val="single" w:sz="4" w:space="0" w:color="000000"/>
            </w:tcBorders>
            <w:shd w:val="clear" w:color="auto" w:fill="D2D2D2"/>
          </w:tcPr>
          <w:p>
            <w:pPr/>
          </w:p>
        </w:tc>
        <w:tc>
          <w:tcPr>
            <w:tcW w:w="1609"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21,477</w:t>
            </w:r>
          </w:p>
        </w:tc>
        <w:tc>
          <w:tcPr>
            <w:tcW w:w="156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9"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19,861</w:t>
            </w:r>
          </w:p>
        </w:tc>
        <w:tc>
          <w:tcPr>
            <w:tcW w:w="15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1"/>
                <w:sz w:val="18"/>
                <w:szCs w:val="18"/>
              </w:rPr>
              <w:t>数（如有）（参见注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28" w:type="dxa"/>
            <w:gridSpan w:val="2"/>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6" w:type="dxa"/>
            <w:gridSpan w:val="2"/>
            <w:vMerge/>
            <w:tcBorders>
              <w:left w:val="single" w:sz="4" w:space="0" w:color="000000"/>
              <w:bottom w:val="nil" w:sz="6" w:space="0" w:color="auto"/>
              <w:right w:val="single" w:sz="4" w:space="0" w:color="000000"/>
            </w:tcBorders>
            <w:shd w:val="clear" w:color="auto" w:fill="D2D2D2"/>
          </w:tcPr>
          <w:p>
            <w:pPr/>
          </w:p>
        </w:tc>
        <w:tc>
          <w:tcPr>
            <w:tcW w:w="1609" w:type="dxa"/>
            <w:gridSpan w:val="2"/>
            <w:vMerge/>
            <w:tcBorders>
              <w:left w:val="single" w:sz="10" w:space="0" w:color="D2D2D2"/>
              <w:right w:val="single" w:sz="10" w:space="0" w:color="D2D2D2"/>
            </w:tcBorders>
          </w:tcPr>
          <w:p>
            <w:pPr/>
          </w:p>
        </w:tc>
        <w:tc>
          <w:tcPr>
            <w:tcW w:w="1568"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49"/>
              <w:ind w:left="11" w:right="102"/>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9" w:type="dxa"/>
            <w:gridSpan w:val="2"/>
            <w:vMerge/>
            <w:tcBorders>
              <w:left w:val="single" w:sz="10" w:space="0" w:color="D2D2D2"/>
              <w:right w:val="single" w:sz="10" w:space="0" w:color="D2D2D2"/>
            </w:tcBorders>
          </w:tcPr>
          <w:p>
            <w:pPr/>
          </w:p>
        </w:tc>
        <w:tc>
          <w:tcPr>
            <w:tcW w:w="1550" w:type="dxa"/>
            <w:gridSpan w:val="2"/>
            <w:vMerge/>
            <w:tcBorders>
              <w:left w:val="single" w:sz="4" w:space="0" w:color="000000"/>
              <w:right w:val="single" w:sz="4" w:space="0" w:color="000000"/>
            </w:tcBorders>
            <w:shd w:val="clear" w:color="auto" w:fill="D2D2D2"/>
          </w:tcPr>
          <w:p>
            <w:pPr/>
          </w:p>
        </w:tc>
        <w:tc>
          <w:tcPr>
            <w:tcW w:w="1628" w:type="dxa"/>
            <w:gridSpan w:val="2"/>
            <w:vMerge/>
            <w:tcBorders>
              <w:left w:val="single" w:sz="12" w:space="0" w:color="D2D2D2"/>
              <w:right w:val="single" w:sz="4" w:space="0" w:color="000000"/>
            </w:tcBorders>
          </w:tcPr>
          <w:p>
            <w:pPr/>
          </w:p>
        </w:tc>
      </w:tr>
      <w:tr>
        <w:trPr>
          <w:trHeight w:val="706" w:hRule="exact"/>
        </w:trPr>
        <w:tc>
          <w:tcPr>
            <w:tcW w:w="15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9" w:type="dxa"/>
            <w:gridSpan w:val="2"/>
            <w:vMerge/>
            <w:tcBorders>
              <w:left w:val="single" w:sz="10" w:space="0" w:color="D2D2D2"/>
              <w:right w:val="single" w:sz="10" w:space="0" w:color="D2D2D2"/>
            </w:tcBorders>
          </w:tcPr>
          <w:p>
            <w:pPr/>
          </w:p>
        </w:tc>
        <w:tc>
          <w:tcPr>
            <w:tcW w:w="1568" w:type="dxa"/>
            <w:gridSpan w:val="3"/>
            <w:vMerge/>
            <w:tcBorders>
              <w:left w:val="single" w:sz="4" w:space="0" w:color="000000"/>
              <w:right w:val="single" w:sz="4" w:space="0" w:color="000000"/>
            </w:tcBorders>
            <w:shd w:val="clear" w:color="auto" w:fill="D2D2D2"/>
          </w:tcPr>
          <w:p>
            <w:pPr/>
          </w:p>
        </w:tc>
        <w:tc>
          <w:tcPr>
            <w:tcW w:w="1619" w:type="dxa"/>
            <w:gridSpan w:val="2"/>
            <w:vMerge/>
            <w:tcBorders>
              <w:left w:val="single" w:sz="10" w:space="0" w:color="D2D2D2"/>
              <w:right w:val="single" w:sz="10" w:space="0" w:color="D2D2D2"/>
            </w:tcBorders>
          </w:tcPr>
          <w:p>
            <w:pPr/>
          </w:p>
        </w:tc>
        <w:tc>
          <w:tcPr>
            <w:tcW w:w="1550" w:type="dxa"/>
            <w:gridSpan w:val="2"/>
            <w:vMerge/>
            <w:tcBorders>
              <w:left w:val="single" w:sz="4" w:space="0" w:color="000000"/>
              <w:right w:val="single" w:sz="4" w:space="0" w:color="000000"/>
            </w:tcBorders>
            <w:shd w:val="clear" w:color="auto" w:fill="D2D2D2"/>
          </w:tcPr>
          <w:p>
            <w:pPr/>
          </w:p>
        </w:tc>
        <w:tc>
          <w:tcPr>
            <w:tcW w:w="1628" w:type="dxa"/>
            <w:gridSpan w:val="2"/>
            <w:vMerge/>
            <w:tcBorders>
              <w:left w:val="single" w:sz="12" w:space="0" w:color="D2D2D2"/>
              <w:right w:val="single" w:sz="4" w:space="0" w:color="000000"/>
            </w:tcBorders>
          </w:tcPr>
          <w:p>
            <w:pPr/>
          </w:p>
        </w:tc>
      </w:tr>
      <w:tr>
        <w:trPr>
          <w:trHeight w:val="156" w:hRule="exact"/>
        </w:trPr>
        <w:tc>
          <w:tcPr>
            <w:tcW w:w="1596" w:type="dxa"/>
            <w:gridSpan w:val="2"/>
            <w:vMerge w:val="restart"/>
            <w:tcBorders>
              <w:top w:val="nil" w:sz="6" w:space="0" w:color="auto"/>
              <w:left w:val="single" w:sz="4" w:space="0" w:color="000000"/>
              <w:right w:val="single" w:sz="4" w:space="0" w:color="000000"/>
            </w:tcBorders>
            <w:shd w:val="clear" w:color="auto" w:fill="D2D2D2"/>
          </w:tcPr>
          <w:p>
            <w:pPr/>
          </w:p>
        </w:tc>
        <w:tc>
          <w:tcPr>
            <w:tcW w:w="1609" w:type="dxa"/>
            <w:gridSpan w:val="2"/>
            <w:vMerge/>
            <w:tcBorders>
              <w:left w:val="single" w:sz="10" w:space="0" w:color="D2D2D2"/>
              <w:right w:val="single" w:sz="10" w:space="0" w:color="D2D2D2"/>
            </w:tcBorders>
          </w:tcPr>
          <w:p>
            <w:pPr/>
          </w:p>
        </w:tc>
        <w:tc>
          <w:tcPr>
            <w:tcW w:w="1568" w:type="dxa"/>
            <w:gridSpan w:val="3"/>
            <w:vMerge/>
            <w:tcBorders>
              <w:left w:val="single" w:sz="4" w:space="0" w:color="000000"/>
              <w:bottom w:val="nil" w:sz="6" w:space="0" w:color="auto"/>
              <w:right w:val="single" w:sz="4" w:space="0" w:color="000000"/>
            </w:tcBorders>
            <w:shd w:val="clear" w:color="auto" w:fill="D2D2D2"/>
          </w:tcPr>
          <w:p>
            <w:pPr/>
          </w:p>
        </w:tc>
        <w:tc>
          <w:tcPr>
            <w:tcW w:w="1619" w:type="dxa"/>
            <w:gridSpan w:val="2"/>
            <w:vMerge/>
            <w:tcBorders>
              <w:left w:val="single" w:sz="10" w:space="0" w:color="D2D2D2"/>
              <w:right w:val="single" w:sz="10" w:space="0" w:color="D2D2D2"/>
            </w:tcBorders>
          </w:tcPr>
          <w:p>
            <w:pPr/>
          </w:p>
        </w:tc>
        <w:tc>
          <w:tcPr>
            <w:tcW w:w="1550" w:type="dxa"/>
            <w:gridSpan w:val="2"/>
            <w:vMerge/>
            <w:tcBorders>
              <w:left w:val="single" w:sz="4" w:space="0" w:color="000000"/>
              <w:right w:val="single" w:sz="4" w:space="0" w:color="000000"/>
            </w:tcBorders>
            <w:shd w:val="clear" w:color="auto" w:fill="D2D2D2"/>
          </w:tcPr>
          <w:p>
            <w:pPr/>
          </w:p>
        </w:tc>
        <w:tc>
          <w:tcPr>
            <w:tcW w:w="1628" w:type="dxa"/>
            <w:gridSpan w:val="2"/>
            <w:vMerge/>
            <w:tcBorders>
              <w:left w:val="single" w:sz="12" w:space="0" w:color="D2D2D2"/>
              <w:right w:val="single" w:sz="4" w:space="0" w:color="000000"/>
            </w:tcBorders>
          </w:tcPr>
          <w:p>
            <w:pPr/>
          </w:p>
        </w:tc>
      </w:tr>
      <w:tr>
        <w:trPr>
          <w:trHeight w:val="166" w:hRule="exact"/>
        </w:trPr>
        <w:tc>
          <w:tcPr>
            <w:tcW w:w="1596" w:type="dxa"/>
            <w:gridSpan w:val="2"/>
            <w:vMerge/>
            <w:tcBorders>
              <w:left w:val="single" w:sz="4" w:space="0" w:color="000000"/>
              <w:bottom w:val="single" w:sz="4" w:space="0" w:color="000000"/>
              <w:right w:val="single" w:sz="4" w:space="0" w:color="000000"/>
            </w:tcBorders>
            <w:shd w:val="clear" w:color="auto" w:fill="D2D2D2"/>
          </w:tcPr>
          <w:p>
            <w:pPr/>
          </w:p>
        </w:tc>
        <w:tc>
          <w:tcPr>
            <w:tcW w:w="1609" w:type="dxa"/>
            <w:gridSpan w:val="2"/>
            <w:vMerge/>
            <w:tcBorders>
              <w:left w:val="single" w:sz="10" w:space="0" w:color="D2D2D2"/>
              <w:bottom w:val="single" w:sz="4" w:space="0" w:color="000000"/>
              <w:right w:val="single" w:sz="10" w:space="0" w:color="D2D2D2"/>
            </w:tcBorders>
          </w:tcPr>
          <w:p>
            <w:pPr/>
          </w:p>
        </w:tc>
        <w:tc>
          <w:tcPr>
            <w:tcW w:w="156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9" w:type="dxa"/>
            <w:gridSpan w:val="2"/>
            <w:vMerge/>
            <w:tcBorders>
              <w:left w:val="single" w:sz="10" w:space="0" w:color="D2D2D2"/>
              <w:bottom w:val="single" w:sz="4" w:space="0" w:color="000000"/>
              <w:right w:val="single" w:sz="10" w:space="0" w:color="D2D2D2"/>
            </w:tcBorders>
          </w:tcPr>
          <w:p>
            <w:pPr/>
          </w:p>
        </w:tc>
        <w:tc>
          <w:tcPr>
            <w:tcW w:w="1550" w:type="dxa"/>
            <w:gridSpan w:val="2"/>
            <w:vMerge/>
            <w:tcBorders>
              <w:left w:val="single" w:sz="4" w:space="0" w:color="000000"/>
              <w:bottom w:val="single" w:sz="4" w:space="0" w:color="000000"/>
              <w:right w:val="single" w:sz="4" w:space="0" w:color="000000"/>
            </w:tcBorders>
            <w:shd w:val="clear" w:color="auto" w:fill="D2D2D2"/>
          </w:tcPr>
          <w:p>
            <w:pPr/>
          </w:p>
        </w:tc>
        <w:tc>
          <w:tcPr>
            <w:tcW w:w="1628" w:type="dxa"/>
            <w:gridSpan w:val="2"/>
            <w:vMerge/>
            <w:tcBorders>
              <w:left w:val="single" w:sz="12" w:space="0" w:color="D2D2D2"/>
              <w:bottom w:val="single" w:sz="4" w:space="0" w:color="000000"/>
              <w:right w:val="single" w:sz="4" w:space="0" w:color="000000"/>
            </w:tcBorders>
          </w:tcPr>
          <w:p>
            <w:pPr/>
          </w:p>
        </w:tc>
      </w:tr>
      <w:tr>
        <w:trPr>
          <w:trHeight w:val="391"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64" w:type="dxa"/>
            <w:vMerge w:val="restart"/>
            <w:tcBorders>
              <w:top w:val="single" w:sz="4" w:space="0" w:color="000000"/>
              <w:left w:val="single" w:sz="4" w:space="0" w:color="000000"/>
              <w:right w:val="single" w:sz="4" w:space="0" w:color="000000"/>
            </w:tcBorders>
            <w:shd w:val="clear" w:color="auto" w:fill="D2D2D2"/>
          </w:tcPr>
          <w:p>
            <w:pPr/>
          </w:p>
        </w:tc>
        <w:tc>
          <w:tcPr>
            <w:tcW w:w="1517" w:type="dxa"/>
            <w:gridSpan w:val="2"/>
            <w:vMerge w:val="restart"/>
            <w:tcBorders>
              <w:top w:val="single" w:sz="4" w:space="0" w:color="000000"/>
              <w:left w:val="single" w:sz="4" w:space="0" w:color="000000"/>
              <w:right w:val="single" w:sz="4" w:space="0" w:color="000000"/>
            </w:tcBorders>
            <w:shd w:val="clear" w:color="auto" w:fill="D2D2D2"/>
          </w:tcPr>
          <w:p>
            <w:pPr/>
          </w:p>
        </w:tc>
        <w:tc>
          <w:tcPr>
            <w:tcW w:w="71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6" w:right="8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6" w:right="103"/>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517" w:type="dxa"/>
            <w:gridSpan w:val="2"/>
            <w:vMerge/>
            <w:tcBorders>
              <w:left w:val="single" w:sz="4" w:space="0" w:color="000000"/>
              <w:bottom w:val="nil" w:sz="6" w:space="0" w:color="auto"/>
              <w:right w:val="single" w:sz="4" w:space="0" w:color="000000"/>
            </w:tcBorders>
            <w:shd w:val="clear" w:color="auto" w:fill="D2D2D2"/>
          </w:tcPr>
          <w:p>
            <w:pPr/>
          </w:p>
        </w:tc>
        <w:tc>
          <w:tcPr>
            <w:tcW w:w="71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1" w:right="7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8" w:right="86"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6" w:right="82"/>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80" w:type="dxa"/>
            <w:gridSpan w:val="2"/>
            <w:vMerge/>
            <w:tcBorders>
              <w:left w:val="single" w:sz="4" w:space="0" w:color="000000"/>
              <w:right w:val="single" w:sz="4" w:space="0" w:color="000000"/>
            </w:tcBorders>
            <w:shd w:val="clear" w:color="auto" w:fill="D2D2D2"/>
          </w:tcPr>
          <w:p>
            <w:pPr/>
          </w:p>
        </w:tc>
        <w:tc>
          <w:tcPr>
            <w:tcW w:w="1102" w:type="dxa"/>
            <w:vMerge/>
            <w:tcBorders>
              <w:left w:val="single" w:sz="4" w:space="0" w:color="000000"/>
              <w:right w:val="single" w:sz="4" w:space="0" w:color="000000"/>
            </w:tcBorders>
            <w:shd w:val="clear" w:color="auto" w:fill="D2D2D2"/>
          </w:tcPr>
          <w:p>
            <w:pPr/>
          </w:p>
        </w:tc>
        <w:tc>
          <w:tcPr>
            <w:tcW w:w="1628" w:type="dxa"/>
            <w:gridSpan w:val="2"/>
            <w:vMerge/>
            <w:tcBorders>
              <w:left w:val="single" w:sz="4" w:space="0" w:color="000000"/>
              <w:right w:val="single" w:sz="4" w:space="0" w:color="000000"/>
            </w:tcBorders>
            <w:shd w:val="clear" w:color="auto" w:fill="D2D2D2"/>
          </w:tcPr>
          <w:p>
            <w:pPr/>
          </w:p>
        </w:tc>
      </w:tr>
      <w:tr>
        <w:trPr>
          <w:trHeight w:val="142"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1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13" w:type="dxa"/>
            <w:gridSpan w:val="2"/>
            <w:vMerge/>
            <w:tcBorders>
              <w:left w:val="single" w:sz="4" w:space="0" w:color="000000"/>
              <w:right w:val="single" w:sz="4" w:space="0" w:color="000000"/>
            </w:tcBorders>
            <w:shd w:val="clear" w:color="auto" w:fill="D2D2D2"/>
          </w:tcPr>
          <w:p>
            <w:pPr/>
          </w:p>
        </w:tc>
        <w:tc>
          <w:tcPr>
            <w:tcW w:w="1087" w:type="dxa"/>
            <w:vMerge/>
            <w:tcBorders>
              <w:left w:val="single" w:sz="4" w:space="0" w:color="000000"/>
              <w:right w:val="single" w:sz="4" w:space="0" w:color="000000"/>
            </w:tcBorders>
            <w:shd w:val="clear" w:color="auto" w:fill="D2D2D2"/>
          </w:tcPr>
          <w:p>
            <w:pPr/>
          </w:p>
        </w:tc>
        <w:tc>
          <w:tcPr>
            <w:tcW w:w="1080" w:type="dxa"/>
            <w:gridSpan w:val="2"/>
            <w:vMerge/>
            <w:tcBorders>
              <w:left w:val="single" w:sz="4" w:space="0" w:color="000000"/>
              <w:right w:val="single" w:sz="4" w:space="0" w:color="000000"/>
            </w:tcBorders>
            <w:shd w:val="clear" w:color="auto" w:fill="D2D2D2"/>
          </w:tcPr>
          <w:p>
            <w:pPr/>
          </w:p>
        </w:tc>
        <w:tc>
          <w:tcPr>
            <w:tcW w:w="1080" w:type="dxa"/>
            <w:gridSpan w:val="2"/>
            <w:vMerge/>
            <w:tcBorders>
              <w:left w:val="single" w:sz="4" w:space="0" w:color="000000"/>
              <w:right w:val="single" w:sz="4" w:space="0" w:color="000000"/>
            </w:tcBorders>
            <w:shd w:val="clear" w:color="auto" w:fill="D2D2D2"/>
          </w:tcPr>
          <w:p>
            <w:pPr/>
          </w:p>
        </w:tc>
        <w:tc>
          <w:tcPr>
            <w:tcW w:w="1102" w:type="dxa"/>
            <w:vMerge/>
            <w:tcBorders>
              <w:left w:val="single" w:sz="4" w:space="0" w:color="000000"/>
              <w:right w:val="single" w:sz="4" w:space="0" w:color="000000"/>
            </w:tcBorders>
            <w:shd w:val="clear" w:color="auto" w:fill="D2D2D2"/>
          </w:tcPr>
          <w:p>
            <w:pPr/>
          </w:p>
        </w:tc>
        <w:tc>
          <w:tcPr>
            <w:tcW w:w="1628" w:type="dxa"/>
            <w:gridSpan w:val="2"/>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517" w:type="dxa"/>
            <w:gridSpan w:val="2"/>
            <w:vMerge/>
            <w:tcBorders>
              <w:left w:val="single" w:sz="4" w:space="0" w:color="000000"/>
              <w:bottom w:val="nil" w:sz="6" w:space="0" w:color="auto"/>
              <w:right w:val="single" w:sz="4" w:space="0" w:color="000000"/>
            </w:tcBorders>
            <w:shd w:val="clear" w:color="auto" w:fill="D2D2D2"/>
          </w:tcPr>
          <w:p>
            <w:pPr/>
          </w:p>
        </w:tc>
        <w:tc>
          <w:tcPr>
            <w:tcW w:w="713" w:type="dxa"/>
            <w:gridSpan w:val="2"/>
            <w:vMerge/>
            <w:tcBorders>
              <w:left w:val="single" w:sz="4" w:space="0" w:color="000000"/>
              <w:right w:val="single" w:sz="4" w:space="0" w:color="000000"/>
            </w:tcBorders>
            <w:shd w:val="clear" w:color="auto" w:fill="D2D2D2"/>
          </w:tcPr>
          <w:p>
            <w:pPr/>
          </w:p>
        </w:tc>
        <w:tc>
          <w:tcPr>
            <w:tcW w:w="1087" w:type="dxa"/>
            <w:vMerge/>
            <w:tcBorders>
              <w:left w:val="single" w:sz="4" w:space="0" w:color="000000"/>
              <w:right w:val="single" w:sz="4" w:space="0" w:color="000000"/>
            </w:tcBorders>
            <w:shd w:val="clear" w:color="auto" w:fill="D2D2D2"/>
          </w:tcPr>
          <w:p>
            <w:pPr/>
          </w:p>
        </w:tc>
        <w:tc>
          <w:tcPr>
            <w:tcW w:w="1080" w:type="dxa"/>
            <w:gridSpan w:val="2"/>
            <w:vMerge/>
            <w:tcBorders>
              <w:left w:val="single" w:sz="4" w:space="0" w:color="000000"/>
              <w:right w:val="single" w:sz="4" w:space="0" w:color="000000"/>
            </w:tcBorders>
            <w:shd w:val="clear" w:color="auto" w:fill="D2D2D2"/>
          </w:tcPr>
          <w:p>
            <w:pPr/>
          </w:p>
        </w:tc>
        <w:tc>
          <w:tcPr>
            <w:tcW w:w="1080" w:type="dxa"/>
            <w:gridSpan w:val="2"/>
            <w:vMerge/>
            <w:tcBorders>
              <w:left w:val="single" w:sz="4" w:space="0" w:color="000000"/>
              <w:right w:val="single" w:sz="4" w:space="0" w:color="000000"/>
            </w:tcBorders>
            <w:shd w:val="clear" w:color="auto" w:fill="D2D2D2"/>
          </w:tcPr>
          <w:p>
            <w:pPr/>
          </w:p>
        </w:tc>
        <w:tc>
          <w:tcPr>
            <w:tcW w:w="1102" w:type="dxa"/>
            <w:vMerge/>
            <w:tcBorders>
              <w:left w:val="single" w:sz="4" w:space="0" w:color="000000"/>
              <w:right w:val="single" w:sz="4" w:space="0" w:color="000000"/>
            </w:tcBorders>
            <w:shd w:val="clear" w:color="auto" w:fill="D2D2D2"/>
          </w:tcPr>
          <w:p>
            <w:pPr/>
          </w:p>
        </w:tc>
        <w:tc>
          <w:tcPr>
            <w:tcW w:w="8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6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18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4" w:type="dxa"/>
            <w:vMerge w:val="restart"/>
            <w:tcBorders>
              <w:top w:val="nil" w:sz="6" w:space="0" w:color="auto"/>
              <w:left w:val="single" w:sz="4" w:space="0" w:color="000000"/>
              <w:right w:val="single" w:sz="4" w:space="0" w:color="000000"/>
            </w:tcBorders>
            <w:shd w:val="clear" w:color="auto" w:fill="D2D2D2"/>
          </w:tcPr>
          <w:p>
            <w:pPr/>
          </w:p>
        </w:tc>
        <w:tc>
          <w:tcPr>
            <w:tcW w:w="1517" w:type="dxa"/>
            <w:gridSpan w:val="2"/>
            <w:vMerge w:val="restart"/>
            <w:tcBorders>
              <w:top w:val="nil" w:sz="6" w:space="0" w:color="auto"/>
              <w:left w:val="single" w:sz="4" w:space="0" w:color="000000"/>
              <w:right w:val="single" w:sz="4" w:space="0" w:color="000000"/>
            </w:tcBorders>
            <w:shd w:val="clear" w:color="auto" w:fill="D2D2D2"/>
          </w:tcPr>
          <w:p>
            <w:pPr/>
          </w:p>
        </w:tc>
        <w:tc>
          <w:tcPr>
            <w:tcW w:w="713" w:type="dxa"/>
            <w:gridSpan w:val="2"/>
            <w:vMerge/>
            <w:tcBorders>
              <w:left w:val="single" w:sz="4" w:space="0" w:color="000000"/>
              <w:bottom w:val="nil" w:sz="6" w:space="0" w:color="auto"/>
              <w:right w:val="single" w:sz="4" w:space="0" w:color="000000"/>
            </w:tcBorders>
            <w:shd w:val="clear" w:color="auto" w:fill="D2D2D2"/>
          </w:tcPr>
          <w:p>
            <w:pPr/>
          </w:p>
        </w:tc>
        <w:tc>
          <w:tcPr>
            <w:tcW w:w="1087" w:type="dxa"/>
            <w:vMerge/>
            <w:tcBorders>
              <w:left w:val="single" w:sz="4" w:space="0" w:color="000000"/>
              <w:bottom w:val="nil" w:sz="6" w:space="0" w:color="auto"/>
              <w:right w:val="single" w:sz="4" w:space="0" w:color="000000"/>
            </w:tcBorders>
            <w:shd w:val="clear" w:color="auto" w:fill="D2D2D2"/>
          </w:tcPr>
          <w:p>
            <w:pPr/>
          </w:p>
        </w:tc>
        <w:tc>
          <w:tcPr>
            <w:tcW w:w="1080" w:type="dxa"/>
            <w:gridSpan w:val="2"/>
            <w:vMerge/>
            <w:tcBorders>
              <w:left w:val="single" w:sz="4" w:space="0" w:color="000000"/>
              <w:bottom w:val="nil" w:sz="6" w:space="0" w:color="auto"/>
              <w:right w:val="single" w:sz="4" w:space="0" w:color="000000"/>
            </w:tcBorders>
            <w:shd w:val="clear" w:color="auto" w:fill="D2D2D2"/>
          </w:tcPr>
          <w:p>
            <w:pPr/>
          </w:p>
        </w:tc>
        <w:tc>
          <w:tcPr>
            <w:tcW w:w="1080" w:type="dxa"/>
            <w:gridSpan w:val="2"/>
            <w:vMerge/>
            <w:tcBorders>
              <w:left w:val="single" w:sz="4" w:space="0" w:color="000000"/>
              <w:right w:val="single" w:sz="4" w:space="0" w:color="000000"/>
            </w:tcBorders>
            <w:shd w:val="clear" w:color="auto" w:fill="D2D2D2"/>
          </w:tcPr>
          <w:p>
            <w:pPr/>
          </w:p>
        </w:tc>
        <w:tc>
          <w:tcPr>
            <w:tcW w:w="1102" w:type="dxa"/>
            <w:vMerge/>
            <w:tcBorders>
              <w:left w:val="single" w:sz="4" w:space="0" w:color="000000"/>
              <w:right w:val="single" w:sz="4" w:space="0" w:color="000000"/>
            </w:tcBorders>
            <w:shd w:val="clear" w:color="auto" w:fill="D2D2D2"/>
          </w:tcPr>
          <w:p>
            <w:pPr/>
          </w:p>
        </w:tc>
        <w:tc>
          <w:tcPr>
            <w:tcW w:w="879" w:type="dxa"/>
            <w:vMerge/>
            <w:tcBorders>
              <w:left w:val="single" w:sz="4" w:space="0" w:color="000000"/>
              <w:right w:val="single" w:sz="4" w:space="0" w:color="000000"/>
            </w:tcBorders>
            <w:shd w:val="clear" w:color="auto" w:fill="D2D2D2"/>
          </w:tcPr>
          <w:p>
            <w:pPr/>
          </w:p>
        </w:tc>
        <w:tc>
          <w:tcPr>
            <w:tcW w:w="749" w:type="dxa"/>
            <w:vMerge/>
            <w:tcBorders>
              <w:left w:val="single" w:sz="4" w:space="0" w:color="000000"/>
              <w:right w:val="single" w:sz="4" w:space="0" w:color="000000"/>
            </w:tcBorders>
            <w:shd w:val="clear" w:color="auto" w:fill="D2D2D2"/>
          </w:tcPr>
          <w:p>
            <w:pPr/>
          </w:p>
        </w:tc>
      </w:tr>
      <w:tr>
        <w:trPr>
          <w:trHeight w:val="161" w:hRule="exact"/>
        </w:trPr>
        <w:tc>
          <w:tcPr>
            <w:tcW w:w="1364" w:type="dxa"/>
            <w:vMerge/>
            <w:tcBorders>
              <w:left w:val="single" w:sz="4" w:space="0" w:color="000000"/>
              <w:bottom w:val="single" w:sz="4" w:space="0" w:color="000000"/>
              <w:right w:val="single" w:sz="4" w:space="0" w:color="000000"/>
            </w:tcBorders>
            <w:shd w:val="clear" w:color="auto" w:fill="D2D2D2"/>
          </w:tcPr>
          <w:p>
            <w:pPr/>
          </w:p>
        </w:tc>
        <w:tc>
          <w:tcPr>
            <w:tcW w:w="1517" w:type="dxa"/>
            <w:gridSpan w:val="2"/>
            <w:vMerge/>
            <w:tcBorders>
              <w:left w:val="single" w:sz="4" w:space="0" w:color="000000"/>
              <w:bottom w:val="single" w:sz="4" w:space="0" w:color="000000"/>
              <w:right w:val="single" w:sz="4" w:space="0" w:color="000000"/>
            </w:tcBorders>
            <w:shd w:val="clear" w:color="auto" w:fill="D2D2D2"/>
          </w:tcPr>
          <w:p>
            <w:pPr/>
          </w:p>
        </w:tc>
        <w:tc>
          <w:tcPr>
            <w:tcW w:w="71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gridSpan w:val="2"/>
            <w:vMerge/>
            <w:tcBorders>
              <w:left w:val="single" w:sz="4" w:space="0" w:color="000000"/>
              <w:bottom w:val="single" w:sz="4" w:space="0" w:color="000000"/>
              <w:right w:val="single" w:sz="4" w:space="0" w:color="000000"/>
            </w:tcBorders>
            <w:shd w:val="clear" w:color="auto" w:fill="D2D2D2"/>
          </w:tcPr>
          <w:p>
            <w:pPr/>
          </w:p>
        </w:tc>
        <w:tc>
          <w:tcPr>
            <w:tcW w:w="1102" w:type="dxa"/>
            <w:vMerge/>
            <w:tcBorders>
              <w:left w:val="single" w:sz="4" w:space="0" w:color="000000"/>
              <w:bottom w:val="single" w:sz="4" w:space="0" w:color="000000"/>
              <w:right w:val="single" w:sz="4" w:space="0" w:color="000000"/>
            </w:tcBorders>
            <w:shd w:val="clear" w:color="auto" w:fill="D2D2D2"/>
          </w:tcPr>
          <w:p>
            <w:pPr/>
          </w:p>
        </w:tc>
        <w:tc>
          <w:tcPr>
            <w:tcW w:w="879" w:type="dxa"/>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5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32.81%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181,048,246</w:t>
            </w:r>
          </w:p>
        </w:tc>
        <w:tc>
          <w:tcPr>
            <w:tcW w:w="1080" w:type="dxa"/>
            <w:gridSpan w:val="2"/>
            <w:tcBorders>
              <w:top w:val="single" w:sz="4" w:space="0" w:color="000000"/>
              <w:left w:val="single" w:sz="4" w:space="0" w:color="000000"/>
              <w:bottom w:val="single" w:sz="4" w:space="0" w:color="000000"/>
              <w:right w:val="single" w:sz="4" w:space="0" w:color="000000"/>
            </w:tcBorders>
          </w:tcPr>
          <w:p>
            <w:pP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135,786,184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center"/>
              <w:rPr>
                <w:rFonts w:ascii="Times New Roman" w:hAnsi="Times New Roman" w:cs="Times New Roman" w:eastAsia="Times New Roman" w:hint="default"/>
                <w:sz w:val="18"/>
                <w:szCs w:val="18"/>
              </w:rPr>
            </w:pPr>
            <w:r>
              <w:rPr>
                <w:rFonts w:ascii="Times New Roman"/>
                <w:sz w:val="18"/>
              </w:rPr>
              <w:t>45,262,062</w:t>
            </w:r>
          </w:p>
        </w:tc>
        <w:tc>
          <w:tcPr>
            <w:tcW w:w="879" w:type="dxa"/>
            <w:tcBorders>
              <w:top w:val="single" w:sz="48" w:space="0" w:color="D2D2D2"/>
              <w:left w:val="single" w:sz="4" w:space="0" w:color="000000"/>
              <w:bottom w:val="single" w:sz="4" w:space="0" w:color="000000"/>
              <w:right w:val="single" w:sz="4" w:space="0" w:color="000000"/>
            </w:tcBorders>
          </w:tcPr>
          <w:p>
            <w:pPr/>
          </w:p>
        </w:tc>
        <w:tc>
          <w:tcPr>
            <w:tcW w:w="749" w:type="dxa"/>
            <w:tcBorders>
              <w:top w:val="single" w:sz="48" w:space="0" w:color="D2D2D2"/>
              <w:left w:val="single" w:sz="4" w:space="0" w:color="000000"/>
              <w:bottom w:val="single" w:sz="4" w:space="0" w:color="000000"/>
              <w:right w:val="single" w:sz="4" w:space="0" w:color="000000"/>
            </w:tcBorders>
          </w:tcPr>
          <w:p>
            <w:pPr/>
          </w:p>
        </w:tc>
      </w:tr>
      <w:tr>
        <w:trPr>
          <w:trHeight w:val="133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平安大华基金－ 平安银行－平安 大华广州汇垠澳 丰资产管理计划</w:t>
            </w:r>
          </w:p>
        </w:tc>
        <w:tc>
          <w:tcPr>
            <w:tcW w:w="15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9.84%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54,316,197</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54,316,197</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54,316,197</w:t>
            </w:r>
          </w:p>
        </w:tc>
        <w:tc>
          <w:tcPr>
            <w:tcW w:w="110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宿迁市迪智成投 资咨询有限公司</w:t>
            </w:r>
          </w:p>
        </w:tc>
        <w:tc>
          <w:tcPr>
            <w:tcW w:w="15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6.52%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36,000,000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24,000,000</w:t>
            </w:r>
          </w:p>
        </w:tc>
        <w:tc>
          <w:tcPr>
            <w:tcW w:w="1080" w:type="dxa"/>
            <w:gridSpan w:val="2"/>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center"/>
              <w:rPr>
                <w:rFonts w:ascii="Times New Roman" w:hAnsi="Times New Roman" w:cs="Times New Roman" w:eastAsia="Times New Roman" w:hint="default"/>
                <w:sz w:val="18"/>
                <w:szCs w:val="18"/>
              </w:rPr>
            </w:pPr>
            <w:r>
              <w:rPr>
                <w:rFonts w:ascii="Times New Roman"/>
                <w:sz w:val="18"/>
              </w:rPr>
              <w:t>36,000,000</w:t>
            </w:r>
          </w:p>
        </w:tc>
        <w:tc>
          <w:tcPr>
            <w:tcW w:w="87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宿迁市启恒投资 有限公司</w:t>
            </w:r>
          </w:p>
        </w:tc>
        <w:tc>
          <w:tcPr>
            <w:tcW w:w="15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6.52%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36,000,000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24,000,000</w:t>
            </w:r>
          </w:p>
        </w:tc>
        <w:tc>
          <w:tcPr>
            <w:tcW w:w="1080" w:type="dxa"/>
            <w:gridSpan w:val="2"/>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center"/>
              <w:rPr>
                <w:rFonts w:ascii="Times New Roman" w:hAnsi="Times New Roman" w:cs="Times New Roman" w:eastAsia="Times New Roman" w:hint="default"/>
                <w:sz w:val="18"/>
                <w:szCs w:val="18"/>
              </w:rPr>
            </w:pPr>
            <w:r>
              <w:rPr>
                <w:rFonts w:ascii="Times New Roman"/>
                <w:sz w:val="18"/>
              </w:rPr>
              <w:t>36,000,000</w:t>
            </w:r>
          </w:p>
        </w:tc>
        <w:tc>
          <w:tcPr>
            <w:tcW w:w="87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财通基金－工商 银行－财通基金</w:t>
            </w:r>
          </w:p>
          <w:p>
            <w:pPr>
              <w:pStyle w:val="TableParagraph"/>
              <w:spacing w:line="300" w:lineRule="auto" w:before="19"/>
              <w:ind w:left="24" w:right="19"/>
              <w:jc w:val="left"/>
              <w:rPr>
                <w:rFonts w:ascii="宋体" w:hAnsi="宋体" w:cs="宋体" w:eastAsia="宋体" w:hint="default"/>
                <w:sz w:val="18"/>
                <w:szCs w:val="18"/>
              </w:rPr>
            </w:pPr>
            <w:r>
              <w:rPr>
                <w:rFonts w:ascii="宋体" w:hAnsi="宋体" w:cs="宋体" w:eastAsia="宋体" w:hint="default"/>
                <w:sz w:val="18"/>
                <w:szCs w:val="18"/>
              </w:rPr>
              <w:t>－富春定增</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 资产管理计划</w:t>
            </w:r>
          </w:p>
        </w:tc>
        <w:tc>
          <w:tcPr>
            <w:tcW w:w="15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2.64%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14,548,981</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14,548,981</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14,548,981</w:t>
            </w:r>
          </w:p>
        </w:tc>
        <w:tc>
          <w:tcPr>
            <w:tcW w:w="110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山东省农村经济 开发投资公司</w:t>
            </w:r>
          </w:p>
        </w:tc>
        <w:tc>
          <w:tcPr>
            <w:tcW w:w="15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2.48%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13,676,042</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13,676,042</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13,676,042</w:t>
            </w:r>
          </w:p>
        </w:tc>
        <w:tc>
          <w:tcPr>
            <w:tcW w:w="110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金鹰基金－民生 银行－金鹰财子 金定增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 管理计划</w:t>
            </w:r>
          </w:p>
        </w:tc>
        <w:tc>
          <w:tcPr>
            <w:tcW w:w="15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2.48%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13,676,042</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13,676,042</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13,676,042</w:t>
            </w:r>
          </w:p>
        </w:tc>
        <w:tc>
          <w:tcPr>
            <w:tcW w:w="110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83.4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4"/>
                    <w:gridCol w:w="1517"/>
                    <w:gridCol w:w="713"/>
                    <w:gridCol w:w="1087"/>
                    <w:gridCol w:w="1080"/>
                    <w:gridCol w:w="1078"/>
                    <w:gridCol w:w="1083"/>
                    <w:gridCol w:w="283"/>
                    <w:gridCol w:w="617"/>
                    <w:gridCol w:w="749"/>
                  </w:tblGrid>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天津雷石天一股 权投资企业（有 限合伙）</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z w:val="18"/>
                          </w:rPr>
                          <w:t>2.17%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12,000,000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12,000,000</w:t>
                        </w: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1"/>
                          <w:jc w:val="both"/>
                          <w:rPr>
                            <w:rFonts w:ascii="宋体" w:hAnsi="宋体" w:cs="宋体" w:eastAsia="宋体" w:hint="default"/>
                            <w:sz w:val="18"/>
                            <w:szCs w:val="18"/>
                          </w:rPr>
                        </w:pPr>
                        <w:r>
                          <w:rPr>
                            <w:rFonts w:ascii="宋体" w:hAnsi="宋体" w:cs="宋体" w:eastAsia="宋体" w:hint="default"/>
                            <w:sz w:val="18"/>
                            <w:szCs w:val="18"/>
                          </w:rPr>
                          <w:t>兴业全球基金－ 光大银行－定增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pacing w:val="-14"/>
                            <w:sz w:val="18"/>
                            <w:szCs w:val="18"/>
                          </w:rPr>
                          <w:t>号（分级）特定</w:t>
                        </w:r>
                        <w:r>
                          <w:rPr>
                            <w:rFonts w:ascii="宋体" w:hAnsi="宋体" w:cs="宋体" w:eastAsia="宋体" w:hint="default"/>
                            <w:sz w:val="18"/>
                            <w:szCs w:val="18"/>
                          </w:rPr>
                          <w:t> 多客户资产管理 计划</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pacing w:val="-2"/>
                            <w:sz w:val="18"/>
                          </w:rPr>
                          <w:t>2.11%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11,640,000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11,640,000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11,640,000</w:t>
                        </w:r>
                      </w:p>
                    </w:tc>
                    <w:tc>
                      <w:tcPr>
                        <w:tcW w:w="1083" w:type="dxa"/>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兴业证券－光大 银行－兴业证券 鑫享定增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 合资产管理计划</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z w:val="18"/>
                          </w:rPr>
                          <w:t>1.61%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8,876,042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8,876,042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8,876,042</w:t>
                        </w:r>
                      </w:p>
                    </w:tc>
                    <w:tc>
                      <w:tcPr>
                        <w:tcW w:w="1083" w:type="dxa"/>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吴培服为宿迁市迪智成投资咨询有限公司和宿迁市启恒投资有限公司控股股东。</w:t>
                        </w:r>
                      </w:p>
                    </w:tc>
                  </w:tr>
                  <w:tr>
                    <w:trPr>
                      <w:trHeight w:val="402"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58"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58"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2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2"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58" w:type="dxa"/>
                        <w:gridSpan w:val="4"/>
                        <w:vMerge/>
                        <w:tcBorders>
                          <w:left w:val="single" w:sz="4" w:space="0" w:color="000000"/>
                          <w:bottom w:val="nil" w:sz="6" w:space="0" w:color="auto"/>
                          <w:right w:val="single" w:sz="4" w:space="0" w:color="000000"/>
                        </w:tcBorders>
                        <w:shd w:val="clear" w:color="auto" w:fill="D2D2D2"/>
                      </w:tcPr>
                      <w:p>
                        <w:pPr/>
                      </w:p>
                    </w:tc>
                    <w:tc>
                      <w:tcPr>
                        <w:tcW w:w="13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58"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gridSpan w:val="2"/>
                        <w:vMerge/>
                        <w:tcBorders>
                          <w:left w:val="single" w:sz="4" w:space="0" w:color="000000"/>
                          <w:bottom w:val="single" w:sz="4" w:space="0" w:color="000000"/>
                          <w:right w:val="single" w:sz="4" w:space="0" w:color="000000"/>
                        </w:tcBorders>
                        <w:shd w:val="clear" w:color="auto" w:fill="D2D2D2"/>
                      </w:tcPr>
                      <w:p>
                        <w:pPr/>
                      </w:p>
                    </w:tc>
                    <w:tc>
                      <w:tcPr>
                        <w:tcW w:w="1366"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39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45,262,062</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45,262,062</w:t>
                        </w:r>
                      </w:p>
                    </w:tc>
                  </w:tr>
                  <w:tr>
                    <w:trPr>
                      <w:trHeight w:val="40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宿迁市迪智成投资咨询有限公司</w:t>
                        </w:r>
                      </w:p>
                    </w:tc>
                    <w:tc>
                      <w:tcPr>
                        <w:tcW w:w="39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36,000,000</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3" w:right="0"/>
                          <w:jc w:val="left"/>
                          <w:rPr>
                            <w:rFonts w:ascii="Times New Roman" w:hAnsi="Times New Roman" w:cs="Times New Roman" w:eastAsia="Times New Roman" w:hint="default"/>
                            <w:sz w:val="18"/>
                            <w:szCs w:val="18"/>
                          </w:rPr>
                        </w:pPr>
                        <w:r>
                          <w:rPr>
                            <w:rFonts w:ascii="Times New Roman"/>
                            <w:sz w:val="18"/>
                          </w:rPr>
                          <w:t>36,000,000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宿迁市启恒投资有限公司</w:t>
                        </w:r>
                      </w:p>
                    </w:tc>
                    <w:tc>
                      <w:tcPr>
                        <w:tcW w:w="39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36,000,000</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36,000,000</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4"/>
                            <w:sz w:val="18"/>
                            <w:szCs w:val="18"/>
                          </w:rPr>
                          <w:t>天津雷石天一股权投资企业（有限合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12,000,000</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12,000,000</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7"/>
                            <w:sz w:val="18"/>
                            <w:szCs w:val="18"/>
                          </w:rPr>
                          <w:t>广发证券股份有限公司约定购回专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用账户</w:t>
                        </w:r>
                      </w:p>
                    </w:tc>
                    <w:tc>
                      <w:tcPr>
                        <w:tcW w:w="39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1,388,721</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1,388,721</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张伟斌</w:t>
                        </w:r>
                      </w:p>
                    </w:tc>
                    <w:tc>
                      <w:tcPr>
                        <w:tcW w:w="39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1,230,000</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4" w:right="0"/>
                          <w:jc w:val="left"/>
                          <w:rPr>
                            <w:rFonts w:ascii="Times New Roman" w:hAnsi="Times New Roman" w:cs="Times New Roman" w:eastAsia="Times New Roman" w:hint="default"/>
                            <w:sz w:val="18"/>
                            <w:szCs w:val="18"/>
                          </w:rPr>
                        </w:pPr>
                        <w:r>
                          <w:rPr>
                            <w:rFonts w:ascii="Times New Roman"/>
                            <w:sz w:val="18"/>
                          </w:rPr>
                          <w:t>1,230,000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王钲涵</w:t>
                        </w:r>
                      </w:p>
                    </w:tc>
                    <w:tc>
                      <w:tcPr>
                        <w:tcW w:w="39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1,018,300</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1,018,300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李广明</w:t>
                        </w:r>
                      </w:p>
                    </w:tc>
                    <w:tc>
                      <w:tcPr>
                        <w:tcW w:w="39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787,700</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8" w:right="0"/>
                          <w:jc w:val="left"/>
                          <w:rPr>
                            <w:rFonts w:ascii="Times New Roman" w:hAnsi="Times New Roman" w:cs="Times New Roman" w:eastAsia="Times New Roman" w:hint="default"/>
                            <w:sz w:val="18"/>
                            <w:szCs w:val="18"/>
                          </w:rPr>
                        </w:pPr>
                        <w:r>
                          <w:rPr>
                            <w:rFonts w:ascii="Times New Roman"/>
                            <w:sz w:val="18"/>
                          </w:rPr>
                          <w:t>787,700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鲍晓薇</w:t>
                        </w:r>
                      </w:p>
                    </w:tc>
                    <w:tc>
                      <w:tcPr>
                        <w:tcW w:w="39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737,700</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8" w:right="0"/>
                          <w:jc w:val="left"/>
                          <w:rPr>
                            <w:rFonts w:ascii="Times New Roman" w:hAnsi="Times New Roman" w:cs="Times New Roman" w:eastAsia="Times New Roman" w:hint="default"/>
                            <w:sz w:val="18"/>
                            <w:szCs w:val="18"/>
                          </w:rPr>
                        </w:pPr>
                        <w:r>
                          <w:rPr>
                            <w:rFonts w:ascii="Times New Roman"/>
                            <w:sz w:val="18"/>
                          </w:rPr>
                          <w:t>737,700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蔡淑忍</w:t>
                        </w:r>
                      </w:p>
                    </w:tc>
                    <w:tc>
                      <w:tcPr>
                        <w:tcW w:w="39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737,416</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8" w:right="0"/>
                          <w:jc w:val="left"/>
                          <w:rPr>
                            <w:rFonts w:ascii="Times New Roman" w:hAnsi="Times New Roman" w:cs="Times New Roman" w:eastAsia="Times New Roman" w:hint="default"/>
                            <w:sz w:val="18"/>
                            <w:szCs w:val="18"/>
                          </w:rPr>
                        </w:pPr>
                        <w:r>
                          <w:rPr>
                            <w:rFonts w:ascii="Times New Roman"/>
                            <w:sz w:val="18"/>
                          </w:rPr>
                          <w:t>737,416</w:t>
                        </w:r>
                      </w:p>
                    </w:tc>
                  </w:tr>
                  <w:tr>
                    <w:trPr>
                      <w:trHeight w:val="133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pacing w:val="-1"/>
                            <w:sz w:val="18"/>
                            <w:szCs w:val="18"/>
                          </w:rPr>
                          <w:t>本公司控股股东及实际控制人吴培服系迪智成投资和启恒投资的控股股东，除以上情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况外，公司未知其他前十名股东是否存在关联关系，也未知是否属于一致行动人。前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十名无限售条件股东之间，公司未知是否存在关联关系，也未知是否属于一致行动人</w:t>
                        </w:r>
                      </w:p>
                    </w:tc>
                  </w:tr>
                  <w:tr>
                    <w:trPr>
                      <w:trHeight w:val="715" w:hRule="exact"/>
                    </w:trPr>
                    <w:tc>
                      <w:tcPr>
                        <w:tcW w:w="2881" w:type="dxa"/>
                        <w:gridSpan w:val="2"/>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97"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务股东情况说明（如有）（参见注</w:t>
                        </w:r>
                        <w:r>
                          <w:rPr>
                            <w:rFonts w:ascii="宋体" w:hAnsi="宋体" w:cs="宋体" w:eastAsia="宋体" w:hint="default"/>
                            <w:spacing w:val="-39"/>
                            <w:sz w:val="18"/>
                            <w:szCs w:val="18"/>
                          </w:rPr>
                          <w:t> </w:t>
                        </w:r>
                        <w:r>
                          <w:rPr>
                            <w:rFonts w:ascii="Times New Roman" w:hAnsi="Times New Roman" w:cs="Times New Roman" w:eastAsia="Times New Roman" w:hint="default"/>
                            <w:spacing w:val="-18"/>
                            <w:sz w:val="18"/>
                            <w:szCs w:val="18"/>
                          </w:rPr>
                          <w:t>4</w:t>
                        </w:r>
                        <w:r>
                          <w:rPr>
                            <w:rFonts w:ascii="宋体" w:hAnsi="宋体" w:cs="宋体" w:eastAsia="宋体" w:hint="default"/>
                            <w:spacing w:val="-18"/>
                            <w:sz w:val="18"/>
                            <w:szCs w:val="18"/>
                          </w:rPr>
                          <w:t>）</w:t>
                        </w:r>
                        <w:r>
                          <w:rPr>
                            <w:rFonts w:ascii="宋体" w:hAnsi="宋体" w:cs="宋体" w:eastAsia="宋体" w:hint="default"/>
                            <w:sz w:val="18"/>
                            <w:szCs w:val="18"/>
                          </w:rPr>
                        </w:r>
                      </w:p>
                    </w:tc>
                    <w:tc>
                      <w:tcPr>
                        <w:tcW w:w="6690" w:type="dxa"/>
                        <w:gridSpan w:val="8"/>
                        <w:tcBorders>
                          <w:top w:val="single" w:sz="4" w:space="0" w:color="000000"/>
                          <w:left w:val="single" w:sz="13" w:space="0" w:color="FFFFFF"/>
                          <w:bottom w:val="single" w:sz="4" w:space="0" w:color="000000"/>
                          <w:right w:val="single" w:sz="4" w:space="0" w:color="000000"/>
                        </w:tcBorders>
                      </w:tcPr>
                      <w:p>
                        <w:pPr>
                          <w:pStyle w:val="TableParagraph"/>
                          <w:spacing w:line="240" w:lineRule="auto" w:before="70"/>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上述前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z w:val="18"/>
                            <w:szCs w:val="18"/>
                          </w:rPr>
                          <w:t>任公司</w:t>
                        </w:r>
                      </w:p>
                      <w:p>
                        <w:pPr>
                          <w:pStyle w:val="TableParagraph"/>
                          <w:spacing w:line="240" w:lineRule="auto" w:before="70"/>
                          <w:ind w:left="66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名无限售条件股东中：</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、张伟斌的投资者信用账户（中国中投证券有限责</w:t>
                        </w:r>
                      </w:p>
                      <w:p>
                        <w:pPr>
                          <w:pStyle w:val="TableParagraph"/>
                          <w:spacing w:line="240" w:lineRule="auto" w:before="62"/>
                          <w:ind w:left="529" w:right="0"/>
                          <w:jc w:val="center"/>
                          <w:rPr>
                            <w:rFonts w:ascii="宋体" w:hAnsi="宋体" w:cs="宋体" w:eastAsia="宋体" w:hint="default"/>
                            <w:sz w:val="18"/>
                            <w:szCs w:val="18"/>
                          </w:rPr>
                        </w:pPr>
                        <w:r>
                          <w:rPr>
                            <w:rFonts w:ascii="宋体" w:hAnsi="宋体" w:cs="宋体" w:eastAsia="宋体" w:hint="default"/>
                            <w:sz w:val="18"/>
                            <w:szCs w:val="18"/>
                          </w:rPr>
                          <w:t>客户信用交易担保证券账户）持股</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1,230,000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w:t>
                        </w:r>
                        <w:r>
                          <w:rPr>
                            <w:rFonts w:ascii="宋体" w:hAnsi="宋体" w:cs="宋体" w:eastAsia="宋体" w:hint="default"/>
                            <w:sz w:val="18"/>
                            <w:szCs w:val="18"/>
                          </w:rPr>
                          <w:t>、蔡淑忍的投资者信用账户</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line="312" w:lineRule="exact"/>
        <w:ind w:left="306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331.75pt;height:15.6pt;mso-position-horizontal-relative:char;mso-position-vertical-relative:line" coordorigin="0,0" coordsize="6635,312">
            <v:group style="position:absolute;left:0;top:0;width:6635;height:312" coordorigin="0,0" coordsize="6635,312">
              <v:shape style="position:absolute;left:0;top:0;width:6635;height:312" coordorigin="0,0" coordsize="6635,312" path="m0,312l6635,312,6635,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745" w:footer="980" w:top="1060" w:bottom="1160" w:left="980" w:right="980"/>
        </w:sectPr>
      </w:pPr>
    </w:p>
    <w:p>
      <w:pPr>
        <w:spacing w:line="240" w:lineRule="auto" w:before="2"/>
        <w:rPr>
          <w:rFonts w:ascii="宋体" w:hAnsi="宋体" w:cs="宋体" w:eastAsia="宋体" w:hint="default"/>
          <w:sz w:val="28"/>
          <w:szCs w:val="28"/>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12;top:14;width:2869;height:354" coordorigin="12,14" coordsize="2869,354">
              <v:shape style="position:absolute;left:12;top:14;width:2869;height:354" coordorigin="12,14" coordsize="2869,354" path="m12,368l2881,368,2881,14,12,14,12,368xe" filled="true" fillcolor="#d2d2d2" stroked="false">
                <v:path arrowok="t"/>
                <v:fill type="solid"/>
              </v:shape>
            </v:group>
            <v:group style="position:absolute;left:10;top:10;width:2872;height:2" coordorigin="10,10" coordsize="2872,2">
              <v:shape style="position:absolute;left:10;top:10;width:2872;height:2" coordorigin="10,10" coordsize="2872,0" path="m10,10l2881,10e" filled="false" stroked="true" strokeweight=".48pt" strokecolor="#000000">
                <v:path arrowok="t"/>
              </v:shape>
            </v:group>
            <v:group style="position:absolute;left:2891;top:10;width:6681;height:2" coordorigin="2891,10" coordsize="6681,2">
              <v:shape style="position:absolute;left:2891;top:10;width:6681;height:2" coordorigin="2891,10" coordsize="6681,0" path="m2891,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2872;height:2" coordorigin="10,372" coordsize="2872,2">
              <v:shape style="position:absolute;left:10;top:372;width:2872;height:2" coordorigin="10,372" coordsize="2872,0" path="m10,372l2881,372e" filled="false" stroked="true" strokeweight=".48pt" strokecolor="#000000">
                <v:path arrowok="t"/>
              </v:shape>
            </v:group>
            <v:group style="position:absolute;left:2886;top:5;width:2;height:373" coordorigin="2886,5" coordsize="2,373">
              <v:shape style="position:absolute;left:2886;top:5;width:2;height:373" coordorigin="2886,5" coordsize="0,373" path="m2886,5l2886,377e" filled="false" stroked="true" strokeweight=".48001pt" strokecolor="#000000">
                <v:path arrowok="t"/>
              </v:shape>
            </v:group>
            <v:group style="position:absolute;left:2891;top:372;width:6681;height:2" coordorigin="2891,372" coordsize="6681,2">
              <v:shape style="position:absolute;left:2891;top:372;width:6681;height:2" coordorigin="2891,372" coordsize="6681,0" path="m2891,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2886;top:10;width:6690;height:363" type="#_x0000_t202" filled="false" stroked="false">
                <v:textbox inset="0,0,0,0">
                  <w:txbxContent>
                    <w:p>
                      <w:pPr>
                        <w:spacing w:before="13"/>
                        <w:ind w:left="28" w:right="0" w:firstLine="0"/>
                        <w:jc w:val="left"/>
                        <w:rPr>
                          <w:rFonts w:ascii="宋体" w:hAnsi="宋体" w:cs="宋体" w:eastAsia="宋体" w:hint="default"/>
                          <w:sz w:val="18"/>
                          <w:szCs w:val="18"/>
                        </w:rPr>
                      </w:pPr>
                      <w:r>
                        <w:rPr>
                          <w:rFonts w:ascii="宋体" w:hAnsi="宋体" w:cs="宋体" w:eastAsia="宋体" w:hint="default"/>
                          <w:sz w:val="18"/>
                          <w:szCs w:val="18"/>
                        </w:rPr>
                        <w:t>（中国银河证券股份有限公司客户信用交易担保证券账户）持股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737,416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xbxContent>
                </v:textbox>
                <w10:wrap type="none"/>
              </v:shape>
            </v:group>
          </v:group>
        </w:pict>
      </w:r>
      <w:r>
        <w:rPr>
          <w:rFonts w:ascii="宋体" w:hAnsi="宋体" w:cs="宋体" w:eastAsia="宋体" w:hint="default"/>
          <w:position w:val="-7"/>
          <w:sz w:val="20"/>
          <w:szCs w:val="20"/>
        </w:rPr>
      </w:r>
    </w:p>
    <w:p>
      <w:pPr>
        <w:spacing w:before="44"/>
        <w:ind w:left="152" w:right="14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14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4"/>
        <w:spacing w:line="240" w:lineRule="auto"/>
        <w:ind w:right="146"/>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江苏双星彩塑新材料股份有限公司董事长、总经理</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7"/>
        <w:rPr>
          <w:rFonts w:ascii="宋体" w:hAnsi="宋体" w:cs="宋体" w:eastAsia="宋体" w:hint="default"/>
          <w:sz w:val="21"/>
          <w:szCs w:val="21"/>
        </w:rPr>
      </w:pPr>
    </w:p>
    <w:p>
      <w:pPr>
        <w:pStyle w:val="Heading4"/>
        <w:spacing w:line="240" w:lineRule="auto"/>
        <w:ind w:right="146"/>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江苏双星彩塑新材料股份有限公司董事长、总经理</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line="5342" w:lineRule="exact"/>
        <w:ind w:left="1504" w:right="0" w:firstLine="0"/>
        <w:rPr>
          <w:rFonts w:ascii="宋体" w:hAnsi="宋体" w:cs="宋体" w:eastAsia="宋体" w:hint="default"/>
          <w:sz w:val="20"/>
          <w:szCs w:val="20"/>
        </w:rPr>
      </w:pPr>
      <w:r>
        <w:rPr>
          <w:rFonts w:ascii="宋体" w:hAnsi="宋体" w:cs="宋体" w:eastAsia="宋体" w:hint="default"/>
          <w:position w:val="-106"/>
          <w:sz w:val="20"/>
          <w:szCs w:val="20"/>
        </w:rPr>
        <w:drawing>
          <wp:inline distT="0" distB="0" distL="0" distR="0">
            <wp:extent cx="4402217" cy="339242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4402217" cy="3392424"/>
                    </a:xfrm>
                    <a:prstGeom prst="rect">
                      <a:avLst/>
                    </a:prstGeom>
                  </pic:spPr>
                </pic:pic>
              </a:graphicData>
            </a:graphic>
          </wp:inline>
        </w:drawing>
      </w:r>
      <w:r>
        <w:rPr>
          <w:rFonts w:ascii="宋体" w:hAnsi="宋体" w:cs="宋体" w:eastAsia="宋体" w:hint="default"/>
          <w:position w:val="-106"/>
          <w:sz w:val="20"/>
          <w:szCs w:val="20"/>
        </w:rPr>
      </w:r>
    </w:p>
    <w:p>
      <w:pPr>
        <w:spacing w:line="240" w:lineRule="auto" w:before="2"/>
        <w:rPr>
          <w:rFonts w:ascii="宋体" w:hAnsi="宋体" w:cs="宋体" w:eastAsia="宋体" w:hint="default"/>
          <w:sz w:val="21"/>
          <w:szCs w:val="21"/>
        </w:rPr>
      </w:pPr>
    </w:p>
    <w:p>
      <w:pPr>
        <w:pStyle w:val="Heading3"/>
        <w:spacing w:line="240" w:lineRule="auto" w:before="26"/>
        <w:ind w:right="146"/>
        <w:jc w:val="left"/>
      </w:pP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46"/>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46"/>
        <w:jc w:val="left"/>
        <w:rPr>
          <w:b w:val="0"/>
          <w:bCs w:val="0"/>
        </w:rPr>
      </w:pPr>
      <w:r>
        <w:rPr/>
        <w:t>四、公司股东及其一致行动人在报告期提出或实施股份增持计划的情况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2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在公司所知的范围内，没有公司股东及其一致行动人在报告期提出或实施股份增持计划。</w:t>
      </w:r>
    </w:p>
    <w:p>
      <w:pPr>
        <w:spacing w:after="0" w:line="338"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46"/>
        <w:jc w:val="left"/>
        <w:rPr>
          <w:b w:val="0"/>
          <w:bCs w:val="0"/>
        </w:rPr>
      </w:pPr>
      <w:bookmarkStart w:name="_TOC_250005"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7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46"/>
        <w:jc w:val="left"/>
        <w:rPr>
          <w:b w:val="0"/>
          <w:bCs w:val="0"/>
        </w:rPr>
      </w:pPr>
      <w:bookmarkStart w:name="_TOC_250004" w:id="8"/>
      <w:r>
        <w:rPr/>
        <w:t>第八节</w:t>
      </w:r>
      <w:r>
        <w:rPr>
          <w:spacing w:val="-8"/>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46"/>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637"/>
        <w:gridCol w:w="540"/>
        <w:gridCol w:w="900"/>
        <w:gridCol w:w="900"/>
        <w:gridCol w:w="1080"/>
        <w:gridCol w:w="900"/>
        <w:gridCol w:w="901"/>
        <w:gridCol w:w="1104"/>
      </w:tblGrid>
      <w:tr>
        <w:trPr>
          <w:trHeight w:val="102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45"/>
              <w:jc w:val="righ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3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8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6" w:right="8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6" w:right="8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7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7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吴培服</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181,048,246</w:t>
            </w:r>
          </w:p>
        </w:tc>
        <w:tc>
          <w:tcPr>
            <w:tcW w:w="9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181,048,246</w:t>
            </w: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87"/>
              <w:jc w:val="right"/>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迪</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pacing w:val="-18"/>
                <w:sz w:val="18"/>
                <w:szCs w:val="18"/>
              </w:rPr>
              <w:t>董事、董事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会秘书、副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88"/>
              <w:jc w:val="right"/>
              <w:rPr>
                <w:rFonts w:ascii="宋体" w:hAnsi="宋体" w:cs="宋体" w:eastAsia="宋体" w:hint="default"/>
                <w:sz w:val="18"/>
                <w:szCs w:val="18"/>
              </w:rPr>
            </w:pPr>
            <w:r>
              <w:rPr>
                <w:rFonts w:ascii="宋体" w:hAnsi="宋体" w:cs="宋体" w:eastAsia="宋体" w:hint="default"/>
                <w:sz w:val="18"/>
                <w:szCs w:val="18"/>
              </w:rPr>
              <w:t>周海燕</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总监、副总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曹 </w:t>
            </w:r>
            <w:r>
              <w:rPr>
                <w:rFonts w:ascii="宋体" w:hAnsi="宋体" w:cs="宋体" w:eastAsia="宋体" w:hint="default"/>
                <w:spacing w:val="2"/>
                <w:sz w:val="18"/>
                <w:szCs w:val="18"/>
              </w:rPr>
              <w:t> </w:t>
            </w:r>
            <w:r>
              <w:rPr>
                <w:rFonts w:ascii="宋体" w:hAnsi="宋体" w:cs="宋体" w:eastAsia="宋体" w:hint="default"/>
                <w:sz w:val="18"/>
                <w:szCs w:val="18"/>
              </w:rPr>
              <w:t>薇</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廖家河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陈 </w:t>
            </w:r>
            <w:r>
              <w:rPr>
                <w:rFonts w:ascii="宋体" w:hAnsi="宋体" w:cs="宋体" w:eastAsia="宋体" w:hint="default"/>
                <w:spacing w:val="2"/>
                <w:sz w:val="18"/>
                <w:szCs w:val="18"/>
              </w:rPr>
              <w:t> </w:t>
            </w:r>
            <w:r>
              <w:rPr>
                <w:rFonts w:ascii="宋体" w:hAnsi="宋体" w:cs="宋体" w:eastAsia="宋体" w:hint="default"/>
                <w:sz w:val="18"/>
                <w:szCs w:val="18"/>
              </w:rPr>
              <w:t>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吕忆农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叶</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池 </w:t>
            </w:r>
            <w:r>
              <w:rPr>
                <w:rFonts w:ascii="宋体" w:hAnsi="宋体" w:cs="宋体" w:eastAsia="宋体" w:hint="default"/>
                <w:spacing w:val="2"/>
                <w:sz w:val="18"/>
                <w:szCs w:val="18"/>
              </w:rPr>
              <w:t> </w:t>
            </w:r>
            <w:r>
              <w:rPr>
                <w:rFonts w:ascii="宋体" w:hAnsi="宋体" w:cs="宋体" w:eastAsia="宋体" w:hint="default"/>
                <w:sz w:val="18"/>
                <w:szCs w:val="18"/>
              </w:rPr>
              <w:t>卫</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卫</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潘建忠</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邹兆云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杨淑侠</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葛 </w:t>
            </w:r>
            <w:r>
              <w:rPr>
                <w:rFonts w:ascii="宋体" w:hAnsi="宋体" w:cs="宋体" w:eastAsia="宋体" w:hint="default"/>
                <w:spacing w:val="2"/>
                <w:sz w:val="18"/>
                <w:szCs w:val="18"/>
              </w:rPr>
              <w:t> </w:t>
            </w:r>
            <w:r>
              <w:rPr>
                <w:rFonts w:ascii="宋体" w:hAnsi="宋体" w:cs="宋体" w:eastAsia="宋体" w:hint="default"/>
                <w:sz w:val="18"/>
                <w:szCs w:val="18"/>
              </w:rPr>
              <w:t>林</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637"/>
        <w:gridCol w:w="540"/>
        <w:gridCol w:w="900"/>
        <w:gridCol w:w="900"/>
        <w:gridCol w:w="1080"/>
        <w:gridCol w:w="900"/>
        <w:gridCol w:w="901"/>
        <w:gridCol w:w="1104"/>
      </w:tblGrid>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葛俊生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钱后相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陆敬权</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孙化斌</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181,048,246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181,048,246</w:t>
            </w:r>
          </w:p>
        </w:tc>
      </w:tr>
    </w:tbl>
    <w:p>
      <w:pPr>
        <w:spacing w:line="240" w:lineRule="auto" w:before="1"/>
        <w:rPr>
          <w:rFonts w:ascii="宋体" w:hAnsi="宋体" w:cs="宋体" w:eastAsia="宋体" w:hint="default"/>
          <w:b/>
          <w:bCs/>
          <w:sz w:val="18"/>
          <w:szCs w:val="18"/>
        </w:rPr>
      </w:pPr>
    </w:p>
    <w:p>
      <w:pPr>
        <w:pStyle w:val="Heading2"/>
        <w:spacing w:line="240" w:lineRule="auto" w:before="26"/>
        <w:ind w:left="133" w:right="8387"/>
        <w:jc w:val="center"/>
        <w:rPr>
          <w:b w:val="0"/>
          <w:bCs w:val="0"/>
        </w:rPr>
      </w:pPr>
      <w:r>
        <w:rPr/>
        <w:t>二、任职情况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spacing w:line="240" w:lineRule="auto" w:before="8"/>
        <w:rPr>
          <w:rFonts w:ascii="宋体" w:hAnsi="宋体" w:cs="宋体" w:eastAsia="宋体" w:hint="default"/>
          <w:sz w:val="12"/>
          <w:szCs w:val="12"/>
        </w:rPr>
      </w:pPr>
    </w:p>
    <w:p>
      <w:pPr>
        <w:pStyle w:val="BodyText"/>
        <w:spacing w:line="240" w:lineRule="auto"/>
        <w:ind w:left="573" w:right="0"/>
        <w:jc w:val="left"/>
      </w:pPr>
      <w:r>
        <w:rPr>
          <w:rFonts w:ascii="Times New Roman" w:hAnsi="Times New Roman" w:cs="Times New Roman" w:eastAsia="Times New Roman" w:hint="default"/>
        </w:rPr>
        <w:t>1</w:t>
      </w:r>
      <w:r>
        <w:rPr/>
        <w:t>、董事</w:t>
      </w:r>
    </w:p>
    <w:p>
      <w:pPr>
        <w:pStyle w:val="BodyText"/>
        <w:spacing w:line="264" w:lineRule="auto" w:before="139"/>
        <w:ind w:right="0" w:firstLine="420"/>
        <w:jc w:val="left"/>
      </w:pPr>
      <w:r>
        <w:rPr>
          <w:spacing w:val="-2"/>
        </w:rPr>
        <w:t>（</w:t>
      </w:r>
      <w:r>
        <w:rPr>
          <w:rFonts w:ascii="Times New Roman" w:hAnsi="Times New Roman" w:cs="Times New Roman" w:eastAsia="Times New Roman" w:hint="default"/>
          <w:spacing w:val="-2"/>
        </w:rPr>
        <w:t>1</w:t>
      </w:r>
      <w:r>
        <w:rPr>
          <w:spacing w:val="-2"/>
        </w:rPr>
        <w:t>）吴培服：男，</w:t>
      </w:r>
      <w:r>
        <w:rPr>
          <w:rFonts w:ascii="Times New Roman" w:hAnsi="Times New Roman" w:cs="Times New Roman" w:eastAsia="Times New Roman" w:hint="default"/>
          <w:spacing w:val="-2"/>
        </w:rPr>
        <w:t>1961</w:t>
      </w:r>
      <w:r>
        <w:rPr>
          <w:spacing w:val="-2"/>
        </w:rPr>
        <w:t>年</w:t>
      </w:r>
      <w:r>
        <w:rPr>
          <w:rFonts w:ascii="Times New Roman" w:hAnsi="Times New Roman" w:cs="Times New Roman" w:eastAsia="Times New Roman" w:hint="default"/>
          <w:spacing w:val="-2"/>
        </w:rPr>
        <w:t>10</w:t>
      </w:r>
      <w:r>
        <w:rPr>
          <w:spacing w:val="-2"/>
        </w:rPr>
        <w:t>月出生，中国籍，无永久境外居留权，大专学历。历任井头综合厂钳工、</w:t>
      </w:r>
      <w:r>
        <w:rPr>
          <w:w w:val="100"/>
        </w:rPr>
        <w:t> </w:t>
      </w:r>
      <w:r>
        <w:rPr>
          <w:spacing w:val="-2"/>
        </w:rPr>
        <w:t>井头乡井头村村长、宿迁市新型包装材料厂厂长、宿迁市铝型材厂厂长、宿迁市电池配件厂厂长、宿迁市</w:t>
      </w:r>
      <w:r>
        <w:rPr>
          <w:spacing w:val="-50"/>
        </w:rPr>
        <w:t> </w:t>
      </w:r>
      <w:r>
        <w:rPr>
          <w:spacing w:val="-50"/>
        </w:rPr>
      </w:r>
      <w:r>
        <w:rPr/>
        <w:t>彩塑包装有限公司执行董事，现任本公司董事长、总经理。</w:t>
      </w:r>
    </w:p>
    <w:p>
      <w:pPr>
        <w:pStyle w:val="BodyText"/>
        <w:spacing w:line="256" w:lineRule="auto" w:before="136"/>
        <w:ind w:right="0" w:firstLine="420"/>
        <w:jc w:val="left"/>
      </w:pPr>
      <w:r>
        <w:rPr>
          <w:spacing w:val="-2"/>
        </w:rPr>
        <w:t>（</w:t>
      </w:r>
      <w:r>
        <w:rPr>
          <w:rFonts w:ascii="Times New Roman" w:hAnsi="Times New Roman" w:cs="Times New Roman" w:eastAsia="Times New Roman" w:hint="default"/>
          <w:spacing w:val="-2"/>
        </w:rPr>
        <w:t>2</w:t>
      </w:r>
      <w:r>
        <w:rPr>
          <w:spacing w:val="-2"/>
        </w:rPr>
        <w:t>）吴迪：男，</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9</w:t>
      </w:r>
      <w:r>
        <w:rPr>
          <w:spacing w:val="-2"/>
        </w:rPr>
        <w:t>月出生，中国籍，无永久境外居留权，本科学历。历任宿迁市彩塑包装有限</w:t>
      </w:r>
      <w:r>
        <w:rPr>
          <w:w w:val="100"/>
        </w:rPr>
        <w:t> </w:t>
      </w:r>
      <w:r>
        <w:rPr/>
        <w:t>公司副总经理。现任本公司董事、董事会秘书、副总经理。</w:t>
      </w:r>
    </w:p>
    <w:p>
      <w:pPr>
        <w:pStyle w:val="BodyText"/>
        <w:spacing w:line="256" w:lineRule="auto" w:before="142"/>
        <w:ind w:right="0" w:firstLine="420"/>
        <w:jc w:val="left"/>
      </w:pPr>
      <w:r>
        <w:rPr>
          <w:spacing w:val="-2"/>
        </w:rPr>
        <w:t>（</w:t>
      </w:r>
      <w:r>
        <w:rPr>
          <w:rFonts w:ascii="Times New Roman" w:hAnsi="Times New Roman" w:cs="Times New Roman" w:eastAsia="Times New Roman" w:hint="default"/>
          <w:spacing w:val="-2"/>
        </w:rPr>
        <w:t>3</w:t>
      </w:r>
      <w:r>
        <w:rPr>
          <w:spacing w:val="-2"/>
        </w:rPr>
        <w:t>）曹薇：女，</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3</w:t>
      </w:r>
      <w:r>
        <w:rPr>
          <w:spacing w:val="-2"/>
        </w:rPr>
        <w:t>月出生，中国籍，无永久境外居留权，大专学历。历任宿迁市彩塑包装有限</w:t>
      </w:r>
      <w:r>
        <w:rPr>
          <w:w w:val="100"/>
        </w:rPr>
        <w:t> </w:t>
      </w:r>
      <w:r>
        <w:rPr/>
        <w:t>公司监事，现任本公司董事。</w:t>
      </w:r>
    </w:p>
    <w:p>
      <w:pPr>
        <w:pStyle w:val="BodyText"/>
        <w:spacing w:line="256" w:lineRule="auto" w:before="143"/>
        <w:ind w:right="0" w:firstLine="420"/>
        <w:jc w:val="left"/>
      </w:pPr>
      <w:r>
        <w:rPr>
          <w:spacing w:val="-2"/>
        </w:rPr>
        <w:t>（</w:t>
      </w:r>
      <w:r>
        <w:rPr>
          <w:rFonts w:ascii="Times New Roman" w:hAnsi="Times New Roman" w:cs="Times New Roman" w:eastAsia="Times New Roman" w:hint="default"/>
          <w:spacing w:val="-2"/>
        </w:rPr>
        <w:t>4</w:t>
      </w:r>
      <w:r>
        <w:rPr>
          <w:spacing w:val="-2"/>
        </w:rPr>
        <w:t>）周海燕：女，</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1</w:t>
      </w:r>
      <w:r>
        <w:rPr>
          <w:spacing w:val="-2"/>
        </w:rPr>
        <w:t>月出生，中国籍，无永久境外居留权，专科学历。历任宿迁市彩塑包装有</w:t>
      </w:r>
      <w:r>
        <w:rPr>
          <w:w w:val="100"/>
        </w:rPr>
        <w:t> </w:t>
      </w:r>
      <w:r>
        <w:rPr/>
        <w:t>限公司副总经理、财务经理。现任本公司董事、副总经理、财务总监。</w:t>
      </w:r>
    </w:p>
    <w:p>
      <w:pPr>
        <w:pStyle w:val="BodyText"/>
        <w:spacing w:line="261" w:lineRule="auto" w:before="142"/>
        <w:ind w:right="0" w:firstLine="420"/>
        <w:jc w:val="left"/>
      </w:pPr>
      <w:r>
        <w:rPr>
          <w:spacing w:val="-2"/>
        </w:rPr>
        <w:t>（</w:t>
      </w:r>
      <w:r>
        <w:rPr>
          <w:rFonts w:ascii="Times New Roman" w:hAnsi="Times New Roman" w:cs="Times New Roman" w:eastAsia="Times New Roman" w:hint="default"/>
          <w:spacing w:val="-2"/>
        </w:rPr>
        <w:t>5</w:t>
      </w:r>
      <w:r>
        <w:rPr>
          <w:spacing w:val="-2"/>
        </w:rPr>
        <w:t>）廖家河：男，</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12</w:t>
      </w:r>
      <w:r>
        <w:rPr>
          <w:spacing w:val="-2"/>
        </w:rPr>
        <w:t>月出生，中国籍，无永久境外居留权，本科学历。现任本公司独立董事。</w:t>
      </w:r>
      <w:r>
        <w:rPr>
          <w:w w:val="100"/>
        </w:rPr>
        <w:t> </w:t>
      </w:r>
      <w:r>
        <w:rPr>
          <w:spacing w:val="-2"/>
        </w:rPr>
        <w:t>历任北京有机化工厂职工、中天信会计师事务所部门经理、北京天华会计事务所经理、北京东湖会计师事</w:t>
      </w:r>
      <w:r>
        <w:rPr>
          <w:spacing w:val="-44"/>
        </w:rPr>
        <w:t> </w:t>
      </w:r>
      <w:r>
        <w:rPr>
          <w:spacing w:val="-44"/>
        </w:rPr>
      </w:r>
      <w:r>
        <w:rPr/>
        <w:t>务所合伙人，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月至今，立信会计师事务所合伙人。兼任河南中原内配股份有限公司、南京光一科</w:t>
      </w:r>
      <w:r>
        <w:rPr>
          <w:spacing w:val="-26"/>
        </w:rPr>
        <w:t> </w:t>
      </w:r>
      <w:r>
        <w:rPr>
          <w:spacing w:val="-26"/>
        </w:rPr>
      </w:r>
      <w:r>
        <w:rPr/>
        <w:t>技股份有限公司、北京中关村科技发展股份有限公司、江苏佳宇资源利用股份有限公司独立董事。</w:t>
      </w:r>
    </w:p>
    <w:p>
      <w:pPr>
        <w:pStyle w:val="BodyText"/>
        <w:spacing w:line="261" w:lineRule="auto" w:before="138"/>
        <w:ind w:right="185" w:firstLine="420"/>
        <w:jc w:val="both"/>
      </w:pPr>
      <w:r>
        <w:rPr/>
        <w:t>（</w:t>
      </w:r>
      <w:r>
        <w:rPr>
          <w:rFonts w:ascii="Times New Roman" w:hAnsi="Times New Roman" w:cs="Times New Roman" w:eastAsia="Times New Roman" w:hint="default"/>
        </w:rPr>
        <w:t>6</w:t>
      </w:r>
      <w:r>
        <w:rPr/>
        <w:t>）陈强：男，</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10</w:t>
      </w:r>
      <w:r>
        <w:rPr/>
        <w:t>月出生，中国籍，无永久境外居留权，本科学历。历任南京大学高分子材</w:t>
      </w:r>
      <w:r>
        <w:rPr>
          <w:w w:val="100"/>
        </w:rPr>
        <w:t> </w:t>
      </w:r>
      <w:r>
        <w:rPr>
          <w:spacing w:val="-2"/>
        </w:rPr>
        <w:t>料研究中心助工、工程师、主任助理，南京大学表面和界面化学工程技术研究中心研发部副主任、主任，</w:t>
      </w:r>
      <w:r>
        <w:rPr>
          <w:spacing w:val="-21"/>
        </w:rPr>
        <w:t> </w:t>
      </w:r>
      <w:r>
        <w:rPr>
          <w:spacing w:val="-21"/>
        </w:rPr>
      </w:r>
      <w:r>
        <w:rPr>
          <w:spacing w:val="-4"/>
        </w:rPr>
        <w:t>南京大学化学化工学院办公室主任。</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w:t>
      </w:r>
      <w:r>
        <w:rPr>
          <w:spacing w:val="-4"/>
        </w:rPr>
        <w:t>月获得</w:t>
      </w:r>
      <w:r>
        <w:rPr>
          <w:rFonts w:ascii="Times New Roman" w:hAnsi="Times New Roman" w:cs="Times New Roman" w:eastAsia="Times New Roman" w:hint="default"/>
          <w:spacing w:val="-4"/>
        </w:rPr>
        <w:t>“</w:t>
      </w:r>
      <w:r>
        <w:rPr>
          <w:spacing w:val="-4"/>
        </w:rPr>
        <w:t>江苏省十大青年科技之星</w:t>
      </w:r>
      <w:r>
        <w:rPr>
          <w:rFonts w:ascii="Times New Roman" w:hAnsi="Times New Roman" w:cs="Times New Roman" w:eastAsia="Times New Roman" w:hint="default"/>
          <w:spacing w:val="-4"/>
        </w:rPr>
        <w:t>”</w:t>
      </w:r>
      <w:r>
        <w:rPr>
          <w:spacing w:val="-4"/>
        </w:rPr>
        <w:t>称号。兼任江苏亚邦染料股</w:t>
      </w:r>
      <w:r>
        <w:rPr>
          <w:spacing w:val="-21"/>
        </w:rPr>
        <w:t> </w:t>
      </w:r>
      <w:r>
        <w:rPr>
          <w:spacing w:val="-21"/>
        </w:rPr>
      </w:r>
      <w:r>
        <w:rPr/>
        <w:t>份有限公司独立董事，现任本公司独立董事。</w:t>
      </w:r>
    </w:p>
    <w:p>
      <w:pPr>
        <w:pStyle w:val="BodyText"/>
        <w:spacing w:line="264" w:lineRule="auto" w:before="139"/>
        <w:ind w:right="0" w:firstLine="420"/>
        <w:jc w:val="left"/>
      </w:pPr>
      <w:r>
        <w:rPr>
          <w:spacing w:val="-4"/>
        </w:rPr>
        <w:t>（</w:t>
      </w:r>
      <w:r>
        <w:rPr>
          <w:rFonts w:ascii="Times New Roman" w:hAnsi="Times New Roman" w:cs="Times New Roman" w:eastAsia="Times New Roman" w:hint="default"/>
          <w:spacing w:val="-4"/>
        </w:rPr>
        <w:t>7</w:t>
      </w:r>
      <w:r>
        <w:rPr>
          <w:spacing w:val="-4"/>
        </w:rPr>
        <w:t>）吕忆农：男，</w:t>
      </w:r>
      <w:r>
        <w:rPr>
          <w:rFonts w:ascii="Times New Roman" w:hAnsi="Times New Roman" w:cs="Times New Roman" w:eastAsia="Times New Roman" w:hint="default"/>
          <w:spacing w:val="-4"/>
        </w:rPr>
        <w:t>1962</w:t>
      </w:r>
      <w:r>
        <w:rPr>
          <w:spacing w:val="-4"/>
        </w:rPr>
        <w:t>年</w:t>
      </w:r>
      <w:r>
        <w:rPr>
          <w:rFonts w:ascii="Times New Roman" w:hAnsi="Times New Roman" w:cs="Times New Roman" w:eastAsia="Times New Roman" w:hint="default"/>
          <w:spacing w:val="-4"/>
        </w:rPr>
        <w:t>7</w:t>
      </w:r>
      <w:r>
        <w:rPr>
          <w:spacing w:val="-4"/>
        </w:rPr>
        <w:t>月出生，中国籍，无永久境外居留权，研究生学历。毕业于南京化工学院，</w:t>
      </w:r>
      <w:r>
        <w:rPr>
          <w:w w:val="100"/>
        </w:rPr>
        <w:t> </w:t>
      </w:r>
      <w:r>
        <w:rPr>
          <w:spacing w:val="-2"/>
        </w:rPr>
        <w:t>历任南京化工学院助教、讲师、副教授，现任南京工业大学教授。兼任四川金顶（集团）股份有限公司独</w:t>
      </w:r>
      <w:r>
        <w:rPr>
          <w:spacing w:val="-42"/>
        </w:rPr>
        <w:t> </w:t>
      </w:r>
      <w:r>
        <w:rPr>
          <w:spacing w:val="-42"/>
        </w:rPr>
      </w:r>
      <w:r>
        <w:rPr/>
        <w:t>立董事。现任本公司独立董事。</w:t>
      </w:r>
    </w:p>
    <w:p>
      <w:pPr>
        <w:pStyle w:val="BodyText"/>
        <w:spacing w:line="240" w:lineRule="auto" w:before="136"/>
        <w:ind w:left="573" w:right="0"/>
        <w:jc w:val="left"/>
      </w:pPr>
      <w:r>
        <w:rPr>
          <w:rFonts w:ascii="Times New Roman" w:hAnsi="Times New Roman" w:cs="Times New Roman" w:eastAsia="Times New Roman" w:hint="default"/>
        </w:rPr>
        <w:t>2</w:t>
      </w:r>
      <w:r>
        <w:rPr/>
        <w:t>、监事</w:t>
      </w:r>
    </w:p>
    <w:p>
      <w:pPr>
        <w:pStyle w:val="BodyText"/>
        <w:spacing w:line="256" w:lineRule="auto" w:before="141"/>
        <w:ind w:right="0" w:firstLine="420"/>
        <w:jc w:val="left"/>
      </w:pPr>
      <w:r>
        <w:rPr>
          <w:spacing w:val="-2"/>
        </w:rPr>
        <w:t>（</w:t>
      </w:r>
      <w:r>
        <w:rPr>
          <w:rFonts w:ascii="Times New Roman" w:hAnsi="Times New Roman" w:cs="Times New Roman" w:eastAsia="Times New Roman" w:hint="default"/>
          <w:spacing w:val="-2"/>
        </w:rPr>
        <w:t>1</w:t>
      </w:r>
      <w:r>
        <w:rPr>
          <w:spacing w:val="-2"/>
        </w:rPr>
        <w:t>）金叶：女，</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1</w:t>
      </w:r>
      <w:r>
        <w:rPr>
          <w:spacing w:val="-2"/>
        </w:rPr>
        <w:t>月出生，中国籍，无永久境外居留权，本科学历。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月为</w:t>
      </w:r>
      <w:r>
        <w:rPr>
          <w:w w:val="100"/>
        </w:rPr>
        <w:t> </w:t>
      </w:r>
      <w:r>
        <w:rPr/>
        <w:t>宿迁市彩塑包装有限公司员工。现任本公司监事会主席。</w:t>
      </w:r>
    </w:p>
    <w:p>
      <w:pPr>
        <w:pStyle w:val="BodyText"/>
        <w:spacing w:line="256" w:lineRule="auto" w:before="142"/>
        <w:ind w:right="0" w:firstLine="420"/>
        <w:jc w:val="left"/>
      </w:pPr>
      <w:r>
        <w:rPr>
          <w:spacing w:val="-2"/>
        </w:rPr>
        <w:t>（</w:t>
      </w:r>
      <w:r>
        <w:rPr>
          <w:rFonts w:ascii="Times New Roman" w:hAnsi="Times New Roman" w:cs="Times New Roman" w:eastAsia="Times New Roman" w:hint="default"/>
          <w:spacing w:val="-2"/>
        </w:rPr>
        <w:t>2</w:t>
      </w:r>
      <w:r>
        <w:rPr>
          <w:spacing w:val="-2"/>
        </w:rPr>
        <w:t>）池卫，女，</w:t>
      </w:r>
      <w:r>
        <w:rPr>
          <w:rFonts w:ascii="Times New Roman" w:hAnsi="Times New Roman" w:cs="Times New Roman" w:eastAsia="Times New Roman" w:hint="default"/>
          <w:spacing w:val="-2"/>
        </w:rPr>
        <w:t>1985</w:t>
      </w:r>
      <w:r>
        <w:rPr>
          <w:spacing w:val="-2"/>
        </w:rPr>
        <w:t>年</w:t>
      </w:r>
      <w:r>
        <w:rPr>
          <w:rFonts w:ascii="Times New Roman" w:hAnsi="Times New Roman" w:cs="Times New Roman" w:eastAsia="Times New Roman" w:hint="default"/>
          <w:spacing w:val="-2"/>
        </w:rPr>
        <w:t>11</w:t>
      </w:r>
      <w:r>
        <w:rPr>
          <w:spacing w:val="-2"/>
        </w:rPr>
        <w:t>月出生，中国籍，无永久境外居留权，本科学历。</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月为宿</w:t>
      </w:r>
      <w:r>
        <w:rPr>
          <w:w w:val="100"/>
        </w:rPr>
        <w:t> </w:t>
      </w:r>
      <w:r>
        <w:rPr/>
        <w:t>迁市彩塑包装有限公司员工。现任本公司知识产权部部长、监事。</w:t>
      </w:r>
    </w:p>
    <w:p>
      <w:pPr>
        <w:spacing w:after="0" w:line="256"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56" w:lineRule="auto" w:before="36"/>
        <w:ind w:right="0" w:firstLine="420"/>
        <w:jc w:val="left"/>
      </w:pPr>
      <w:r>
        <w:rPr/>
        <w:t>（</w:t>
      </w:r>
      <w:r>
        <w:rPr>
          <w:rFonts w:ascii="Times New Roman" w:hAnsi="Times New Roman" w:cs="Times New Roman" w:eastAsia="Times New Roman" w:hint="default"/>
        </w:rPr>
        <w:t>3</w:t>
      </w:r>
      <w:r>
        <w:rPr/>
        <w:t>）郑卫：男，</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6</w:t>
      </w:r>
      <w:r>
        <w:rPr/>
        <w:t>月出生，中国籍，无永久境外居留权，本科学历。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w w:val="100"/>
        </w:rPr>
        <w:t> </w:t>
      </w:r>
      <w:r>
        <w:rPr/>
        <w:t>为宿迁市彩塑包装有限公司员工。现任本公司监事。</w:t>
      </w:r>
    </w:p>
    <w:p>
      <w:pPr>
        <w:pStyle w:val="BodyText"/>
        <w:spacing w:line="240" w:lineRule="auto" w:before="142"/>
        <w:ind w:left="573" w:right="0"/>
        <w:jc w:val="left"/>
      </w:pPr>
      <w:r>
        <w:rPr>
          <w:rFonts w:ascii="Times New Roman" w:hAnsi="Times New Roman" w:cs="Times New Roman" w:eastAsia="Times New Roman" w:hint="default"/>
        </w:rPr>
        <w:t>3</w:t>
      </w:r>
      <w:r>
        <w:rPr/>
        <w:t>、高级管理人员</w:t>
      </w:r>
    </w:p>
    <w:p>
      <w:pPr>
        <w:pStyle w:val="BodyText"/>
        <w:spacing w:line="264" w:lineRule="auto" w:before="141"/>
        <w:ind w:right="0" w:firstLine="420"/>
        <w:jc w:val="left"/>
      </w:pPr>
      <w:r>
        <w:rPr>
          <w:spacing w:val="-2"/>
        </w:rPr>
        <w:t>（</w:t>
      </w:r>
      <w:r>
        <w:rPr>
          <w:rFonts w:ascii="Times New Roman" w:hAnsi="Times New Roman" w:cs="Times New Roman" w:eastAsia="Times New Roman" w:hint="default"/>
          <w:spacing w:val="-2"/>
        </w:rPr>
        <w:t>1</w:t>
      </w:r>
      <w:r>
        <w:rPr>
          <w:spacing w:val="-2"/>
        </w:rPr>
        <w:t>）吴培服：男，</w:t>
      </w:r>
      <w:r>
        <w:rPr>
          <w:rFonts w:ascii="Times New Roman" w:hAnsi="Times New Roman" w:cs="Times New Roman" w:eastAsia="Times New Roman" w:hint="default"/>
          <w:spacing w:val="-2"/>
        </w:rPr>
        <w:t>1961</w:t>
      </w:r>
      <w:r>
        <w:rPr>
          <w:spacing w:val="-2"/>
        </w:rPr>
        <w:t>年</w:t>
      </w:r>
      <w:r>
        <w:rPr>
          <w:rFonts w:ascii="Times New Roman" w:hAnsi="Times New Roman" w:cs="Times New Roman" w:eastAsia="Times New Roman" w:hint="default"/>
          <w:spacing w:val="-2"/>
        </w:rPr>
        <w:t>10</w:t>
      </w:r>
      <w:r>
        <w:rPr>
          <w:spacing w:val="-2"/>
        </w:rPr>
        <w:t>月出生，中国籍，无永久境外居留权，大专学历。历任井头综合厂钳工、</w:t>
      </w:r>
      <w:r>
        <w:rPr>
          <w:w w:val="100"/>
        </w:rPr>
        <w:t> </w:t>
      </w:r>
      <w:r>
        <w:rPr>
          <w:spacing w:val="-2"/>
        </w:rPr>
        <w:t>井头乡井头村村长、宿迁市新型包装材料厂厂长、宿迁市铝型材厂厂长、宿迁市电池配件厂厂长、宿迁市</w:t>
      </w:r>
      <w:r>
        <w:rPr>
          <w:spacing w:val="-50"/>
        </w:rPr>
        <w:t> </w:t>
      </w:r>
      <w:r>
        <w:rPr>
          <w:spacing w:val="-50"/>
        </w:rPr>
      </w:r>
      <w:r>
        <w:rPr/>
        <w:t>彩塑包装有限公司执行董事，现任本公司董事长、总经理。</w:t>
      </w:r>
    </w:p>
    <w:p>
      <w:pPr>
        <w:pStyle w:val="BodyText"/>
        <w:spacing w:line="256" w:lineRule="auto" w:before="136"/>
        <w:ind w:right="0" w:firstLine="420"/>
        <w:jc w:val="left"/>
      </w:pPr>
      <w:r>
        <w:rPr>
          <w:spacing w:val="-2"/>
        </w:rPr>
        <w:t>（</w:t>
      </w:r>
      <w:r>
        <w:rPr>
          <w:rFonts w:ascii="Times New Roman" w:hAnsi="Times New Roman" w:cs="Times New Roman" w:eastAsia="Times New Roman" w:hint="default"/>
          <w:spacing w:val="-2"/>
        </w:rPr>
        <w:t>2</w:t>
      </w:r>
      <w:r>
        <w:rPr>
          <w:spacing w:val="-2"/>
        </w:rPr>
        <w:t>）吴迪：男，</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9</w:t>
      </w:r>
      <w:r>
        <w:rPr>
          <w:spacing w:val="-2"/>
        </w:rPr>
        <w:t>月出生，中国籍，无永久境外居留权，本科学历。历任宿迁市彩塑包装有限</w:t>
      </w:r>
      <w:r>
        <w:rPr>
          <w:w w:val="100"/>
        </w:rPr>
        <w:t> </w:t>
      </w:r>
      <w:r>
        <w:rPr/>
        <w:t>公司副总经理。现任本公司董事、董事会秘书、副总经理。</w:t>
      </w:r>
    </w:p>
    <w:p>
      <w:pPr>
        <w:pStyle w:val="BodyText"/>
        <w:spacing w:line="256" w:lineRule="auto" w:before="142"/>
        <w:ind w:right="0" w:firstLine="420"/>
        <w:jc w:val="left"/>
      </w:pPr>
      <w:r>
        <w:rPr>
          <w:spacing w:val="-2"/>
        </w:rPr>
        <w:t>（</w:t>
      </w:r>
      <w:r>
        <w:rPr>
          <w:rFonts w:ascii="Times New Roman" w:hAnsi="Times New Roman" w:cs="Times New Roman" w:eastAsia="Times New Roman" w:hint="default"/>
          <w:spacing w:val="-2"/>
        </w:rPr>
        <w:t>3</w:t>
      </w:r>
      <w:r>
        <w:rPr>
          <w:spacing w:val="-2"/>
        </w:rPr>
        <w:t>）周海燕：女，</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1</w:t>
      </w:r>
      <w:r>
        <w:rPr>
          <w:spacing w:val="-2"/>
        </w:rPr>
        <w:t>月出生，中国籍，无永久境外居留权，专科学历。历任宿迁市彩塑包装有</w:t>
      </w:r>
      <w:r>
        <w:rPr>
          <w:w w:val="100"/>
        </w:rPr>
        <w:t> </w:t>
      </w:r>
      <w:r>
        <w:rPr/>
        <w:t>限公司副总经理、财务经理。现任本公司董事、副总经理、财务总监。</w:t>
      </w:r>
    </w:p>
    <w:p>
      <w:pPr>
        <w:pStyle w:val="BodyText"/>
        <w:spacing w:line="256" w:lineRule="auto" w:before="143"/>
        <w:ind w:right="0" w:firstLine="420"/>
        <w:jc w:val="left"/>
      </w:pPr>
      <w:r>
        <w:rPr/>
        <w:t>（</w:t>
      </w:r>
      <w:r>
        <w:rPr>
          <w:rFonts w:ascii="Times New Roman" w:hAnsi="Times New Roman" w:cs="Times New Roman" w:eastAsia="Times New Roman" w:hint="default"/>
        </w:rPr>
        <w:t>4</w:t>
      </w:r>
      <w:r>
        <w:rPr/>
        <w:t>）潘建忠：男，</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11</w:t>
      </w:r>
      <w:r>
        <w:rPr/>
        <w:t>月出生，中国籍，无永久境外居留权，本科学历。历任宁波包装材料有</w:t>
      </w:r>
      <w:r>
        <w:rPr>
          <w:w w:val="100"/>
        </w:rPr>
        <w:t> </w:t>
      </w:r>
      <w:r>
        <w:rPr>
          <w:spacing w:val="-5"/>
        </w:rPr>
        <w:t>限公司技术部副经理、江苏琼花集团副总经理、宿迁市彩塑包装有限公司副总经理。现任本公司副总经理。</w:t>
      </w:r>
    </w:p>
    <w:p>
      <w:pPr>
        <w:pStyle w:val="BodyText"/>
        <w:spacing w:line="256" w:lineRule="auto" w:before="142"/>
        <w:ind w:right="0" w:firstLine="420"/>
        <w:jc w:val="left"/>
      </w:pPr>
      <w:r>
        <w:rPr>
          <w:spacing w:val="-4"/>
        </w:rPr>
        <w:t>（</w:t>
      </w:r>
      <w:r>
        <w:rPr>
          <w:rFonts w:ascii="Times New Roman" w:hAnsi="Times New Roman" w:cs="Times New Roman" w:eastAsia="Times New Roman" w:hint="default"/>
          <w:spacing w:val="-4"/>
        </w:rPr>
        <w:t>5</w:t>
      </w:r>
      <w:r>
        <w:rPr>
          <w:spacing w:val="-4"/>
        </w:rPr>
        <w:t>）邹兆云：男，</w:t>
      </w:r>
      <w:r>
        <w:rPr>
          <w:rFonts w:ascii="Times New Roman" w:hAnsi="Times New Roman" w:cs="Times New Roman" w:eastAsia="Times New Roman" w:hint="default"/>
          <w:spacing w:val="-4"/>
        </w:rPr>
        <w:t>1966</w:t>
      </w:r>
      <w:r>
        <w:rPr>
          <w:spacing w:val="-4"/>
        </w:rPr>
        <w:t>年</w:t>
      </w:r>
      <w:r>
        <w:rPr>
          <w:rFonts w:ascii="Times New Roman" w:hAnsi="Times New Roman" w:cs="Times New Roman" w:eastAsia="Times New Roman" w:hint="default"/>
          <w:spacing w:val="-4"/>
        </w:rPr>
        <w:t>4</w:t>
      </w:r>
      <w:r>
        <w:rPr>
          <w:spacing w:val="-4"/>
        </w:rPr>
        <w:t>月出生，中国籍，无永久境外居留权，高中学历。历任宿迁市卫生局员工、</w:t>
      </w:r>
      <w:r>
        <w:rPr>
          <w:w w:val="100"/>
        </w:rPr>
        <w:t> </w:t>
      </w:r>
      <w:r>
        <w:rPr/>
        <w:t>宿迁市彩塑包装有限公司副总经理、营销部主管。现任本公司副总经理。</w:t>
      </w:r>
    </w:p>
    <w:p>
      <w:pPr>
        <w:pStyle w:val="BodyText"/>
        <w:spacing w:line="256" w:lineRule="auto" w:before="142"/>
        <w:ind w:right="0" w:firstLine="420"/>
        <w:jc w:val="left"/>
      </w:pPr>
      <w:r>
        <w:rPr>
          <w:spacing w:val="-2"/>
        </w:rPr>
        <w:t>（</w:t>
      </w:r>
      <w:r>
        <w:rPr>
          <w:rFonts w:ascii="Times New Roman" w:hAnsi="Times New Roman" w:cs="Times New Roman" w:eastAsia="Times New Roman" w:hint="default"/>
          <w:spacing w:val="-2"/>
        </w:rPr>
        <w:t>6</w:t>
      </w:r>
      <w:r>
        <w:rPr>
          <w:spacing w:val="-2"/>
        </w:rPr>
        <w:t>）杨淑侠：女，</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1</w:t>
      </w:r>
      <w:r>
        <w:rPr>
          <w:spacing w:val="-2"/>
        </w:rPr>
        <w:t>月出生，中国籍，无永久境外居留权，高中学历。历任宿迁市彩塑包装有</w:t>
      </w:r>
      <w:r>
        <w:rPr>
          <w:w w:val="100"/>
        </w:rPr>
        <w:t> </w:t>
      </w:r>
      <w:r>
        <w:rPr/>
        <w:t>限公司副总经理。现任本公司副总经理。</w:t>
      </w:r>
    </w:p>
    <w:p>
      <w:pPr>
        <w:pStyle w:val="BodyText"/>
        <w:spacing w:line="256" w:lineRule="auto" w:before="142"/>
        <w:ind w:right="0" w:firstLine="420"/>
        <w:jc w:val="left"/>
      </w:pPr>
      <w:r>
        <w:rPr/>
        <w:t>（</w:t>
      </w:r>
      <w:r>
        <w:rPr>
          <w:rFonts w:ascii="Times New Roman" w:hAnsi="Times New Roman" w:cs="Times New Roman" w:eastAsia="Times New Roman" w:hint="default"/>
        </w:rPr>
        <w:t>7</w:t>
      </w:r>
      <w:r>
        <w:rPr/>
        <w:t>）葛林：男，</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10</w:t>
      </w:r>
      <w:r>
        <w:rPr/>
        <w:t>月出生，中国籍，无永久境外居留权，专科学历。历任宿迁市制鞋总厂车</w:t>
      </w:r>
      <w:r>
        <w:rPr>
          <w:w w:val="100"/>
        </w:rPr>
        <w:t> </w:t>
      </w:r>
      <w:r>
        <w:rPr/>
        <w:t>间主任、宿迁市彩塑包装有限公司副总经理。现任本公司副总经理。</w:t>
      </w:r>
    </w:p>
    <w:p>
      <w:pPr>
        <w:pStyle w:val="BodyText"/>
        <w:spacing w:line="256" w:lineRule="auto" w:before="142"/>
        <w:ind w:right="0" w:firstLine="420"/>
        <w:jc w:val="left"/>
      </w:pPr>
      <w:r>
        <w:rPr>
          <w:spacing w:val="-2"/>
        </w:rPr>
        <w:t>（</w:t>
      </w:r>
      <w:r>
        <w:rPr>
          <w:rFonts w:ascii="Times New Roman" w:hAnsi="Times New Roman" w:cs="Times New Roman" w:eastAsia="Times New Roman" w:hint="default"/>
          <w:spacing w:val="-2"/>
        </w:rPr>
        <w:t>8</w:t>
      </w:r>
      <w:r>
        <w:rPr>
          <w:spacing w:val="-2"/>
        </w:rPr>
        <w:t>）葛俊生：男，</w:t>
      </w:r>
      <w:r>
        <w:rPr>
          <w:rFonts w:ascii="Times New Roman" w:hAnsi="Times New Roman" w:cs="Times New Roman" w:eastAsia="Times New Roman" w:hint="default"/>
          <w:spacing w:val="-2"/>
        </w:rPr>
        <w:t>1967</w:t>
      </w:r>
      <w:r>
        <w:rPr>
          <w:spacing w:val="-2"/>
        </w:rPr>
        <w:t>年</w:t>
      </w:r>
      <w:r>
        <w:rPr>
          <w:rFonts w:ascii="Times New Roman" w:hAnsi="Times New Roman" w:cs="Times New Roman" w:eastAsia="Times New Roman" w:hint="default"/>
          <w:spacing w:val="-2"/>
        </w:rPr>
        <w:t>9</w:t>
      </w:r>
      <w:r>
        <w:rPr>
          <w:spacing w:val="-2"/>
        </w:rPr>
        <w:t>月出生，中国籍，无永久境外居留权，高中学历。历任井头乡副食品厂工</w:t>
      </w:r>
      <w:r>
        <w:rPr>
          <w:w w:val="100"/>
        </w:rPr>
        <w:t> </w:t>
      </w:r>
      <w:r>
        <w:rPr/>
        <w:t>人、宿迁市彩塑包装有限公司副总经理、技术部主管。现任本公司副总经理。</w:t>
      </w:r>
    </w:p>
    <w:p>
      <w:pPr>
        <w:pStyle w:val="BodyText"/>
        <w:spacing w:line="264" w:lineRule="auto" w:before="143"/>
        <w:ind w:right="206" w:firstLine="420"/>
        <w:jc w:val="both"/>
      </w:pPr>
      <w:r>
        <w:rPr>
          <w:spacing w:val="-2"/>
        </w:rPr>
        <w:t>（</w:t>
      </w:r>
      <w:r>
        <w:rPr>
          <w:rFonts w:ascii="Times New Roman" w:hAnsi="Times New Roman" w:cs="Times New Roman" w:eastAsia="Times New Roman" w:hint="default"/>
          <w:spacing w:val="-2"/>
        </w:rPr>
        <w:t>9</w:t>
      </w:r>
      <w:r>
        <w:rPr>
          <w:spacing w:val="-2"/>
        </w:rPr>
        <w:t>）钱后相：男，</w:t>
      </w:r>
      <w:r>
        <w:rPr>
          <w:rFonts w:ascii="Times New Roman" w:hAnsi="Times New Roman" w:cs="Times New Roman" w:eastAsia="Times New Roman" w:hint="default"/>
          <w:spacing w:val="-2"/>
        </w:rPr>
        <w:t>1967</w:t>
      </w:r>
      <w:r>
        <w:rPr>
          <w:spacing w:val="-2"/>
        </w:rPr>
        <w:t>年</w:t>
      </w:r>
      <w:r>
        <w:rPr>
          <w:rFonts w:ascii="Times New Roman" w:hAnsi="Times New Roman" w:cs="Times New Roman" w:eastAsia="Times New Roman" w:hint="default"/>
          <w:spacing w:val="-2"/>
        </w:rPr>
        <w:t>6</w:t>
      </w:r>
      <w:r>
        <w:rPr>
          <w:spacing w:val="-2"/>
        </w:rPr>
        <w:t>月出生，中国籍，无永久境外居留权，本科学历。历任中国石化仪征化纤</w:t>
      </w:r>
      <w:r>
        <w:rPr>
          <w:w w:val="100"/>
        </w:rPr>
        <w:t> </w:t>
      </w:r>
      <w:r>
        <w:rPr>
          <w:spacing w:val="-2"/>
        </w:rPr>
        <w:t>股份有限公司技术质量监督科科长、江苏倪家巷集团常盛化纤有限公司副总经理、青岛三盛钛业商贸有限</w:t>
      </w:r>
      <w:r>
        <w:rPr>
          <w:spacing w:val="-42"/>
        </w:rPr>
        <w:t> </w:t>
      </w:r>
      <w:r>
        <w:rPr>
          <w:spacing w:val="-42"/>
        </w:rPr>
      </w:r>
      <w:r>
        <w:rPr/>
        <w:t>公司技术总监、现任现任本公司副总经理。</w:t>
      </w:r>
    </w:p>
    <w:p>
      <w:pPr>
        <w:pStyle w:val="BodyText"/>
        <w:spacing w:line="256" w:lineRule="auto" w:before="136"/>
        <w:ind w:right="0" w:firstLine="420"/>
        <w:jc w:val="left"/>
      </w:pPr>
      <w:r>
        <w:rPr>
          <w:spacing w:val="-2"/>
        </w:rPr>
        <w:t>（</w:t>
      </w:r>
      <w:r>
        <w:rPr>
          <w:rFonts w:ascii="Times New Roman" w:hAnsi="Times New Roman" w:cs="Times New Roman" w:eastAsia="Times New Roman" w:hint="default"/>
          <w:spacing w:val="-2"/>
        </w:rPr>
        <w:t>10</w:t>
      </w:r>
      <w:r>
        <w:rPr>
          <w:spacing w:val="-2"/>
        </w:rPr>
        <w:t>）陆敬权：男，</w:t>
      </w:r>
      <w:r>
        <w:rPr>
          <w:rFonts w:ascii="Times New Roman" w:hAnsi="Times New Roman" w:cs="Times New Roman" w:eastAsia="Times New Roman" w:hint="default"/>
          <w:spacing w:val="-2"/>
        </w:rPr>
        <w:t>1980</w:t>
      </w:r>
      <w:r>
        <w:rPr>
          <w:spacing w:val="-2"/>
        </w:rPr>
        <w:t>年</w:t>
      </w:r>
      <w:r>
        <w:rPr>
          <w:rFonts w:ascii="Times New Roman" w:hAnsi="Times New Roman" w:cs="Times New Roman" w:eastAsia="Times New Roman" w:hint="default"/>
          <w:spacing w:val="-2"/>
        </w:rPr>
        <w:t>10</w:t>
      </w:r>
      <w:r>
        <w:rPr>
          <w:spacing w:val="-2"/>
        </w:rPr>
        <w:t>月出生，中国籍，无永久境外居留权，专科学历。历任宿迁市彩塑包装</w:t>
      </w:r>
      <w:r>
        <w:rPr>
          <w:w w:val="100"/>
        </w:rPr>
        <w:t> </w:t>
      </w:r>
      <w:r>
        <w:rPr/>
        <w:t>有限公司项目经理。现任本公司副总经理。</w:t>
      </w:r>
    </w:p>
    <w:p>
      <w:pPr>
        <w:pStyle w:val="BodyText"/>
        <w:spacing w:line="256" w:lineRule="auto" w:before="142"/>
        <w:ind w:right="0" w:firstLine="420"/>
        <w:jc w:val="left"/>
      </w:pPr>
      <w:r>
        <w:rPr/>
        <w:t>（</w:t>
      </w:r>
      <w:r>
        <w:rPr>
          <w:rFonts w:ascii="Times New Roman" w:hAnsi="Times New Roman" w:cs="Times New Roman" w:eastAsia="Times New Roman" w:hint="default"/>
        </w:rPr>
        <w:t>11</w:t>
      </w:r>
      <w:r>
        <w:rPr/>
        <w:t>）孙化斌：男，</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9</w:t>
      </w:r>
      <w:r>
        <w:rPr/>
        <w:t>月出生，中国籍，无永久境外居留权，高中学历。历任宿迁市铝合金厂</w:t>
      </w:r>
      <w:r>
        <w:rPr>
          <w:w w:val="100"/>
        </w:rPr>
        <w:t> </w:t>
      </w:r>
      <w:r>
        <w:rPr/>
        <w:t>电工、宿迁市彩塑包装有限公司车间主任、项目经理。现任本公司副总经理。</w:t>
      </w:r>
    </w:p>
    <w:p>
      <w:pPr>
        <w:spacing w:before="163"/>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681"/>
        <w:gridCol w:w="1980"/>
        <w:gridCol w:w="1620"/>
        <w:gridCol w:w="1621"/>
        <w:gridCol w:w="1469"/>
      </w:tblGrid>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1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9" w:right="98"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启恒投资</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迪智成投资</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周海燕</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启恒投资</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吴迪</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迪智成投资</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4"/>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廖家河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立信会计师事务所合伙人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廖家河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河南中原内配股份有限公司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廖家河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南京光一科技股份有限公司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廖家河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北京中关村科技发展股份有限公司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南京大学常州高新技术研究院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江苏亚邦染料股份有限公司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吕忆农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南京工业大学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吕忆农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四川金顶（集团）股份有限公司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before="26"/>
        <w:ind w:right="146"/>
        <w:jc w:val="left"/>
        <w:rPr>
          <w:b w:val="0"/>
          <w:bCs w:val="0"/>
        </w:rPr>
      </w:pPr>
      <w:r>
        <w:rPr/>
        <w:t>三、董事、监事、高级管理人员报酬情况</w:t>
      </w:r>
      <w:r>
        <w:rPr>
          <w:b w:val="0"/>
          <w:bCs w:val="0"/>
        </w:rPr>
      </w:r>
    </w:p>
    <w:p>
      <w:pPr>
        <w:spacing w:line="240" w:lineRule="auto" w:before="4"/>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w:t>
      </w:r>
    </w:p>
    <w:p>
      <w:pPr>
        <w:pStyle w:val="BodyText"/>
        <w:spacing w:line="273" w:lineRule="auto" w:before="96"/>
        <w:ind w:right="146"/>
        <w:jc w:val="left"/>
      </w:pPr>
      <w:r>
        <w:rPr>
          <w:spacing w:val="-2"/>
        </w:rPr>
        <w:t>根据公司《公司董事、监事及高级管理人员薪酬考核办法》等相关规定，公司按不同的职务、不同的岗位</w:t>
      </w:r>
      <w:r>
        <w:rPr>
          <w:spacing w:val="-43"/>
        </w:rPr>
        <w:t> </w:t>
      </w:r>
      <w:r>
        <w:rPr>
          <w:spacing w:val="-43"/>
        </w:rPr>
      </w:r>
      <w:r>
        <w:rPr/>
        <w:t>职责，结合个人工作业绩以及完成任务的情况确认公司高管人员的报酬。</w:t>
      </w:r>
    </w:p>
    <w:p>
      <w:pPr>
        <w:spacing w:before="69"/>
        <w:ind w:left="152" w:right="146"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71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吴培服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503" w:right="50" w:hanging="452"/>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97"/>
              <w:jc w:val="right"/>
              <w:rPr>
                <w:rFonts w:ascii="Times New Roman" w:hAnsi="Times New Roman" w:cs="Times New Roman" w:eastAsia="Times New Roman" w:hint="default"/>
                <w:sz w:val="18"/>
                <w:szCs w:val="18"/>
              </w:rPr>
            </w:pPr>
            <w:r>
              <w:rPr>
                <w:rFonts w:ascii="Times New Roman"/>
                <w:sz w:val="18"/>
              </w:rPr>
              <w:t>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w:t>
            </w:r>
          </w:p>
        </w:tc>
      </w:tr>
      <w:tr>
        <w:trPr>
          <w:trHeight w:val="102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迪</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董事、董事会 秘书、副总经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31"/>
              <w:jc w:val="right"/>
              <w:rPr>
                <w:rFonts w:ascii="Times New Roman" w:hAnsi="Times New Roman" w:cs="Times New Roman" w:eastAsia="Times New Roman" w:hint="default"/>
                <w:sz w:val="18"/>
                <w:szCs w:val="18"/>
              </w:rPr>
            </w:pPr>
            <w:r>
              <w:rPr>
                <w:rFonts w:ascii="Times New Roman"/>
                <w:sz w:val="18"/>
              </w:rPr>
              <w:t>16.8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16.8</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周海燕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52" w:right="50"/>
              <w:jc w:val="left"/>
              <w:rPr>
                <w:rFonts w:ascii="宋体" w:hAnsi="宋体" w:cs="宋体" w:eastAsia="宋体" w:hint="default"/>
                <w:sz w:val="18"/>
                <w:szCs w:val="18"/>
              </w:rPr>
            </w:pPr>
            <w:r>
              <w:rPr>
                <w:rFonts w:ascii="宋体" w:hAnsi="宋体" w:cs="宋体" w:eastAsia="宋体" w:hint="default"/>
                <w:sz w:val="18"/>
                <w:szCs w:val="18"/>
              </w:rPr>
              <w:t>董事、财务总 监、副总经理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31"/>
              <w:jc w:val="right"/>
              <w:rPr>
                <w:rFonts w:ascii="Times New Roman" w:hAnsi="Times New Roman" w:cs="Times New Roman" w:eastAsia="Times New Roman" w:hint="default"/>
                <w:sz w:val="18"/>
                <w:szCs w:val="18"/>
              </w:rPr>
            </w:pPr>
            <w:r>
              <w:rPr>
                <w:rFonts w:ascii="Times New Roman"/>
                <w:sz w:val="18"/>
              </w:rPr>
              <w:t>17.6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曹 </w:t>
            </w:r>
            <w:r>
              <w:rPr>
                <w:rFonts w:ascii="宋体" w:hAnsi="宋体" w:cs="宋体" w:eastAsia="宋体" w:hint="default"/>
                <w:spacing w:val="2"/>
                <w:sz w:val="18"/>
                <w:szCs w:val="18"/>
              </w:rPr>
              <w:t> </w:t>
            </w:r>
            <w:r>
              <w:rPr>
                <w:rFonts w:ascii="宋体" w:hAnsi="宋体" w:cs="宋体" w:eastAsia="宋体" w:hint="default"/>
                <w:sz w:val="18"/>
                <w:szCs w:val="18"/>
              </w:rPr>
              <w:t>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1"/>
              <w:jc w:val="right"/>
              <w:rPr>
                <w:rFonts w:ascii="Times New Roman" w:hAnsi="Times New Roman" w:cs="Times New Roman" w:eastAsia="Times New Roman" w:hint="default"/>
                <w:sz w:val="18"/>
                <w:szCs w:val="18"/>
              </w:rPr>
            </w:pPr>
            <w:r>
              <w:rPr>
                <w:rFonts w:ascii="Times New Roman"/>
                <w:sz w:val="18"/>
              </w:rPr>
              <w:t>16.8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廖家河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31"/>
              <w:jc w:val="right"/>
              <w:rPr>
                <w:rFonts w:ascii="Times New Roman" w:hAnsi="Times New Roman" w:cs="Times New Roman" w:eastAsia="Times New Roman" w:hint="default"/>
                <w:sz w:val="18"/>
                <w:szCs w:val="18"/>
              </w:rPr>
            </w:pPr>
            <w:r>
              <w:rPr>
                <w:rFonts w:ascii="Times New Roman"/>
                <w:spacing w:val="-1"/>
                <w:sz w:val="18"/>
              </w:rPr>
              <w:t>6.06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6.06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陈 </w:t>
            </w:r>
            <w:r>
              <w:rPr>
                <w:rFonts w:ascii="宋体" w:hAnsi="宋体" w:cs="宋体" w:eastAsia="宋体" w:hint="default"/>
                <w:spacing w:val="2"/>
                <w:sz w:val="18"/>
                <w:szCs w:val="18"/>
              </w:rPr>
              <w:t> </w:t>
            </w:r>
            <w:r>
              <w:rPr>
                <w:rFonts w:ascii="宋体" w:hAnsi="宋体" w:cs="宋体" w:eastAsia="宋体" w:hint="default"/>
                <w:sz w:val="18"/>
                <w:szCs w:val="18"/>
              </w:rPr>
              <w:t>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1"/>
              <w:jc w:val="right"/>
              <w:rPr>
                <w:rFonts w:ascii="Times New Roman" w:hAnsi="Times New Roman" w:cs="Times New Roman" w:eastAsia="Times New Roman" w:hint="default"/>
                <w:sz w:val="18"/>
                <w:szCs w:val="18"/>
              </w:rPr>
            </w:pPr>
            <w:r>
              <w:rPr>
                <w:rFonts w:ascii="Times New Roman"/>
                <w:spacing w:val="-1"/>
                <w:sz w:val="18"/>
              </w:rPr>
              <w:t>6.06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6.06</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吕忆农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31"/>
              <w:jc w:val="right"/>
              <w:rPr>
                <w:rFonts w:ascii="Times New Roman" w:hAnsi="Times New Roman" w:cs="Times New Roman" w:eastAsia="Times New Roman" w:hint="default"/>
                <w:sz w:val="18"/>
                <w:szCs w:val="18"/>
              </w:rPr>
            </w:pPr>
            <w:r>
              <w:rPr>
                <w:rFonts w:ascii="Times New Roman"/>
                <w:spacing w:val="-1"/>
                <w:sz w:val="18"/>
              </w:rPr>
              <w:t>6.06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6.06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叶</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池 </w:t>
            </w:r>
            <w:r>
              <w:rPr>
                <w:rFonts w:ascii="宋体" w:hAnsi="宋体" w:cs="宋体" w:eastAsia="宋体" w:hint="default"/>
                <w:spacing w:val="2"/>
                <w:sz w:val="18"/>
                <w:szCs w:val="18"/>
              </w:rPr>
              <w:t> </w:t>
            </w:r>
            <w:r>
              <w:rPr>
                <w:rFonts w:ascii="宋体" w:hAnsi="宋体" w:cs="宋体" w:eastAsia="宋体" w:hint="default"/>
                <w:sz w:val="18"/>
                <w:szCs w:val="18"/>
              </w:rPr>
              <w:t>卫</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77"/>
              <w:jc w:val="right"/>
              <w:rPr>
                <w:rFonts w:ascii="Times New Roman" w:hAnsi="Times New Roman" w:cs="Times New Roman" w:eastAsia="Times New Roman" w:hint="default"/>
                <w:sz w:val="18"/>
                <w:szCs w:val="18"/>
              </w:rPr>
            </w:pPr>
            <w:r>
              <w:rPr>
                <w:rFonts w:ascii="Times New Roman"/>
                <w:sz w:val="18"/>
              </w:rPr>
              <w:t>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8.8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卫</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潘建忠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31"/>
              <w:jc w:val="right"/>
              <w:rPr>
                <w:rFonts w:ascii="Times New Roman" w:hAnsi="Times New Roman" w:cs="Times New Roman" w:eastAsia="Times New Roman" w:hint="default"/>
                <w:sz w:val="18"/>
                <w:szCs w:val="18"/>
              </w:rPr>
            </w:pPr>
            <w:r>
              <w:rPr>
                <w:rFonts w:ascii="Times New Roman"/>
                <w:sz w:val="18"/>
              </w:rPr>
              <w:t>26.1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26.1</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邹兆云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85"/>
              <w:jc w:val="right"/>
              <w:rPr>
                <w:rFonts w:ascii="Times New Roman" w:hAnsi="Times New Roman" w:cs="Times New Roman" w:eastAsia="Times New Roman" w:hint="default"/>
                <w:sz w:val="18"/>
                <w:szCs w:val="18"/>
              </w:rPr>
            </w:pPr>
            <w:r>
              <w:rPr>
                <w:rFonts w:ascii="Times New Roman"/>
                <w:sz w:val="18"/>
              </w:rPr>
              <w:t>32.55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32.55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杨淑侠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85"/>
              <w:jc w:val="right"/>
              <w:rPr>
                <w:rFonts w:ascii="Times New Roman" w:hAnsi="Times New Roman" w:cs="Times New Roman" w:eastAsia="Times New Roman" w:hint="default"/>
                <w:sz w:val="18"/>
                <w:szCs w:val="18"/>
              </w:rPr>
            </w:pPr>
            <w:r>
              <w:rPr>
                <w:rFonts w:ascii="Times New Roman"/>
                <w:sz w:val="18"/>
              </w:rPr>
              <w:t>16.28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16.28</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葛 </w:t>
            </w:r>
            <w:r>
              <w:rPr>
                <w:rFonts w:ascii="宋体" w:hAnsi="宋体" w:cs="宋体" w:eastAsia="宋体" w:hint="default"/>
                <w:spacing w:val="2"/>
                <w:sz w:val="18"/>
                <w:szCs w:val="18"/>
              </w:rPr>
              <w:t> </w:t>
            </w:r>
            <w:r>
              <w:rPr>
                <w:rFonts w:ascii="宋体" w:hAnsi="宋体" w:cs="宋体" w:eastAsia="宋体" w:hint="default"/>
                <w:sz w:val="18"/>
                <w:szCs w:val="18"/>
              </w:rPr>
              <w:t>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葛俊生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16.28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16.28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钱后相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陆敬权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12.6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孙化斌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3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32" w:right="0"/>
              <w:jc w:val="left"/>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249.08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249.08</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46"/>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29"/>
        <w:gridCol w:w="1330"/>
        <w:gridCol w:w="1332"/>
        <w:gridCol w:w="1330"/>
        <w:gridCol w:w="4235"/>
      </w:tblGrid>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line="240" w:lineRule="auto" w:before="1"/>
        <w:rPr>
          <w:rFonts w:ascii="宋体" w:hAnsi="宋体" w:cs="宋体" w:eastAsia="宋体" w:hint="default"/>
          <w:b/>
          <w:bCs/>
          <w:sz w:val="18"/>
          <w:szCs w:val="18"/>
        </w:rPr>
      </w:pPr>
    </w:p>
    <w:p>
      <w:pPr>
        <w:pStyle w:val="Heading2"/>
        <w:spacing w:line="240" w:lineRule="auto" w:before="26"/>
        <w:ind w:right="146"/>
        <w:jc w:val="left"/>
        <w:rPr>
          <w:b w:val="0"/>
          <w:bCs w:val="0"/>
        </w:rPr>
      </w:pPr>
      <w:r>
        <w:rPr/>
        <w:t>五、报告期核心技术团队或关键技术人员变动情况（非董事、监事、高级管理人员）</w:t>
      </w:r>
      <w:r>
        <w:rPr>
          <w:b w:val="0"/>
          <w:bCs w:val="0"/>
        </w:rPr>
      </w:r>
    </w:p>
    <w:p>
      <w:pPr>
        <w:spacing w:line="240" w:lineRule="auto" w:before="4"/>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无</w:t>
      </w:r>
    </w:p>
    <w:p>
      <w:pPr>
        <w:pStyle w:val="Heading3"/>
        <w:spacing w:line="630" w:lineRule="atLeast" w:before="14"/>
        <w:ind w:left="633" w:right="141" w:hanging="481"/>
        <w:jc w:val="left"/>
      </w:pPr>
      <w:r>
        <w:rPr>
          <w:rFonts w:ascii="宋体" w:hAnsi="宋体" w:cs="宋体" w:eastAsia="宋体" w:hint="default"/>
          <w:b/>
          <w:bCs/>
        </w:rPr>
        <w:t>六、公司员工情况</w:t>
      </w:r>
      <w:r>
        <w:rPr>
          <w:rFonts w:ascii="宋体" w:hAnsi="宋体" w:cs="宋体" w:eastAsia="宋体" w:hint="default"/>
          <w:b/>
          <w:bCs/>
          <w:w w:val="99"/>
        </w:rPr>
        <w:t> </w:t>
      </w:r>
      <w:r>
        <w:rPr>
          <w:spacing w:val="-2"/>
        </w:rPr>
        <w:t>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日，公司在职员工为</w:t>
      </w:r>
      <w:r>
        <w:rPr>
          <w:rFonts w:ascii="Times New Roman" w:hAnsi="Times New Roman" w:cs="Times New Roman" w:eastAsia="Times New Roman" w:hint="default"/>
          <w:spacing w:val="-2"/>
        </w:rPr>
        <w:t>850</w:t>
      </w:r>
      <w:r>
        <w:rPr>
          <w:spacing w:val="-2"/>
        </w:rPr>
        <w:t>人。公司员工的专业结构、受教育程度和年龄</w:t>
      </w:r>
    </w:p>
    <w:p>
      <w:pPr>
        <w:pStyle w:val="Heading3"/>
        <w:spacing w:line="294" w:lineRule="exact"/>
        <w:ind w:right="146"/>
        <w:jc w:val="left"/>
      </w:pPr>
      <w:r>
        <w:rPr/>
        <w:t>分布如下：</w:t>
      </w:r>
    </w:p>
    <w:p>
      <w:pPr>
        <w:pStyle w:val="Heading3"/>
        <w:spacing w:line="240" w:lineRule="auto" w:before="118"/>
        <w:ind w:left="633" w:right="146"/>
        <w:jc w:val="left"/>
      </w:pPr>
      <w:r>
        <w:rPr>
          <w:rFonts w:ascii="Times New Roman" w:hAnsi="Times New Roman" w:cs="Times New Roman" w:eastAsia="Times New Roman" w:hint="default"/>
        </w:rPr>
        <w:t>1</w:t>
      </w:r>
      <w:r>
        <w:rPr/>
        <w:t>、员工专业结构</w:t>
      </w:r>
    </w:p>
    <w:p>
      <w:pPr>
        <w:spacing w:line="240" w:lineRule="auto" w:before="9"/>
        <w:rPr>
          <w:rFonts w:ascii="宋体" w:hAnsi="宋体" w:cs="宋体" w:eastAsia="宋体" w:hint="default"/>
          <w:sz w:val="10"/>
          <w:szCs w:val="10"/>
        </w:rPr>
      </w:pPr>
    </w:p>
    <w:tbl>
      <w:tblPr>
        <w:tblW w:w="0" w:type="auto"/>
        <w:jc w:val="left"/>
        <w:tblInd w:w="820" w:type="dxa"/>
        <w:tblLayout w:type="fixed"/>
        <w:tblCellMar>
          <w:top w:w="0" w:type="dxa"/>
          <w:left w:w="0" w:type="dxa"/>
          <w:bottom w:w="0" w:type="dxa"/>
          <w:right w:w="0" w:type="dxa"/>
        </w:tblCellMar>
        <w:tblLook w:val="01E0"/>
      </w:tblPr>
      <w:tblGrid>
        <w:gridCol w:w="2857"/>
        <w:gridCol w:w="1983"/>
        <w:gridCol w:w="3452"/>
      </w:tblGrid>
      <w:tr>
        <w:trPr>
          <w:trHeight w:val="329" w:hRule="exact"/>
        </w:trPr>
        <w:tc>
          <w:tcPr>
            <w:tcW w:w="285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岗位类别</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员工人数（人）</w:t>
            </w:r>
            <w:r>
              <w:rPr>
                <w:rFonts w:ascii="宋体" w:hAnsi="宋体" w:cs="宋体" w:eastAsia="宋体" w:hint="default"/>
                <w:sz w:val="21"/>
                <w:szCs w:val="21"/>
              </w:rPr>
            </w:r>
          </w:p>
        </w:tc>
        <w:tc>
          <w:tcPr>
            <w:tcW w:w="34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所占比例</w:t>
            </w:r>
            <w:r>
              <w:rPr>
                <w:rFonts w:ascii="宋体" w:hAnsi="宋体" w:cs="宋体" w:eastAsia="宋体" w:hint="default"/>
                <w:sz w:val="21"/>
                <w:szCs w:val="21"/>
              </w:rPr>
            </w:r>
          </w:p>
        </w:tc>
      </w:tr>
      <w:tr>
        <w:trPr>
          <w:trHeight w:val="365" w:hRule="exact"/>
        </w:trPr>
        <w:tc>
          <w:tcPr>
            <w:tcW w:w="285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98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96</w:t>
            </w:r>
          </w:p>
        </w:tc>
        <w:tc>
          <w:tcPr>
            <w:tcW w:w="345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Times New Roman" w:hAnsi="Times New Roman" w:cs="Times New Roman" w:eastAsia="Times New Roman" w:hint="default"/>
                <w:sz w:val="21"/>
                <w:szCs w:val="21"/>
              </w:rPr>
            </w:pPr>
            <w:r>
              <w:rPr>
                <w:rFonts w:ascii="Times New Roman"/>
                <w:sz w:val="21"/>
              </w:rPr>
              <w:t>11%</w:t>
            </w:r>
          </w:p>
        </w:tc>
      </w:tr>
      <w:tr>
        <w:trPr>
          <w:trHeight w:val="34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销售服务人员</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35</w:t>
            </w:r>
          </w:p>
        </w:tc>
        <w:tc>
          <w:tcPr>
            <w:tcW w:w="3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w:t>
            </w:r>
          </w:p>
        </w:tc>
      </w:tr>
      <w:tr>
        <w:trPr>
          <w:trHeight w:val="346"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研发及技术人员</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260</w:t>
            </w:r>
          </w:p>
        </w:tc>
        <w:tc>
          <w:tcPr>
            <w:tcW w:w="3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31%</w:t>
            </w:r>
          </w:p>
        </w:tc>
      </w:tr>
      <w:tr>
        <w:trPr>
          <w:trHeight w:val="34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9</w:t>
            </w:r>
          </w:p>
        </w:tc>
        <w:tc>
          <w:tcPr>
            <w:tcW w:w="3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w:t>
            </w:r>
            <w:r>
              <w:rPr>
                <w:rFonts w:ascii="Times New Roman"/>
                <w:spacing w:val="1"/>
                <w:sz w:val="21"/>
              </w:rPr>
              <w:t> </w:t>
            </w:r>
            <w:r>
              <w:rPr>
                <w:rFonts w:ascii="Times New Roman"/>
                <w:sz w:val="21"/>
              </w:rPr>
              <w:t>%</w:t>
            </w:r>
          </w:p>
        </w:tc>
      </w:tr>
      <w:tr>
        <w:trPr>
          <w:trHeight w:val="346"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450</w:t>
            </w:r>
          </w:p>
        </w:tc>
        <w:tc>
          <w:tcPr>
            <w:tcW w:w="3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53%</w:t>
            </w:r>
          </w:p>
        </w:tc>
      </w:tr>
      <w:tr>
        <w:trPr>
          <w:trHeight w:val="34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850</w:t>
            </w:r>
          </w:p>
        </w:tc>
        <w:tc>
          <w:tcPr>
            <w:tcW w:w="3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group style="position:absolute;margin-left:366.657654pt;margin-top:421.381348pt;width:7.45pt;height:4.6pt;mso-position-horizontal-relative:page;mso-position-vertical-relative:page;z-index:-584728" coordorigin="7333,8428" coordsize="149,92">
            <v:group style="position:absolute;left:7373;top:8473;width:70;height:2" coordorigin="7373,8473" coordsize="70,2">
              <v:shape style="position:absolute;left:7373;top:8473;width:70;height:2" coordorigin="7373,8473" coordsize="70,0" path="m7373,8473l7442,8473e" filled="false" stroked="true" strokeweight="3.967046pt" strokecolor="#ff0000">
                <v:path arrowok="t"/>
              </v:shape>
            </v:group>
            <v:group style="position:absolute;left:7373;top:8434;width:70;height:80" coordorigin="7373,8434" coordsize="70,80">
              <v:shape style="position:absolute;left:7373;top:8434;width:70;height:80" coordorigin="7373,8434" coordsize="70,80" path="m7373,8513l7442,8513,7442,8434,7373,8434,7373,8513xe" filled="false" stroked="true" strokeweight=".61136pt" strokecolor="#000000">
                <v:path arrowok="t"/>
              </v:shape>
            </v:group>
            <w10:wrap type="none"/>
          </v:group>
        </w:pict>
      </w:r>
      <w:r>
        <w:rPr/>
        <w:pict>
          <v:group style="position:absolute;margin-left:366.657654pt;margin-top:431.945526pt;width:7.45pt;height:4.6pt;mso-position-horizontal-relative:page;mso-position-vertical-relative:page;z-index:-584704" coordorigin="7333,8639" coordsize="149,92">
            <v:group style="position:absolute;left:7373;top:8685;width:70;height:2" coordorigin="7373,8685" coordsize="70,2">
              <v:shape style="position:absolute;left:7373;top:8685;width:70;height:2" coordorigin="7373,8685" coordsize="70,0" path="m7373,8685l7442,8685e" filled="false" stroked="true" strokeweight="3.967046pt" strokecolor="#008000">
                <v:path arrowok="t"/>
              </v:shape>
            </v:group>
            <v:group style="position:absolute;left:7373;top:8645;width:70;height:80" coordorigin="7373,8645" coordsize="70,80">
              <v:shape style="position:absolute;left:7373;top:8645;width:70;height:80" coordorigin="7373,8645" coordsize="70,80" path="m7373,8724l7442,8724,7442,8645,7373,8645,7373,8724xe" filled="false" stroked="true" strokeweight=".61136pt" strokecolor="#000000">
                <v:path arrowok="t"/>
              </v:shape>
            </v:group>
            <w10:wrap type="none"/>
          </v:group>
        </w:pict>
      </w:r>
      <w:r>
        <w:rPr/>
        <w:pict>
          <v:group style="position:absolute;margin-left:366.657654pt;margin-top:442.509705pt;width:7.45pt;height:4.6pt;mso-position-horizontal-relative:page;mso-position-vertical-relative:page;z-index:-584680" coordorigin="7333,8850" coordsize="149,92">
            <v:group style="position:absolute;left:7373;top:8896;width:70;height:2" coordorigin="7373,8896" coordsize="70,2">
              <v:shape style="position:absolute;left:7373;top:8896;width:70;height:2" coordorigin="7373,8896" coordsize="70,0" path="m7373,8896l7442,8896e" filled="false" stroked="true" strokeweight="3.967046pt" strokecolor="#00ccff">
                <v:path arrowok="t"/>
              </v:shape>
            </v:group>
            <v:group style="position:absolute;left:7373;top:8856;width:70;height:80" coordorigin="7373,8856" coordsize="70,80">
              <v:shape style="position:absolute;left:7373;top:8856;width:70;height:80" coordorigin="7373,8856" coordsize="70,80" path="m7373,8936l7442,8936,7442,8856,7373,8856,7373,8936xe" filled="false" stroked="true" strokeweight=".61136pt" strokecolor="#000000">
                <v:path arrowok="t"/>
              </v:shape>
            </v:group>
            <w10:wrap type="none"/>
          </v:group>
        </w:pict>
      </w:r>
    </w:p>
    <w:p>
      <w:pPr>
        <w:spacing w:line="240" w:lineRule="auto" w:before="12"/>
        <w:rPr>
          <w:rFonts w:ascii="宋体" w:hAnsi="宋体" w:cs="宋体" w:eastAsia="宋体" w:hint="default"/>
          <w:sz w:val="18"/>
          <w:szCs w:val="18"/>
        </w:rPr>
      </w:pPr>
    </w:p>
    <w:p>
      <w:pPr>
        <w:spacing w:line="3159" w:lineRule="exact"/>
        <w:ind w:left="2218" w:right="0" w:firstLine="0"/>
        <w:rPr>
          <w:rFonts w:ascii="宋体" w:hAnsi="宋体" w:cs="宋体" w:eastAsia="宋体" w:hint="default"/>
          <w:sz w:val="20"/>
          <w:szCs w:val="20"/>
        </w:rPr>
      </w:pPr>
      <w:r>
        <w:rPr>
          <w:rFonts w:ascii="宋体" w:hAnsi="宋体" w:cs="宋体" w:eastAsia="宋体" w:hint="default"/>
          <w:position w:val="-62"/>
          <w:sz w:val="20"/>
          <w:szCs w:val="20"/>
        </w:rPr>
        <w:pict>
          <v:group style="width:274.9pt;height:158pt;mso-position-horizontal-relative:char;mso-position-vertical-relative:line" coordorigin="0,0" coordsize="5498,3160">
            <v:group style="position:absolute;left:6;top:6;width:5485;height:3147" coordorigin="6,6" coordsize="5485,3147">
              <v:shape style="position:absolute;left:6;top:6;width:5485;height:3147" coordorigin="6,6" coordsize="5485,3147" path="m6,3153l5491,3153,5491,6,6,6,6,3153xe" filled="false" stroked="true" strokeweight=".642673pt" strokecolor="#000000">
                <v:path arrowok="t"/>
              </v:shape>
            </v:group>
            <v:group style="position:absolute;left:2104;top:1032;width:903;height:349" coordorigin="2104,1032" coordsize="903,349">
              <v:shape style="position:absolute;left:2104;top:1032;width:903;height:349" coordorigin="2104,1032" coordsize="903,349" path="m2374,1032l2104,1032,2104,1380,3007,1109,2968,1109,2916,1096,2878,1083,2839,1083,2800,1070,2736,1070,2684,1057,2594,1057,2529,1044,2439,1044,2374,1032xe" filled="true" fillcolor="#ff0000" stroked="false">
                <v:path arrowok="t"/>
                <v:fill type="solid"/>
              </v:shape>
            </v:group>
            <v:group style="position:absolute;left:2104;top:1032;width:903;height:349" coordorigin="2104,1032" coordsize="903,349">
              <v:shape style="position:absolute;left:2104;top:1032;width:903;height:349" coordorigin="2104,1032" coordsize="903,349" path="m2104,1032l2104,1032,2374,1032,2439,1044,2491,1044,2529,1044,2594,1057,2645,1057,2684,1057,2736,1070,2800,1070,2839,1083,2878,1083,2916,1096,2968,1109,3007,1109,2104,1380,2104,1032xe" filled="false" stroked="true" strokeweight=".642512pt" strokecolor="#000000">
                <v:path arrowok="t"/>
              </v:shape>
            </v:group>
            <v:group style="position:absolute;left:2104;top:1109;width:1123;height:271" coordorigin="2104,1109" coordsize="1123,271">
              <v:shape style="position:absolute;left:2104;top:1109;width:1123;height:271" coordorigin="2104,1109" coordsize="1123,271" path="m3007,1109l2104,1380,3226,1173,3200,1173,3123,1148,3097,1135,3046,1122,3007,1109xe" filled="true" fillcolor="#ffff00" stroked="false">
                <v:path arrowok="t"/>
                <v:fill type="solid"/>
              </v:shape>
            </v:group>
            <v:group style="position:absolute;left:2104;top:1109;width:1123;height:271" coordorigin="2104,1109" coordsize="1123,271">
              <v:shape style="position:absolute;left:2104;top:1109;width:1123;height:271" coordorigin="2104,1109" coordsize="1123,271" path="m3007,1109l3046,1122,3097,1135,3123,1148,3161,1160,3200,1173,3226,1173,2104,1380,3007,1109xe" filled="false" stroked="true" strokeweight=".642410pt" strokecolor="#000000">
                <v:path arrowok="t"/>
              </v:shape>
            </v:group>
            <v:group style="position:absolute;left:2439;top:1393;width:1046;height:723" coordorigin="2439,1393" coordsize="1046,723">
              <v:shape style="position:absolute;left:2439;top:1393;width:1046;height:723" coordorigin="2439,1393" coordsize="1046,723" path="m3484,1393l3471,1418,3471,1431,3458,1444,3446,1457,3446,1470,3420,1496,3368,1521,3355,1534,3316,1548,3291,1560,3278,1573,3226,1586,3174,1612,3149,1612,3097,1625,3058,1638,3032,1650,2968,1664,2929,1664,2891,1676,2839,1689,2800,1689,2749,1702,2710,1702,2645,1715,2555,1715,2491,1728,2439,1728,2439,2115,2491,2115,2555,2102,2645,2102,2710,2089,2749,2089,2800,2076,2839,2076,2891,2063,2929,2050,2968,2050,3032,2037,3058,2025,3097,2012,3149,1999,3174,1999,3200,1986,3226,1973,3278,1960,3291,1947,3316,1934,3355,1921,3368,1909,3420,1883,3433,1870,3446,1857,3446,1844,3471,1818,3471,1805,3484,1780,3484,1393xe" filled="true" fillcolor="#4d6600" stroked="false">
                <v:path arrowok="t"/>
                <v:fill type="solid"/>
              </v:shape>
            </v:group>
            <v:group style="position:absolute;left:2439;top:1380;width:1046;height:736" coordorigin="2439,1380" coordsize="1046,736">
              <v:shape style="position:absolute;left:2439;top:1380;width:1046;height:736" coordorigin="2439,1380" coordsize="1046,736" path="m3484,1380l3484,1393,3471,1418,3471,1431,3458,1444,3446,1457,3446,1470,3433,1483,3420,1496,3394,1509,3368,1521,3355,1534,3316,1548,3291,1560,3278,1573,3226,1586,3200,1599,3174,1612,3149,1612,3097,1625,3058,1638,3032,1650,2968,1664,2929,1664,2891,1676,2839,1689,2800,1689,2749,1702,2710,1702,2645,1715,2594,1715,2555,1715,2491,1728,2439,1728,2439,2115,2491,2115,2555,2102,2594,2102,2645,2102,2710,2089,2749,2089,2800,2076,2839,2076,2891,2063,2929,2050,2968,2050,3032,2037,3058,2025,3097,2012,3149,1999,3174,1999,3200,1986,3226,1973,3278,1960,3291,1947,3316,1934,3355,1921,3368,1909,3394,1896,3420,1883,3433,1870,3446,1857,3446,1844,3458,1831,3471,1818,3471,1805,3484,1780,3484,1766,3484,1380xe" filled="false" stroked="true" strokeweight=".642787pt" strokecolor="#000000">
                <v:path arrowok="t"/>
              </v:shape>
            </v:group>
            <v:group style="position:absolute;left:2104;top:1173;width:1381;height:555" coordorigin="2104,1173" coordsize="1381,555">
              <v:shape style="position:absolute;left:2104;top:1173;width:1381;height:555" coordorigin="2104,1173" coordsize="1381,555" path="m3226,1173l2104,1380,2439,1728,2491,1728,2555,1715,2645,1715,2710,1702,2749,1702,2800,1689,2839,1689,2891,1676,2929,1664,2968,1664,3032,1650,3058,1638,3097,1625,3149,1612,3174,1612,3200,1599,3252,1586,3278,1573,3291,1560,3329,1548,3355,1534,3368,1521,3420,1496,3446,1470,3458,1444,3471,1431,3471,1405,3484,1393,3484,1367,3471,1354,3471,1341,3458,1315,3446,1315,3446,1302,3433,1289,3407,1264,3394,1251,3368,1251,3342,1225,3316,1212,3265,1186,3226,1173xe" filled="true" fillcolor="#99cc00" stroked="false">
                <v:path arrowok="t"/>
                <v:fill type="solid"/>
              </v:shape>
            </v:group>
            <v:group style="position:absolute;left:2104;top:1173;width:1381;height:555" coordorigin="2104,1173" coordsize="1381,555">
              <v:shape style="position:absolute;left:2104;top:1173;width:1381;height:555" coordorigin="2104,1173" coordsize="1381,555" path="m3226,1173l3265,1186,3291,1199,3316,1212,3342,1225,3368,1251,3394,1251,3407,1264,3433,1289,3446,1302,3446,1315,3458,1315,3471,1341,3471,1354,3484,1367,3484,1380,3484,1393,3471,1405,3471,1431,3458,1444,3446,1470,3433,1483,3420,1496,3394,1509,3368,1521,3355,1534,3329,1548,3291,1560,3278,1573,3252,1586,3200,1599,3174,1612,3149,1612,3097,1625,3058,1638,3032,1650,2968,1664,2929,1664,2891,1676,2839,1689,2800,1689,2749,1702,2710,1702,2645,1715,2594,1715,2555,1715,2491,1728,2439,1728,2104,1380,3226,1173xe" filled="false" stroked="true" strokeweight=".642525pt" strokecolor="#000000">
                <v:path arrowok="t"/>
              </v:shape>
              <v:shape style="position:absolute;left:2097;top:1373;width:348;height:774" type="#_x0000_t75" stroked="false">
                <v:imagedata r:id="rId15" o:title=""/>
              </v:shape>
            </v:group>
            <v:group style="position:absolute;left:736;top:1405;width:1639;height:723" coordorigin="736,1405" coordsize="1639,723">
              <v:shape style="position:absolute;left:736;top:1405;width:1639;height:723" coordorigin="736,1405" coordsize="1639,723" path="m2323,2115l1897,2115,1936,2128,2271,2128,2323,2115xe" filled="true" fillcolor="#006680" stroked="false">
                <v:path arrowok="t"/>
                <v:fill type="solid"/>
              </v:shape>
              <v:shape style="position:absolute;left:736;top:1405;width:1639;height:723" coordorigin="736,1405" coordsize="1639,723" path="m736,1405l736,1793,748,1818,748,1831,761,1831,761,1844,813,1896,865,1921,878,1934,903,1947,929,1947,968,1973,994,1973,1020,1986,1058,1999,1135,2025,1175,2025,1200,2037,1265,2050,1303,2050,1381,2076,1445,2076,1484,2089,1523,2089,1574,2102,1677,2102,1729,2115,2374,2115,2374,1741,1936,1741,1897,1728,1729,1728,1677,1715,1574,1715,1523,1702,1484,1702,1445,1689,1381,1689,1303,1664,1265,1664,1200,1650,1175,1638,1135,1638,1020,1599,994,1586,968,1586,929,1560,903,1560,878,1548,865,1534,813,1509,800,1496,787,1483,761,1457,761,1444,748,1444,748,1431,736,1405xe" filled="true" fillcolor="#006680" stroked="false">
                <v:path arrowok="t"/>
                <v:fill type="solid"/>
              </v:shape>
              <v:shape style="position:absolute;left:736;top:1405;width:1639;height:723" coordorigin="736,1405" coordsize="1639,723" path="m2374,1728l2323,1728,2271,1741,2374,1741,2374,1728xe" filled="true" fillcolor="#006680" stroked="false">
                <v:path arrowok="t"/>
                <v:fill type="solid"/>
              </v:shape>
            </v:group>
            <v:group style="position:absolute;left:736;top:1380;width:1639;height:749" coordorigin="736,1380" coordsize="1639,749">
              <v:shape style="position:absolute;left:736;top:1380;width:1639;height:749" coordorigin="736,1380" coordsize="1639,749" path="m2374,1728l2323,1728,2271,1741,2207,1741,1936,1741,1897,1728,1845,1728,1768,1728,1729,1728,1677,1715,1639,1715,1574,1715,1523,1702,1484,1702,1445,1689,1381,1689,1342,1676,1303,1664,1265,1664,1200,1650,1175,1638,1135,1638,1097,1625,1058,1612,1020,1599,994,1586,968,1586,929,1560,903,1560,878,1548,865,1534,839,1521,813,1509,800,1496,787,1483,761,1457,761,1444,748,1444,748,1431,736,1405,736,1393,736,1380,736,1766,736,1780,736,1793,748,1818,748,1831,761,1831,761,1844,787,1870,800,1883,813,1896,839,1909,865,1921,878,1934,903,1947,929,1947,968,1973,994,1973,1020,1986,1058,1999,1097,2012,1135,2025,1175,2025,1200,2037,1265,2050,1303,2050,1342,2063,1381,2076,1445,2076,1484,2089,1523,2089,1574,2102,1639,2102,1677,2102,1729,2115,1768,2115,1845,2115,1897,2115,1936,2128,2271,2128,2323,2115,2374,2115,2374,1728xe" filled="false" stroked="true" strokeweight=".64257pt" strokecolor="#000000">
                <v:path arrowok="t"/>
              </v:shape>
            </v:group>
            <v:group style="position:absolute;left:736;top:1032;width:1639;height:710" coordorigin="736,1032" coordsize="1639,710">
              <v:shape style="position:absolute;left:736;top:1032;width:1639;height:710" coordorigin="736,1032" coordsize="1639,710" path="m2323,1728l1897,1728,1936,1741,2245,1741,2323,1728xe" filled="true" fillcolor="#00ccff" stroked="false">
                <v:path arrowok="t"/>
                <v:fill type="solid"/>
              </v:shape>
              <v:shape style="position:absolute;left:736;top:1032;width:1639;height:710" coordorigin="736,1032" coordsize="1639,710" path="m2104,1032l1845,1032,1768,1044,1639,1044,1574,1057,1523,1057,1484,1070,1420,1070,1381,1083,1342,1083,1303,1096,1239,1109,1200,1109,1175,1122,1135,1135,1084,1148,1058,1160,1020,1160,981,1173,903,1212,878,1225,852,1238,839,1251,787,1277,748,1315,748,1328,736,1341,736,1418,748,1431,748,1444,787,1483,813,1496,826,1509,878,1534,890,1548,929,1560,1007,1599,1058,1612,1084,1625,1123,1625,1148,1638,1200,1650,1239,1664,1278,1664,1342,1676,1381,1689,1420,1689,1458,1702,1523,1702,1574,1715,1665,1715,1729,1728,2374,1728,2104,1380,2104,1032xe" filled="true" fillcolor="#00ccff" stroked="false">
                <v:path arrowok="t"/>
                <v:fill type="solid"/>
              </v:shape>
            </v:group>
            <v:group style="position:absolute;left:736;top:1032;width:1639;height:710" coordorigin="736,1032" coordsize="1639,710">
              <v:shape style="position:absolute;left:736;top:1032;width:1639;height:710" coordorigin="736,1032" coordsize="1639,710" path="m2374,1728l2323,1728,2245,1741,2207,1741,1936,1741,1897,1728,1819,1728,1768,1728,1729,1728,1665,1715,1613,1715,1574,1715,1523,1702,1458,1702,1420,1689,1381,1689,1342,1676,1278,1664,1239,1664,1200,1650,1148,1638,1123,1625,1084,1625,1058,1612,1007,1599,981,1586,955,1573,929,1560,890,1548,878,1534,852,1521,826,1509,813,1496,787,1483,774,1470,761,1457,748,1444,748,1431,736,1418,736,1405,736,1393,736,1380,736,1354,736,1341,748,1328,748,1315,761,1302,774,1289,787,1277,813,1264,839,1251,852,1238,878,1225,903,1212,929,1199,955,1186,981,1173,1020,1160,1058,1160,1084,1148,1135,1135,1175,1122,1200,1109,1239,1109,1303,1096,1342,1083,1381,1083,1420,1070,1484,1070,1523,1057,1574,1057,1639,1044,1677,1044,1729,1044,1768,1044,1845,1032,2104,1032,2104,1380,2374,1728xe" filled="false" stroked="true" strokeweight=".642550pt" strokecolor="#000000">
                <v:path arrowok="t"/>
              </v:shape>
            </v:group>
            <v:group style="position:absolute;left:4226;top:1051;width:1213;height:1032" coordorigin="4226,1051" coordsize="1213,1032">
              <v:shape style="position:absolute;left:4226;top:1051;width:1213;height:1032" coordorigin="4226,1051" coordsize="1213,1032" path="m4226,2082l5439,2082,5439,1051,4226,1051,4226,2082xe" filled="false" stroked="true" strokeweight=".642908pt" strokecolor="#000000">
                <v:path arrowok="t"/>
              </v:shape>
            </v:group>
            <v:group style="position:absolute;left:4278;top:1167;width:78;height:2" coordorigin="4278,1167" coordsize="78,2">
              <v:shape style="position:absolute;left:4278;top:1167;width:78;height:2" coordorigin="4278,1167" coordsize="78,0" path="m4278,1167l4355,1167e" filled="false" stroked="true" strokeweight="3.854009pt" strokecolor="#ff0000">
                <v:path arrowok="t"/>
              </v:shape>
            </v:group>
            <v:group style="position:absolute;left:4278;top:1128;width:78;height:78" coordorigin="4278,1128" coordsize="78,78">
              <v:shape style="position:absolute;left:4278;top:1128;width:78;height:78" coordorigin="4278,1128" coordsize="78,78" path="m4278,1205l4355,1205,4355,1128,4278,1128,4278,1205xe" filled="false" stroked="true" strokeweight=".643013pt" strokecolor="#000000">
                <v:path arrowok="t"/>
              </v:shape>
            </v:group>
            <v:group style="position:absolute;left:4278;top:1373;width:78;height:2" coordorigin="4278,1373" coordsize="78,2">
              <v:shape style="position:absolute;left:4278;top:1373;width:78;height:2" coordorigin="4278,1373" coordsize="78,0" path="m4278,1373l4355,1373e" filled="false" stroked="true" strokeweight="3.854009pt" strokecolor="#ffff00">
                <v:path arrowok="t"/>
              </v:shape>
            </v:group>
            <v:group style="position:absolute;left:4278;top:1335;width:78;height:78" coordorigin="4278,1335" coordsize="78,78">
              <v:shape style="position:absolute;left:4278;top:1335;width:78;height:78" coordorigin="4278,1335" coordsize="78,78" path="m4278,1412l4355,1412,4355,1335,4278,1335,4278,1412xe" filled="false" stroked="true" strokeweight=".643013pt" strokecolor="#000000">
                <v:path arrowok="t"/>
              </v:shape>
            </v:group>
            <v:group style="position:absolute;left:4278;top:1580;width:78;height:2" coordorigin="4278,1580" coordsize="78,2">
              <v:shape style="position:absolute;left:4278;top:1580;width:78;height:2" coordorigin="4278,1580" coordsize="78,0" path="m4278,1580l4355,1580e" filled="false" stroked="true" strokeweight="3.854009pt" strokecolor="#99cc00">
                <v:path arrowok="t"/>
              </v:shape>
            </v:group>
            <v:group style="position:absolute;left:4278;top:1541;width:78;height:78" coordorigin="4278,1541" coordsize="78,78">
              <v:shape style="position:absolute;left:4278;top:1541;width:78;height:78" coordorigin="4278,1541" coordsize="78,78" path="m4278,1618l4355,1618,4355,1541,4278,1541,4278,1618xe" filled="false" stroked="true" strokeweight=".643013pt" strokecolor="#000000">
                <v:path arrowok="t"/>
              </v:shape>
            </v:group>
            <v:group style="position:absolute;left:4278;top:1786;width:78;height:2" coordorigin="4278,1786" coordsize="78,2">
              <v:shape style="position:absolute;left:4278;top:1786;width:78;height:2" coordorigin="4278,1786" coordsize="78,0" path="m4278,1786l4355,1786e" filled="false" stroked="true" strokeweight="3.87542pt" strokecolor="#ff6600">
                <v:path arrowok="t"/>
              </v:shape>
            </v:group>
            <v:group style="position:absolute;left:4278;top:1747;width:78;height:78" coordorigin="4278,1747" coordsize="78,78">
              <v:shape style="position:absolute;left:4278;top:1747;width:78;height:78" coordorigin="4278,1747" coordsize="78,78" path="m4278,1825l4355,1825,4355,1747,4278,1747,4278,1825xe" filled="false" stroked="true" strokeweight=".643016pt" strokecolor="#000000">
                <v:path arrowok="t"/>
              </v:shape>
            </v:group>
            <v:group style="position:absolute;left:4278;top:1992;width:78;height:2" coordorigin="4278,1992" coordsize="78,2">
              <v:shape style="position:absolute;left:4278;top:1992;width:78;height:2" coordorigin="4278,1992" coordsize="78,0" path="m4278,1992l4355,1992e" filled="false" stroked="true" strokeweight="3.87542pt" strokecolor="#00ccff">
                <v:path arrowok="t"/>
              </v:shape>
            </v:group>
            <v:group style="position:absolute;left:4278;top:1954;width:78;height:78" coordorigin="4278,1954" coordsize="78,78">
              <v:shape style="position:absolute;left:4278;top:1954;width:78;height:78" coordorigin="4278,1954" coordsize="78,78" path="m4278,2031l4355,2031,4355,1954,4278,1954,4278,2031xe" filled="false" stroked="true" strokeweight=".643016pt" strokecolor="#000000">
                <v:path arrowok="t"/>
              </v:shape>
            </v:group>
            <v:group style="position:absolute;left:6;top:6;width:5485;height:3147" coordorigin="6,6" coordsize="5485,3147">
              <v:shape style="position:absolute;left:6;top:6;width:5485;height:3147" coordorigin="6,6" coordsize="5485,3147" path="m6,3153l5491,3153,5491,6,6,6,6,3153xe" filled="false" stroked="true" strokeweight=".642673pt" strokecolor="#000000">
                <v:path arrowok="t"/>
              </v:shape>
              <v:shape style="position:absolute;left:2613;top:852;width:232;height:142" type="#_x0000_t202" filled="false" stroked="false">
                <v:textbox inset="0,0,0,0">
                  <w:txbxContent>
                    <w:p>
                      <w:pPr>
                        <w:spacing w:line="141" w:lineRule="exact" w:before="0"/>
                        <w:ind w:left="0" w:right="0" w:firstLine="0"/>
                        <w:jc w:val="left"/>
                        <w:rPr>
                          <w:rFonts w:ascii="宋体" w:hAnsi="宋体" w:cs="宋体" w:eastAsia="宋体" w:hint="default"/>
                          <w:sz w:val="14"/>
                          <w:szCs w:val="14"/>
                        </w:rPr>
                      </w:pPr>
                      <w:r>
                        <w:rPr>
                          <w:rFonts w:ascii="宋体"/>
                          <w:spacing w:val="5"/>
                          <w:sz w:val="14"/>
                        </w:rPr>
                        <w:t>11%</w:t>
                      </w:r>
                      <w:r>
                        <w:rPr>
                          <w:rFonts w:ascii="宋体"/>
                          <w:sz w:val="14"/>
                        </w:rPr>
                      </w:r>
                    </w:p>
                  </w:txbxContent>
                </v:textbox>
                <w10:wrap type="none"/>
              </v:shape>
              <v:shape style="position:absolute;left:3168;top:955;width:155;height:142" type="#_x0000_t202" filled="false" stroked="false">
                <v:textbox inset="0,0,0,0">
                  <w:txbxContent>
                    <w:p>
                      <w:pPr>
                        <w:spacing w:line="141" w:lineRule="exact" w:before="0"/>
                        <w:ind w:left="0" w:right="0" w:firstLine="0"/>
                        <w:jc w:val="left"/>
                        <w:rPr>
                          <w:rFonts w:ascii="宋体" w:hAnsi="宋体" w:cs="宋体" w:eastAsia="宋体" w:hint="default"/>
                          <w:sz w:val="14"/>
                          <w:szCs w:val="14"/>
                        </w:rPr>
                      </w:pPr>
                      <w:r>
                        <w:rPr>
                          <w:rFonts w:ascii="宋体"/>
                          <w:spacing w:val="5"/>
                          <w:sz w:val="14"/>
                        </w:rPr>
                        <w:t>4%</w:t>
                      </w:r>
                      <w:r>
                        <w:rPr>
                          <w:rFonts w:ascii="宋体"/>
                          <w:sz w:val="14"/>
                        </w:rPr>
                      </w:r>
                    </w:p>
                  </w:txbxContent>
                </v:textbox>
                <w10:wrap type="none"/>
              </v:shape>
              <v:shape style="position:absolute;left:445;top:1741;width:232;height:142" type="#_x0000_t202" filled="false" stroked="false">
                <v:textbox inset="0,0,0,0">
                  <w:txbxContent>
                    <w:p>
                      <w:pPr>
                        <w:spacing w:line="141" w:lineRule="exact" w:before="0"/>
                        <w:ind w:left="0" w:right="0" w:firstLine="0"/>
                        <w:jc w:val="left"/>
                        <w:rPr>
                          <w:rFonts w:ascii="宋体" w:hAnsi="宋体" w:cs="宋体" w:eastAsia="宋体" w:hint="default"/>
                          <w:sz w:val="14"/>
                          <w:szCs w:val="14"/>
                        </w:rPr>
                      </w:pPr>
                      <w:r>
                        <w:rPr>
                          <w:rFonts w:ascii="宋体"/>
                          <w:spacing w:val="5"/>
                          <w:sz w:val="14"/>
                        </w:rPr>
                        <w:t>53%</w:t>
                      </w:r>
                      <w:r>
                        <w:rPr>
                          <w:rFonts w:ascii="宋体"/>
                          <w:sz w:val="14"/>
                        </w:rPr>
                      </w:r>
                    </w:p>
                  </w:txbxContent>
                </v:textbox>
                <w10:wrap type="none"/>
              </v:shape>
              <v:shape style="position:absolute;left:3452;top:1857;width:232;height:142" type="#_x0000_t202" filled="false" stroked="false">
                <v:textbox inset="0,0,0,0">
                  <w:txbxContent>
                    <w:p>
                      <w:pPr>
                        <w:spacing w:line="141" w:lineRule="exact" w:before="0"/>
                        <w:ind w:left="0" w:right="0" w:firstLine="0"/>
                        <w:jc w:val="left"/>
                        <w:rPr>
                          <w:rFonts w:ascii="宋体" w:hAnsi="宋体" w:cs="宋体" w:eastAsia="宋体" w:hint="default"/>
                          <w:sz w:val="14"/>
                          <w:szCs w:val="14"/>
                        </w:rPr>
                      </w:pPr>
                      <w:r>
                        <w:rPr>
                          <w:rFonts w:ascii="宋体"/>
                          <w:spacing w:val="5"/>
                          <w:sz w:val="14"/>
                        </w:rPr>
                        <w:t>31%</w:t>
                      </w:r>
                      <w:r>
                        <w:rPr>
                          <w:rFonts w:ascii="宋体"/>
                          <w:sz w:val="14"/>
                        </w:rPr>
                      </w:r>
                    </w:p>
                  </w:txbxContent>
                </v:textbox>
                <w10:wrap type="none"/>
              </v:shape>
              <v:shape style="position:absolute;left:4407;top:1097;width:995;height:967" type="#_x0000_t202" filled="false" stroked="false">
                <v:textbox inset="0,0,0,0">
                  <w:txbxContent>
                    <w:p>
                      <w:pPr>
                        <w:spacing w:line="141" w:lineRule="exact" w:before="0"/>
                        <w:ind w:left="0" w:right="0" w:firstLine="0"/>
                        <w:jc w:val="left"/>
                        <w:rPr>
                          <w:rFonts w:ascii="宋体" w:hAnsi="宋体" w:cs="宋体" w:eastAsia="宋体" w:hint="default"/>
                          <w:sz w:val="14"/>
                          <w:szCs w:val="14"/>
                        </w:rPr>
                      </w:pPr>
                      <w:r>
                        <w:rPr>
                          <w:rFonts w:ascii="宋体" w:hAnsi="宋体" w:cs="宋体" w:eastAsia="宋体" w:hint="default"/>
                          <w:sz w:val="14"/>
                          <w:szCs w:val="14"/>
                        </w:rPr>
                        <w:t>管理人员</w:t>
                      </w:r>
                    </w:p>
                    <w:p>
                      <w:pPr>
                        <w:spacing w:line="271" w:lineRule="auto" w:before="23"/>
                        <w:ind w:left="0" w:right="0" w:firstLine="0"/>
                        <w:jc w:val="left"/>
                        <w:rPr>
                          <w:rFonts w:ascii="宋体" w:hAnsi="宋体" w:cs="宋体" w:eastAsia="宋体" w:hint="default"/>
                          <w:sz w:val="14"/>
                          <w:szCs w:val="14"/>
                        </w:rPr>
                      </w:pPr>
                      <w:r>
                        <w:rPr>
                          <w:rFonts w:ascii="宋体" w:hAnsi="宋体" w:cs="宋体" w:eastAsia="宋体" w:hint="default"/>
                          <w:sz w:val="14"/>
                          <w:szCs w:val="14"/>
                        </w:rPr>
                        <w:t>销售服务人员</w:t>
                      </w:r>
                      <w:r>
                        <w:rPr>
                          <w:rFonts w:ascii="宋体" w:hAnsi="宋体" w:cs="宋体" w:eastAsia="宋体" w:hint="default"/>
                          <w:spacing w:val="-58"/>
                          <w:sz w:val="14"/>
                          <w:szCs w:val="14"/>
                        </w:rPr>
                        <w:t> </w:t>
                      </w:r>
                      <w:r>
                        <w:rPr>
                          <w:rFonts w:ascii="宋体" w:hAnsi="宋体" w:cs="宋体" w:eastAsia="宋体" w:hint="default"/>
                          <w:sz w:val="14"/>
                          <w:szCs w:val="14"/>
                        </w:rPr>
                        <w:t>研发及技术人员</w:t>
                      </w:r>
                      <w:r>
                        <w:rPr>
                          <w:rFonts w:ascii="宋体" w:hAnsi="宋体" w:cs="宋体" w:eastAsia="宋体" w:hint="default"/>
                          <w:spacing w:val="-56"/>
                          <w:sz w:val="14"/>
                          <w:szCs w:val="14"/>
                        </w:rPr>
                        <w:t> </w:t>
                      </w:r>
                      <w:r>
                        <w:rPr>
                          <w:rFonts w:ascii="宋体" w:hAnsi="宋体" w:cs="宋体" w:eastAsia="宋体" w:hint="default"/>
                          <w:sz w:val="14"/>
                          <w:szCs w:val="14"/>
                        </w:rPr>
                        <w:t>财务人员</w:t>
                      </w:r>
                      <w:r>
                        <w:rPr>
                          <w:rFonts w:ascii="宋体" w:hAnsi="宋体" w:cs="宋体" w:eastAsia="宋体" w:hint="default"/>
                          <w:spacing w:val="-62"/>
                          <w:sz w:val="14"/>
                          <w:szCs w:val="14"/>
                        </w:rPr>
                        <w:t> </w:t>
                      </w:r>
                      <w:r>
                        <w:rPr>
                          <w:rFonts w:ascii="宋体" w:hAnsi="宋体" w:cs="宋体" w:eastAsia="宋体" w:hint="default"/>
                          <w:sz w:val="14"/>
                          <w:szCs w:val="14"/>
                        </w:rPr>
                        <w:t>生产人员</w:t>
                      </w:r>
                    </w:p>
                  </w:txbxContent>
                </v:textbox>
                <w10:wrap type="none"/>
              </v:shape>
              <v:shape style="position:absolute;left:2407;top:2154;width:155;height:142" type="#_x0000_t202" filled="false" stroked="false">
                <v:textbox inset="0,0,0,0">
                  <w:txbxContent>
                    <w:p>
                      <w:pPr>
                        <w:spacing w:line="141" w:lineRule="exact" w:before="0"/>
                        <w:ind w:left="0" w:right="0" w:firstLine="0"/>
                        <w:jc w:val="left"/>
                        <w:rPr>
                          <w:rFonts w:ascii="宋体" w:hAnsi="宋体" w:cs="宋体" w:eastAsia="宋体" w:hint="default"/>
                          <w:sz w:val="14"/>
                          <w:szCs w:val="14"/>
                        </w:rPr>
                      </w:pPr>
                      <w:r>
                        <w:rPr>
                          <w:rFonts w:ascii="宋体"/>
                          <w:spacing w:val="5"/>
                          <w:sz w:val="14"/>
                        </w:rPr>
                        <w:t>1%</w:t>
                      </w:r>
                      <w:r>
                        <w:rPr>
                          <w:rFonts w:ascii="宋体"/>
                          <w:sz w:val="14"/>
                        </w:rPr>
                      </w:r>
                    </w:p>
                  </w:txbxContent>
                </v:textbox>
                <w10:wrap type="none"/>
              </v:shape>
            </v:group>
          </v:group>
        </w:pict>
      </w:r>
      <w:r>
        <w:rPr>
          <w:rFonts w:ascii="宋体" w:hAnsi="宋体" w:cs="宋体" w:eastAsia="宋体" w:hint="default"/>
          <w:position w:val="-62"/>
          <w:sz w:val="20"/>
          <w:szCs w:val="20"/>
        </w:rPr>
      </w:r>
    </w:p>
    <w:p>
      <w:pPr>
        <w:spacing w:line="240" w:lineRule="auto" w:before="4"/>
        <w:rPr>
          <w:rFonts w:ascii="宋体" w:hAnsi="宋体" w:cs="宋体" w:eastAsia="宋体" w:hint="default"/>
          <w:sz w:val="29"/>
          <w:szCs w:val="29"/>
        </w:rPr>
      </w:pPr>
    </w:p>
    <w:p>
      <w:pPr>
        <w:pStyle w:val="Heading3"/>
        <w:spacing w:line="240" w:lineRule="auto" w:before="26"/>
        <w:ind w:left="633" w:right="146"/>
        <w:jc w:val="left"/>
      </w:pPr>
      <w:r>
        <w:rPr>
          <w:rFonts w:ascii="Times New Roman" w:hAnsi="Times New Roman" w:cs="Times New Roman" w:eastAsia="Times New Roman" w:hint="default"/>
        </w:rPr>
        <w:t>2</w:t>
      </w:r>
      <w:r>
        <w:rPr/>
        <w:t>、员工受教育程度</w:t>
      </w:r>
    </w:p>
    <w:tbl>
      <w:tblPr>
        <w:tblW w:w="0" w:type="auto"/>
        <w:jc w:val="left"/>
        <w:tblInd w:w="861" w:type="dxa"/>
        <w:tblLayout w:type="fixed"/>
        <w:tblCellMar>
          <w:top w:w="0" w:type="dxa"/>
          <w:left w:w="0" w:type="dxa"/>
          <w:bottom w:w="0" w:type="dxa"/>
          <w:right w:w="0" w:type="dxa"/>
        </w:tblCellMar>
        <w:tblLook w:val="01E0"/>
      </w:tblPr>
      <w:tblGrid>
        <w:gridCol w:w="2734"/>
        <w:gridCol w:w="2734"/>
        <w:gridCol w:w="2737"/>
      </w:tblGrid>
      <w:tr>
        <w:trPr>
          <w:trHeight w:val="341" w:hRule="exact"/>
        </w:trPr>
        <w:tc>
          <w:tcPr>
            <w:tcW w:w="2734" w:type="dxa"/>
            <w:tcBorders>
              <w:top w:val="single" w:sz="8" w:space="0" w:color="000000"/>
              <w:left w:val="single" w:sz="8" w:space="0" w:color="000000"/>
              <w:bottom w:val="single" w:sz="17" w:space="0" w:color="000000"/>
              <w:right w:val="single" w:sz="17" w:space="0" w:color="000000"/>
            </w:tcBorders>
            <w:shd w:val="clear" w:color="auto" w:fill="CCCCCC"/>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学历</w:t>
            </w:r>
            <w:r>
              <w:rPr>
                <w:rFonts w:ascii="宋体" w:hAnsi="宋体" w:cs="宋体" w:eastAsia="宋体" w:hint="default"/>
                <w:sz w:val="21"/>
                <w:szCs w:val="21"/>
              </w:rPr>
            </w:r>
          </w:p>
        </w:tc>
        <w:tc>
          <w:tcPr>
            <w:tcW w:w="2734" w:type="dxa"/>
            <w:tcBorders>
              <w:top w:val="single" w:sz="8" w:space="0" w:color="000000"/>
              <w:left w:val="single" w:sz="17" w:space="0" w:color="000000"/>
              <w:bottom w:val="single" w:sz="17" w:space="0" w:color="000000"/>
              <w:right w:val="single" w:sz="17" w:space="0" w:color="000000"/>
            </w:tcBorders>
            <w:shd w:val="clear" w:color="auto" w:fill="CCCCCC"/>
          </w:tcPr>
          <w:p>
            <w:pPr>
              <w:pStyle w:val="TableParagraph"/>
              <w:spacing w:line="272" w:lineRule="exact"/>
              <w:ind w:right="21"/>
              <w:jc w:val="center"/>
              <w:rPr>
                <w:rFonts w:ascii="宋体" w:hAnsi="宋体" w:cs="宋体" w:eastAsia="宋体" w:hint="default"/>
                <w:sz w:val="21"/>
                <w:szCs w:val="21"/>
              </w:rPr>
            </w:pPr>
            <w:r>
              <w:rPr>
                <w:rFonts w:ascii="宋体" w:hAnsi="宋体" w:cs="宋体" w:eastAsia="宋体" w:hint="default"/>
                <w:b/>
                <w:bCs/>
                <w:sz w:val="21"/>
                <w:szCs w:val="21"/>
              </w:rPr>
              <w:t>员工人数（人）</w:t>
            </w:r>
            <w:r>
              <w:rPr>
                <w:rFonts w:ascii="宋体" w:hAnsi="宋体" w:cs="宋体" w:eastAsia="宋体" w:hint="default"/>
                <w:sz w:val="21"/>
                <w:szCs w:val="21"/>
              </w:rPr>
            </w:r>
          </w:p>
        </w:tc>
        <w:tc>
          <w:tcPr>
            <w:tcW w:w="2737" w:type="dxa"/>
            <w:tcBorders>
              <w:top w:val="single" w:sz="8" w:space="0" w:color="000000"/>
              <w:left w:val="single" w:sz="17" w:space="0" w:color="000000"/>
              <w:bottom w:val="single" w:sz="17" w:space="0" w:color="000000"/>
              <w:right w:val="single" w:sz="17" w:space="0" w:color="000000"/>
            </w:tcBorders>
            <w:shd w:val="clear" w:color="auto" w:fill="CCCCCC"/>
          </w:tcPr>
          <w:p>
            <w:pPr>
              <w:pStyle w:val="TableParagraph"/>
              <w:spacing w:line="288" w:lineRule="exact"/>
              <w:ind w:right="19"/>
              <w:jc w:val="center"/>
              <w:rPr>
                <w:rFonts w:ascii="宋体" w:hAnsi="宋体" w:cs="宋体" w:eastAsia="宋体" w:hint="default"/>
                <w:sz w:val="21"/>
                <w:szCs w:val="21"/>
              </w:rPr>
            </w:pPr>
            <w:r>
              <w:rPr>
                <w:rFonts w:ascii="宋体" w:hAnsi="宋体" w:cs="宋体" w:eastAsia="宋体" w:hint="default"/>
                <w:b/>
                <w:bCs/>
                <w:sz w:val="21"/>
                <w:szCs w:val="21"/>
              </w:rPr>
              <w:t>所占比例（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70" w:hRule="exact"/>
        </w:trPr>
        <w:tc>
          <w:tcPr>
            <w:tcW w:w="2734" w:type="dxa"/>
            <w:tcBorders>
              <w:top w:val="single" w:sz="17" w:space="0" w:color="000000"/>
              <w:left w:val="single" w:sz="8" w:space="0" w:color="000000"/>
              <w:bottom w:val="single" w:sz="17" w:space="0" w:color="000000"/>
              <w:right w:val="single" w:sz="17"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本科以上</w:t>
            </w:r>
          </w:p>
        </w:tc>
        <w:tc>
          <w:tcPr>
            <w:tcW w:w="2734" w:type="dxa"/>
            <w:tcBorders>
              <w:top w:val="single" w:sz="22" w:space="0" w:color="000000"/>
              <w:left w:val="single" w:sz="17" w:space="0" w:color="000000"/>
              <w:bottom w:val="single" w:sz="17" w:space="0" w:color="000000"/>
              <w:right w:val="single" w:sz="17" w:space="0" w:color="000000"/>
            </w:tcBorders>
          </w:tcPr>
          <w:p>
            <w:pPr>
              <w:pStyle w:val="TableParagraph"/>
              <w:spacing w:line="240" w:lineRule="auto" w:before="93"/>
              <w:ind w:right="21"/>
              <w:jc w:val="center"/>
              <w:rPr>
                <w:rFonts w:ascii="Times New Roman" w:hAnsi="Times New Roman" w:cs="Times New Roman" w:eastAsia="Times New Roman" w:hint="default"/>
                <w:sz w:val="21"/>
                <w:szCs w:val="21"/>
              </w:rPr>
            </w:pPr>
            <w:r>
              <w:rPr>
                <w:rFonts w:ascii="Times New Roman"/>
                <w:sz w:val="21"/>
              </w:rPr>
              <w:t>60</w:t>
            </w:r>
          </w:p>
        </w:tc>
        <w:tc>
          <w:tcPr>
            <w:tcW w:w="2737" w:type="dxa"/>
            <w:tcBorders>
              <w:top w:val="single" w:sz="22" w:space="0" w:color="000000"/>
              <w:left w:val="single" w:sz="17" w:space="0" w:color="000000"/>
              <w:bottom w:val="single" w:sz="17" w:space="0" w:color="000000"/>
              <w:right w:val="single" w:sz="17" w:space="0" w:color="000000"/>
            </w:tcBorders>
          </w:tcPr>
          <w:p>
            <w:pPr>
              <w:pStyle w:val="TableParagraph"/>
              <w:spacing w:line="240" w:lineRule="auto" w:before="93"/>
              <w:ind w:right="19"/>
              <w:jc w:val="center"/>
              <w:rPr>
                <w:rFonts w:ascii="Times New Roman" w:hAnsi="Times New Roman" w:cs="Times New Roman" w:eastAsia="Times New Roman" w:hint="default"/>
                <w:sz w:val="21"/>
                <w:szCs w:val="21"/>
              </w:rPr>
            </w:pPr>
            <w:r>
              <w:rPr>
                <w:rFonts w:ascii="Times New Roman"/>
                <w:sz w:val="21"/>
              </w:rPr>
              <w:t>7%</w:t>
            </w:r>
          </w:p>
        </w:tc>
      </w:tr>
      <w:tr>
        <w:trPr>
          <w:trHeight w:val="446" w:hRule="exact"/>
        </w:trPr>
        <w:tc>
          <w:tcPr>
            <w:tcW w:w="2734" w:type="dxa"/>
            <w:tcBorders>
              <w:top w:val="single" w:sz="17" w:space="0" w:color="000000"/>
              <w:left w:val="single" w:sz="8" w:space="0" w:color="000000"/>
              <w:bottom w:val="single" w:sz="17" w:space="0" w:color="000000"/>
              <w:right w:val="single" w:sz="17"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734"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77"/>
              <w:ind w:right="21"/>
              <w:jc w:val="center"/>
              <w:rPr>
                <w:rFonts w:ascii="Times New Roman" w:hAnsi="Times New Roman" w:cs="Times New Roman" w:eastAsia="Times New Roman" w:hint="default"/>
                <w:sz w:val="21"/>
                <w:szCs w:val="21"/>
              </w:rPr>
            </w:pPr>
            <w:r>
              <w:rPr>
                <w:rFonts w:ascii="Times New Roman"/>
                <w:sz w:val="21"/>
              </w:rPr>
              <w:t>221</w:t>
            </w:r>
          </w:p>
        </w:tc>
        <w:tc>
          <w:tcPr>
            <w:tcW w:w="2737"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sz w:val="21"/>
              </w:rPr>
              <w:t>26%</w:t>
            </w:r>
          </w:p>
        </w:tc>
      </w:tr>
      <w:tr>
        <w:trPr>
          <w:trHeight w:val="446" w:hRule="exact"/>
        </w:trPr>
        <w:tc>
          <w:tcPr>
            <w:tcW w:w="2734" w:type="dxa"/>
            <w:tcBorders>
              <w:top w:val="single" w:sz="17" w:space="0" w:color="000000"/>
              <w:left w:val="single" w:sz="8" w:space="0" w:color="000000"/>
              <w:bottom w:val="single" w:sz="17" w:space="0" w:color="000000"/>
              <w:right w:val="single" w:sz="17"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2734"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77"/>
              <w:ind w:right="21"/>
              <w:jc w:val="center"/>
              <w:rPr>
                <w:rFonts w:ascii="Times New Roman" w:hAnsi="Times New Roman" w:cs="Times New Roman" w:eastAsia="Times New Roman" w:hint="default"/>
                <w:sz w:val="21"/>
                <w:szCs w:val="21"/>
              </w:rPr>
            </w:pPr>
            <w:r>
              <w:rPr>
                <w:rFonts w:ascii="Times New Roman"/>
                <w:sz w:val="21"/>
              </w:rPr>
              <w:t>569</w:t>
            </w:r>
          </w:p>
        </w:tc>
        <w:tc>
          <w:tcPr>
            <w:tcW w:w="2737"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sz w:val="21"/>
              </w:rPr>
              <w:t>67%</w:t>
            </w:r>
          </w:p>
        </w:tc>
      </w:tr>
      <w:tr>
        <w:trPr>
          <w:trHeight w:val="449" w:hRule="exact"/>
        </w:trPr>
        <w:tc>
          <w:tcPr>
            <w:tcW w:w="2734" w:type="dxa"/>
            <w:tcBorders>
              <w:top w:val="single" w:sz="17" w:space="0" w:color="000000"/>
              <w:left w:val="single" w:sz="8" w:space="0" w:color="000000"/>
              <w:bottom w:val="single" w:sz="17" w:space="0" w:color="000000"/>
              <w:right w:val="single" w:sz="17"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34"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77"/>
              <w:ind w:right="21"/>
              <w:jc w:val="center"/>
              <w:rPr>
                <w:rFonts w:ascii="Times New Roman" w:hAnsi="Times New Roman" w:cs="Times New Roman" w:eastAsia="Times New Roman" w:hint="default"/>
                <w:sz w:val="21"/>
                <w:szCs w:val="21"/>
              </w:rPr>
            </w:pPr>
            <w:r>
              <w:rPr>
                <w:rFonts w:ascii="Times New Roman"/>
                <w:sz w:val="21"/>
              </w:rPr>
              <w:t>850</w:t>
            </w:r>
          </w:p>
        </w:tc>
        <w:tc>
          <w:tcPr>
            <w:tcW w:w="2737"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77"/>
              <w:ind w:right="19"/>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p>
      <w:pPr>
        <w:spacing w:line="633" w:lineRule="exact"/>
        <w:ind w:left="6346"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35.25pt;height:31.7pt;mso-position-horizontal-relative:char;mso-position-vertical-relative:line" type="#_x0000_t202" filled="false" stroked="true" strokeweight=".626409pt" strokecolor="#000000">
            <w10:anchorlock/>
            <v:textbox inset="0,0,0,0">
              <w:txbxContent>
                <w:p>
                  <w:pPr>
                    <w:spacing w:line="276" w:lineRule="auto" w:before="1"/>
                    <w:ind w:left="155" w:right="26" w:firstLine="0"/>
                    <w:jc w:val="left"/>
                    <w:rPr>
                      <w:rFonts w:ascii="宋体" w:hAnsi="宋体" w:cs="宋体" w:eastAsia="宋体" w:hint="default"/>
                      <w:sz w:val="14"/>
                      <w:szCs w:val="14"/>
                    </w:rPr>
                  </w:pPr>
                  <w:r>
                    <w:rPr>
                      <w:rFonts w:ascii="宋体" w:hAnsi="宋体" w:cs="宋体" w:eastAsia="宋体" w:hint="default"/>
                      <w:w w:val="90"/>
                      <w:sz w:val="14"/>
                      <w:szCs w:val="14"/>
                    </w:rPr>
                    <w:t>本科以上</w:t>
                  </w:r>
                  <w:r>
                    <w:rPr>
                      <w:rFonts w:ascii="宋体" w:hAnsi="宋体" w:cs="宋体" w:eastAsia="宋体" w:hint="default"/>
                      <w:spacing w:val="-59"/>
                      <w:w w:val="90"/>
                      <w:sz w:val="14"/>
                      <w:szCs w:val="14"/>
                    </w:rPr>
                    <w:t> </w:t>
                  </w:r>
                  <w:r>
                    <w:rPr>
                      <w:rFonts w:ascii="宋体" w:hAnsi="宋体" w:cs="宋体" w:eastAsia="宋体" w:hint="default"/>
                      <w:sz w:val="14"/>
                      <w:szCs w:val="14"/>
                    </w:rPr>
                    <w:t>大专</w:t>
                  </w:r>
                  <w:r>
                    <w:rPr>
                      <w:rFonts w:ascii="宋体" w:hAnsi="宋体" w:cs="宋体" w:eastAsia="宋体" w:hint="default"/>
                      <w:w w:val="90"/>
                      <w:sz w:val="14"/>
                      <w:szCs w:val="14"/>
                    </w:rPr>
                    <w:t> </w:t>
                  </w:r>
                  <w:r>
                    <w:rPr>
                      <w:rFonts w:ascii="宋体" w:hAnsi="宋体" w:cs="宋体" w:eastAsia="宋体" w:hint="default"/>
                      <w:w w:val="90"/>
                      <w:sz w:val="14"/>
                      <w:szCs w:val="14"/>
                    </w:rPr>
                    <w:t>大专以下</w:t>
                  </w:r>
                  <w:r>
                    <w:rPr>
                      <w:rFonts w:ascii="宋体" w:hAnsi="宋体" w:cs="宋体" w:eastAsia="宋体" w:hint="default"/>
                      <w:sz w:val="14"/>
                      <w:szCs w:val="14"/>
                    </w:rPr>
                  </w:r>
                </w:p>
              </w:txbxContent>
            </v:textbox>
          </v:shape>
        </w:pict>
      </w:r>
      <w:r>
        <w:rPr>
          <w:rFonts w:ascii="宋体" w:hAnsi="宋体" w:cs="宋体" w:eastAsia="宋体" w:hint="default"/>
          <w:position w:val="-1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3"/>
        <w:spacing w:line="240" w:lineRule="auto" w:before="26"/>
        <w:ind w:left="633" w:right="146"/>
        <w:jc w:val="left"/>
      </w:pPr>
      <w:r>
        <w:rPr/>
        <w:pict>
          <v:group style="position:absolute;margin-left:172.241455pt;margin-top:-177.686386pt;width:250.15pt;height:159.1pt;mso-position-horizontal-relative:page;mso-position-vertical-relative:paragraph;z-index:-584752" coordorigin="3445,-3554" coordsize="5003,3182">
            <v:group style="position:absolute;left:5565;top:-2610;width:601;height:423" coordorigin="5565,-2610" coordsize="601,423">
              <v:shape style="position:absolute;left:5565;top:-2610;width:601;height:423" coordorigin="5565,-2610" coordsize="601,423" path="m5854,-2610l5565,-2610,5565,-2187,6165,-2571,6119,-2584,6050,-2584,6004,-2597,5877,-2597,5854,-2610xe" filled="true" fillcolor="#ff0000" stroked="false">
                <v:path arrowok="t"/>
                <v:fill type="solid"/>
              </v:shape>
            </v:group>
            <v:group style="position:absolute;left:5565;top:-2610;width:601;height:423" coordorigin="5565,-2610" coordsize="601,423">
              <v:shape style="position:absolute;left:5565;top:-2610;width:601;height:423" coordorigin="5565,-2610" coordsize="601,423" path="m5565,-2610l5565,-2610,5854,-2610,5877,-2597,5934,-2597,5981,-2597,6004,-2597,6050,-2584,6096,-2584,6119,-2584,6165,-2571,5565,-2187,5565,-2610xe" filled="false" stroked="true" strokeweight=".630623pt" strokecolor="#000000">
                <v:path arrowok="t"/>
              </v:shape>
            </v:group>
            <v:group style="position:absolute;left:6801;top:-2174;width:185;height:634" coordorigin="6801,-2174" coordsize="185,634">
              <v:shape style="position:absolute;left:6801;top:-2174;width:185;height:634" coordorigin="6801,-2174" coordsize="185,634" path="m6986,-2174l6974,-2161,6974,-2135,6951,-2109,6939,-2095,6939,-2082,6916,-2069,6893,-2042,6824,-2003,6801,-1989,6801,-1540,6824,-1554,6893,-1593,6916,-1620,6939,-1633,6939,-1646,6951,-1659,6963,-1673,6974,-1686,6974,-1712,6986,-1725,6986,-2174xe" filled="true" fillcolor="#004000" stroked="false">
                <v:path arrowok="t"/>
                <v:fill type="solid"/>
              </v:shape>
            </v:group>
            <v:group style="position:absolute;left:6801;top:-2187;width:185;height:648" coordorigin="6801,-2187" coordsize="185,648">
              <v:shape style="position:absolute;left:6801;top:-2187;width:185;height:648" coordorigin="6801,-2187" coordsize="185,648" path="m6986,-2187l6986,-2174,6974,-2161,6974,-2148,6974,-2135,6963,-2122,6951,-2109,6939,-2095,6939,-2082,6916,-2069,6905,-2055,6893,-2042,6870,-2029,6847,-2016,6824,-2003,6801,-1989,6801,-1540,6824,-1554,6847,-1567,6870,-1580,6893,-1593,6905,-1607,6916,-1620,6939,-1633,6939,-1646,6951,-1659,6963,-1673,6974,-1686,6974,-1699,6974,-1712,6986,-1725,6986,-1739,6986,-2187xe" filled="false" stroked="true" strokeweight=".582412pt" strokecolor="#000000">
                <v:path arrowok="t"/>
              </v:shape>
            </v:group>
            <v:group style="position:absolute;left:5565;top:-2571;width:1421;height:582" coordorigin="5565,-2571" coordsize="1421,582">
              <v:shape style="position:absolute;left:5565;top:-2571;width:1421;height:582" coordorigin="5565,-2571" coordsize="1421,582" path="m6212,-2571l6165,-2571,5565,-2187,6801,-1989,6824,-2003,6893,-2042,6916,-2069,6939,-2082,6951,-2095,6951,-2109,6974,-2135,6974,-2161,6986,-2174,6986,-2201,6974,-2214,6974,-2254,6916,-2319,6893,-2333,6882,-2346,6743,-2425,6709,-2438,6685,-2452,6651,-2465,6639,-2465,6535,-2504,6489,-2504,6420,-2531,6374,-2531,6339,-2544,6292,-2557,6246,-2557,6212,-2571xe" filled="true" fillcolor="#008000" stroked="false">
                <v:path arrowok="t"/>
                <v:fill type="solid"/>
              </v:shape>
            </v:group>
            <v:group style="position:absolute;left:5565;top:-2571;width:1421;height:582" coordorigin="5565,-2571" coordsize="1421,582">
              <v:shape style="position:absolute;left:5565;top:-2571;width:1421;height:582" coordorigin="5565,-2571" coordsize="1421,582" path="m6165,-2571l6212,-2571,6246,-2557,6292,-2557,6339,-2544,6374,-2531,6420,-2531,6454,-2517,6489,-2504,6535,-2504,6570,-2491,6604,-2478,6639,-2465,6651,-2465,6685,-2452,6709,-2438,6743,-2425,6858,-2359,6882,-2346,6893,-2333,6916,-2319,6928,-2306,6939,-2293,6951,-2280,6963,-2267,6974,-2254,6974,-2240,6974,-2214,6986,-2201,6986,-2187,6986,-2174,6974,-2161,6974,-2148,6974,-2135,6963,-2122,6951,-2109,6951,-2095,6939,-2082,6916,-2069,6905,-2055,6893,-2042,6870,-2029,6847,-2016,6824,-2003,6801,-1989,5565,-2187,6165,-2571xe" filled="false" stroked="true" strokeweight=".645873pt" strokecolor="#000000">
                <v:path arrowok="t"/>
              </v:shape>
            </v:group>
            <v:group style="position:absolute;left:4144;top:-2148;width:2658;height:833" coordorigin="4144,-2148" coordsize="2658,833">
              <v:shape style="position:absolute;left:4144;top:-2148;width:2658;height:833" coordorigin="4144,-2148" coordsize="2658,833" path="m5784,-1330l5346,-1330,5392,-1316,5738,-1316,5784,-1330xe" filled="true" fillcolor="#006680" stroked="false">
                <v:path arrowok="t"/>
                <v:fill type="solid"/>
              </v:shape>
              <v:shape style="position:absolute;left:4144;top:-2148;width:2658;height:833" coordorigin="4144,-2148" coordsize="2658,833" path="m6004,-1343l5126,-1343,5172,-1330,5957,-1330,6004,-1343xe" filled="true" fillcolor="#006680" stroked="false">
                <v:path arrowok="t"/>
                <v:fill type="solid"/>
              </v:shape>
              <v:shape style="position:absolute;left:4144;top:-2148;width:2658;height:833" coordorigin="4144,-2148" coordsize="2658,833" path="m6096,-1356l5033,-1356,5079,-1343,6050,-1343,6096,-1356xe" filled="true" fillcolor="#006680" stroked="false">
                <v:path arrowok="t"/>
                <v:fill type="solid"/>
              </v:shape>
              <v:shape style="position:absolute;left:4144;top:-2148;width:2658;height:833" coordorigin="4144,-2148" coordsize="2658,833" path="m6269,-1382l4849,-1382,4941,-1356,6189,-1356,6223,-1369,6269,-1382xe" filled="true" fillcolor="#006680" stroked="false">
                <v:path arrowok="t"/>
                <v:fill type="solid"/>
              </v:shape>
              <v:shape style="position:absolute;left:4144;top:-2148;width:2658;height:833" coordorigin="4144,-2148" coordsize="2658,833" path="m6362,-1395l4768,-1395,4814,-1382,6316,-1382,6362,-1395xe" filled="true" fillcolor="#006680" stroked="false">
                <v:path arrowok="t"/>
                <v:fill type="solid"/>
              </v:shape>
              <v:shape style="position:absolute;left:4144;top:-2148;width:2658;height:833" coordorigin="4144,-2148" coordsize="2658,833" path="m6477,-1422l4652,-1422,4722,-1395,6397,-1395,6431,-1408,6477,-1422xe" filled="true" fillcolor="#006680" stroked="false">
                <v:path arrowok="t"/>
                <v:fill type="solid"/>
              </v:shape>
              <v:shape style="position:absolute;left:4144;top:-2148;width:2658;height:833" coordorigin="4144,-2148" coordsize="2658,833" path="m6581,-1448l4560,-1448,4571,-1435,4606,-1422,6512,-1422,6547,-1435,6581,-1448xe" filled="true" fillcolor="#006680" stroked="false">
                <v:path arrowok="t"/>
                <v:fill type="solid"/>
              </v:shape>
              <v:shape style="position:absolute;left:4144;top:-2148;width:2658;height:833" coordorigin="4144,-2148" coordsize="2658,833" path="m4144,-2148l4144,-1699,4156,-1686,4167,-1673,4167,-1659,4213,-1607,4259,-1580,4271,-1567,4294,-1554,4317,-1540,4340,-1527,4375,-1514,4398,-1501,4433,-1488,4456,-1475,4525,-1448,6604,-1448,6639,-1461,6662,-1475,6732,-1501,6801,-1540,6801,-1765,5392,-1765,5346,-1778,5172,-1778,5126,-1792,5079,-1792,5033,-1805,4941,-1805,4849,-1831,4814,-1831,4768,-1844,4722,-1844,4652,-1870,4606,-1870,4571,-1884,4560,-1897,4525,-1897,4456,-1924,4433,-1937,4398,-1950,4375,-1963,4340,-1976,4317,-1989,4294,-2003,4271,-2016,4259,-2029,4213,-2055,4179,-2095,4167,-2109,4167,-2122,4156,-2135,4144,-2148xe" filled="true" fillcolor="#006680" stroked="false">
                <v:path arrowok="t"/>
                <v:fill type="solid"/>
              </v:shape>
              <v:shape style="position:absolute;left:4144;top:-2148;width:2658;height:833" coordorigin="4144,-2148" coordsize="2658,833" path="m6801,-1989l6732,-1950,6662,-1924,6639,-1910,6604,-1897,6581,-1897,6547,-1884,6512,-1870,6477,-1870,6431,-1857,6397,-1844,6362,-1844,6316,-1831,6269,-1831,6223,-1818,6189,-1805,6096,-1805,6050,-1792,6004,-1792,5957,-1778,5784,-1778,5738,-1765,6801,-1765,6801,-1989xe" filled="true" fillcolor="#006680" stroked="false">
                <v:path arrowok="t"/>
                <v:fill type="solid"/>
              </v:shape>
            </v:group>
            <v:group style="position:absolute;left:4144;top:-2187;width:2658;height:872" coordorigin="4144,-2187" coordsize="2658,872">
              <v:shape style="position:absolute;left:4144;top:-2187;width:2658;height:872" coordorigin="4144,-2187" coordsize="2658,872" path="m6801,-1989l6778,-1976,6755,-1963,6732,-1950,6697,-1937,6662,-1924,6639,-1910,6604,-1897,6581,-1897,6547,-1884,6512,-1870,6477,-1870,6431,-1857,6397,-1844,6362,-1844,6316,-1831,6269,-1831,6223,-1818,6189,-1805,6142,-1805,6096,-1805,6050,-1792,6004,-1792,5957,-1778,5934,-1778,5877,-1778,5830,-1778,5784,-1778,5738,-1765,5392,-1765,5346,-1778,5287,-1778,5241,-1778,5195,-1778,5172,-1778,5126,-1792,5079,-1792,5033,-1805,4987,-1805,4941,-1805,4895,-1818,4849,-1831,4814,-1831,4768,-1844,4722,-1844,4687,-1857,4652,-1870,4606,-1870,4571,-1884,4560,-1897,4525,-1897,4490,-1910,4456,-1924,4433,-1937,4398,-1950,4375,-1963,4340,-1976,4317,-1989,4294,-2003,4271,-2016,4259,-2029,4236,-2042,4213,-2055,4202,-2069,4190,-2082,4179,-2095,4167,-2109,4167,-2122,4156,-2135,4144,-2148,4144,-2161,4144,-2174,4144,-2187,4144,-1739,4144,-1725,4144,-1712,4144,-1699,4156,-1686,4167,-1673,4167,-1659,4179,-1646,4190,-1633,4202,-1620,4213,-1607,4236,-1593,4259,-1580,4271,-1567,4294,-1554,4317,-1540,4340,-1527,4375,-1514,4398,-1501,4433,-1488,4456,-1475,4490,-1461,4525,-1448,4560,-1448,4571,-1435,4606,-1422,4652,-1422,4687,-1408,4722,-1395,4768,-1395,4814,-1382,4849,-1382,4895,-1369,4941,-1356,4987,-1356,5033,-1356,5079,-1343,5126,-1343,5172,-1330,5195,-1330,5241,-1330,5287,-1330,5346,-1330,5392,-1316,5738,-1316,5784,-1330,5830,-1330,5877,-1330,5934,-1330,5957,-1330,6004,-1343,6050,-1343,6096,-1356,6142,-1356,6189,-1356,6223,-1369,6269,-1382,6316,-1382,6362,-1395,6397,-1395,6431,-1408,6477,-1422,6512,-1422,6547,-1435,6581,-1448,6604,-1448,6639,-1461,6662,-1475,6697,-1488,6732,-1501,6755,-1514,6778,-1527,6801,-1540,6801,-1989xe" filled="false" stroked="true" strokeweight=".649632pt" strokecolor="#000000">
                <v:path arrowok="t"/>
              </v:shape>
            </v:group>
            <v:group style="position:absolute;left:4144;top:-2610;width:2658;height:846" coordorigin="4144,-2610" coordsize="2658,846">
              <v:shape style="position:absolute;left:4144;top:-2610;width:2658;height:846" coordorigin="4144,-2610" coordsize="2658,846" path="m5761,-1778l5369,-1778,5415,-1765,5715,-1765,5761,-1778xe" filled="true" fillcolor="#00ccff" stroked="false">
                <v:path arrowok="t"/>
                <v:fill type="solid"/>
              </v:shape>
              <v:shape style="position:absolute;left:4144;top:-2610;width:2658;height:846" coordorigin="4144,-2610" coordsize="2658,846" path="m6004,-1792l5149,-1792,5195,-1778,5957,-1778,6004,-1792xe" filled="true" fillcolor="#00ccff" stroked="false">
                <v:path arrowok="t"/>
                <v:fill type="solid"/>
              </v:shape>
              <v:shape style="position:absolute;left:4144;top:-2610;width:2658;height:846" coordorigin="4144,-2610" coordsize="2658,846" path="m6096,-1805l5010,-1805,5056,-1792,6050,-1792,6096,-1805xe" filled="true" fillcolor="#00ccff" stroked="false">
                <v:path arrowok="t"/>
                <v:fill type="solid"/>
              </v:shape>
              <v:shape style="position:absolute;left:4144;top:-2610;width:2658;height:846" coordorigin="4144,-2610" coordsize="2658,846" path="m6269,-1831l4825,-1831,4872,-1818,4918,-1818,4964,-1805,6189,-1805,6223,-1818,6269,-1831xe" filled="true" fillcolor="#00ccff" stroked="false">
                <v:path arrowok="t"/>
                <v:fill type="solid"/>
              </v:shape>
              <v:shape style="position:absolute;left:4144;top:-2610;width:2658;height:846" coordorigin="4144,-2610" coordsize="2658,846" path="m6420,-1857l4710,-1857,4745,-1844,4791,-1831,6316,-1831,6362,-1844,6397,-1844,6420,-1857xe" filled="true" fillcolor="#00ccff" stroked="false">
                <v:path arrowok="t"/>
                <v:fill type="solid"/>
              </v:shape>
              <v:shape style="position:absolute;left:4144;top:-2610;width:2658;height:846" coordorigin="4144,-2610" coordsize="2658,846" path="m6570,-1897l4560,-1897,4594,-1884,4664,-1857,6454,-1857,6489,-1870,6535,-1884,6570,-1897xe" filled="true" fillcolor="#00ccff" stroked="false">
                <v:path arrowok="t"/>
                <v:fill type="solid"/>
              </v:shape>
              <v:shape style="position:absolute;left:4144;top:-2610;width:2658;height:846" coordorigin="4144,-2610" coordsize="2658,846" path="m5565,-2610l5264,-2610,5218,-2597,5126,-2597,5079,-2584,5033,-2584,4987,-2571,4918,-2571,4872,-2557,4825,-2557,4791,-2544,4745,-2531,4710,-2531,4664,-2517,4629,-2504,4594,-2504,4456,-2452,4433,-2452,4398,-2438,4375,-2425,4340,-2412,4271,-2372,4259,-2359,4213,-2333,4213,-2319,4202,-2306,4179,-2293,4167,-2280,4167,-2267,4156,-2254,4144,-2240,4144,-2148,4156,-2135,4167,-2122,4167,-2109,4179,-2095,4225,-2042,4248,-2029,4259,-2016,4282,-2003,4305,-1989,4329,-1976,4340,-1976,4375,-1963,4398,-1950,4433,-1937,4456,-1924,4525,-1897,6604,-1897,6639,-1910,6662,-1924,6732,-1950,6801,-1989,5565,-2187,5565,-2610xe" filled="true" fillcolor="#00ccff" stroked="false">
                <v:path arrowok="t"/>
                <v:fill type="solid"/>
              </v:shape>
            </v:group>
            <v:group style="position:absolute;left:4144;top:-2610;width:2658;height:846" coordorigin="4144,-2610" coordsize="2658,846">
              <v:shape style="position:absolute;left:4144;top:-2610;width:2658;height:846" coordorigin="4144,-2610" coordsize="2658,846" path="m6801,-1989l6778,-1976,6755,-1963,6732,-1950,6697,-1937,6662,-1924,6639,-1910,6604,-1897,6570,-1897,6535,-1884,6489,-1870,6454,-1857,6420,-1857,6397,-1844,6362,-1844,6316,-1831,6269,-1831,6223,-1818,6189,-1805,6142,-1805,6096,-1805,6050,-1792,6004,-1792,5957,-1778,5911,-1778,5854,-1778,5807,-1778,5761,-1778,5715,-1765,5415,-1765,5369,-1778,5310,-1778,5287,-1778,5241,-1778,5195,-1778,5149,-1792,5103,-1792,5056,-1792,5010,-1805,4964,-1805,4918,-1818,4872,-1818,4825,-1831,4791,-1831,4745,-1844,4710,-1857,4664,-1857,4629,-1870,4594,-1884,4560,-1897,4525,-1897,4490,-1910,4456,-1924,4433,-1937,4398,-1950,4375,-1963,4340,-1976,4329,-1976,4305,-1989,4282,-2003,4259,-2016,4248,-2029,4225,-2042,4213,-2055,4202,-2069,4179,-2095,4167,-2109,4167,-2122,4156,-2135,4144,-2148,4144,-2161,4144,-2174,4144,-2187,4144,-2201,4144,-2214,4144,-2240,4156,-2254,4167,-2267,4167,-2280,4179,-2293,4202,-2306,4213,-2319,4213,-2333,4236,-2346,4259,-2359,4271,-2372,4294,-2386,4317,-2399,4340,-2412,4375,-2425,4398,-2438,4433,-2452,4456,-2452,4490,-2465,4525,-2478,4560,-2491,4594,-2504,4629,-2504,4664,-2517,4710,-2531,4745,-2531,4791,-2544,4825,-2557,4872,-2557,4918,-2571,4964,-2571,4987,-2571,5033,-2584,5079,-2584,5126,-2597,5172,-2597,5218,-2597,5264,-2610,5565,-2610,5565,-2187,6801,-1989xe" filled="false" stroked="true" strokeweight=".650058pt" strokecolor="#000000">
                <v:path arrowok="t"/>
              </v:shape>
              <v:shape style="position:absolute;left:3445;top:-3554;width:5003;height:3182" type="#_x0000_t202" filled="false" stroked="true" strokeweight=".638263pt" strokecolor="#000000">
                <v:textbox inset="0,0,0,0">
                  <w:txbxContent>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8"/>
                        <w:rPr>
                          <w:rFonts w:ascii="宋体" w:hAnsi="宋体" w:cs="宋体" w:eastAsia="宋体" w:hint="default"/>
                          <w:sz w:val="12"/>
                          <w:szCs w:val="12"/>
                        </w:rPr>
                      </w:pPr>
                    </w:p>
                    <w:p>
                      <w:pPr>
                        <w:spacing w:before="0"/>
                        <w:ind w:left="0" w:right="32" w:firstLine="0"/>
                        <w:jc w:val="center"/>
                        <w:rPr>
                          <w:rFonts w:ascii="宋体" w:hAnsi="宋体" w:cs="宋体" w:eastAsia="宋体" w:hint="default"/>
                          <w:sz w:val="14"/>
                          <w:szCs w:val="14"/>
                        </w:rPr>
                      </w:pPr>
                      <w:r>
                        <w:rPr>
                          <w:rFonts w:ascii="宋体"/>
                          <w:spacing w:val="5"/>
                          <w:sz w:val="14"/>
                        </w:rPr>
                        <w:t>7%</w:t>
                      </w:r>
                      <w:r>
                        <w:rPr>
                          <w:rFonts w:ascii="宋体"/>
                          <w:sz w:val="14"/>
                        </w:rPr>
                      </w:r>
                    </w:p>
                    <w:p>
                      <w:pPr>
                        <w:spacing w:line="240" w:lineRule="auto" w:before="3"/>
                        <w:rPr>
                          <w:rFonts w:ascii="宋体" w:hAnsi="宋体" w:cs="宋体" w:eastAsia="宋体" w:hint="default"/>
                          <w:sz w:val="13"/>
                          <w:szCs w:val="13"/>
                        </w:rPr>
                      </w:pPr>
                    </w:p>
                    <w:p>
                      <w:pPr>
                        <w:spacing w:before="0"/>
                        <w:ind w:left="0" w:right="1262" w:firstLine="0"/>
                        <w:jc w:val="right"/>
                        <w:rPr>
                          <w:rFonts w:ascii="宋体" w:hAnsi="宋体" w:cs="宋体" w:eastAsia="宋体" w:hint="default"/>
                          <w:sz w:val="14"/>
                          <w:szCs w:val="14"/>
                        </w:rPr>
                      </w:pPr>
                      <w:r>
                        <w:rPr>
                          <w:rFonts w:ascii="宋体"/>
                          <w:spacing w:val="5"/>
                          <w:w w:val="90"/>
                          <w:sz w:val="14"/>
                        </w:rPr>
                        <w:t>26%</w:t>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8"/>
                        <w:rPr>
                          <w:rFonts w:ascii="宋体" w:hAnsi="宋体" w:cs="宋体" w:eastAsia="宋体" w:hint="default"/>
                          <w:sz w:val="12"/>
                          <w:szCs w:val="12"/>
                        </w:rPr>
                      </w:pPr>
                    </w:p>
                    <w:p>
                      <w:pPr>
                        <w:spacing w:before="0"/>
                        <w:ind w:left="640" w:right="0" w:firstLine="0"/>
                        <w:jc w:val="left"/>
                        <w:rPr>
                          <w:rFonts w:ascii="宋体" w:hAnsi="宋体" w:cs="宋体" w:eastAsia="宋体" w:hint="default"/>
                          <w:sz w:val="14"/>
                          <w:szCs w:val="14"/>
                        </w:rPr>
                      </w:pPr>
                      <w:r>
                        <w:rPr>
                          <w:rFonts w:ascii="宋体"/>
                          <w:spacing w:val="5"/>
                          <w:sz w:val="14"/>
                        </w:rPr>
                        <w:t>67%</w:t>
                      </w:r>
                      <w:r>
                        <w:rPr>
                          <w:rFonts w:ascii="宋体"/>
                          <w:sz w:val="14"/>
                        </w:rPr>
                      </w:r>
                    </w:p>
                  </w:txbxContent>
                </v:textbox>
                <w10:wrap type="none"/>
              </v:shape>
            </v:group>
            <w10:wrap type="none"/>
          </v:group>
        </w:pict>
      </w:r>
      <w:r>
        <w:rPr>
          <w:rFonts w:ascii="Times New Roman" w:hAnsi="Times New Roman" w:cs="Times New Roman" w:eastAsia="Times New Roman" w:hint="default"/>
        </w:rPr>
        <w:t>3</w:t>
      </w:r>
      <w:r>
        <w:rPr/>
        <w:t>、员工年龄分布</w:t>
      </w:r>
    </w:p>
    <w:tbl>
      <w:tblPr>
        <w:tblW w:w="0" w:type="auto"/>
        <w:jc w:val="left"/>
        <w:tblInd w:w="880" w:type="dxa"/>
        <w:tblLayout w:type="fixed"/>
        <w:tblCellMar>
          <w:top w:w="0" w:type="dxa"/>
          <w:left w:w="0" w:type="dxa"/>
          <w:bottom w:w="0" w:type="dxa"/>
          <w:right w:w="0" w:type="dxa"/>
        </w:tblCellMar>
        <w:tblLook w:val="01E0"/>
      </w:tblPr>
      <w:tblGrid>
        <w:gridCol w:w="2722"/>
        <w:gridCol w:w="2722"/>
        <w:gridCol w:w="2722"/>
      </w:tblGrid>
      <w:tr>
        <w:trPr>
          <w:trHeight w:val="334" w:hRule="exact"/>
        </w:trPr>
        <w:tc>
          <w:tcPr>
            <w:tcW w:w="2722" w:type="dxa"/>
            <w:tcBorders>
              <w:top w:val="single" w:sz="8" w:space="0" w:color="000000"/>
              <w:left w:val="single" w:sz="8" w:space="0" w:color="000000"/>
              <w:bottom w:val="single" w:sz="17" w:space="0" w:color="000000"/>
              <w:right w:val="single" w:sz="17" w:space="0" w:color="000000"/>
            </w:tcBorders>
            <w:shd w:val="clear" w:color="auto" w:fill="CCCCCC"/>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2722" w:type="dxa"/>
            <w:tcBorders>
              <w:top w:val="single" w:sz="8" w:space="0" w:color="000000"/>
              <w:left w:val="single" w:sz="17" w:space="0" w:color="000000"/>
              <w:bottom w:val="single" w:sz="17" w:space="0" w:color="000000"/>
              <w:right w:val="single" w:sz="17" w:space="0" w:color="000000"/>
            </w:tcBorders>
            <w:shd w:val="clear" w:color="auto" w:fill="CCCCCC"/>
          </w:tcPr>
          <w:p>
            <w:pPr>
              <w:pStyle w:val="TableParagraph"/>
              <w:spacing w:line="274" w:lineRule="exact"/>
              <w:ind w:right="22"/>
              <w:jc w:val="center"/>
              <w:rPr>
                <w:rFonts w:ascii="宋体" w:hAnsi="宋体" w:cs="宋体" w:eastAsia="宋体" w:hint="default"/>
                <w:sz w:val="21"/>
                <w:szCs w:val="21"/>
              </w:rPr>
            </w:pPr>
            <w:r>
              <w:rPr>
                <w:rFonts w:ascii="宋体" w:hAnsi="宋体" w:cs="宋体" w:eastAsia="宋体" w:hint="default"/>
                <w:b/>
                <w:bCs/>
                <w:sz w:val="21"/>
                <w:szCs w:val="21"/>
              </w:rPr>
              <w:t>员工人数（人）</w:t>
            </w:r>
            <w:r>
              <w:rPr>
                <w:rFonts w:ascii="宋体" w:hAnsi="宋体" w:cs="宋体" w:eastAsia="宋体" w:hint="default"/>
                <w:sz w:val="21"/>
                <w:szCs w:val="21"/>
              </w:rPr>
            </w:r>
          </w:p>
        </w:tc>
        <w:tc>
          <w:tcPr>
            <w:tcW w:w="2722" w:type="dxa"/>
            <w:tcBorders>
              <w:top w:val="single" w:sz="8" w:space="0" w:color="000000"/>
              <w:left w:val="single" w:sz="17" w:space="0" w:color="000000"/>
              <w:bottom w:val="single" w:sz="17" w:space="0" w:color="000000"/>
              <w:right w:val="single" w:sz="17" w:space="0" w:color="000000"/>
            </w:tcBorders>
            <w:shd w:val="clear" w:color="auto" w:fill="CCCCCC"/>
          </w:tcPr>
          <w:p>
            <w:pPr>
              <w:pStyle w:val="TableParagraph"/>
              <w:spacing w:line="290" w:lineRule="exact"/>
              <w:ind w:right="24"/>
              <w:jc w:val="center"/>
              <w:rPr>
                <w:rFonts w:ascii="宋体" w:hAnsi="宋体" w:cs="宋体" w:eastAsia="宋体" w:hint="default"/>
                <w:sz w:val="21"/>
                <w:szCs w:val="21"/>
              </w:rPr>
            </w:pPr>
            <w:r>
              <w:rPr>
                <w:rFonts w:ascii="宋体" w:hAnsi="宋体" w:cs="宋体" w:eastAsia="宋体" w:hint="default"/>
                <w:b/>
                <w:bCs/>
                <w:sz w:val="21"/>
                <w:szCs w:val="21"/>
              </w:rPr>
              <w:t>所占比例（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78" w:hRule="exact"/>
        </w:trPr>
        <w:tc>
          <w:tcPr>
            <w:tcW w:w="2722" w:type="dxa"/>
            <w:tcBorders>
              <w:top w:val="single" w:sz="22" w:space="0" w:color="000000"/>
              <w:left w:val="single" w:sz="8" w:space="0" w:color="000000"/>
              <w:bottom w:val="single" w:sz="17" w:space="0" w:color="000000"/>
              <w:right w:val="single" w:sz="17" w:space="0" w:color="000000"/>
            </w:tcBorders>
          </w:tcPr>
          <w:p>
            <w:pPr>
              <w:pStyle w:val="TableParagraph"/>
              <w:spacing w:line="240" w:lineRule="auto" w:before="56"/>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岁以下</w:t>
            </w:r>
          </w:p>
        </w:tc>
        <w:tc>
          <w:tcPr>
            <w:tcW w:w="2722" w:type="dxa"/>
            <w:tcBorders>
              <w:top w:val="single" w:sz="22" w:space="0" w:color="000000"/>
              <w:left w:val="single" w:sz="17" w:space="0" w:color="000000"/>
              <w:bottom w:val="single" w:sz="17" w:space="0" w:color="000000"/>
              <w:right w:val="single" w:sz="17" w:space="0" w:color="000000"/>
            </w:tcBorders>
          </w:tcPr>
          <w:p>
            <w:pPr>
              <w:pStyle w:val="TableParagraph"/>
              <w:spacing w:line="240" w:lineRule="auto" w:before="103"/>
              <w:ind w:right="22"/>
              <w:jc w:val="center"/>
              <w:rPr>
                <w:rFonts w:ascii="Times New Roman" w:hAnsi="Times New Roman" w:cs="Times New Roman" w:eastAsia="Times New Roman" w:hint="default"/>
                <w:sz w:val="21"/>
                <w:szCs w:val="21"/>
              </w:rPr>
            </w:pPr>
            <w:r>
              <w:rPr>
                <w:rFonts w:ascii="Times New Roman"/>
                <w:sz w:val="21"/>
              </w:rPr>
              <w:t>485</w:t>
            </w:r>
          </w:p>
        </w:tc>
        <w:tc>
          <w:tcPr>
            <w:tcW w:w="2722" w:type="dxa"/>
            <w:tcBorders>
              <w:top w:val="single" w:sz="22" w:space="0" w:color="000000"/>
              <w:left w:val="single" w:sz="17" w:space="0" w:color="000000"/>
              <w:bottom w:val="single" w:sz="17" w:space="0" w:color="000000"/>
              <w:right w:val="single" w:sz="17" w:space="0" w:color="000000"/>
            </w:tcBorders>
          </w:tcPr>
          <w:p>
            <w:pPr>
              <w:pStyle w:val="TableParagraph"/>
              <w:spacing w:line="240" w:lineRule="auto" w:before="103"/>
              <w:ind w:right="24"/>
              <w:jc w:val="center"/>
              <w:rPr>
                <w:rFonts w:ascii="Times New Roman" w:hAnsi="Times New Roman" w:cs="Times New Roman" w:eastAsia="Times New Roman" w:hint="default"/>
                <w:sz w:val="21"/>
                <w:szCs w:val="21"/>
              </w:rPr>
            </w:pPr>
            <w:r>
              <w:rPr>
                <w:rFonts w:ascii="Times New Roman"/>
                <w:sz w:val="21"/>
              </w:rPr>
              <w:t>57%</w:t>
            </w:r>
          </w:p>
        </w:tc>
      </w:tr>
      <w:tr>
        <w:trPr>
          <w:trHeight w:val="449" w:hRule="exact"/>
        </w:trPr>
        <w:tc>
          <w:tcPr>
            <w:tcW w:w="2722" w:type="dxa"/>
            <w:tcBorders>
              <w:top w:val="single" w:sz="17" w:space="0" w:color="000000"/>
              <w:left w:val="single" w:sz="8" w:space="0" w:color="000000"/>
              <w:bottom w:val="single" w:sz="17" w:space="0" w:color="000000"/>
              <w:right w:val="single" w:sz="17"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r>
              <w:rPr>
                <w:rFonts w:ascii="宋体" w:hAnsi="宋体" w:cs="宋体" w:eastAsia="宋体" w:hint="default"/>
                <w:sz w:val="21"/>
                <w:szCs w:val="21"/>
              </w:rPr>
              <w:t>岁</w:t>
            </w:r>
          </w:p>
        </w:tc>
        <w:tc>
          <w:tcPr>
            <w:tcW w:w="2722"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77"/>
              <w:ind w:right="22"/>
              <w:jc w:val="center"/>
              <w:rPr>
                <w:rFonts w:ascii="Times New Roman" w:hAnsi="Times New Roman" w:cs="Times New Roman" w:eastAsia="Times New Roman" w:hint="default"/>
                <w:sz w:val="21"/>
                <w:szCs w:val="21"/>
              </w:rPr>
            </w:pPr>
            <w:r>
              <w:rPr>
                <w:rFonts w:ascii="Times New Roman"/>
                <w:sz w:val="21"/>
              </w:rPr>
              <w:t>339</w:t>
            </w:r>
          </w:p>
        </w:tc>
        <w:tc>
          <w:tcPr>
            <w:tcW w:w="2722"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77"/>
              <w:ind w:right="24"/>
              <w:jc w:val="center"/>
              <w:rPr>
                <w:rFonts w:ascii="Times New Roman" w:hAnsi="Times New Roman" w:cs="Times New Roman" w:eastAsia="Times New Roman" w:hint="default"/>
                <w:sz w:val="21"/>
                <w:szCs w:val="21"/>
              </w:rPr>
            </w:pPr>
            <w:r>
              <w:rPr>
                <w:rFonts w:ascii="Times New Roman"/>
                <w:sz w:val="21"/>
              </w:rPr>
              <w:t>40%</w:t>
            </w:r>
          </w:p>
        </w:tc>
      </w:tr>
      <w:tr>
        <w:trPr>
          <w:trHeight w:val="446" w:hRule="exact"/>
        </w:trPr>
        <w:tc>
          <w:tcPr>
            <w:tcW w:w="2722" w:type="dxa"/>
            <w:tcBorders>
              <w:top w:val="single" w:sz="17" w:space="0" w:color="000000"/>
              <w:left w:val="single" w:sz="8" w:space="0" w:color="000000"/>
              <w:bottom w:val="single" w:sz="17" w:space="0" w:color="000000"/>
              <w:right w:val="single" w:sz="17"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51</w:t>
            </w:r>
            <w:r>
              <w:rPr>
                <w:rFonts w:ascii="宋体" w:hAnsi="宋体" w:cs="宋体" w:eastAsia="宋体" w:hint="default"/>
                <w:sz w:val="21"/>
                <w:szCs w:val="21"/>
              </w:rPr>
              <w:t>岁以上</w:t>
            </w:r>
          </w:p>
        </w:tc>
        <w:tc>
          <w:tcPr>
            <w:tcW w:w="2722"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75"/>
              <w:ind w:right="27"/>
              <w:jc w:val="center"/>
              <w:rPr>
                <w:rFonts w:ascii="Times New Roman" w:hAnsi="Times New Roman" w:cs="Times New Roman" w:eastAsia="Times New Roman" w:hint="default"/>
                <w:sz w:val="21"/>
                <w:szCs w:val="21"/>
              </w:rPr>
            </w:pPr>
            <w:r>
              <w:rPr>
                <w:rFonts w:ascii="Times New Roman"/>
                <w:sz w:val="21"/>
              </w:rPr>
              <w:t>26</w:t>
            </w:r>
          </w:p>
        </w:tc>
        <w:tc>
          <w:tcPr>
            <w:tcW w:w="2722"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75"/>
              <w:ind w:right="24"/>
              <w:jc w:val="center"/>
              <w:rPr>
                <w:rFonts w:ascii="Times New Roman" w:hAnsi="Times New Roman" w:cs="Times New Roman" w:eastAsia="Times New Roman" w:hint="default"/>
                <w:sz w:val="21"/>
                <w:szCs w:val="21"/>
              </w:rPr>
            </w:pPr>
            <w:r>
              <w:rPr>
                <w:rFonts w:ascii="Times New Roman"/>
                <w:sz w:val="21"/>
              </w:rPr>
              <w:t>3%</w:t>
            </w:r>
          </w:p>
        </w:tc>
      </w:tr>
      <w:tr>
        <w:trPr>
          <w:trHeight w:val="367" w:hRule="exact"/>
        </w:trPr>
        <w:tc>
          <w:tcPr>
            <w:tcW w:w="2722" w:type="dxa"/>
            <w:tcBorders>
              <w:top w:val="single" w:sz="17" w:space="0" w:color="000000"/>
              <w:left w:val="single" w:sz="8" w:space="0" w:color="000000"/>
              <w:bottom w:val="single" w:sz="17" w:space="0" w:color="000000"/>
              <w:right w:val="single" w:sz="17"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22"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right="22"/>
              <w:jc w:val="center"/>
              <w:rPr>
                <w:rFonts w:ascii="Times New Roman" w:hAnsi="Times New Roman" w:cs="Times New Roman" w:eastAsia="Times New Roman" w:hint="default"/>
                <w:sz w:val="21"/>
                <w:szCs w:val="21"/>
              </w:rPr>
            </w:pPr>
            <w:r>
              <w:rPr>
                <w:rFonts w:ascii="Times New Roman"/>
                <w:sz w:val="21"/>
              </w:rPr>
              <w:t>850</w:t>
            </w:r>
          </w:p>
        </w:tc>
        <w:tc>
          <w:tcPr>
            <w:tcW w:w="2722" w:type="dxa"/>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36"/>
              <w:ind w:right="24"/>
              <w:jc w:val="center"/>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center"/>
        <w:rPr>
          <w:rFonts w:ascii="Times New Roman" w:hAnsi="Times New Roman" w:cs="Times New Roman" w:eastAsia="Times New Roman" w:hint="default"/>
          <w:sz w:val="21"/>
          <w:szCs w:val="21"/>
        </w:rPr>
        <w:sectPr>
          <w:footerReference w:type="default" r:id="rId14"/>
          <w:pgSz w:w="11910" w:h="16840"/>
          <w:pgMar w:footer="980" w:header="745" w:top="1060" w:bottom="1160" w:left="980" w:right="980"/>
          <w:pgNumType w:start="50"/>
        </w:sectPr>
      </w:pPr>
    </w:p>
    <w:p>
      <w:pPr>
        <w:spacing w:line="240" w:lineRule="auto" w:before="0"/>
        <w:rPr>
          <w:rFonts w:ascii="Times New Roman" w:hAnsi="Times New Roman" w:cs="Times New Roman" w:eastAsia="Times New Roman" w:hint="default"/>
          <w:sz w:val="20"/>
          <w:szCs w:val="20"/>
        </w:rPr>
      </w:pPr>
      <w:r>
        <w:rPr/>
        <w:pict>
          <v:group style="position:absolute;margin-left:169.114853pt;margin-top:80.083603pt;width:256.45pt;height:171.2pt;mso-position-horizontal-relative:page;mso-position-vertical-relative:page;z-index:-584608" coordorigin="3382,1602" coordsize="5129,3424">
            <v:shape style="position:absolute;left:5250;top:2747;width:274;height:373" type="#_x0000_t75" stroked="false">
              <v:imagedata r:id="rId16" o:title=""/>
            </v:shape>
            <v:group style="position:absolute;left:4110;top:3152;width:810;height:697" coordorigin="4110,3152" coordsize="810,697">
              <v:shape style="position:absolute;left:4110;top:3152;width:810;height:697" coordorigin="4110,3152" coordsize="810,697" path="m4110,3152l4110,3550,4123,3575,4136,3587,4161,3612,4173,3625,4185,3637,4235,3662,4248,3674,4322,3711,4360,3724,4397,3737,4422,3749,4459,3761,4484,3761,4522,3774,4571,3786,4609,3799,4646,3799,4696,3811,4733,3823,4770,3823,4832,3836,4883,3848,4920,3848,4920,3450,4883,3450,4832,3438,4770,3425,4733,3425,4696,3413,4646,3401,4609,3401,4571,3388,4522,3375,4484,3363,4459,3363,4422,3350,4397,3338,4322,3313,4248,3276,4235,3264,4210,3251,4185,3238,4136,3189,4123,3176,4110,3152xe" filled="true" fillcolor="#004000" stroked="false">
                <v:path arrowok="t"/>
                <v:fill type="solid"/>
              </v:shape>
            </v:group>
            <v:group style="position:absolute;left:4110;top:3114;width:810;height:735" coordorigin="4110,3114" coordsize="810,735">
              <v:shape style="position:absolute;left:4110;top:3114;width:810;height:735" coordorigin="4110,3114" coordsize="810,735" path="m4920,3450l4883,3450,4832,3438,4770,3425,4733,3425,4696,3413,4646,3401,4609,3401,4571,3388,4522,3375,4484,3363,4459,3363,4422,3350,4397,3338,4360,3326,4322,3313,4297,3301,4272,3288,4248,3276,4235,3264,4210,3251,4185,3238,4173,3226,4161,3214,4148,3201,4136,3189,4123,3176,4110,3152,4110,3139,4110,3126,4110,3114,4110,3550,4123,3575,4136,3587,4148,3599,4161,3612,4173,3625,4185,3637,4210,3649,4235,3662,4248,3674,4272,3687,4297,3699,4322,3711,4360,3724,4397,3737,4422,3749,4459,3761,4484,3761,4522,3774,4571,3786,4609,3799,4646,3799,4696,3811,4733,3823,4770,3823,4832,3836,4883,3848,4920,3848,4920,3450xe" filled="false" stroked="true" strokeweight=".620588pt" strokecolor="#000000">
                <v:path arrowok="t"/>
              </v:shape>
            </v:group>
            <v:group style="position:absolute;left:4110;top:2753;width:1407;height:698" coordorigin="4110,2753" coordsize="1407,698">
              <v:shape style="position:absolute;left:4110;top:2753;width:1407;height:698" coordorigin="4110,2753" coordsize="1407,698" path="m5256,2753l5206,2765,5082,2765,5032,2778,4994,2778,4920,2791,4832,2791,4770,2803,4733,2815,4696,2815,4596,2840,4559,2853,4522,2853,4471,2877,4434,2877,4409,2890,4372,2902,4335,2915,4285,2940,4248,2952,4235,2965,4210,2977,4173,3014,4161,3027,4148,3039,4123,3052,4123,3064,4110,3077,4110,3152,4123,3164,4123,3176,4136,3189,4185,3238,4210,3251,4235,3264,4248,3276,4272,3288,4310,3301,4360,3326,4409,3338,4434,3350,4509,3375,4559,3388,4596,3401,4633,3401,4696,3413,4733,3425,4770,3425,4808,3438,4883,3450,4920,3450,5517,3114,5256,2753xe" filled="true" fillcolor="#008000" stroked="false">
                <v:path arrowok="t"/>
                <v:fill type="solid"/>
              </v:shape>
            </v:group>
            <v:group style="position:absolute;left:4110;top:2753;width:1407;height:698" coordorigin="4110,2753" coordsize="1407,698">
              <v:shape style="position:absolute;left:4110;top:2753;width:1407;height:698" coordorigin="4110,2753" coordsize="1407,698" path="m4920,3450l4883,3450,4808,3438,4770,3425,4733,3425,4696,3413,4633,3401,4596,3401,4559,3388,4509,3375,4471,3363,4434,3350,4409,3338,4360,3326,4335,3313,4310,3301,4272,3288,4248,3276,4235,3264,4210,3251,4185,3238,4173,3226,4161,3214,4136,3189,4123,3176,4123,3164,4110,3152,4110,3139,4110,3126,4110,3114,4110,3089,4110,3077,4123,3064,4123,3052,4148,3039,4161,3027,4173,3014,4198,2990,4210,2977,4235,2965,4248,2952,4285,2940,4310,2927,4335,2915,4372,2902,4409,2890,4434,2877,4471,2877,4522,2853,4559,2853,4596,2840,4646,2828,4696,2815,4733,2815,4770,2803,4832,2791,4883,2791,4920,2791,4994,2778,5032,2778,5082,2765,5131,2765,5206,2765,5256,2753,5517,3114,4920,3450xe" filled="false" stroked="true" strokeweight=".620411pt" strokecolor="#000000">
                <v:path arrowok="t"/>
              </v:shape>
            </v:group>
            <v:group style="position:absolute;left:4920;top:3126;width:2017;height:760" coordorigin="4920,3126" coordsize="2017,760">
              <v:shape style="position:absolute;left:4920;top:3126;width:2017;height:760" coordorigin="4920,3126" coordsize="2017,760" path="m5742,3874l5293,3874,5343,3886,5691,3886,5742,3874xe" filled="true" fillcolor="#006680" stroked="false">
                <v:path arrowok="t"/>
                <v:fill type="solid"/>
              </v:shape>
              <v:shape style="position:absolute;left:4920;top:3126;width:2017;height:760" coordorigin="4920,3126" coordsize="2017,760" path="m5953,3861l5082,3861,5131,3874,5916,3874,5953,3861xe" filled="true" fillcolor="#006680" stroked="false">
                <v:path arrowok="t"/>
                <v:fill type="solid"/>
              </v:shape>
              <v:shape style="position:absolute;left:4920;top:3126;width:2017;height:760" coordorigin="4920,3126" coordsize="2017,760" path="m6115,3848l4969,3848,5032,3861,6052,3861,6115,3848xe" filled="true" fillcolor="#006680" stroked="false">
                <v:path arrowok="t"/>
                <v:fill type="solid"/>
              </v:shape>
              <v:shape style="position:absolute;left:4920;top:3126;width:2017;height:760" coordorigin="4920,3126" coordsize="2017,760" path="m4969,3450l4920,3450,4920,3848,6165,3848,6202,3836,6252,3836,6314,3823,6389,3799,6426,3799,6488,3786,6526,3774,6551,3761,6588,3761,6638,3737,6663,3737,6688,3724,6762,3699,6774,3687,6825,3662,6862,3625,6874,3612,6887,3599,6912,3587,6912,3575,6924,3562,6924,3550,6936,3525,6936,3487,5343,3487,5293,3475,5131,3475,5082,3462,5032,3462,4969,3450xe" filled="true" fillcolor="#006680" stroked="false">
                <v:path arrowok="t"/>
                <v:fill type="solid"/>
              </v:shape>
              <v:shape style="position:absolute;left:4920;top:3126;width:2017;height:760" coordorigin="4920,3126" coordsize="2017,760" path="m6936,3126l6924,3152,6924,3164,6912,3176,6912,3189,6887,3201,6849,3238,6825,3264,6774,3288,6762,3301,6688,3326,6663,3338,6638,3338,6588,3363,6551,3363,6526,3375,6488,3388,6426,3401,6389,3401,6314,3425,6252,3438,6202,3438,6165,3450,6115,3450,6052,3462,5953,3462,5916,3475,5742,3475,5691,3487,6936,3487,6936,3126xe" filled="true" fillcolor="#006680" stroked="false">
                <v:path arrowok="t"/>
                <v:fill type="solid"/>
              </v:shape>
            </v:group>
            <v:group style="position:absolute;left:4920;top:3114;width:2017;height:773" coordorigin="4920,3114" coordsize="2017,773">
              <v:shape style="position:absolute;left:4920;top:3114;width:2017;height:773" coordorigin="4920,3114" coordsize="2017,773" path="m6936,3114l6936,3126,6924,3152,6924,3164,6912,3176,6912,3189,6887,3201,6874,3214,6862,3226,6849,3238,6825,3264,6800,3276,6774,3288,6762,3301,6725,3313,6688,3326,6663,3338,6638,3338,6588,3363,6551,3363,6526,3375,6488,3388,6426,3401,6389,3401,6351,3413,6314,3425,6252,3438,6202,3438,6165,3450,6115,3450,6052,3462,6003,3462,5953,3462,5916,3475,5841,3475,5791,3475,5742,3475,5691,3487,5343,3487,5293,3475,5256,3475,5181,3475,5131,3475,5082,3462,5032,3462,4969,3450,4920,3450,4920,3848,4969,3848,5032,3861,5082,3861,5131,3874,5181,3874,5256,3874,5293,3874,5343,3886,5691,3886,5742,3874,5791,3874,5841,3874,5916,3874,5953,3861,6003,3861,6052,3861,6115,3848,6165,3848,6202,3836,6252,3836,6314,3823,6351,3811,6389,3799,6426,3799,6488,3786,6526,3774,6551,3761,6588,3761,6638,3737,6663,3737,6688,3724,6725,3711,6762,3699,6774,3687,6800,3674,6825,3662,6849,3637,6862,3625,6874,3612,6887,3599,6912,3587,6912,3575,6924,3562,6924,3550,6936,3525,6936,3513,6936,3114xe" filled="false" stroked="true" strokeweight=".620363pt" strokecolor="#000000">
                <v:path arrowok="t"/>
              </v:shape>
            </v:group>
            <v:group style="position:absolute;left:4920;top:2753;width:2017;height:735" coordorigin="4920,2753" coordsize="2017,735">
              <v:shape style="position:absolute;left:4920;top:2753;width:2017;height:735" coordorigin="4920,2753" coordsize="2017,735" path="m5742,3475l5293,3475,5343,3487,5691,3487,5742,3475xe" filled="true" fillcolor="#00ccff" stroked="false">
                <v:path arrowok="t"/>
                <v:fill type="solid"/>
              </v:shape>
              <v:shape style="position:absolute;left:4920;top:2753;width:2017;height:735" coordorigin="4920,2753" coordsize="2017,735" path="m5953,3462l5082,3462,5131,3475,5916,3475,5953,3462xe" filled="true" fillcolor="#00ccff" stroked="false">
                <v:path arrowok="t"/>
                <v:fill type="solid"/>
              </v:shape>
              <v:shape style="position:absolute;left:4920;top:2753;width:2017;height:735" coordorigin="4920,2753" coordsize="2017,735" path="m6077,3450l4969,3450,5032,3462,6028,3462,6077,3450xe" filled="true" fillcolor="#00ccff" stroked="false">
                <v:path arrowok="t"/>
                <v:fill type="solid"/>
              </v:shape>
              <v:shape style="position:absolute;left:4920;top:2753;width:2017;height:735" coordorigin="4920,2753" coordsize="2017,735" path="m5791,2753l5517,2753,5517,3114,4920,3450,6165,3450,6227,3438,6264,3425,6314,3425,6351,3413,6413,3401,6451,3401,6488,3388,6538,3375,6575,3363,6600,3350,6675,3326,6700,3313,6737,3301,6812,3264,6825,3251,6862,3238,6899,3201,6912,3176,6924,3164,6924,3152,6936,3139,6936,3101,6924,3077,6924,3064,6887,3027,6874,3014,6862,3002,6825,2977,6812,2965,6737,2927,6700,2915,6675,2902,6600,2877,6575,2877,6538,2865,6488,2853,6413,2828,6351,2815,6314,2815,6264,2803,6227,2803,6165,2791,6115,2791,6077,2778,6028,2778,5953,2765,5866,2765,5791,2753xe" filled="true" fillcolor="#00ccff" stroked="false">
                <v:path arrowok="t"/>
                <v:fill type="solid"/>
              </v:shape>
            </v:group>
            <v:group style="position:absolute;left:4920;top:2753;width:2017;height:735" coordorigin="4920,2753" coordsize="2017,735">
              <v:shape style="position:absolute;left:4920;top:2753;width:2017;height:735" coordorigin="4920,2753" coordsize="2017,735" path="m5517,2753l5517,2753,5791,2753,5866,2765,5916,2765,5953,2765,6028,2778,6077,2778,6115,2791,6165,2791,6227,2803,6264,2803,6314,2815,6351,2815,6413,2828,6451,2840,6488,2853,6538,2865,6575,2877,6600,2877,6638,2890,6675,2902,6700,2915,6737,2927,6762,2940,6787,2952,6812,2965,6825,2977,6862,3002,6874,3014,6887,3027,6899,3039,6912,3052,6924,3064,6924,3077,6936,3101,6936,3114,6936,3126,6936,3139,6924,3152,6924,3164,6912,3176,6899,3201,6887,3214,6874,3226,6862,3238,6825,3251,6812,3264,6787,3276,6762,3288,6737,3301,6700,3313,6675,3326,6638,3338,6600,3350,6575,3363,6538,3375,6488,3388,6451,3401,6413,3401,6351,3413,6314,3425,6264,3425,6227,3438,6165,3450,6115,3450,6077,3450,6028,3462,5953,3462,5916,3475,5866,3475,5791,3475,5742,3475,5691,3487,5343,3487,5293,3475,5256,3475,5181,3475,5131,3475,5082,3462,5032,3462,4969,3450,4920,3450,5517,3114,5517,2753xe" filled="false" stroked="true" strokeweight=".620356pt" strokecolor="#000000">
                <v:path arrowok="t"/>
              </v:shape>
              <v:shape style="position:absolute;left:3382;top:1602;width:5129;height:3424" type="#_x0000_t202" filled="false" stroked="true" strokeweight=".620489pt" strokecolor="#000000">
                <v:textbox inset="0,0,0,0">
                  <w:txbxContent>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before="107"/>
                        <w:ind w:left="0" w:right="1218" w:firstLine="0"/>
                        <w:jc w:val="center"/>
                        <w:rPr>
                          <w:rFonts w:ascii="宋体" w:hAnsi="宋体" w:cs="宋体" w:eastAsia="宋体" w:hint="default"/>
                          <w:sz w:val="13"/>
                          <w:szCs w:val="13"/>
                        </w:rPr>
                      </w:pPr>
                      <w:r>
                        <w:rPr>
                          <w:rFonts w:ascii="宋体"/>
                          <w:spacing w:val="5"/>
                          <w:w w:val="105"/>
                          <w:sz w:val="13"/>
                        </w:rPr>
                        <w:t>3%</w:t>
                      </w:r>
                      <w:r>
                        <w:rPr>
                          <w:rFonts w:ascii="宋体"/>
                          <w:sz w:val="13"/>
                        </w:rPr>
                      </w:r>
                    </w:p>
                    <w:p>
                      <w:pPr>
                        <w:spacing w:line="240" w:lineRule="auto" w:before="0"/>
                        <w:rPr>
                          <w:rFonts w:ascii="Times New Roman" w:hAnsi="Times New Roman" w:cs="Times New Roman" w:eastAsia="Times New Roman" w:hint="default"/>
                          <w:sz w:val="14"/>
                          <w:szCs w:val="14"/>
                        </w:rPr>
                      </w:pPr>
                    </w:p>
                    <w:p>
                      <w:pPr>
                        <w:spacing w:before="92"/>
                        <w:ind w:left="442" w:right="0" w:firstLine="0"/>
                        <w:jc w:val="left"/>
                        <w:rPr>
                          <w:rFonts w:ascii="宋体" w:hAnsi="宋体" w:cs="宋体" w:eastAsia="宋体" w:hint="default"/>
                          <w:sz w:val="13"/>
                          <w:szCs w:val="13"/>
                        </w:rPr>
                      </w:pPr>
                      <w:r>
                        <w:rPr>
                          <w:rFonts w:ascii="宋体"/>
                          <w:spacing w:val="5"/>
                          <w:w w:val="105"/>
                          <w:sz w:val="13"/>
                        </w:rPr>
                        <w:t>40%</w:t>
                      </w:r>
                      <w:r>
                        <w:rPr>
                          <w:rFonts w:ascii="宋体"/>
                          <w:sz w:val="13"/>
                        </w:rPr>
                      </w:r>
                    </w:p>
                    <w:p>
                      <w:pPr>
                        <w:spacing w:line="240" w:lineRule="auto" w:before="0"/>
                        <w:rPr>
                          <w:rFonts w:ascii="Times New Roman" w:hAnsi="Times New Roman" w:cs="Times New Roman" w:eastAsia="Times New Roman" w:hint="default"/>
                          <w:sz w:val="14"/>
                          <w:szCs w:val="14"/>
                        </w:rPr>
                      </w:pPr>
                    </w:p>
                    <w:p>
                      <w:pPr>
                        <w:spacing w:line="240" w:lineRule="auto" w:before="11"/>
                        <w:rPr>
                          <w:rFonts w:ascii="Times New Roman" w:hAnsi="Times New Roman" w:cs="Times New Roman" w:eastAsia="Times New Roman" w:hint="default"/>
                          <w:sz w:val="19"/>
                          <w:szCs w:val="19"/>
                        </w:rPr>
                      </w:pPr>
                    </w:p>
                    <w:p>
                      <w:pPr>
                        <w:spacing w:before="0"/>
                        <w:ind w:left="0" w:right="1324" w:firstLine="0"/>
                        <w:jc w:val="right"/>
                        <w:rPr>
                          <w:rFonts w:ascii="宋体" w:hAnsi="宋体" w:cs="宋体" w:eastAsia="宋体" w:hint="default"/>
                          <w:sz w:val="13"/>
                          <w:szCs w:val="13"/>
                        </w:rPr>
                      </w:pPr>
                      <w:r>
                        <w:rPr>
                          <w:rFonts w:ascii="宋体"/>
                          <w:spacing w:val="5"/>
                          <w:w w:val="105"/>
                          <w:sz w:val="13"/>
                        </w:rPr>
                        <w:t>57%</w:t>
                      </w:r>
                      <w:r>
                        <w:rPr>
                          <w:rFonts w:ascii="宋体"/>
                          <w:sz w:val="13"/>
                        </w:rPr>
                      </w:r>
                    </w:p>
                  </w:txbxContent>
                </v:textbox>
                <w10:wrap type="none"/>
              </v:shape>
            </v:group>
            <w10:wrap type="none"/>
          </v:group>
        </w:pict>
      </w:r>
      <w:r>
        <w:rPr/>
        <w:pict>
          <v:group style="position:absolute;margin-left:383.872864pt;margin-top:97.823196pt;width:7.45pt;height:4.350pt;mso-position-horizontal-relative:page;mso-position-vertical-relative:page;z-index:-584584" coordorigin="7677,1956" coordsize="149,87">
            <v:group style="position:absolute;left:7715;top:2000;width:75;height:2" coordorigin="7715,2000" coordsize="75,2">
              <v:shape style="position:absolute;left:7715;top:2000;width:75;height:2" coordorigin="7715,2000" coordsize="75,0" path="m7715,2000l7789,2000e" filled="false" stroked="true" strokeweight="3.721647pt" strokecolor="#00ccff">
                <v:path arrowok="t"/>
              </v:shape>
            </v:group>
            <v:group style="position:absolute;left:7715;top:1963;width:75;height:75" coordorigin="7715,1963" coordsize="75,75">
              <v:shape style="position:absolute;left:7715;top:1963;width:75;height:75" coordorigin="7715,1963" coordsize="75,75" path="m7715,2037l7789,2037,7789,1963,7715,1963,7715,2037xe" filled="false" stroked="true" strokeweight=".620621pt" strokecolor="#000000">
                <v:path arrowok="t"/>
              </v:shape>
            </v:group>
            <w10:wrap type="none"/>
          </v:group>
        </w:pict>
      </w:r>
      <w:r>
        <w:rPr/>
        <w:pict>
          <v:group style="position:absolute;margin-left:383.862549pt;margin-top:107.768265pt;width:7.5pt;height:4.4pt;mso-position-horizontal-relative:page;mso-position-vertical-relative:page;z-index:-584560" coordorigin="7677,2155" coordsize="150,88">
            <v:group style="position:absolute;left:7715;top:2199;width:75;height:2" coordorigin="7715,2199" coordsize="75,2">
              <v:shape style="position:absolute;left:7715;top:2199;width:75;height:2" coordorigin="7715,2199" coordsize="75,0" path="m7715,2199l7789,2199e" filled="false" stroked="true" strokeweight="3.742323pt" strokecolor="#008000">
                <v:path arrowok="t"/>
              </v:shape>
            </v:group>
            <v:group style="position:absolute;left:7715;top:2162;width:75;height:75" coordorigin="7715,2162" coordsize="75,75">
              <v:shape style="position:absolute;left:7715;top:2162;width:75;height:75" coordorigin="7715,2162" coordsize="75,75" path="m7715,2236l7789,2236,7789,2162,7715,2162,7715,2236xe" filled="false" stroked="true" strokeweight=".620623pt" strokecolor="#000000">
                <v:path arrowok="t"/>
              </v:shape>
            </v:group>
            <w10:wrap type="none"/>
          </v:group>
        </w:pict>
      </w:r>
      <w:r>
        <w:rPr/>
        <w:pict>
          <v:group style="position:absolute;margin-left:383.862549pt;margin-top:117.734009pt;width:7.5pt;height:4.4pt;mso-position-horizontal-relative:page;mso-position-vertical-relative:page;z-index:-584536" coordorigin="7677,2355" coordsize="150,88">
            <v:group style="position:absolute;left:7715;top:2398;width:75;height:2" coordorigin="7715,2398" coordsize="75,2">
              <v:shape style="position:absolute;left:7715;top:2398;width:75;height:2" coordorigin="7715,2398" coordsize="75,0" path="m7715,2398l7789,2398e" filled="false" stroked="true" strokeweight="3.742323pt" strokecolor="#ff0000">
                <v:path arrowok="t"/>
              </v:shape>
            </v:group>
            <v:group style="position:absolute;left:7715;top:2361;width:75;height:75" coordorigin="7715,2361" coordsize="75,75">
              <v:shape style="position:absolute;left:7715;top:2361;width:75;height:75" coordorigin="7715,2361" coordsize="75,75" path="m7715,2436l7789,2436,7789,2361,7715,2361,7715,2436xe" filled="false" stroked="true" strokeweight=".620623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p>
      <w:pPr>
        <w:spacing w:line="597" w:lineRule="exact"/>
        <w:ind w:left="66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shape style="width:39.25pt;height:29.9pt;mso-position-horizontal-relative:char;mso-position-vertical-relative:line" type="#_x0000_t202" filled="false" stroked="true" strokeweight=".62053pt" strokecolor="#000000">
            <w10:anchorlock/>
            <v:textbox inset="0,0,0,0">
              <w:txbxContent>
                <w:p>
                  <w:pPr>
                    <w:spacing w:before="3"/>
                    <w:ind w:left="168" w:right="0" w:firstLine="0"/>
                    <w:jc w:val="left"/>
                    <w:rPr>
                      <w:rFonts w:ascii="宋体" w:hAnsi="宋体" w:cs="宋体" w:eastAsia="宋体" w:hint="default"/>
                      <w:sz w:val="13"/>
                      <w:szCs w:val="13"/>
                    </w:rPr>
                  </w:pPr>
                  <w:r>
                    <w:rPr>
                      <w:rFonts w:ascii="宋体" w:hAnsi="宋体" w:cs="宋体" w:eastAsia="宋体" w:hint="default"/>
                      <w:w w:val="105"/>
                      <w:sz w:val="13"/>
                      <w:szCs w:val="13"/>
                    </w:rPr>
                    <w:t>30岁以下</w:t>
                  </w:r>
                  <w:r>
                    <w:rPr>
                      <w:rFonts w:ascii="宋体" w:hAnsi="宋体" w:cs="宋体" w:eastAsia="宋体" w:hint="default"/>
                      <w:sz w:val="13"/>
                      <w:szCs w:val="13"/>
                    </w:rPr>
                  </w:r>
                </w:p>
                <w:p>
                  <w:pPr>
                    <w:spacing w:before="29"/>
                    <w:ind w:left="168" w:right="0" w:firstLine="0"/>
                    <w:jc w:val="left"/>
                    <w:rPr>
                      <w:rFonts w:ascii="宋体" w:hAnsi="宋体" w:cs="宋体" w:eastAsia="宋体" w:hint="default"/>
                      <w:sz w:val="13"/>
                      <w:szCs w:val="13"/>
                    </w:rPr>
                  </w:pPr>
                  <w:r>
                    <w:rPr>
                      <w:rFonts w:ascii="宋体" w:hAnsi="宋体" w:cs="宋体" w:eastAsia="宋体" w:hint="default"/>
                      <w:w w:val="105"/>
                      <w:sz w:val="13"/>
                      <w:szCs w:val="13"/>
                    </w:rPr>
                    <w:t>31～50岁</w:t>
                  </w:r>
                  <w:r>
                    <w:rPr>
                      <w:rFonts w:ascii="宋体" w:hAnsi="宋体" w:cs="宋体" w:eastAsia="宋体" w:hint="default"/>
                      <w:sz w:val="13"/>
                      <w:szCs w:val="13"/>
                    </w:rPr>
                  </w:r>
                </w:p>
                <w:p>
                  <w:pPr>
                    <w:spacing w:before="29"/>
                    <w:ind w:left="168" w:right="0" w:firstLine="0"/>
                    <w:jc w:val="left"/>
                    <w:rPr>
                      <w:rFonts w:ascii="宋体" w:hAnsi="宋体" w:cs="宋体" w:eastAsia="宋体" w:hint="default"/>
                      <w:sz w:val="13"/>
                      <w:szCs w:val="13"/>
                    </w:rPr>
                  </w:pPr>
                  <w:r>
                    <w:rPr>
                      <w:rFonts w:ascii="宋体" w:hAnsi="宋体" w:cs="宋体" w:eastAsia="宋体" w:hint="default"/>
                      <w:w w:val="105"/>
                      <w:sz w:val="13"/>
                      <w:szCs w:val="13"/>
                    </w:rPr>
                    <w:t>51岁以上</w:t>
                  </w:r>
                  <w:r>
                    <w:rPr>
                      <w:rFonts w:ascii="宋体" w:hAnsi="宋体" w:cs="宋体" w:eastAsia="宋体" w:hint="default"/>
                      <w:sz w:val="13"/>
                      <w:szCs w:val="13"/>
                    </w:rPr>
                  </w:r>
                </w:p>
              </w:txbxContent>
            </v:textbox>
          </v:shape>
        </w:pict>
      </w:r>
      <w:r>
        <w:rPr>
          <w:rFonts w:ascii="Times New Roman" w:hAnsi="Times New Roman" w:cs="Times New Roman" w:eastAsia="Times New Roman" w:hint="default"/>
          <w:position w:val="-11"/>
          <w:sz w:val="20"/>
          <w:szCs w:val="20"/>
        </w:rPr>
      </w:r>
    </w:p>
    <w:p>
      <w:pPr>
        <w:spacing w:after="0" w:line="597" w:lineRule="exact"/>
        <w:rPr>
          <w:rFonts w:ascii="Times New Roman" w:hAnsi="Times New Roman" w:cs="Times New Roman" w:eastAsia="Times New Roman" w:hint="default"/>
          <w:sz w:val="20"/>
          <w:szCs w:val="20"/>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133" w:right="189"/>
        <w:jc w:val="center"/>
        <w:rPr>
          <w:b w:val="0"/>
          <w:bCs w:val="0"/>
        </w:rPr>
      </w:pPr>
      <w:bookmarkStart w:name="_TOC_250003"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0" w:firstLine="420"/>
        <w:jc w:val="left"/>
      </w:pPr>
      <w:r>
        <w:rPr/>
        <w:t>报告期内，公司严格按照《公司法》、《证券法》、《上市公司治理准则》、《深圳证券交易所股票</w:t>
      </w:r>
      <w:r>
        <w:rPr>
          <w:w w:val="100"/>
        </w:rPr>
        <w:t> </w:t>
      </w:r>
      <w:r>
        <w:rPr>
          <w:spacing w:val="-5"/>
        </w:rPr>
        <w:t>上市规则》、《深圳证券交易所中小企业板上市公司规范运作指引》和中国证监会有关法律法规等的要求，</w:t>
      </w:r>
      <w:r>
        <w:rPr>
          <w:spacing w:val="-9"/>
        </w:rPr>
        <w:t> </w:t>
      </w:r>
      <w:r>
        <w:rPr>
          <w:spacing w:val="-9"/>
        </w:rPr>
      </w:r>
      <w:r>
        <w:rPr>
          <w:spacing w:val="-2"/>
        </w:rPr>
        <w:t>不断完善公司治理结构，建立健全内部管理和控制制度，持续深入开展公司治理活动，以进一步规范公司</w:t>
      </w:r>
      <w:r>
        <w:rPr>
          <w:spacing w:val="-44"/>
        </w:rPr>
        <w:t> </w:t>
      </w:r>
      <w:r>
        <w:rPr>
          <w:spacing w:val="-44"/>
        </w:rPr>
      </w:r>
      <w:r>
        <w:rPr/>
        <w:t>运作，提高了公司治理水平。</w:t>
      </w:r>
    </w:p>
    <w:p>
      <w:pPr>
        <w:spacing w:line="468" w:lineRule="exact" w:before="34"/>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（一）股东大会制度的建立健全及运行情况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报告期内，公司严格按照《公司法》和《公司章程》、《股东大会议事规则》等规则的规定和要求，</w:t>
      </w:r>
    </w:p>
    <w:p>
      <w:pPr>
        <w:pStyle w:val="BodyText"/>
        <w:spacing w:line="248" w:lineRule="exact"/>
        <w:ind w:right="0"/>
        <w:jc w:val="both"/>
      </w:pPr>
      <w:r>
        <w:rPr/>
        <w:t>召集、召开股东大会，能够确保全体股东特别是中小股东享有平等地位，充分行使自己的权力。报告期内</w:t>
      </w:r>
    </w:p>
    <w:p>
      <w:pPr>
        <w:pStyle w:val="BodyText"/>
        <w:spacing w:line="273" w:lineRule="auto" w:before="37"/>
        <w:ind w:right="206"/>
        <w:jc w:val="both"/>
      </w:pPr>
      <w:r>
        <w:rPr>
          <w:spacing w:val="-2"/>
        </w:rPr>
        <w:t>的股东大会均由董事会召集召开，并聘请律师进行现场见证，根据相关法律、行政法规、部门规章、规范</w:t>
      </w:r>
      <w:r>
        <w:rPr>
          <w:spacing w:val="-43"/>
        </w:rPr>
        <w:t> </w:t>
      </w:r>
      <w:r>
        <w:rPr>
          <w:spacing w:val="-43"/>
        </w:rPr>
      </w:r>
      <w:r>
        <w:rPr>
          <w:spacing w:val="-2"/>
        </w:rPr>
        <w:t>性文件及公司章程等规定应由股东大会表决的事项均按照相应的权限审批后交由股东大会审议，不存在越</w:t>
      </w:r>
      <w:r>
        <w:rPr>
          <w:spacing w:val="-43"/>
        </w:rPr>
        <w:t> </w:t>
      </w:r>
      <w:r>
        <w:rPr>
          <w:spacing w:val="-43"/>
        </w:rPr>
      </w:r>
      <w:r>
        <w:rPr/>
        <w:t>权审批或先实施后审议的情况。</w:t>
      </w:r>
    </w:p>
    <w:p>
      <w:pPr>
        <w:pStyle w:val="BodyText"/>
        <w:spacing w:line="264" w:lineRule="auto" w:before="163"/>
        <w:ind w:right="0" w:firstLine="420"/>
        <w:jc w:val="left"/>
      </w:pPr>
      <w:r>
        <w:rPr/>
        <w:t>报告期内，公司共召开了</w:t>
      </w:r>
      <w:r>
        <w:rPr>
          <w:rFonts w:ascii="Times New Roman" w:hAnsi="Times New Roman" w:cs="Times New Roman" w:eastAsia="Times New Roman" w:hint="default"/>
        </w:rPr>
        <w:t>2</w:t>
      </w:r>
      <w:r>
        <w:rPr/>
        <w:t>次股东大会：</w:t>
      </w:r>
      <w:r>
        <w:rPr>
          <w:rFonts w:ascii="Times New Roman" w:hAnsi="Times New Roman" w:cs="Times New Roman" w:eastAsia="Times New Roman" w:hint="default"/>
        </w:rPr>
        <w:t>2013</w:t>
      </w:r>
      <w:r>
        <w:rPr/>
        <w:t>年度股东大会、</w:t>
      </w:r>
      <w:r>
        <w:rPr>
          <w:rFonts w:ascii="Times New Roman" w:hAnsi="Times New Roman" w:cs="Times New Roman" w:eastAsia="Times New Roman" w:hint="default"/>
        </w:rPr>
        <w:t>2014</w:t>
      </w:r>
      <w:r>
        <w:rPr/>
        <w:t>年第一次临时股东大会。会议的召</w:t>
      </w:r>
      <w:r>
        <w:rPr>
          <w:w w:val="100"/>
        </w:rPr>
        <w:t> </w:t>
      </w:r>
      <w:r>
        <w:rPr>
          <w:spacing w:val="-5"/>
        </w:rPr>
        <w:t>集程序、召开程序、出席会议人员资格及表决程序均符合《公司法》、《上市公司股东大会规则》等法律、</w:t>
      </w:r>
      <w:r>
        <w:rPr>
          <w:spacing w:val="-9"/>
        </w:rPr>
        <w:t> </w:t>
      </w:r>
      <w:r>
        <w:rPr>
          <w:spacing w:val="-9"/>
        </w:rPr>
      </w:r>
      <w:r>
        <w:rPr/>
        <w:t>法规、规范性文件和《公司章程》的规定。</w:t>
      </w:r>
    </w:p>
    <w:p>
      <w:pPr>
        <w:pStyle w:val="BodyText"/>
        <w:spacing w:line="240" w:lineRule="auto" w:before="172"/>
        <w:ind w:left="573" w:right="0"/>
        <w:jc w:val="left"/>
      </w:pPr>
      <w:r>
        <w:rPr/>
        <w:t>会议具体情况如下：</w:t>
      </w:r>
    </w:p>
    <w:p>
      <w:pPr>
        <w:spacing w:line="240" w:lineRule="auto" w:before="10"/>
        <w:rPr>
          <w:rFonts w:ascii="宋体" w:hAnsi="宋体" w:cs="宋体" w:eastAsia="宋体" w:hint="default"/>
          <w:sz w:val="14"/>
          <w:szCs w:val="14"/>
        </w:rPr>
      </w:pPr>
    </w:p>
    <w:p>
      <w:pPr>
        <w:pStyle w:val="Heading4"/>
        <w:spacing w:line="240" w:lineRule="auto"/>
        <w:ind w:left="575" w:right="0"/>
        <w:jc w:val="left"/>
        <w:rPr>
          <w:b w:val="0"/>
          <w:bCs w:val="0"/>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日，公司召开了</w:t>
      </w:r>
      <w:r>
        <w:rPr>
          <w:rFonts w:ascii="Times New Roman" w:hAnsi="Times New Roman" w:cs="Times New Roman" w:eastAsia="Times New Roman" w:hint="default"/>
        </w:rPr>
        <w:t>2013</w:t>
      </w:r>
      <w:r>
        <w:rPr/>
        <w:t>年度股东大会，会议审议通过了以下议案：</w:t>
      </w:r>
      <w:r>
        <w:rPr>
          <w:b w:val="0"/>
          <w:bCs w:val="0"/>
        </w:rPr>
      </w:r>
    </w:p>
    <w:p>
      <w:pPr>
        <w:pStyle w:val="BodyText"/>
        <w:spacing w:line="240" w:lineRule="auto" w:before="177"/>
        <w:ind w:left="573" w:right="0"/>
        <w:jc w:val="left"/>
      </w:pPr>
      <w:r>
        <w:rPr>
          <w:rFonts w:ascii="Times New Roman" w:hAnsi="Times New Roman" w:cs="Times New Roman" w:eastAsia="Times New Roman" w:hint="default"/>
        </w:rPr>
        <w:t>1</w:t>
      </w:r>
      <w:r>
        <w:rPr/>
        <w:t>、审议《公司</w:t>
      </w:r>
      <w:r>
        <w:rPr>
          <w:rFonts w:ascii="Times New Roman" w:hAnsi="Times New Roman" w:cs="Times New Roman" w:eastAsia="Times New Roman" w:hint="default"/>
        </w:rPr>
        <w:t>2013</w:t>
      </w:r>
      <w:r>
        <w:rPr/>
        <w:t>年度董事会工作报告》；</w:t>
      </w:r>
    </w:p>
    <w:p>
      <w:pPr>
        <w:pStyle w:val="BodyText"/>
        <w:spacing w:line="240" w:lineRule="auto" w:before="177"/>
        <w:ind w:left="573" w:right="0"/>
        <w:jc w:val="left"/>
      </w:pPr>
      <w:r>
        <w:rPr>
          <w:rFonts w:ascii="Times New Roman" w:hAnsi="Times New Roman" w:cs="Times New Roman" w:eastAsia="Times New Roman" w:hint="default"/>
        </w:rPr>
        <w:t>2</w:t>
      </w:r>
      <w:r>
        <w:rPr/>
        <w:t>、审议《公司</w:t>
      </w:r>
      <w:r>
        <w:rPr>
          <w:rFonts w:ascii="Times New Roman" w:hAnsi="Times New Roman" w:cs="Times New Roman" w:eastAsia="Times New Roman" w:hint="default"/>
        </w:rPr>
        <w:t>2013</w:t>
      </w:r>
      <w:r>
        <w:rPr/>
        <w:t>年度监事会工作报告》；</w:t>
      </w:r>
    </w:p>
    <w:p>
      <w:pPr>
        <w:pStyle w:val="BodyText"/>
        <w:spacing w:line="240" w:lineRule="auto" w:before="177"/>
        <w:ind w:left="573" w:right="0"/>
        <w:jc w:val="left"/>
      </w:pPr>
      <w:r>
        <w:rPr>
          <w:rFonts w:ascii="Times New Roman" w:hAnsi="Times New Roman" w:cs="Times New Roman" w:eastAsia="Times New Roman" w:hint="default"/>
        </w:rPr>
        <w:t>3</w:t>
      </w:r>
      <w:r>
        <w:rPr/>
        <w:t>、审议《公司</w:t>
      </w:r>
      <w:r>
        <w:rPr>
          <w:rFonts w:ascii="Times New Roman" w:hAnsi="Times New Roman" w:cs="Times New Roman" w:eastAsia="Times New Roman" w:hint="default"/>
        </w:rPr>
        <w:t>2013</w:t>
      </w:r>
      <w:r>
        <w:rPr/>
        <w:t>年度报告及摘要》；</w:t>
      </w:r>
    </w:p>
    <w:p>
      <w:pPr>
        <w:pStyle w:val="BodyText"/>
        <w:spacing w:line="240" w:lineRule="auto" w:before="177"/>
        <w:ind w:left="573" w:right="0"/>
        <w:jc w:val="left"/>
      </w:pPr>
      <w:r>
        <w:rPr>
          <w:rFonts w:ascii="Times New Roman" w:hAnsi="Times New Roman" w:cs="Times New Roman" w:eastAsia="Times New Roman" w:hint="default"/>
        </w:rPr>
        <w:t>4</w:t>
      </w:r>
      <w:r>
        <w:rPr/>
        <w:t>、审议《公司</w:t>
      </w:r>
      <w:r>
        <w:rPr>
          <w:rFonts w:ascii="Times New Roman" w:hAnsi="Times New Roman" w:cs="Times New Roman" w:eastAsia="Times New Roman" w:hint="default"/>
        </w:rPr>
        <w:t>2013</w:t>
      </w:r>
      <w:r>
        <w:rPr/>
        <w:t>年利润分配预案》</w:t>
      </w:r>
    </w:p>
    <w:p>
      <w:pPr>
        <w:pStyle w:val="BodyText"/>
        <w:spacing w:line="240" w:lineRule="auto" w:before="177"/>
        <w:ind w:left="573" w:right="0"/>
        <w:jc w:val="left"/>
      </w:pPr>
      <w:r>
        <w:rPr>
          <w:rFonts w:ascii="Times New Roman" w:hAnsi="Times New Roman" w:cs="Times New Roman" w:eastAsia="Times New Roman" w:hint="default"/>
        </w:rPr>
        <w:t>5</w:t>
      </w:r>
      <w:r>
        <w:rPr/>
        <w:t>、审议《公司</w:t>
      </w:r>
      <w:r>
        <w:rPr>
          <w:rFonts w:ascii="Times New Roman" w:hAnsi="Times New Roman" w:cs="Times New Roman" w:eastAsia="Times New Roman" w:hint="default"/>
        </w:rPr>
        <w:t>2013</w:t>
      </w:r>
      <w:r>
        <w:rPr/>
        <w:t>年度财务决算报告》；</w:t>
      </w:r>
    </w:p>
    <w:p>
      <w:pPr>
        <w:pStyle w:val="BodyText"/>
        <w:spacing w:line="240" w:lineRule="auto" w:before="177"/>
        <w:ind w:left="573" w:right="0"/>
        <w:jc w:val="left"/>
      </w:pPr>
      <w:r>
        <w:rPr>
          <w:rFonts w:ascii="Times New Roman" w:hAnsi="Times New Roman" w:cs="Times New Roman" w:eastAsia="Times New Roman" w:hint="default"/>
        </w:rPr>
        <w:t>6</w:t>
      </w:r>
      <w:r>
        <w:rPr/>
        <w:t>、审议《公司</w:t>
      </w:r>
      <w:r>
        <w:rPr>
          <w:rFonts w:ascii="Times New Roman" w:hAnsi="Times New Roman" w:cs="Times New Roman" w:eastAsia="Times New Roman" w:hint="default"/>
        </w:rPr>
        <w:t>2014</w:t>
      </w:r>
      <w:r>
        <w:rPr/>
        <w:t>年度财务预算报告》；</w:t>
      </w:r>
    </w:p>
    <w:p>
      <w:pPr>
        <w:pStyle w:val="BodyText"/>
        <w:spacing w:line="240" w:lineRule="auto" w:before="177"/>
        <w:ind w:left="573" w:right="0"/>
        <w:jc w:val="left"/>
      </w:pPr>
      <w:r>
        <w:rPr>
          <w:rFonts w:ascii="Times New Roman" w:hAnsi="Times New Roman" w:cs="Times New Roman" w:eastAsia="Times New Roman" w:hint="default"/>
        </w:rPr>
        <w:t>7</w:t>
      </w:r>
      <w:r>
        <w:rPr/>
        <w:t>、审议《公司前次募集资金使用情况鉴证报告》；</w:t>
      </w:r>
    </w:p>
    <w:p>
      <w:pPr>
        <w:pStyle w:val="BodyText"/>
        <w:spacing w:line="240" w:lineRule="auto" w:before="178"/>
        <w:ind w:left="573" w:right="0"/>
        <w:jc w:val="left"/>
      </w:pPr>
      <w:r>
        <w:rPr>
          <w:rFonts w:ascii="Times New Roman" w:hAnsi="Times New Roman" w:cs="Times New Roman" w:eastAsia="Times New Roman" w:hint="default"/>
        </w:rPr>
        <w:t>8</w:t>
      </w:r>
      <w:r>
        <w:rPr/>
        <w:t>、审议《公司</w:t>
      </w:r>
      <w:r>
        <w:rPr>
          <w:rFonts w:ascii="Times New Roman" w:hAnsi="Times New Roman" w:cs="Times New Roman" w:eastAsia="Times New Roman" w:hint="default"/>
        </w:rPr>
        <w:t>2013</w:t>
      </w:r>
      <w:r>
        <w:rPr/>
        <w:t>年募集资金年度使用情况专项报告》；</w:t>
      </w:r>
    </w:p>
    <w:p>
      <w:pPr>
        <w:pStyle w:val="BodyText"/>
        <w:spacing w:line="240" w:lineRule="auto" w:before="177"/>
        <w:ind w:left="573" w:right="0"/>
        <w:jc w:val="left"/>
      </w:pPr>
      <w:r>
        <w:rPr>
          <w:rFonts w:ascii="Times New Roman" w:hAnsi="Times New Roman" w:cs="Times New Roman" w:eastAsia="Times New Roman" w:hint="default"/>
        </w:rPr>
        <w:t>9</w:t>
      </w:r>
      <w:r>
        <w:rPr/>
        <w:t>、审议《公司</w:t>
      </w:r>
      <w:r>
        <w:rPr>
          <w:rFonts w:ascii="Times New Roman" w:hAnsi="Times New Roman" w:cs="Times New Roman" w:eastAsia="Times New Roman" w:hint="default"/>
        </w:rPr>
        <w:t>2013</w:t>
      </w:r>
      <w:r>
        <w:rPr/>
        <w:t>年度内部控制评价报告》；</w:t>
      </w:r>
    </w:p>
    <w:p>
      <w:pPr>
        <w:pStyle w:val="BodyText"/>
        <w:spacing w:line="240" w:lineRule="auto" w:before="177"/>
        <w:ind w:left="573" w:right="0"/>
        <w:jc w:val="left"/>
      </w:pPr>
      <w:r>
        <w:rPr>
          <w:rFonts w:ascii="Times New Roman" w:hAnsi="Times New Roman" w:cs="Times New Roman" w:eastAsia="Times New Roman" w:hint="default"/>
        </w:rPr>
        <w:t>10</w:t>
      </w:r>
      <w:r>
        <w:rPr/>
        <w:t>、审议《修改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p>
    <w:p>
      <w:pPr>
        <w:pStyle w:val="BodyText"/>
        <w:spacing w:line="240" w:lineRule="auto" w:before="177"/>
        <w:ind w:left="573" w:right="0"/>
        <w:jc w:val="left"/>
      </w:pPr>
      <w:r>
        <w:rPr>
          <w:rFonts w:ascii="Times New Roman" w:hAnsi="Times New Roman" w:cs="Times New Roman" w:eastAsia="Times New Roman" w:hint="default"/>
        </w:rPr>
        <w:t>11</w:t>
      </w:r>
      <w:r>
        <w:rPr/>
        <w:t>、审议《公司关于续聘</w:t>
      </w:r>
      <w:r>
        <w:rPr>
          <w:rFonts w:ascii="Times New Roman" w:hAnsi="Times New Roman" w:cs="Times New Roman" w:eastAsia="Times New Roman" w:hint="default"/>
        </w:rPr>
        <w:t>2014</w:t>
      </w:r>
      <w:r>
        <w:rPr/>
        <w:t>年度审计机构的议案》；</w:t>
      </w:r>
    </w:p>
    <w:p>
      <w:pPr>
        <w:pStyle w:val="BodyText"/>
        <w:spacing w:line="386" w:lineRule="auto" w:before="177"/>
        <w:ind w:left="467" w:right="0" w:firstLine="105"/>
        <w:jc w:val="left"/>
      </w:pPr>
      <w:r>
        <w:rPr>
          <w:rFonts w:ascii="Times New Roman" w:hAnsi="Times New Roman" w:cs="Times New Roman" w:eastAsia="Times New Roman" w:hint="default"/>
        </w:rPr>
        <w:t>12</w:t>
      </w:r>
      <w:r>
        <w:rPr/>
        <w:t>、审议《公司关于向银行申请不超过人民币</w:t>
      </w:r>
      <w:r>
        <w:rPr>
          <w:rFonts w:ascii="Times New Roman" w:hAnsi="Times New Roman" w:cs="Times New Roman" w:eastAsia="Times New Roman" w:hint="default"/>
        </w:rPr>
        <w:t>22</w:t>
      </w:r>
      <w:r>
        <w:rPr/>
        <w:t>亿元授信额度的议案》。</w:t>
      </w:r>
      <w:r>
        <w:rPr>
          <w:w w:val="100"/>
        </w:rPr>
        <w:t> </w:t>
      </w:r>
      <w:r>
        <w:rPr>
          <w:spacing w:val="-4"/>
        </w:rPr>
        <w:t>会议决议公告刊登在</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21</w:t>
      </w:r>
      <w:r>
        <w:rPr>
          <w:spacing w:val="-4"/>
        </w:rPr>
        <w:t>日的《证券日报》、《证券时报》、《中国证券报》和巨潮资讯网上。</w:t>
      </w:r>
    </w:p>
    <w:p>
      <w:pPr>
        <w:spacing w:after="0" w:line="386"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left="575" w:right="0"/>
        <w:jc w:val="left"/>
        <w:rPr>
          <w:b w:val="0"/>
          <w:bCs w:val="0"/>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日，公司召开了</w:t>
      </w:r>
      <w:r>
        <w:rPr>
          <w:rFonts w:ascii="Times New Roman" w:hAnsi="Times New Roman" w:cs="Times New Roman" w:eastAsia="Times New Roman" w:hint="default"/>
        </w:rPr>
        <w:t>2014</w:t>
      </w:r>
      <w:r>
        <w:rPr/>
        <w:t>年第一次临时股东大会，会议审议通过了如下议案：</w:t>
      </w:r>
      <w:r>
        <w:rPr>
          <w:b w:val="0"/>
          <w:bCs w:val="0"/>
        </w:rPr>
      </w:r>
    </w:p>
    <w:p>
      <w:pPr>
        <w:pStyle w:val="BodyText"/>
        <w:spacing w:line="460" w:lineRule="atLeast" w:before="8"/>
        <w:ind w:left="573" w:right="0"/>
        <w:jc w:val="left"/>
      </w:pPr>
      <w:r>
        <w:rPr>
          <w:rFonts w:ascii="Times New Roman" w:hAnsi="Times New Roman" w:cs="Times New Roman" w:eastAsia="Times New Roman" w:hint="default"/>
        </w:rPr>
        <w:t>1</w:t>
      </w:r>
      <w:r>
        <w:rPr/>
        <w:t>、审议通过关于《修改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r>
        <w:rPr>
          <w:w w:val="100"/>
        </w:rPr>
        <w:t> </w:t>
      </w:r>
      <w:r>
        <w:rPr/>
        <w:t>会议决议公告刊登在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日的《证券日报》、《证券时报》、《中国证券报》和巨潮资讯网</w:t>
      </w:r>
    </w:p>
    <w:p>
      <w:pPr>
        <w:pStyle w:val="BodyText"/>
        <w:spacing w:line="240" w:lineRule="auto" w:before="21"/>
        <w:ind w:right="0"/>
        <w:jc w:val="both"/>
      </w:pPr>
      <w:r>
        <w:rPr/>
        <w:t>上。</w:t>
      </w:r>
    </w:p>
    <w:p>
      <w:pPr>
        <w:pStyle w:val="BodyText"/>
        <w:spacing w:line="470" w:lineRule="atLeast"/>
        <w:ind w:left="573" w:right="0" w:firstLine="2"/>
        <w:jc w:val="left"/>
      </w:pPr>
      <w:r>
        <w:rPr>
          <w:rFonts w:ascii="宋体" w:hAnsi="宋体" w:cs="宋体" w:eastAsia="宋体" w:hint="default"/>
          <w:b/>
          <w:bCs/>
        </w:rPr>
        <w:t>（二）公司与控股股东</w:t>
      </w:r>
      <w:r>
        <w:rPr>
          <w:rFonts w:ascii="宋体" w:hAnsi="宋体" w:cs="宋体" w:eastAsia="宋体" w:hint="default"/>
          <w:b/>
          <w:bCs/>
          <w:w w:val="100"/>
        </w:rPr>
        <w:t> </w:t>
      </w:r>
      <w:r>
        <w:rPr>
          <w:spacing w:val="-2"/>
        </w:rPr>
        <w:t>公司拥有独立的业务和经营自主能力，在业务、人员、资产、机构、财务上独立于控股股东，公司董</w:t>
      </w:r>
    </w:p>
    <w:p>
      <w:pPr>
        <w:pStyle w:val="BodyText"/>
        <w:spacing w:line="273" w:lineRule="auto" w:before="37"/>
        <w:ind w:right="206"/>
        <w:jc w:val="both"/>
      </w:pPr>
      <w:r>
        <w:rPr>
          <w:spacing w:val="-2"/>
        </w:rPr>
        <w:t>事会、监事会和内部机构独立运作。公司控股股东能严格规范自己的行为，没有超越公司股东大会直接或</w:t>
      </w:r>
      <w:r>
        <w:rPr>
          <w:spacing w:val="-44"/>
        </w:rPr>
        <w:t> </w:t>
      </w:r>
      <w:r>
        <w:rPr>
          <w:spacing w:val="-44"/>
        </w:rPr>
      </w:r>
      <w:r>
        <w:rPr/>
        <w:t>间接干预公司的决策和经营活动的行为。</w:t>
      </w:r>
    </w:p>
    <w:p>
      <w:pPr>
        <w:pStyle w:val="BodyText"/>
        <w:spacing w:line="468" w:lineRule="exact" w:before="34"/>
        <w:ind w:left="573" w:right="0" w:firstLine="2"/>
        <w:jc w:val="left"/>
      </w:pPr>
      <w:r>
        <w:rPr>
          <w:rFonts w:ascii="宋体" w:hAnsi="宋体" w:cs="宋体" w:eastAsia="宋体" w:hint="default"/>
          <w:b/>
          <w:bCs/>
        </w:rPr>
        <w:t>（三）董事与董事会</w:t>
      </w:r>
      <w:r>
        <w:rPr>
          <w:rFonts w:ascii="宋体" w:hAnsi="宋体" w:cs="宋体" w:eastAsia="宋体" w:hint="default"/>
          <w:b/>
          <w:bCs/>
          <w:w w:val="100"/>
        </w:rPr>
        <w:t> </w:t>
      </w:r>
      <w:r>
        <w:rPr>
          <w:spacing w:val="-2"/>
        </w:rPr>
        <w:t>公司董事会由七名董事组成，其中独立董事三名，董事会的人数、构成及选聘程序均符合法律、法规</w:t>
      </w:r>
    </w:p>
    <w:p>
      <w:pPr>
        <w:pStyle w:val="BodyText"/>
        <w:spacing w:line="248" w:lineRule="exact"/>
        <w:ind w:right="0"/>
        <w:jc w:val="both"/>
      </w:pPr>
      <w:r>
        <w:rPr/>
        <w:t>和《公司章程》的规定。报告期内，公司全体董事能积极严格按照《公司法》、《公司章程》、《董事会</w:t>
      </w:r>
    </w:p>
    <w:p>
      <w:pPr>
        <w:pStyle w:val="BodyText"/>
        <w:spacing w:line="273" w:lineRule="auto" w:before="37"/>
        <w:ind w:right="207"/>
        <w:jc w:val="both"/>
      </w:pPr>
      <w:r>
        <w:rPr>
          <w:spacing w:val="-2"/>
        </w:rPr>
        <w:t>议事规则》和《独立董事工作制度》等有关规定及相关工作规程开展工作和履行职责，认真出席董事会和</w:t>
      </w:r>
      <w:r>
        <w:rPr>
          <w:spacing w:val="-47"/>
        </w:rPr>
        <w:t> </w:t>
      </w:r>
      <w:r>
        <w:rPr>
          <w:spacing w:val="-47"/>
        </w:rPr>
      </w:r>
      <w:r>
        <w:rPr>
          <w:spacing w:val="-2"/>
        </w:rPr>
        <w:t>股东大会，积极参加对相关知识的培训，熟悉并掌握有关法律、法规。为进一步完善公司治理结构，公司</w:t>
      </w:r>
      <w:r>
        <w:rPr>
          <w:spacing w:val="-43"/>
        </w:rPr>
        <w:t> </w:t>
      </w:r>
      <w:r>
        <w:rPr>
          <w:spacing w:val="-43"/>
        </w:rPr>
      </w:r>
      <w:r>
        <w:rPr>
          <w:spacing w:val="-2"/>
        </w:rPr>
        <w:t>董事会根据《上市公司治理准则》成立了战略、提名、审计、薪酬与考核等四个专业委员会，为董事会的</w:t>
      </w:r>
      <w:r>
        <w:rPr>
          <w:spacing w:val="-42"/>
        </w:rPr>
        <w:t> </w:t>
      </w:r>
      <w:r>
        <w:rPr>
          <w:spacing w:val="-42"/>
        </w:rPr>
      </w:r>
      <w:r>
        <w:rPr/>
        <w:t>决策提供了科学和专业的意见。</w:t>
      </w:r>
    </w:p>
    <w:p>
      <w:pPr>
        <w:pStyle w:val="BodyText"/>
        <w:spacing w:line="240" w:lineRule="auto" w:before="163"/>
        <w:ind w:left="573" w:right="0"/>
        <w:jc w:val="left"/>
      </w:pPr>
      <w:r>
        <w:rPr/>
        <w:t>报告期内，公司董事会共召开了九次会议。</w:t>
      </w:r>
    </w:p>
    <w:p>
      <w:pPr>
        <w:pStyle w:val="BodyText"/>
        <w:spacing w:line="470" w:lineRule="atLeast"/>
        <w:ind w:left="573" w:right="0" w:firstLine="2"/>
        <w:jc w:val="left"/>
      </w:pPr>
      <w:r>
        <w:rPr>
          <w:rFonts w:ascii="宋体" w:hAnsi="宋体" w:cs="宋体" w:eastAsia="宋体" w:hint="default"/>
          <w:b/>
          <w:bCs/>
        </w:rPr>
        <w:t>（四）监事与监事会</w:t>
      </w:r>
      <w:r>
        <w:rPr>
          <w:rFonts w:ascii="宋体" w:hAnsi="宋体" w:cs="宋体" w:eastAsia="宋体" w:hint="default"/>
          <w:b/>
          <w:bCs/>
          <w:w w:val="100"/>
        </w:rPr>
        <w:t> </w:t>
      </w:r>
      <w:r>
        <w:rPr>
          <w:spacing w:val="-2"/>
        </w:rPr>
        <w:t>公司严格按照《公司法》、《公司章程》等的有关规定产生监事，监事会的人数及构成符合法律、法</w:t>
      </w:r>
    </w:p>
    <w:p>
      <w:pPr>
        <w:pStyle w:val="BodyText"/>
        <w:spacing w:line="273" w:lineRule="auto" w:before="37"/>
        <w:ind w:right="209"/>
        <w:jc w:val="both"/>
      </w:pPr>
      <w:r>
        <w:rPr>
          <w:spacing w:val="-2"/>
        </w:rPr>
        <w:t>规的要求。公司监事能够按照《监事会议事规则》等的要求，认真履行自己的职责，对公司重大事项、关</w:t>
      </w:r>
      <w:r>
        <w:rPr>
          <w:spacing w:val="-45"/>
        </w:rPr>
        <w:t> </w:t>
      </w:r>
      <w:r>
        <w:rPr>
          <w:spacing w:val="-45"/>
        </w:rPr>
      </w:r>
      <w:r>
        <w:rPr/>
        <w:t>联交易、收购兼并、财务状况、董事和经理的履职情况等进行有效监督并发表独立意见。</w:t>
      </w:r>
    </w:p>
    <w:p>
      <w:pPr>
        <w:pStyle w:val="BodyText"/>
        <w:spacing w:line="240" w:lineRule="auto" w:before="163"/>
        <w:ind w:left="573" w:right="0"/>
        <w:jc w:val="left"/>
      </w:pPr>
      <w:r>
        <w:rPr/>
        <w:t>报告期内，公司监事会共召开了八次会议，监事会在报告期内的监督事项无异议。</w:t>
      </w:r>
    </w:p>
    <w:p>
      <w:pPr>
        <w:pStyle w:val="BodyText"/>
        <w:spacing w:line="460" w:lineRule="atLeast" w:before="8"/>
        <w:ind w:left="573" w:right="0" w:firstLine="2"/>
        <w:jc w:val="left"/>
      </w:pPr>
      <w:r>
        <w:rPr>
          <w:rFonts w:ascii="宋体" w:hAnsi="宋体" w:cs="宋体" w:eastAsia="宋体" w:hint="default"/>
          <w:b/>
          <w:bCs/>
        </w:rPr>
        <w:t>（五）关于相关利益者</w:t>
      </w:r>
      <w:r>
        <w:rPr>
          <w:rFonts w:ascii="宋体" w:hAnsi="宋体" w:cs="宋体" w:eastAsia="宋体" w:hint="default"/>
          <w:b/>
          <w:bCs/>
          <w:w w:val="100"/>
        </w:rPr>
        <w:t> </w:t>
      </w:r>
      <w:r>
        <w:rPr>
          <w:spacing w:val="-2"/>
        </w:rPr>
        <w:t>公司充分尊重和维护相关利益者的合法权益，在企业创造利润最大化的同时，实现社会、股东、员工</w:t>
      </w:r>
    </w:p>
    <w:p>
      <w:pPr>
        <w:pStyle w:val="BodyText"/>
        <w:spacing w:line="240" w:lineRule="auto" w:before="37"/>
        <w:ind w:right="0"/>
        <w:jc w:val="both"/>
      </w:pPr>
      <w:r>
        <w:rPr/>
        <w:t>等各方利益的协调平衡，共同推动公司持续、稳健发展。</w:t>
      </w:r>
    </w:p>
    <w:p>
      <w:pPr>
        <w:spacing w:line="460" w:lineRule="atLeast" w:before="8"/>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（六）信息披露与透明度</w:t>
      </w:r>
      <w:r>
        <w:rPr>
          <w:rFonts w:ascii="宋体" w:hAnsi="宋体" w:cs="宋体" w:eastAsia="宋体" w:hint="default"/>
          <w:b/>
          <w:bCs/>
          <w:w w:val="100"/>
          <w:sz w:val="21"/>
          <w:szCs w:val="21"/>
        </w:rPr>
        <w:t> </w:t>
      </w:r>
      <w:r>
        <w:rPr>
          <w:rFonts w:ascii="宋体" w:hAnsi="宋体" w:cs="宋体" w:eastAsia="宋体" w:hint="default"/>
          <w:spacing w:val="-5"/>
          <w:sz w:val="21"/>
          <w:szCs w:val="21"/>
        </w:rPr>
        <w:t>公司指定董事会秘书、证券事务代表负责信息披露工作、接待股东来访和咨询，指定《中国证券报》、</w:t>
      </w:r>
    </w:p>
    <w:p>
      <w:pPr>
        <w:pStyle w:val="BodyText"/>
        <w:spacing w:line="273" w:lineRule="auto" w:before="37"/>
        <w:ind w:right="206"/>
        <w:jc w:val="both"/>
      </w:pPr>
      <w:r>
        <w:rPr>
          <w:spacing w:val="-2"/>
        </w:rPr>
        <w:t>《证券时报》、《证券日报》和巨潮资讯网为公司信息披露的报纸和网站；公司严格按照有关法律法规及</w:t>
      </w:r>
      <w:r>
        <w:rPr>
          <w:spacing w:val="-43"/>
        </w:rPr>
        <w:t> </w:t>
      </w:r>
      <w:r>
        <w:rPr>
          <w:spacing w:val="-43"/>
        </w:rPr>
      </w:r>
      <w:r>
        <w:rPr>
          <w:spacing w:val="-2"/>
        </w:rPr>
        <w:t>公司制定的《信息披露管理制度》的要求，真实、准确、完整、及时地披露有关信息，并确保所有股东有</w:t>
      </w:r>
      <w:r>
        <w:rPr>
          <w:spacing w:val="-48"/>
        </w:rPr>
        <w:t> </w:t>
      </w:r>
      <w:r>
        <w:rPr>
          <w:spacing w:val="-48"/>
        </w:rPr>
      </w:r>
      <w:r>
        <w:rPr/>
        <w:t>平等的机会获得信息。</w:t>
      </w:r>
    </w:p>
    <w:p>
      <w:pPr>
        <w:pStyle w:val="BodyText"/>
        <w:spacing w:line="468" w:lineRule="exact" w:before="34"/>
        <w:ind w:left="573" w:right="0" w:firstLine="2"/>
        <w:jc w:val="left"/>
      </w:pPr>
      <w:r>
        <w:rPr>
          <w:rFonts w:ascii="宋体" w:hAnsi="宋体" w:cs="宋体" w:eastAsia="宋体" w:hint="default"/>
          <w:b/>
          <w:bCs/>
        </w:rPr>
        <w:t>（七）内部审计制度</w:t>
      </w:r>
      <w:r>
        <w:rPr>
          <w:rFonts w:ascii="宋体" w:hAnsi="宋体" w:cs="宋体" w:eastAsia="宋体" w:hint="default"/>
          <w:b/>
          <w:bCs/>
          <w:w w:val="100"/>
        </w:rPr>
        <w:t> </w:t>
      </w:r>
      <w:r>
        <w:rPr>
          <w:spacing w:val="-2"/>
        </w:rPr>
        <w:t>公司已建立内部审计制度，设置内部审计部门，聘任了内部审计负责人，对公司的日常运行、内控制</w:t>
      </w:r>
    </w:p>
    <w:p>
      <w:pPr>
        <w:pStyle w:val="BodyText"/>
        <w:spacing w:line="248" w:lineRule="exact"/>
        <w:ind w:right="0"/>
        <w:jc w:val="both"/>
      </w:pPr>
      <w:r>
        <w:rPr/>
        <w:t>度和公司重大关联交易等进行有效控制。</w:t>
      </w:r>
    </w:p>
    <w:p>
      <w:pPr>
        <w:spacing w:line="460" w:lineRule="atLeast" w:before="8"/>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（八）关于公司与投资者</w:t>
      </w:r>
      <w:r>
        <w:rPr>
          <w:rFonts w:ascii="宋体" w:hAnsi="宋体" w:cs="宋体" w:eastAsia="宋体" w:hint="default"/>
          <w:b/>
          <w:bCs/>
          <w:w w:val="100"/>
          <w:sz w:val="21"/>
          <w:szCs w:val="21"/>
        </w:rPr>
        <w:t> </w:t>
      </w:r>
      <w:r>
        <w:rPr>
          <w:rFonts w:ascii="宋体" w:hAnsi="宋体" w:cs="宋体" w:eastAsia="宋体" w:hint="default"/>
          <w:spacing w:val="-2"/>
          <w:sz w:val="21"/>
          <w:szCs w:val="21"/>
        </w:rPr>
        <w:t>公司董事会秘书为投资者关系管理负责人，组织实施投资者关系的日常管理工作，公司充分尊重和维</w:t>
      </w:r>
    </w:p>
    <w:p>
      <w:pPr>
        <w:pStyle w:val="BodyText"/>
        <w:spacing w:line="240" w:lineRule="auto" w:before="37"/>
        <w:ind w:right="0"/>
        <w:jc w:val="both"/>
      </w:pPr>
      <w:r>
        <w:rPr/>
        <w:t>护相关利益者的合法权益，实现社会、股东、公司、员工等各方利益的协调平衡。报告期内，公司通过电</w:t>
      </w:r>
    </w:p>
    <w:p>
      <w:pPr>
        <w:spacing w:after="0" w:line="240" w:lineRule="auto"/>
        <w:jc w:val="both"/>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146"/>
        <w:jc w:val="left"/>
      </w:pPr>
      <w:r>
        <w:rPr/>
        <w:t>话、接待投资者现场调研等方式，加强与投资者的沟通。</w:t>
      </w:r>
    </w:p>
    <w:p>
      <w:pPr>
        <w:spacing w:line="240" w:lineRule="auto" w:before="10"/>
        <w:rPr>
          <w:rFonts w:ascii="宋体" w:hAnsi="宋体" w:cs="宋体" w:eastAsia="宋体" w:hint="default"/>
          <w:sz w:val="14"/>
          <w:szCs w:val="14"/>
        </w:rPr>
      </w:pPr>
    </w:p>
    <w:p>
      <w:pPr>
        <w:pStyle w:val="Heading4"/>
        <w:spacing w:line="240" w:lineRule="auto"/>
        <w:ind w:left="575" w:right="146"/>
        <w:jc w:val="left"/>
        <w:rPr>
          <w:b w:val="0"/>
          <w:bCs w:val="0"/>
        </w:rPr>
      </w:pPr>
      <w:r>
        <w:rPr/>
        <w:t>（九）关于绩效评价和激励约束机制</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right="146"/>
        <w:jc w:val="left"/>
      </w:pPr>
      <w:r>
        <w:rPr>
          <w:spacing w:val="-2"/>
        </w:rPr>
        <w:t>公司正逐步完善和建立公正、透明的董事、监事和高级管理人员的绩效评价标准以及激励约束机制，公司</w:t>
      </w:r>
      <w:r>
        <w:rPr>
          <w:spacing w:val="-42"/>
        </w:rPr>
        <w:t> </w:t>
      </w:r>
      <w:r>
        <w:rPr>
          <w:spacing w:val="-42"/>
        </w:rPr>
      </w:r>
      <w:r>
        <w:rPr/>
        <w:t>高级管理人员的聘任公开、透明，符合法律法规的规定。</w:t>
      </w:r>
    </w:p>
    <w:p>
      <w:pPr>
        <w:spacing w:before="69"/>
        <w:ind w:left="152" w:right="146"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60" w:lineRule="auto" w:before="115"/>
        <w:ind w:left="152" w:right="455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公司治理与《公司法》和中国证监会相关规定的要求不存在差异。</w:t>
      </w:r>
    </w:p>
    <w:p>
      <w:pPr>
        <w:spacing w:line="338" w:lineRule="auto" w:before="27"/>
        <w:ind w:left="152" w:right="146" w:firstLine="0"/>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 </w:t>
      </w:r>
      <w:r>
        <w:rPr>
          <w:rFonts w:ascii="宋体" w:hAnsi="宋体" w:cs="宋体" w:eastAsia="宋体" w:hint="default"/>
          <w:spacing w:val="-2"/>
          <w:sz w:val="18"/>
          <w:szCs w:val="18"/>
        </w:rPr>
        <w:t>报告期内，公司认真做好内幕信息知情人的登记、报备工作；组织公司董事、监事、高级管理人员以及可接触内幕信息的相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关岗位员工对相关文件进行学习，提高相关人员的合规、保密意识，规范对外报送信息及外部信息使用人使用本公司信息的</w:t>
      </w:r>
    </w:p>
    <w:p>
      <w:pPr>
        <w:spacing w:line="319" w:lineRule="auto" w:before="2"/>
        <w:ind w:left="152" w:right="146" w:firstLine="0"/>
        <w:jc w:val="left"/>
        <w:rPr>
          <w:rFonts w:ascii="宋体" w:hAnsi="宋体" w:cs="宋体" w:eastAsia="宋体" w:hint="default"/>
          <w:sz w:val="18"/>
          <w:szCs w:val="18"/>
        </w:rPr>
      </w:pPr>
      <w:r>
        <w:rPr>
          <w:rFonts w:ascii="宋体" w:hAnsi="宋体" w:cs="宋体" w:eastAsia="宋体" w:hint="default"/>
          <w:spacing w:val="-2"/>
          <w:sz w:val="18"/>
          <w:szCs w:val="18"/>
        </w:rPr>
        <w:t>行为。报告期内，公司未发生内幕信息知情人在影响公司股价的重大敏感信息披露前利用内幕信息买卖公司股票的行为，也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没有发生监管部门查处和需要整改的情况。</w:t>
      </w:r>
    </w:p>
    <w:p>
      <w:pPr>
        <w:spacing w:line="240" w:lineRule="auto" w:before="9"/>
        <w:rPr>
          <w:rFonts w:ascii="宋体" w:hAnsi="宋体" w:cs="宋体" w:eastAsia="宋体" w:hint="default"/>
          <w:sz w:val="20"/>
          <w:szCs w:val="20"/>
        </w:rPr>
      </w:pPr>
    </w:p>
    <w:p>
      <w:pPr>
        <w:pStyle w:val="Heading2"/>
        <w:spacing w:line="240" w:lineRule="auto"/>
        <w:ind w:right="146"/>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p>
      <w:pPr>
        <w:spacing w:before="44"/>
        <w:ind w:left="0" w:right="168" w:firstLine="0"/>
        <w:jc w:val="right"/>
        <w:rPr>
          <w:rFonts w:ascii="宋体" w:hAnsi="宋体" w:cs="宋体" w:eastAsia="宋体" w:hint="default"/>
          <w:sz w:val="18"/>
          <w:szCs w:val="18"/>
        </w:rPr>
      </w:pPr>
      <w:r>
        <w:rPr/>
        <w:pict>
          <v:shape style="position:absolute;margin-left:56.400002pt;margin-top:-223.6483pt;width:479.15pt;height:399.6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2031"/>
                    <w:gridCol w:w="1260"/>
                    <w:gridCol w:w="1493"/>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58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w:t>
                        </w:r>
                        <w:r>
                          <w:rPr>
                            <w:rFonts w:ascii="宋体" w:hAnsi="宋体" w:cs="宋体" w:eastAsia="宋体" w:hint="default"/>
                            <w:spacing w:val="-9"/>
                            <w:sz w:val="18"/>
                            <w:szCs w:val="18"/>
                          </w:rPr>
                          <w:t>董事会工作报告》；</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、审</w:t>
                        </w:r>
                        <w:r>
                          <w:rPr>
                            <w:rFonts w:ascii="宋体" w:hAnsi="宋体" w:cs="宋体" w:eastAsia="宋体" w:hint="default"/>
                            <w:spacing w:val="-82"/>
                            <w:sz w:val="18"/>
                            <w:szCs w:val="18"/>
                          </w:rPr>
                          <w:t> </w:t>
                        </w:r>
                        <w:r>
                          <w:rPr>
                            <w:rFonts w:ascii="宋体" w:hAnsi="宋体" w:cs="宋体" w:eastAsia="宋体" w:hint="default"/>
                            <w:sz w:val="18"/>
                            <w:szCs w:val="18"/>
                          </w:rPr>
                          <w:t>议《公司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年度监事 </w:t>
                        </w:r>
                        <w:r>
                          <w:rPr>
                            <w:rFonts w:ascii="宋体" w:hAnsi="宋体" w:cs="宋体" w:eastAsia="宋体" w:hint="default"/>
                            <w:spacing w:val="-22"/>
                            <w:sz w:val="18"/>
                            <w:szCs w:val="18"/>
                          </w:rPr>
                          <w:t>会工作报告》；</w:t>
                        </w:r>
                        <w:r>
                          <w:rPr>
                            <w:rFonts w:ascii="Times New Roman" w:hAnsi="Times New Roman" w:cs="Times New Roman" w:eastAsia="Times New Roman" w:hint="default"/>
                            <w:spacing w:val="-22"/>
                            <w:sz w:val="18"/>
                            <w:szCs w:val="18"/>
                          </w:rPr>
                          <w:t>3</w:t>
                        </w:r>
                        <w:r>
                          <w:rPr>
                            <w:rFonts w:ascii="宋体" w:hAnsi="宋体" w:cs="宋体" w:eastAsia="宋体" w:hint="default"/>
                            <w:spacing w:val="-22"/>
                            <w:sz w:val="18"/>
                            <w:szCs w:val="18"/>
                          </w:rPr>
                          <w:t>、审议《公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年度报告及摘</w:t>
                        </w:r>
                      </w:p>
                      <w:p>
                        <w:pPr>
                          <w:pStyle w:val="TableParagraph"/>
                          <w:spacing w:line="302" w:lineRule="auto" w:before="13"/>
                          <w:ind w:left="23" w:right="19"/>
                          <w:jc w:val="left"/>
                          <w:rPr>
                            <w:rFonts w:ascii="宋体" w:hAnsi="宋体" w:cs="宋体" w:eastAsia="宋体" w:hint="default"/>
                            <w:sz w:val="18"/>
                            <w:szCs w:val="18"/>
                          </w:rPr>
                        </w:pPr>
                        <w:r>
                          <w:rPr>
                            <w:rFonts w:ascii="宋体" w:hAnsi="宋体" w:cs="宋体" w:eastAsia="宋体" w:hint="default"/>
                            <w:spacing w:val="-15"/>
                            <w:sz w:val="18"/>
                            <w:szCs w:val="18"/>
                          </w:rPr>
                          <w:t>要》；</w:t>
                        </w:r>
                        <w:r>
                          <w:rPr>
                            <w:rFonts w:ascii="Times New Roman" w:hAnsi="Times New Roman" w:cs="Times New Roman" w:eastAsia="Times New Roman" w:hint="default"/>
                            <w:spacing w:val="-15"/>
                            <w:sz w:val="18"/>
                            <w:szCs w:val="18"/>
                          </w:rPr>
                          <w:t>4</w:t>
                        </w:r>
                        <w:r>
                          <w:rPr>
                            <w:rFonts w:ascii="宋体" w:hAnsi="宋体" w:cs="宋体" w:eastAsia="宋体" w:hint="default"/>
                            <w:spacing w:val="-15"/>
                            <w:sz w:val="18"/>
                            <w:szCs w:val="18"/>
                          </w:rPr>
                          <w:t>、审议《公司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年利润分配预案》</w:t>
                        </w:r>
                        <w:r>
                          <w:rPr>
                            <w:rFonts w:ascii="Times New Roman" w:hAnsi="Times New Roman" w:cs="Times New Roman" w:eastAsia="Times New Roman" w:hint="default"/>
                            <w:sz w:val="18"/>
                            <w:szCs w:val="18"/>
                          </w:rPr>
                          <w:t>5</w:t>
                        </w:r>
                        <w:r>
                          <w:rPr>
                            <w:rFonts w:ascii="宋体" w:hAnsi="宋体" w:cs="宋体" w:eastAsia="宋体" w:hint="default"/>
                            <w:sz w:val="18"/>
                            <w:szCs w:val="18"/>
                          </w:rPr>
                          <w:t>、审 议《公司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 </w:t>
                        </w:r>
                        <w:r>
                          <w:rPr>
                            <w:rFonts w:ascii="宋体" w:hAnsi="宋体" w:cs="宋体" w:eastAsia="宋体" w:hint="default"/>
                            <w:spacing w:val="-9"/>
                            <w:sz w:val="18"/>
                            <w:szCs w:val="18"/>
                          </w:rPr>
                          <w:t>决算报告》；</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、审议《公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年度财务预算报 </w:t>
                        </w:r>
                        <w:r>
                          <w:rPr>
                            <w:rFonts w:ascii="宋体" w:hAnsi="宋体" w:cs="宋体" w:eastAsia="宋体" w:hint="default"/>
                            <w:spacing w:val="-9"/>
                            <w:sz w:val="18"/>
                            <w:szCs w:val="18"/>
                          </w:rPr>
                          <w:t>告》；</w:t>
                        </w:r>
                        <w:r>
                          <w:rPr>
                            <w:rFonts w:ascii="Times New Roman" w:hAnsi="Times New Roman" w:cs="Times New Roman" w:eastAsia="Times New Roman" w:hint="default"/>
                            <w:spacing w:val="-9"/>
                            <w:sz w:val="18"/>
                            <w:szCs w:val="18"/>
                          </w:rPr>
                          <w:t>7</w:t>
                        </w:r>
                        <w:r>
                          <w:rPr>
                            <w:rFonts w:ascii="宋体" w:hAnsi="宋体" w:cs="宋体" w:eastAsia="宋体" w:hint="default"/>
                            <w:spacing w:val="-9"/>
                            <w:sz w:val="18"/>
                            <w:szCs w:val="18"/>
                          </w:rPr>
                          <w:t>、审议《公司前次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募集资金使用情况鉴证 </w:t>
                        </w:r>
                        <w:r>
                          <w:rPr>
                            <w:rFonts w:ascii="宋体" w:hAnsi="宋体" w:cs="宋体" w:eastAsia="宋体" w:hint="default"/>
                            <w:spacing w:val="-30"/>
                            <w:sz w:val="18"/>
                            <w:szCs w:val="18"/>
                          </w:rPr>
                          <w:t>报告》；</w:t>
                        </w:r>
                        <w:r>
                          <w:rPr>
                            <w:rFonts w:ascii="Times New Roman" w:hAnsi="Times New Roman" w:cs="Times New Roman" w:eastAsia="Times New Roman" w:hint="default"/>
                            <w:spacing w:val="-30"/>
                            <w:sz w:val="18"/>
                            <w:szCs w:val="18"/>
                          </w:rPr>
                          <w:t>8</w:t>
                        </w:r>
                        <w:r>
                          <w:rPr>
                            <w:rFonts w:ascii="宋体" w:hAnsi="宋体" w:cs="宋体" w:eastAsia="宋体" w:hint="default"/>
                            <w:spacing w:val="-30"/>
                            <w:sz w:val="18"/>
                            <w:szCs w:val="18"/>
                          </w:rPr>
                          <w:t>、审议《公司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年募集资金年度使用情 </w:t>
                        </w:r>
                        <w:r>
                          <w:rPr>
                            <w:rFonts w:ascii="宋体" w:hAnsi="宋体" w:cs="宋体" w:eastAsia="宋体" w:hint="default"/>
                            <w:spacing w:val="-22"/>
                            <w:sz w:val="18"/>
                            <w:szCs w:val="18"/>
                          </w:rPr>
                          <w:t>况专项报告》；</w:t>
                        </w:r>
                        <w:r>
                          <w:rPr>
                            <w:rFonts w:ascii="Times New Roman" w:hAnsi="Times New Roman" w:cs="Times New Roman" w:eastAsia="Times New Roman" w:hint="default"/>
                            <w:spacing w:val="-22"/>
                            <w:sz w:val="18"/>
                            <w:szCs w:val="18"/>
                          </w:rPr>
                          <w:t>9</w:t>
                        </w:r>
                        <w:r>
                          <w:rPr>
                            <w:rFonts w:ascii="宋体" w:hAnsi="宋体" w:cs="宋体" w:eastAsia="宋体" w:hint="default"/>
                            <w:spacing w:val="-22"/>
                            <w:sz w:val="18"/>
                            <w:szCs w:val="18"/>
                          </w:rPr>
                          <w:t>、审议《公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年度内部控制评 </w:t>
                        </w:r>
                        <w:r>
                          <w:rPr>
                            <w:rFonts w:ascii="宋体" w:hAnsi="宋体" w:cs="宋体" w:eastAsia="宋体" w:hint="default"/>
                            <w:spacing w:val="-8"/>
                            <w:sz w:val="18"/>
                            <w:szCs w:val="18"/>
                          </w:rPr>
                          <w:t>价报告》；</w:t>
                        </w:r>
                        <w:r>
                          <w:rPr>
                            <w:rFonts w:ascii="Times New Roman" w:hAnsi="Times New Roman" w:cs="Times New Roman" w:eastAsia="Times New Roman" w:hint="default"/>
                            <w:spacing w:val="-8"/>
                            <w:sz w:val="18"/>
                            <w:szCs w:val="18"/>
                          </w:rPr>
                          <w:t>10</w:t>
                        </w:r>
                        <w:r>
                          <w:rPr>
                            <w:rFonts w:ascii="宋体" w:hAnsi="宋体" w:cs="宋体" w:eastAsia="宋体" w:hint="default"/>
                            <w:spacing w:val="-8"/>
                            <w:sz w:val="18"/>
                            <w:szCs w:val="18"/>
                          </w:rPr>
                          <w:t>、审议《修</w:t>
                        </w:r>
                        <w:r>
                          <w:rPr>
                            <w:rFonts w:ascii="宋体" w:hAnsi="宋体" w:cs="宋体" w:eastAsia="宋体" w:hint="default"/>
                            <w:spacing w:val="-84"/>
                            <w:sz w:val="18"/>
                            <w:szCs w:val="18"/>
                          </w:rPr>
                          <w:t> </w:t>
                        </w:r>
                        <w:r>
                          <w:rPr>
                            <w:rFonts w:ascii="宋体" w:hAnsi="宋体" w:cs="宋体" w:eastAsia="宋体" w:hint="default"/>
                            <w:spacing w:val="-8"/>
                            <w:sz w:val="18"/>
                            <w:szCs w:val="18"/>
                          </w:rPr>
                          <w:t>改</w:t>
                        </w:r>
                        <w:r>
                          <w:rPr>
                            <w:rFonts w:ascii="Times New Roman" w:hAnsi="Times New Roman" w:cs="Times New Roman" w:eastAsia="Times New Roman" w:hint="default"/>
                            <w:spacing w:val="-8"/>
                            <w:sz w:val="18"/>
                            <w:szCs w:val="18"/>
                          </w:rPr>
                          <w:t>&lt;</w:t>
                        </w:r>
                        <w:r>
                          <w:rPr>
                            <w:rFonts w:ascii="宋体" w:hAnsi="宋体" w:cs="宋体" w:eastAsia="宋体" w:hint="default"/>
                            <w:spacing w:val="-8"/>
                            <w:sz w:val="18"/>
                            <w:szCs w:val="18"/>
                          </w:rPr>
                          <w:t>公司章程</w:t>
                        </w:r>
                        <w:r>
                          <w:rPr>
                            <w:rFonts w:ascii="Times New Roman" w:hAnsi="Times New Roman" w:cs="Times New Roman" w:eastAsia="Times New Roman" w:hint="default"/>
                            <w:spacing w:val="-8"/>
                            <w:sz w:val="18"/>
                            <w:szCs w:val="18"/>
                          </w:rPr>
                          <w:t>&gt;</w:t>
                        </w:r>
                        <w:r>
                          <w:rPr>
                            <w:rFonts w:ascii="宋体" w:hAnsi="宋体" w:cs="宋体" w:eastAsia="宋体" w:hint="default"/>
                            <w:spacing w:val="-8"/>
                            <w:sz w:val="18"/>
                            <w:szCs w:val="18"/>
                          </w:rPr>
                          <w:t>的议案》；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11</w:t>
                        </w:r>
                        <w:r>
                          <w:rPr>
                            <w:rFonts w:ascii="宋体" w:hAnsi="宋体" w:cs="宋体" w:eastAsia="宋体" w:hint="default"/>
                            <w:sz w:val="18"/>
                            <w:szCs w:val="18"/>
                          </w:rPr>
                          <w:t>、审议《公司关于续聘</w:t>
                        </w:r>
                      </w:p>
                      <w:p>
                        <w:pPr>
                          <w:pStyle w:val="TableParagraph"/>
                          <w:spacing w:line="304" w:lineRule="auto" w:before="11"/>
                          <w:ind w:left="2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年度审计机构的议 </w:t>
                        </w:r>
                        <w:r>
                          <w:rPr>
                            <w:rFonts w:ascii="宋体" w:hAnsi="宋体" w:cs="宋体" w:eastAsia="宋体" w:hint="default"/>
                            <w:spacing w:val="-8"/>
                            <w:sz w:val="18"/>
                            <w:szCs w:val="18"/>
                          </w:rPr>
                          <w:t>案》；</w:t>
                        </w:r>
                        <w:r>
                          <w:rPr>
                            <w:rFonts w:ascii="Times New Roman" w:hAnsi="Times New Roman" w:cs="Times New Roman" w:eastAsia="Times New Roman" w:hint="default"/>
                            <w:spacing w:val="-8"/>
                            <w:sz w:val="18"/>
                            <w:szCs w:val="18"/>
                          </w:rPr>
                          <w:t>12</w:t>
                        </w:r>
                        <w:r>
                          <w:rPr>
                            <w:rFonts w:ascii="宋体" w:hAnsi="宋体" w:cs="宋体" w:eastAsia="宋体" w:hint="default"/>
                            <w:spacing w:val="-8"/>
                            <w:sz w:val="18"/>
                            <w:szCs w:val="18"/>
                          </w:rPr>
                          <w:t>、审议《公司关</w:t>
                        </w:r>
                        <w:r>
                          <w:rPr>
                            <w:rFonts w:ascii="宋体" w:hAnsi="宋体" w:cs="宋体" w:eastAsia="宋体" w:hint="default"/>
                            <w:spacing w:val="-84"/>
                            <w:sz w:val="18"/>
                            <w:szCs w:val="18"/>
                          </w:rPr>
                          <w:t> </w:t>
                        </w:r>
                        <w:r>
                          <w:rPr>
                            <w:rFonts w:ascii="宋体" w:hAnsi="宋体" w:cs="宋体" w:eastAsia="宋体" w:hint="default"/>
                            <w:sz w:val="18"/>
                            <w:szCs w:val="18"/>
                          </w:rPr>
                          <w:t>于向银行申请不超过人 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亿元授信额度的 </w:t>
                        </w:r>
                        <w:r>
                          <w:rPr>
                            <w:rFonts w:ascii="宋体" w:hAnsi="宋体" w:cs="宋体" w:eastAsia="宋体" w:hint="default"/>
                            <w:spacing w:val="-23"/>
                            <w:sz w:val="18"/>
                            <w:szCs w:val="18"/>
                          </w:rPr>
                          <w:t>议案》。</w:t>
                        </w:r>
                      </w:p>
                    </w:tc>
                    <w:tc>
                      <w:tcPr>
                        <w:tcW w:w="126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4" w:right="-40"/>
                          <w:jc w:val="center"/>
                          <w:rPr>
                            <w:rFonts w:ascii="宋体" w:hAnsi="宋体" w:cs="宋体" w:eastAsia="宋体" w:hint="default"/>
                            <w:sz w:val="18"/>
                            <w:szCs w:val="18"/>
                          </w:rPr>
                        </w:pPr>
                        <w:r>
                          <w:rPr>
                            <w:rFonts w:ascii="宋体" w:hAnsi="宋体" w:cs="宋体" w:eastAsia="宋体" w:hint="default"/>
                            <w:sz w:val="18"/>
                            <w:szCs w:val="18"/>
                          </w:rPr>
                          <w:t>表决全部通过。</w:t>
                        </w:r>
                      </w:p>
                    </w:tc>
                    <w:tc>
                      <w:tcPr>
                        <w:tcW w:w="149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2" w:lineRule="auto"/>
                          <w:ind w:left="24" w:right="24"/>
                          <w:jc w:val="left"/>
                          <w:rPr>
                            <w:rFonts w:ascii="宋体" w:hAnsi="宋体" w:cs="宋体" w:eastAsia="宋体" w:hint="default"/>
                            <w:sz w:val="18"/>
                            <w:szCs w:val="18"/>
                          </w:rPr>
                        </w:pPr>
                        <w:r>
                          <w:rPr>
                            <w:rFonts w:ascii="宋体" w:hAnsi="宋体" w:cs="宋体" w:eastAsia="宋体" w:hint="default"/>
                            <w:spacing w:val="-11"/>
                            <w:sz w:val="18"/>
                            <w:szCs w:val="18"/>
                          </w:rPr>
                          <w:t>公告名称：《江苏双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星彩塑新材料股份 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股东大会决议公</w:t>
                        </w:r>
                      </w:p>
                      <w:p>
                        <w:pPr>
                          <w:pStyle w:val="TableParagraph"/>
                          <w:spacing w:line="309" w:lineRule="auto" w:before="22"/>
                          <w:ind w:left="24" w:right="101"/>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1"/>
                            <w:sz w:val="18"/>
                            <w:szCs w:val="18"/>
                          </w:rPr>
                          <w:t> </w:t>
                        </w:r>
                        <w:r>
                          <w:rPr>
                            <w:rFonts w:ascii="宋体" w:hAnsi="宋体" w:cs="宋体" w:eastAsia="宋体" w:hint="default"/>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2014-015.</w:t>
                        </w:r>
                        <w:r>
                          <w:rPr>
                            <w:rFonts w:ascii="宋体" w:hAnsi="宋体" w:cs="宋体" w:eastAsia="宋体" w:hint="default"/>
                            <w:sz w:val="18"/>
                            <w:szCs w:val="18"/>
                          </w:rPr>
                          <w:t>信息披露 </w:t>
                        </w:r>
                        <w:r>
                          <w:rPr>
                            <w:rFonts w:ascii="宋体" w:hAnsi="宋体" w:cs="宋体" w:eastAsia="宋体" w:hint="default"/>
                            <w:spacing w:val="-21"/>
                            <w:sz w:val="18"/>
                            <w:szCs w:val="18"/>
                          </w:rPr>
                          <w:t>媒体：《证券时报》</w:t>
                        </w:r>
                        <w:r>
                          <w:rPr>
                            <w:rFonts w:ascii="宋体" w:hAnsi="宋体" w:cs="宋体" w:eastAsia="宋体" w:hint="default"/>
                            <w:sz w:val="18"/>
                            <w:szCs w:val="18"/>
                          </w:rPr>
                        </w:r>
                      </w:p>
                      <w:p>
                        <w:pPr>
                          <w:pStyle w:val="TableParagraph"/>
                          <w:spacing w:line="319" w:lineRule="auto" w:before="24"/>
                          <w:ind w:left="24" w:right="22"/>
                          <w:jc w:val="both"/>
                          <w:rPr>
                            <w:rFonts w:ascii="宋体" w:hAnsi="宋体" w:cs="宋体" w:eastAsia="宋体" w:hint="default"/>
                            <w:sz w:val="18"/>
                            <w:szCs w:val="18"/>
                          </w:rPr>
                        </w:pPr>
                        <w:r>
                          <w:rPr>
                            <w:rFonts w:ascii="宋体" w:hAnsi="宋体" w:cs="宋体" w:eastAsia="宋体" w:hint="default"/>
                            <w:spacing w:val="-27"/>
                            <w:sz w:val="18"/>
                            <w:szCs w:val="18"/>
                          </w:rPr>
                          <w:t>《证券日报》、《中国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证券报》、巨潮资讯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网。</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1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00" w:lineRule="auto"/>
              <w:ind w:left="23" w:right="19"/>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、审议通过关于《修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 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表决全部通过。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4"/>
              <w:jc w:val="left"/>
              <w:rPr>
                <w:rFonts w:ascii="宋体" w:hAnsi="宋体" w:cs="宋体" w:eastAsia="宋体" w:hint="default"/>
                <w:sz w:val="18"/>
                <w:szCs w:val="18"/>
              </w:rPr>
            </w:pPr>
            <w:r>
              <w:rPr>
                <w:rFonts w:ascii="宋体" w:hAnsi="宋体" w:cs="宋体" w:eastAsia="宋体" w:hint="default"/>
                <w:spacing w:val="-11"/>
                <w:sz w:val="18"/>
                <w:szCs w:val="18"/>
              </w:rPr>
              <w:t>公告名称：《江苏双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星彩塑新材料股份 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一次临时股东大会 决议公告</w:t>
            </w:r>
            <w:r>
              <w:rPr>
                <w:rFonts w:ascii="宋体" w:hAnsi="宋体" w:cs="宋体" w:eastAsia="宋体" w:hint="default"/>
                <w:spacing w:val="1"/>
                <w:sz w:val="18"/>
                <w:szCs w:val="18"/>
              </w:rPr>
              <w:t> </w:t>
            </w:r>
            <w:r>
              <w:rPr>
                <w:rFonts w:ascii="宋体" w:hAnsi="宋体" w:cs="宋体" w:eastAsia="宋体" w:hint="default"/>
                <w:sz w:val="18"/>
                <w:szCs w:val="18"/>
              </w:rPr>
              <w:t>》公告编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2014-040.</w:t>
            </w:r>
            <w:r>
              <w:rPr>
                <w:rFonts w:ascii="宋体" w:hAnsi="宋体" w:cs="宋体" w:eastAsia="宋体" w:hint="default"/>
                <w:sz w:val="18"/>
                <w:szCs w:val="18"/>
              </w:rPr>
              <w:t>信息 </w:t>
            </w:r>
            <w:r>
              <w:rPr>
                <w:rFonts w:ascii="宋体" w:hAnsi="宋体" w:cs="宋体" w:eastAsia="宋体" w:hint="default"/>
                <w:spacing w:val="-11"/>
                <w:sz w:val="18"/>
                <w:szCs w:val="18"/>
              </w:rPr>
              <w:t>披露媒体：《证券时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8"/>
                <w:sz w:val="18"/>
                <w:szCs w:val="18"/>
              </w:rPr>
              <w:t>报》、《证券日报》、</w:t>
            </w:r>
          </w:p>
          <w:p>
            <w:pPr>
              <w:pStyle w:val="TableParagraph"/>
              <w:spacing w:line="319" w:lineRule="auto" w:before="22"/>
              <w:ind w:left="24" w:right="29"/>
              <w:jc w:val="left"/>
              <w:rPr>
                <w:rFonts w:ascii="宋体" w:hAnsi="宋体" w:cs="宋体" w:eastAsia="宋体" w:hint="default"/>
                <w:sz w:val="18"/>
                <w:szCs w:val="18"/>
              </w:rPr>
            </w:pPr>
            <w:r>
              <w:rPr>
                <w:rFonts w:ascii="宋体" w:hAnsi="宋体" w:cs="宋体" w:eastAsia="宋体" w:hint="default"/>
                <w:spacing w:val="-11"/>
                <w:sz w:val="18"/>
                <w:szCs w:val="18"/>
              </w:rPr>
              <w:t>《中国证券报》、巨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潮资讯网。</w:t>
            </w:r>
          </w:p>
        </w:tc>
      </w:tr>
    </w:tbl>
    <w:p>
      <w:pPr>
        <w:spacing w:line="240" w:lineRule="auto" w:before="3"/>
        <w:rPr>
          <w:rFonts w:ascii="宋体" w:hAnsi="宋体" w:cs="宋体" w:eastAsia="宋体" w:hint="default"/>
          <w:b/>
          <w:bCs/>
          <w:sz w:val="19"/>
          <w:szCs w:val="19"/>
        </w:rPr>
      </w:pPr>
    </w:p>
    <w:p>
      <w:pPr>
        <w:pStyle w:val="Heading4"/>
        <w:spacing w:line="240" w:lineRule="auto" w:before="36"/>
        <w:ind w:right="146"/>
        <w:jc w:val="left"/>
        <w:rPr>
          <w:b w:val="0"/>
          <w:bCs w:val="0"/>
        </w:rPr>
      </w:pP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146"/>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40"/>
        <w:gridCol w:w="1441"/>
        <w:gridCol w:w="1260"/>
        <w:gridCol w:w="1800"/>
        <w:gridCol w:w="1260"/>
        <w:gridCol w:w="104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82"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以通讯方式参加次数</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委托出席次数</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廖家河</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吕忆农</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spacing w:line="360" w:lineRule="auto" w:before="49"/>
        <w:ind w:left="152" w:right="707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pStyle w:val="Heading4"/>
        <w:spacing w:line="240" w:lineRule="auto" w:before="83"/>
        <w:ind w:right="146"/>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15"/>
          <w:szCs w:val="15"/>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60" w:lineRule="auto" w:before="117"/>
        <w:ind w:left="152" w:right="599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报告期内独立董事对公司有关事项未提出异议。</w:t>
      </w:r>
    </w:p>
    <w:p>
      <w:pPr>
        <w:pStyle w:val="Heading4"/>
        <w:spacing w:line="240" w:lineRule="auto" w:before="83"/>
        <w:ind w:right="146"/>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宋体" w:hAnsi="宋体" w:cs="宋体" w:eastAsia="宋体" w:hint="default"/>
          <w:b/>
          <w:bCs/>
          <w:sz w:val="15"/>
          <w:szCs w:val="15"/>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57" w:lineRule="auto" w:before="117"/>
        <w:ind w:left="152" w:right="581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独立董事对公司有关建议被采纳或未被采纳的说明 无</w:t>
      </w:r>
    </w:p>
    <w:p>
      <w:pPr>
        <w:spacing w:after="0" w:line="357"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四、董事会下设专门委员会在报告期内履行职责情况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pStyle w:val="BodyText"/>
        <w:spacing w:line="357" w:lineRule="auto"/>
        <w:ind w:left="573" w:right="84"/>
        <w:jc w:val="left"/>
      </w:pPr>
      <w:r>
        <w:rPr>
          <w:rFonts w:ascii="Times New Roman" w:hAnsi="Times New Roman" w:cs="Times New Roman" w:eastAsia="Times New Roman" w:hint="default"/>
        </w:rPr>
        <w:t>1</w:t>
      </w:r>
      <w:r>
        <w:rPr/>
        <w:t>、董事会审计委员会的履职情况</w:t>
      </w:r>
      <w:r>
        <w:rPr>
          <w:w w:val="100"/>
        </w:rPr>
        <w:t> </w:t>
      </w:r>
      <w:r>
        <w:rPr>
          <w:spacing w:val="-2"/>
        </w:rPr>
        <w:t>报告期内，审计委员会根据《董事会审计委员会实施细则》赋予的职责和权限，认真履行职责，切实</w:t>
      </w:r>
    </w:p>
    <w:p>
      <w:pPr>
        <w:pStyle w:val="BodyText"/>
        <w:spacing w:line="209" w:lineRule="exact"/>
        <w:ind w:right="0"/>
        <w:jc w:val="both"/>
      </w:pPr>
      <w:r>
        <w:rPr/>
        <w:t>发挥了审计委员会的专业职能。</w:t>
      </w:r>
    </w:p>
    <w:p>
      <w:pPr>
        <w:pStyle w:val="BodyText"/>
        <w:spacing w:line="273" w:lineRule="auto" w:before="157"/>
        <w:ind w:right="84" w:firstLine="420"/>
        <w:jc w:val="left"/>
      </w:pPr>
      <w:r>
        <w:rPr>
          <w:spacing w:val="-2"/>
        </w:rPr>
        <w:t>日常工作：审议公司审计部提交的审计计划和工作报告、审核公司的财务信息及其披露、监督公司的</w:t>
      </w:r>
      <w:r>
        <w:rPr>
          <w:w w:val="100"/>
        </w:rPr>
        <w:t> </w:t>
      </w:r>
      <w:r>
        <w:rPr/>
        <w:t>内部审计制度及实施、负责内部审计与外部审计沟通。</w:t>
      </w:r>
    </w:p>
    <w:p>
      <w:pPr>
        <w:pStyle w:val="BodyText"/>
        <w:spacing w:line="240" w:lineRule="auto" w:before="127"/>
        <w:ind w:left="573" w:right="84"/>
        <w:jc w:val="left"/>
      </w:pPr>
      <w:r>
        <w:rPr>
          <w:rFonts w:ascii="Times New Roman" w:hAnsi="Times New Roman" w:cs="Times New Roman" w:eastAsia="Times New Roman" w:hint="default"/>
        </w:rPr>
        <w:t>2014</w:t>
      </w:r>
      <w:r>
        <w:rPr/>
        <w:t>年年报审计工作：在与</w:t>
      </w:r>
      <w:r>
        <w:rPr>
          <w:rFonts w:ascii="Times New Roman" w:hAnsi="Times New Roman" w:cs="Times New Roman" w:eastAsia="Times New Roman" w:hint="default"/>
        </w:rPr>
        <w:t>2014</w:t>
      </w:r>
      <w:r>
        <w:rPr/>
        <w:t>年年度审计机构上海众华沪银会计师事务所充分沟通的基础上，确定</w:t>
      </w:r>
    </w:p>
    <w:p>
      <w:pPr>
        <w:pStyle w:val="BodyText"/>
        <w:spacing w:line="268" w:lineRule="auto" w:before="21"/>
        <w:ind w:right="186"/>
        <w:jc w:val="both"/>
      </w:pPr>
      <w:r>
        <w:rPr>
          <w:rFonts w:ascii="Times New Roman" w:hAnsi="Times New Roman" w:cs="Times New Roman" w:eastAsia="Times New Roman" w:hint="default"/>
          <w:spacing w:val="-2"/>
        </w:rPr>
        <w:t>2014</w:t>
      </w:r>
      <w:r>
        <w:rPr>
          <w:spacing w:val="-2"/>
        </w:rPr>
        <w:t>年度财务报告审计工作的进度安排；审计委员会在年审注册会计师进场前审阅了公司编制的财务会计</w:t>
      </w:r>
      <w:r>
        <w:rPr>
          <w:spacing w:val="-39"/>
        </w:rPr>
        <w:t> </w:t>
      </w:r>
      <w:r>
        <w:rPr>
          <w:spacing w:val="-39"/>
        </w:rPr>
      </w:r>
      <w:r>
        <w:rPr>
          <w:spacing w:val="-2"/>
        </w:rPr>
        <w:t>报告后，同意将公司按照《企业会计准则》及有关补充规定编制的财务报告提交会计师事务所审计；审计</w:t>
      </w:r>
      <w:r>
        <w:rPr>
          <w:spacing w:val="-46"/>
        </w:rPr>
        <w:t> </w:t>
      </w:r>
      <w:r>
        <w:rPr>
          <w:spacing w:val="-46"/>
        </w:rPr>
      </w:r>
      <w:r>
        <w:rPr>
          <w:spacing w:val="-2"/>
        </w:rPr>
        <w:t>委员会审阅了注册会计师出具的初步审计意见后形成书面审核意见：经会计师事务所初步审计，同意审计</w:t>
      </w:r>
      <w:r>
        <w:rPr>
          <w:spacing w:val="-43"/>
        </w:rPr>
        <w:t> </w:t>
      </w:r>
      <w:r>
        <w:rPr>
          <w:spacing w:val="-43"/>
        </w:rPr>
      </w:r>
      <w:r>
        <w:rPr/>
        <w:t>结果，确保了审计的独立性和审计工作的如期完成。</w:t>
      </w:r>
    </w:p>
    <w:p>
      <w:pPr>
        <w:pStyle w:val="BodyText"/>
        <w:spacing w:line="432" w:lineRule="exact" w:before="31"/>
        <w:ind w:left="573" w:right="227"/>
        <w:jc w:val="left"/>
        <w:rPr>
          <w:rFonts w:ascii="Times New Roman" w:hAnsi="Times New Roman" w:cs="Times New Roman" w:eastAsia="Times New Roman" w:hint="default"/>
        </w:rPr>
      </w:pPr>
      <w:r>
        <w:rPr>
          <w:rFonts w:ascii="Times New Roman" w:hAnsi="Times New Roman" w:cs="Times New Roman" w:eastAsia="Times New Roman" w:hint="default"/>
        </w:rPr>
        <w:t>2</w:t>
      </w:r>
      <w:r>
        <w:rPr/>
        <w:t>、薪酬与考核委员会</w:t>
      </w:r>
      <w:r>
        <w:rPr>
          <w:w w:val="100"/>
        </w:rPr>
        <w:t> </w:t>
      </w:r>
      <w:r>
        <w:rPr>
          <w:spacing w:val="-7"/>
        </w:rPr>
        <w:t>严格按照公司《董事会薪酬与考核委员会实施细则》开展工作，对公司董事、监事和高级管理人员</w:t>
      </w:r>
      <w:r>
        <w:rPr>
          <w:rFonts w:ascii="Times New Roman" w:hAnsi="Times New Roman" w:cs="Times New Roman" w:eastAsia="Times New Roman" w:hint="default"/>
          <w:spacing w:val="-7"/>
        </w:rPr>
        <w:t>2013</w:t>
      </w:r>
    </w:p>
    <w:p>
      <w:pPr>
        <w:pStyle w:val="BodyText"/>
        <w:spacing w:line="255" w:lineRule="exact"/>
        <w:ind w:right="0"/>
        <w:jc w:val="both"/>
      </w:pPr>
      <w:r>
        <w:rPr/>
        <w:t>年度的薪酬进行了核查，认为：薪酬数据合理、真实，公司为董事、独立董事、监事、高级管理人员所发</w:t>
      </w:r>
    </w:p>
    <w:p>
      <w:pPr>
        <w:pStyle w:val="BodyText"/>
        <w:spacing w:line="240" w:lineRule="auto" w:before="37"/>
        <w:ind w:right="0"/>
        <w:jc w:val="both"/>
      </w:pPr>
      <w:r>
        <w:rPr/>
        <w:t>放的薪酬符合规定，与其履职尽责情况匹配。</w:t>
      </w:r>
    </w:p>
    <w:p>
      <w:pPr>
        <w:pStyle w:val="BodyText"/>
        <w:spacing w:line="357" w:lineRule="auto" w:before="157"/>
        <w:ind w:left="573" w:right="227"/>
        <w:jc w:val="left"/>
      </w:pPr>
      <w:r>
        <w:rPr>
          <w:rFonts w:ascii="Times New Roman" w:hAnsi="Times New Roman" w:cs="Times New Roman" w:eastAsia="Times New Roman" w:hint="default"/>
        </w:rPr>
        <w:t>3</w:t>
      </w:r>
      <w:r>
        <w:rPr/>
        <w:t>、提名委员会</w:t>
      </w:r>
      <w:r>
        <w:rPr>
          <w:w w:val="100"/>
        </w:rPr>
        <w:t> </w:t>
      </w:r>
      <w:r>
        <w:rPr>
          <w:spacing w:val="-3"/>
        </w:rPr>
        <w:t>严格按照公司《董事会提名委员会实施细则》开展工作，对公司管理层成员的选聘提交了方案，为公</w:t>
      </w:r>
    </w:p>
    <w:p>
      <w:pPr>
        <w:pStyle w:val="BodyText"/>
        <w:spacing w:line="209" w:lineRule="exact"/>
        <w:ind w:right="0"/>
        <w:jc w:val="both"/>
      </w:pPr>
      <w:r>
        <w:rPr/>
        <w:t>司提供了业务素质与职业道德高且任职资格合法合规的管理层人选。</w:t>
      </w:r>
    </w:p>
    <w:p>
      <w:pPr>
        <w:pStyle w:val="BodyText"/>
        <w:spacing w:line="357" w:lineRule="auto" w:before="157"/>
        <w:ind w:left="573" w:right="227"/>
        <w:jc w:val="left"/>
      </w:pPr>
      <w:r>
        <w:rPr>
          <w:rFonts w:ascii="Times New Roman" w:hAnsi="Times New Roman" w:cs="Times New Roman" w:eastAsia="Times New Roman" w:hint="default"/>
        </w:rPr>
        <w:t>4</w:t>
      </w:r>
      <w:r>
        <w:rPr/>
        <w:t>、战略委员会</w:t>
      </w:r>
      <w:r>
        <w:rPr>
          <w:w w:val="100"/>
        </w:rPr>
        <w:t> </w:t>
      </w:r>
      <w:r>
        <w:rPr>
          <w:spacing w:val="-3"/>
        </w:rPr>
        <w:t>严格按照公司《董事会战略委员会实施细则》开展工作，对公司的发展战略提交了方案，为公司提供</w:t>
      </w:r>
    </w:p>
    <w:p>
      <w:pPr>
        <w:pStyle w:val="BodyText"/>
        <w:spacing w:line="209" w:lineRule="exact"/>
        <w:ind w:right="0"/>
        <w:jc w:val="both"/>
      </w:pPr>
      <w:r>
        <w:rPr/>
        <w:t>了适应公司发展的有效战略。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2"/>
        <w:spacing w:line="240" w:lineRule="auto"/>
        <w:ind w:right="0"/>
        <w:jc w:val="both"/>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7"/>
        <w:ind w:left="152" w:right="6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2" w:right="84" w:firstLine="360"/>
        <w:jc w:val="left"/>
        <w:rPr>
          <w:rFonts w:ascii="宋体" w:hAnsi="宋体" w:cs="宋体" w:eastAsia="宋体" w:hint="default"/>
          <w:sz w:val="18"/>
          <w:szCs w:val="18"/>
        </w:rPr>
      </w:pPr>
      <w:r>
        <w:rPr>
          <w:rFonts w:ascii="宋体" w:hAnsi="宋体" w:cs="宋体" w:eastAsia="宋体" w:hint="default"/>
          <w:spacing w:val="-2"/>
          <w:sz w:val="18"/>
          <w:szCs w:val="18"/>
        </w:rPr>
        <w:t>公司自成立以来，严格按照《公司法》、《证券法》等有关法律、法规和《公司章程》的要求规范运作，与控股股东在</w:t>
      </w:r>
      <w:r>
        <w:rPr>
          <w:rFonts w:ascii="宋体" w:hAnsi="宋体" w:cs="宋体" w:eastAsia="宋体" w:hint="default"/>
          <w:sz w:val="18"/>
          <w:szCs w:val="18"/>
        </w:rPr>
        <w:t> </w:t>
      </w:r>
      <w:r>
        <w:rPr>
          <w:rFonts w:ascii="宋体" w:hAnsi="宋体" w:cs="宋体" w:eastAsia="宋体" w:hint="default"/>
          <w:spacing w:val="-2"/>
          <w:sz w:val="18"/>
          <w:szCs w:val="18"/>
        </w:rPr>
        <w:t>业务、人员、资产、机构、财务等方面完全分开，具有独立完整的业务及自主经营能力。（一）业务独立情况：公司业务独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立于控股股东及其下属企业，拥有独立完整的供应、生产和销售系统，独立开展业务，不依赖于股东或其它任何关联方。公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司股东及其他关联方目前业务均与本公司不同，而且向本公司出具了《避免同业竞争的承诺函》。（二）人员独立情况：公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司人员、劳动、人事及工资完全独立。公司总经理、副总经理、董事会秘书、财务负责人等高级管理人员均在公司工作并领</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取薪酬，未在控股股东及其下属企业担任职务和领取报酬。（三）资产独立情况：公司拥有独立于控股股东的生产经营场所，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拥有独立完整的资产结构，拥有独立的生产系统、辅助生产系统和配套设施、土地使用权、房屋所有权等资产，拥有独立的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采购和销售系统。（四）机构独立情况：公司设立了健全的组织机构体系，独立运作，不存在与控股股东或其职能部门之间</w:t>
      </w:r>
    </w:p>
    <w:p>
      <w:pPr>
        <w:spacing w:after="0" w:line="316"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spacing w:line="319" w:lineRule="auto" w:before="44"/>
        <w:ind w:left="152" w:right="146" w:firstLine="0"/>
        <w:jc w:val="left"/>
        <w:rPr>
          <w:rFonts w:ascii="宋体" w:hAnsi="宋体" w:cs="宋体" w:eastAsia="宋体" w:hint="default"/>
          <w:sz w:val="18"/>
          <w:szCs w:val="18"/>
        </w:rPr>
      </w:pPr>
      <w:r>
        <w:rPr>
          <w:rFonts w:ascii="宋体" w:hAnsi="宋体" w:cs="宋体" w:eastAsia="宋体" w:hint="default"/>
          <w:spacing w:val="-2"/>
          <w:sz w:val="18"/>
          <w:szCs w:val="18"/>
        </w:rPr>
        <w:t>的从属关系。（五）财务独立情况：公司有独立的财务会计部门，建立了独立的会计核算体系和财务管理制度，独立进行财</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务决策。公司独立开设银行账户，独立纳税。</w:t>
      </w:r>
    </w:p>
    <w:p>
      <w:pPr>
        <w:spacing w:line="240" w:lineRule="auto" w:before="9"/>
        <w:rPr>
          <w:rFonts w:ascii="宋体" w:hAnsi="宋体" w:cs="宋体" w:eastAsia="宋体" w:hint="default"/>
          <w:sz w:val="20"/>
          <w:szCs w:val="20"/>
        </w:rPr>
      </w:pPr>
    </w:p>
    <w:p>
      <w:pPr>
        <w:pStyle w:val="Heading2"/>
        <w:spacing w:line="240" w:lineRule="auto"/>
        <w:ind w:right="146"/>
        <w:jc w:val="left"/>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146"/>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spacing w:line="319" w:lineRule="auto" w:before="0"/>
        <w:ind w:left="152" w:right="150" w:firstLine="360"/>
        <w:jc w:val="both"/>
        <w:rPr>
          <w:rFonts w:ascii="宋体" w:hAnsi="宋体" w:cs="宋体" w:eastAsia="宋体" w:hint="default"/>
          <w:sz w:val="18"/>
          <w:szCs w:val="18"/>
        </w:rPr>
      </w:pPr>
      <w:r>
        <w:rPr>
          <w:rFonts w:ascii="宋体" w:hAnsi="宋体" w:cs="宋体" w:eastAsia="宋体" w:hint="default"/>
          <w:spacing w:val="-2"/>
          <w:sz w:val="18"/>
          <w:szCs w:val="18"/>
        </w:rPr>
        <w:t>公司建立了高级管理人员的选择、考评、激励与约束机制并不断完善。公司高级管理人员全部由董事会聘任，直接对董</w:t>
      </w:r>
      <w:r>
        <w:rPr>
          <w:rFonts w:ascii="宋体" w:hAnsi="宋体" w:cs="宋体" w:eastAsia="宋体" w:hint="default"/>
          <w:sz w:val="18"/>
          <w:szCs w:val="18"/>
        </w:rPr>
        <w:t> </w:t>
      </w:r>
      <w:r>
        <w:rPr>
          <w:rFonts w:ascii="宋体" w:hAnsi="宋体" w:cs="宋体" w:eastAsia="宋体" w:hint="default"/>
          <w:spacing w:val="-2"/>
          <w:sz w:val="18"/>
          <w:szCs w:val="18"/>
        </w:rPr>
        <w:t>事会负责，承担董事会下达的经营指标。董事会下设的薪酬与考核委员会负责对高级管理人员的工作能力、履职情况、责任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目标完成情况，制定薪酬方案并报董事会审批。报告期内，高级管理人员能够严格按照《公司法》、《公司章程》及国家有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关法律法规认真履行职责，积极落实公司股东大会和董事会相关决议，在董事会的正确指导下积极调整经营思路，优化产品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结构，不断加强内部管理，较好地完成了本年度的各项任务。</w:t>
      </w:r>
    </w:p>
    <w:p>
      <w:pPr>
        <w:spacing w:after="0" w:line="319"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751" w:right="3786"/>
        <w:jc w:val="center"/>
        <w:rPr>
          <w:b w:val="0"/>
          <w:bCs w:val="0"/>
        </w:rPr>
      </w:pPr>
      <w:bookmarkStart w:name="_TOC_250002" w:id="10"/>
      <w:r>
        <w:rPr/>
        <w:t>第十节</w:t>
      </w:r>
      <w:r>
        <w:rPr>
          <w:spacing w:val="-2"/>
        </w:rPr>
        <w:t> </w:t>
      </w:r>
      <w:r>
        <w:rPr/>
        <w:t>内部控制</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227"/>
        <w:jc w:val="left"/>
        <w:rPr>
          <w:b w:val="0"/>
          <w:bCs w:val="0"/>
        </w:rPr>
      </w:pPr>
      <w:r>
        <w:rPr/>
        <w:t>一、内部控制建设情况</w:t>
      </w:r>
      <w:r>
        <w:rPr>
          <w:b w:val="0"/>
          <w:bCs w:val="0"/>
        </w:rPr>
      </w:r>
    </w:p>
    <w:p>
      <w:pPr>
        <w:spacing w:line="240" w:lineRule="auto" w:before="6"/>
        <w:rPr>
          <w:rFonts w:ascii="宋体" w:hAnsi="宋体" w:cs="宋体" w:eastAsia="宋体" w:hint="default"/>
          <w:b/>
          <w:bCs/>
          <w:sz w:val="26"/>
          <w:szCs w:val="26"/>
        </w:rPr>
      </w:pPr>
    </w:p>
    <w:p>
      <w:pPr>
        <w:spacing w:line="314" w:lineRule="auto" w:before="0"/>
        <w:ind w:left="152" w:right="94" w:firstLine="288"/>
        <w:jc w:val="left"/>
        <w:rPr>
          <w:rFonts w:ascii="宋体" w:hAnsi="宋体" w:cs="宋体" w:eastAsia="宋体" w:hint="default"/>
          <w:sz w:val="18"/>
          <w:szCs w:val="18"/>
        </w:rPr>
      </w:pPr>
      <w:r>
        <w:rPr>
          <w:rFonts w:ascii="宋体" w:hAnsi="宋体" w:cs="宋体" w:eastAsia="宋体" w:hint="default"/>
          <w:sz w:val="18"/>
          <w:szCs w:val="18"/>
        </w:rPr>
        <w:t>公司已按照《中华人民共和国公司法》、《中华人民共和国证券法》及相关法规的要求和本公司章程的规定，公司建立 </w:t>
      </w:r>
      <w:r>
        <w:rPr>
          <w:rFonts w:ascii="宋体" w:hAnsi="宋体" w:cs="宋体" w:eastAsia="宋体" w:hint="default"/>
          <w:spacing w:val="-2"/>
          <w:sz w:val="18"/>
          <w:szCs w:val="18"/>
        </w:rPr>
        <w:t>了股东大会、董事会、监事会和经理层</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三会一层</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的法人治理结构，制定了其议事规则，明确决策、执行、监督等方面的职</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2"/>
          <w:sz w:val="18"/>
          <w:szCs w:val="18"/>
        </w:rPr>
        <w:t>责权限，形成科学有效的职责分工和制衡机制，保障了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三会一层</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的规范运作。股东大会是公司的最高权力机构，依法行使</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2"/>
          <w:sz w:val="18"/>
          <w:szCs w:val="18"/>
        </w:rPr>
        <w:t>如决定公司的经营方针和投资计划，审批公司的年度财务决算方案、年度利润分配方案、股权激励计划、定向增发等公司重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大事项。股东大会能够确保所有股东、特别是中小股东享有平等地位，确保所有股东能够充分行使自己的权利。股东大会依</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法每年至少召开一次，在符合法规规定的情况下可召开临时股东会。董事会是公司的决策管理机构，对公司内部控制体系的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建立和监督负责，确定内部控制的政策和方案，监督内部控制的执行。董事会下设了战略、审计、提名、薪酬与考核四个委</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员会，依法设置了规范的人员结构，并制定了相应的实施细则。董事会由七名董事组成，其中独立董事三名，公司独立董事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均已获得独立董事资格证书，具备履行其职责所必需的基本知识和工作经验，诚信勤勉，踏实尽责，在审议募集资金使用、</w:t>
      </w:r>
      <w:r>
        <w:rPr>
          <w:rFonts w:ascii="宋体" w:hAnsi="宋体" w:cs="宋体" w:eastAsia="宋体" w:hint="default"/>
          <w:sz w:val="18"/>
          <w:szCs w:val="18"/>
        </w:rPr>
        <w:t> </w:t>
      </w:r>
      <w:r>
        <w:rPr>
          <w:rFonts w:ascii="宋体" w:hAnsi="宋体" w:cs="宋体" w:eastAsia="宋体" w:hint="default"/>
          <w:spacing w:val="-2"/>
          <w:sz w:val="18"/>
          <w:szCs w:val="18"/>
        </w:rPr>
        <w:t>股权激励计划、发展战略与决策机制等重大事项决策中独立客观地做出判断，有效发挥独立董事作用。监事会是公司的监督</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机构，对公司的经营管理活动以及董事会、经理层执行职务的行为进行监督及检查，向股东大会负责并报告工作。监事会由</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三名监事组成，其中股东代表监事两名，职工代表监事一名。公司经理层在董事会的领导下，负责执行股东大会、董事会的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决议，总经理全面主持公司日常生产经营和管理工作，各高级管理人员分别主管公司的销售、采购、计划、生产、财务和人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力资源等业务环节。</w:t>
      </w:r>
    </w:p>
    <w:p>
      <w:pPr>
        <w:spacing w:line="240" w:lineRule="auto" w:before="13"/>
        <w:rPr>
          <w:rFonts w:ascii="宋体" w:hAnsi="宋体" w:cs="宋体" w:eastAsia="宋体" w:hint="default"/>
          <w:sz w:val="20"/>
          <w:szCs w:val="20"/>
        </w:rPr>
      </w:pPr>
    </w:p>
    <w:p>
      <w:pPr>
        <w:pStyle w:val="Heading2"/>
        <w:spacing w:line="240" w:lineRule="auto"/>
        <w:ind w:right="227"/>
        <w:jc w:val="left"/>
        <w:rPr>
          <w:b w:val="0"/>
          <w:bCs w:val="0"/>
        </w:rPr>
      </w:pPr>
      <w:r>
        <w:rPr/>
        <w:t>二、董事会关于内部控制责任的声明</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94" w:firstLine="216"/>
        <w:jc w:val="left"/>
        <w:rPr>
          <w:rFonts w:ascii="宋体" w:hAnsi="宋体" w:cs="宋体" w:eastAsia="宋体" w:hint="default"/>
          <w:sz w:val="18"/>
          <w:szCs w:val="18"/>
        </w:rPr>
      </w:pPr>
      <w:r>
        <w:rPr>
          <w:rFonts w:ascii="宋体" w:hAnsi="宋体" w:cs="宋体" w:eastAsia="宋体" w:hint="default"/>
          <w:sz w:val="18"/>
          <w:szCs w:val="18"/>
        </w:rPr>
        <w:t>建立健全并有效实施内部控制是公司董事会的责任；监事会对董事会建立与实施内部控制进行监督；经理层负责组织领 导公司内部控制的日常运行。公司内部控制的目标是：合理保证财务报告及相关信息真实完整、经营合法合规、资产安全， 提高经营效率和效果，促进实现公司发展战略。由于内部控制存在固有局限性，故仅能对实现上述目标提供合理保证。</w:t>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spacing w:line="316" w:lineRule="auto" w:before="0"/>
        <w:ind w:left="152" w:right="84" w:firstLine="0"/>
        <w:jc w:val="left"/>
        <w:rPr>
          <w:rFonts w:ascii="宋体" w:hAnsi="宋体" w:cs="宋体" w:eastAsia="宋体" w:hint="default"/>
          <w:sz w:val="18"/>
          <w:szCs w:val="18"/>
        </w:rPr>
      </w:pPr>
      <w:r>
        <w:rPr>
          <w:rFonts w:ascii="宋体" w:hAnsi="宋体" w:cs="宋体" w:eastAsia="宋体" w:hint="default"/>
          <w:spacing w:val="-2"/>
          <w:sz w:val="18"/>
          <w:szCs w:val="18"/>
        </w:rPr>
        <w:t>公司根据《会计法》、《企业会计准则》、《企业内部控制基本规范》及监管部门的相关规范性文件要求，建立了财务报告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内部控制，本年度的财务报告内部控制不存在重大缺陷。</w:t>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0"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报告期内未发现重大内部控制缺陷。</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刊登在巨潮资讯网</w:t>
            </w:r>
            <w:r>
              <w:rPr>
                <w:rFonts w:ascii="宋体" w:hAnsi="宋体" w:cs="宋体" w:eastAsia="宋体" w:hint="default"/>
                <w:spacing w:val="-56"/>
                <w:sz w:val="18"/>
                <w:szCs w:val="18"/>
              </w:rPr>
              <w:t> </w:t>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上的《江苏双星彩塑新材料股份有限公司</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年度内部控制评价报告》</w:t>
            </w:r>
          </w:p>
        </w:tc>
      </w:tr>
    </w:tbl>
    <w:p>
      <w:pPr>
        <w:spacing w:line="240" w:lineRule="auto" w:before="1"/>
        <w:rPr>
          <w:rFonts w:ascii="宋体" w:hAnsi="宋体" w:cs="宋体" w:eastAsia="宋体" w:hint="default"/>
          <w:b/>
          <w:bCs/>
          <w:sz w:val="18"/>
          <w:szCs w:val="18"/>
        </w:rPr>
      </w:pPr>
    </w:p>
    <w:p>
      <w:pPr>
        <w:pStyle w:val="Heading2"/>
        <w:spacing w:line="240" w:lineRule="auto" w:before="26"/>
        <w:ind w:right="227"/>
        <w:jc w:val="left"/>
        <w:rPr>
          <w:b w:val="0"/>
          <w:bCs w:val="0"/>
        </w:rPr>
      </w:pPr>
      <w:r>
        <w:rPr/>
        <w:t>五、内部控制审计报告或鉴证报告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227"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after="0"/>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我们认为，双星新材按照《企业内部控制基本规范》及相关规定于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日在所有重大方面保持了有效的财务 报告内部控制。</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刊登在巨潮资讯网</w:t>
            </w:r>
            <w:r>
              <w:rPr>
                <w:rFonts w:ascii="宋体" w:hAnsi="宋体" w:cs="宋体" w:eastAsia="宋体" w:hint="default"/>
                <w:spacing w:val="-54"/>
                <w:sz w:val="18"/>
                <w:szCs w:val="18"/>
              </w:rPr>
              <w:t> </w:t>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上的《关于江苏双星彩塑新材料股份有限公 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日的内部控制鉴证报告 》</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5"/>
        <w:ind w:left="152" w:right="3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1"/>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2" w:right="153" w:firstLine="0"/>
        <w:jc w:val="both"/>
        <w:rPr>
          <w:rFonts w:ascii="宋体" w:hAnsi="宋体" w:cs="宋体" w:eastAsia="宋体" w:hint="default"/>
          <w:sz w:val="18"/>
          <w:szCs w:val="18"/>
        </w:rPr>
      </w:pPr>
      <w:r>
        <w:rPr>
          <w:rFonts w:ascii="宋体" w:hAnsi="宋体" w:cs="宋体" w:eastAsia="宋体" w:hint="default"/>
          <w:spacing w:val="-2"/>
          <w:sz w:val="18"/>
          <w:szCs w:val="18"/>
        </w:rPr>
        <w:t>为提高公司规范运作水平，增强信息披露的真实性、准确性、完整性和及时性，提高年报信息披露的质量和透明度，根据有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关法律法规的规定，公司制定了《年报信息披露重大责任追究制度》。报告期内，公司年报信息披露工作中未出现有关人员</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不履行或者未正确履行职责、义务而导致年报披露信息出现重大差错的情形。</w:t>
      </w:r>
    </w:p>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242"/>
        <w:jc w:val="center"/>
        <w:rPr>
          <w:b w:val="0"/>
          <w:bCs w:val="0"/>
        </w:rPr>
      </w:pPr>
      <w:bookmarkStart w:name="_TOC_250001" w:id="11"/>
      <w:r>
        <w:rPr/>
        <w:t>第十一节</w:t>
      </w:r>
      <w:r>
        <w:rPr>
          <w:spacing w:val="-6"/>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46"/>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众会字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陆仕敏、蒯薏苡</w:t>
            </w:r>
          </w:p>
        </w:tc>
      </w:tr>
    </w:tbl>
    <w:p>
      <w:pPr>
        <w:spacing w:before="49"/>
        <w:ind w:left="2241" w:right="2241"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31"/>
        <w:ind w:left="2241" w:right="2243" w:firstLine="0"/>
        <w:jc w:val="center"/>
        <w:rPr>
          <w:rFonts w:ascii="宋体" w:hAnsi="宋体" w:cs="宋体" w:eastAsia="宋体" w:hint="default"/>
          <w:sz w:val="48"/>
          <w:szCs w:val="48"/>
        </w:rPr>
      </w:pPr>
      <w:r>
        <w:rPr>
          <w:rFonts w:ascii="宋体" w:hAnsi="宋体" w:cs="宋体" w:eastAsia="宋体" w:hint="default"/>
          <w:b/>
          <w:bCs/>
          <w:sz w:val="48"/>
          <w:szCs w:val="48"/>
        </w:rPr>
        <w:t>审 计 报</w:t>
      </w:r>
      <w:r>
        <w:rPr>
          <w:rFonts w:ascii="宋体" w:hAnsi="宋体" w:cs="宋体" w:eastAsia="宋体" w:hint="default"/>
          <w:b/>
          <w:bCs/>
          <w:spacing w:val="-116"/>
          <w:sz w:val="48"/>
          <w:szCs w:val="48"/>
        </w:rPr>
        <w:t> </w:t>
      </w:r>
      <w:r>
        <w:rPr>
          <w:rFonts w:ascii="宋体" w:hAnsi="宋体" w:cs="宋体" w:eastAsia="宋体" w:hint="default"/>
          <w:b/>
          <w:bCs/>
          <w:sz w:val="48"/>
          <w:szCs w:val="48"/>
        </w:rPr>
        <w:t>告</w:t>
      </w:r>
      <w:r>
        <w:rPr>
          <w:rFonts w:ascii="宋体" w:hAnsi="宋体" w:cs="宋体" w:eastAsia="宋体" w:hint="default"/>
          <w:sz w:val="48"/>
          <w:szCs w:val="48"/>
        </w:rPr>
      </w:r>
    </w:p>
    <w:p>
      <w:pPr>
        <w:spacing w:line="240" w:lineRule="auto" w:before="10"/>
        <w:rPr>
          <w:rFonts w:ascii="宋体" w:hAnsi="宋体" w:cs="宋体" w:eastAsia="宋体" w:hint="default"/>
          <w:b/>
          <w:bCs/>
          <w:sz w:val="25"/>
          <w:szCs w:val="25"/>
        </w:rPr>
      </w:pPr>
    </w:p>
    <w:p>
      <w:pPr>
        <w:pStyle w:val="BodyText"/>
        <w:spacing w:line="240" w:lineRule="auto" w:before="36"/>
        <w:ind w:left="0" w:right="156"/>
        <w:jc w:val="right"/>
      </w:pPr>
      <w:r>
        <w:rPr>
          <w:spacing w:val="-1"/>
        </w:rPr>
        <w:t>众会字</w:t>
      </w:r>
      <w:r>
        <w:rPr>
          <w:rFonts w:ascii="Times New Roman" w:hAnsi="Times New Roman" w:cs="Times New Roman" w:eastAsia="Times New Roman" w:hint="default"/>
          <w:spacing w:val="-1"/>
        </w:rPr>
        <w:t>(2015)</w:t>
      </w:r>
      <w:r>
        <w:rPr>
          <w:spacing w:val="-1"/>
        </w:rPr>
        <w:t>第</w:t>
      </w:r>
      <w:r>
        <w:rPr>
          <w:rFonts w:ascii="Times New Roman" w:hAnsi="Times New Roman" w:cs="Times New Roman" w:eastAsia="Times New Roman" w:hint="default"/>
          <w:spacing w:val="-1"/>
        </w:rPr>
        <w:t>0156</w:t>
      </w:r>
      <w:r>
        <w:rPr>
          <w:spacing w:val="-1"/>
        </w:rPr>
        <w:t>号</w:t>
      </w:r>
    </w:p>
    <w:p>
      <w:pPr>
        <w:spacing w:line="240" w:lineRule="auto" w:before="9"/>
        <w:rPr>
          <w:rFonts w:ascii="宋体" w:hAnsi="宋体" w:cs="宋体" w:eastAsia="宋体" w:hint="default"/>
          <w:sz w:val="22"/>
          <w:szCs w:val="22"/>
        </w:rPr>
      </w:pPr>
    </w:p>
    <w:p>
      <w:pPr>
        <w:pStyle w:val="Heading4"/>
        <w:spacing w:line="240" w:lineRule="auto" w:before="36"/>
        <w:ind w:right="146"/>
        <w:jc w:val="left"/>
        <w:rPr>
          <w:b w:val="0"/>
          <w:bCs w:val="0"/>
        </w:rPr>
      </w:pPr>
      <w:r>
        <w:rPr/>
        <w:t>江苏双星彩塑新材料股份有限公司全体股东：</w:t>
      </w:r>
      <w:r>
        <w:rPr>
          <w:b w:val="0"/>
          <w:bCs w:val="0"/>
        </w:rPr>
      </w:r>
    </w:p>
    <w:p>
      <w:pPr>
        <w:spacing w:line="240" w:lineRule="auto" w:before="9"/>
        <w:rPr>
          <w:rFonts w:ascii="宋体" w:hAnsi="宋体" w:cs="宋体" w:eastAsia="宋体" w:hint="default"/>
          <w:b/>
          <w:bCs/>
          <w:sz w:val="26"/>
          <w:szCs w:val="26"/>
        </w:rPr>
      </w:pPr>
    </w:p>
    <w:p>
      <w:pPr>
        <w:pStyle w:val="BodyText"/>
        <w:spacing w:line="256" w:lineRule="auto"/>
        <w:ind w:right="148" w:firstLine="420"/>
        <w:jc w:val="both"/>
      </w:pPr>
      <w:r>
        <w:rPr/>
        <w:t>我们审计了后附的江苏双星彩塑新材料股份有限公司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双星新材</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31</w:t>
      </w:r>
      <w:r>
        <w:rPr/>
        <w:t>日的资产负债表，</w:t>
      </w:r>
      <w:r>
        <w:rPr>
          <w:spacing w:val="-27"/>
        </w:rPr>
        <w:t> </w:t>
      </w:r>
      <w:r>
        <w:rPr>
          <w:rFonts w:ascii="Times New Roman" w:hAnsi="Times New Roman" w:cs="Times New Roman" w:eastAsia="Times New Roman" w:hint="default"/>
        </w:rPr>
        <w:t>2014</w:t>
      </w:r>
      <w:r>
        <w:rPr/>
        <w:t>年度的利润表、现金流量表和所有者权益变动表以及财务报表附注。</w:t>
      </w:r>
    </w:p>
    <w:p>
      <w:pPr>
        <w:spacing w:line="240" w:lineRule="auto" w:before="3"/>
        <w:rPr>
          <w:rFonts w:ascii="宋体" w:hAnsi="宋体" w:cs="宋体" w:eastAsia="宋体" w:hint="default"/>
          <w:sz w:val="24"/>
          <w:szCs w:val="24"/>
        </w:rPr>
      </w:pPr>
    </w:p>
    <w:p>
      <w:pPr>
        <w:spacing w:line="273" w:lineRule="auto" w:before="0"/>
        <w:ind w:left="573" w:right="146" w:hanging="421"/>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3"/>
          <w:sz w:val="21"/>
          <w:szCs w:val="21"/>
        </w:rPr>
        <w:t>编制和公允列报财务报表是双星新材管理层的责任，这种责任包括：</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按照企业会计准则的规定编制</w:t>
      </w:r>
    </w:p>
    <w:p>
      <w:pPr>
        <w:pStyle w:val="BodyText"/>
        <w:spacing w:line="256" w:lineRule="auto"/>
        <w:ind w:right="146"/>
        <w:jc w:val="left"/>
      </w:pPr>
      <w:r>
        <w:rPr>
          <w:spacing w:val="-3"/>
        </w:rPr>
        <w:t>财务报表，并使其实现公允反映；</w:t>
      </w:r>
      <w:r>
        <w:rPr>
          <w:rFonts w:ascii="Times New Roman" w:hAnsi="Times New Roman" w:cs="Times New Roman" w:eastAsia="Times New Roman" w:hint="default"/>
          <w:spacing w:val="-3"/>
        </w:rPr>
        <w:t>(2)</w:t>
      </w:r>
      <w:r>
        <w:rPr>
          <w:spacing w:val="-3"/>
        </w:rPr>
        <w:t>设计、执行和维护必要的内部控制，以使财务报表不存在由于舞弊或</w:t>
      </w:r>
      <w:r>
        <w:rPr>
          <w:spacing w:val="-25"/>
        </w:rPr>
        <w:t> </w:t>
      </w:r>
      <w:r>
        <w:rPr>
          <w:spacing w:val="-25"/>
        </w:rPr>
      </w:r>
      <w:r>
        <w:rPr/>
        <w:t>错误导致的重大错报。</w:t>
      </w:r>
    </w:p>
    <w:p>
      <w:pPr>
        <w:spacing w:line="240" w:lineRule="auto" w:before="7"/>
        <w:rPr>
          <w:rFonts w:ascii="宋体" w:hAnsi="宋体" w:cs="宋体" w:eastAsia="宋体" w:hint="default"/>
          <w:sz w:val="25"/>
          <w:szCs w:val="25"/>
        </w:rPr>
      </w:pPr>
    </w:p>
    <w:p>
      <w:pPr>
        <w:pStyle w:val="BodyText"/>
        <w:spacing w:line="273" w:lineRule="auto"/>
        <w:ind w:left="573" w:right="146" w:hanging="421"/>
        <w:jc w:val="left"/>
      </w:pPr>
      <w:r>
        <w:rPr>
          <w:rFonts w:ascii="宋体" w:hAnsi="宋体" w:cs="宋体" w:eastAsia="宋体" w:hint="default"/>
          <w:b/>
          <w:bCs/>
        </w:rPr>
        <w:t>二、注册会计师的责任</w:t>
      </w:r>
      <w:r>
        <w:rPr>
          <w:rFonts w:ascii="宋体" w:hAnsi="宋体" w:cs="宋体" w:eastAsia="宋体" w:hint="default"/>
          <w:b/>
          <w:bCs/>
          <w:w w:val="100"/>
        </w:rPr>
        <w:t> </w:t>
      </w:r>
      <w:r>
        <w:rPr>
          <w:spacing w:val="-2"/>
        </w:rPr>
        <w:t>我们的责任是在执行审计工作的基础上对财务报表发表审计意见。我们按照中国注册会计师审计准则</w:t>
      </w:r>
    </w:p>
    <w:p>
      <w:pPr>
        <w:pStyle w:val="BodyText"/>
        <w:spacing w:line="273" w:lineRule="auto" w:before="7"/>
        <w:ind w:right="146"/>
        <w:jc w:val="left"/>
      </w:pP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pStyle w:val="BodyText"/>
        <w:spacing w:line="273" w:lineRule="auto" w:before="7"/>
        <w:ind w:right="146" w:firstLine="420"/>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pStyle w:val="BodyText"/>
        <w:spacing w:line="240" w:lineRule="auto" w:before="7"/>
        <w:ind w:left="573" w:right="146"/>
        <w:jc w:val="left"/>
      </w:pPr>
      <w:r>
        <w:rPr/>
        <w:t>我们相信，我们获取的审计证据是充分、适当的，为发表审计意见提供了基础。</w:t>
      </w:r>
    </w:p>
    <w:p>
      <w:pPr>
        <w:spacing w:line="240" w:lineRule="auto" w:before="9"/>
        <w:rPr>
          <w:rFonts w:ascii="宋体" w:hAnsi="宋体" w:cs="宋体" w:eastAsia="宋体" w:hint="default"/>
          <w:sz w:val="26"/>
          <w:szCs w:val="26"/>
        </w:rPr>
      </w:pPr>
    </w:p>
    <w:p>
      <w:pPr>
        <w:pStyle w:val="Heading4"/>
        <w:spacing w:line="240" w:lineRule="auto"/>
        <w:ind w:right="146"/>
        <w:jc w:val="left"/>
        <w:rPr>
          <w:b w:val="0"/>
          <w:bCs w:val="0"/>
        </w:rPr>
      </w:pPr>
      <w:r>
        <w:rPr/>
        <w:t>三、审计意见</w:t>
      </w:r>
      <w:r>
        <w:rPr>
          <w:b w:val="0"/>
          <w:bCs w:val="0"/>
        </w:rPr>
      </w:r>
    </w:p>
    <w:p>
      <w:pPr>
        <w:pStyle w:val="BodyText"/>
        <w:spacing w:line="240" w:lineRule="auto" w:before="37"/>
        <w:ind w:left="573" w:right="146"/>
        <w:jc w:val="left"/>
      </w:pPr>
      <w:r>
        <w:rPr>
          <w:spacing w:val="2"/>
        </w:rPr>
        <w:t>我们认为，双星新材财务报表在所有重大方面按照企业会计准则的规定编制，公允反映了双星新材</w:t>
      </w:r>
    </w:p>
    <w:p>
      <w:pPr>
        <w:pStyle w:val="BodyText"/>
        <w:spacing w:line="240" w:lineRule="auto" w:before="37"/>
        <w:ind w:right="14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2014</w:t>
      </w:r>
      <w:r>
        <w:rPr/>
        <w:t>年度的经营成果和现金流量。</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46"/>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1</w:t>
      </w:r>
      <w:r>
        <w:rPr/>
        <w:t>、资产负债表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编制单位：江苏双星彩塑新材料股份有限公司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3753" w:space="323"/>
            <w:col w:w="1642" w:space="3202"/>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1,084,997,476.38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224,037,084.93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188,446,751.67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293,191,886.17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86,005,458.54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72,501,267.80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504,998,927.77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235,682,991.33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4,242,197.92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489,988.89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2,438,428.74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3,182,210.61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749,567,124.79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740,285,744.33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2,620,696,365.81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1,569,371,174.06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5,194,200.00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2,025,115,667.26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1,917,315,783.71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658,470,940.70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589,543,102.39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99,230,853.49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102,675,028.07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1,370,397.43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766,544.50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213,232,246.18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3,002,614,305.06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2,615,494,658.67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5,623,310,670.87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4,184,865,832.73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20,609,467.20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497,210,100.00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514,436,420.00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30,859,432.28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49,032,192.93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23,300,054.95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22,068,532.26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13,097,948.87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15,455,229.58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-143,112,462.27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-152,598,633.20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77,778,542.45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49,609,784.09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499,133,616.28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518,612,992.86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499,133,616.28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518,612,992.86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551,790,494.00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3,802,275,699.32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2,570,126,816.24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105,027,333.36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94,988,849.60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665,083,527.91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585,137,174.03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5,124,177,054.59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3,666,252,839.87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5,124,177,054.59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3,666,252,839.87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5,623,310,670.87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4,184,865,832.73</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243" w:firstLine="0"/>
        <w:jc w:val="right"/>
        <w:rPr>
          <w:rFonts w:ascii="宋体" w:hAnsi="宋体" w:cs="宋体" w:eastAsia="宋体" w:hint="default"/>
          <w:sz w:val="18"/>
          <w:szCs w:val="18"/>
        </w:rPr>
      </w:pPr>
      <w:r>
        <w:rPr>
          <w:rFonts w:ascii="宋体" w:hAnsi="宋体" w:cs="宋体" w:eastAsia="宋体" w:hint="default"/>
          <w:sz w:val="18"/>
          <w:szCs w:val="18"/>
        </w:rPr>
        <w:t>法定代表人：吴培服</w:t>
        <w:tab/>
      </w:r>
      <w:r>
        <w:rPr>
          <w:rFonts w:ascii="宋体" w:hAnsi="宋体" w:cs="宋体" w:eastAsia="宋体" w:hint="default"/>
          <w:spacing w:val="-1"/>
          <w:sz w:val="18"/>
          <w:szCs w:val="18"/>
        </w:rPr>
        <w:t>主管会计工作负责人：周海燕</w:t>
        <w:tab/>
      </w:r>
      <w:r>
        <w:rPr>
          <w:rFonts w:ascii="宋体" w:hAnsi="宋体" w:cs="宋体" w:eastAsia="宋体" w:hint="default"/>
          <w:sz w:val="18"/>
          <w:szCs w:val="18"/>
        </w:rPr>
        <w:t>会计机构负责人：邹雪梅</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2</w:t>
      </w:r>
      <w:r>
        <w:rPr/>
        <w:t>、利润表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60"/>
        <w:gridCol w:w="3222"/>
        <w:gridCol w:w="3277"/>
      </w:tblGrid>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2,265,477,342.41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2,454,679,888.87</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2,265,477,342.41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2,454,679,888.87</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2,174,531,292.93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2,382,922,132.71</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2,061,272,641.76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2,241,266,624.40</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44,751.77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35,748,261.02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36,413,321.64</w:t>
            </w:r>
          </w:p>
        </w:tc>
      </w:tr>
      <w:tr>
        <w:trPr>
          <w:trHeight w:val="404"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97,548,648.45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108,839,788.71</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-24,108,696.25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-4,765,174.38</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4,025,686.18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1,167,572.34</w:t>
            </w: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924,165.00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924,165.00</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9"/>
              <w:jc w:val="righ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1"/>
        <w:gridCol w:w="3212"/>
        <w:gridCol w:w="3277"/>
      </w:tblGrid>
      <w:tr>
        <w:trPr>
          <w:trHeight w:val="36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的投资收益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12"/>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91,870,214.48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72,681,921.16</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22,946,711.04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29,907,400.00</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153,200.00</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4"/>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114,816,925.52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102,436,121.16</w:t>
            </w:r>
          </w:p>
        </w:tc>
      </w:tr>
      <w:tr>
        <w:trPr>
          <w:trHeight w:val="40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14,432,087.88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12,398,449.52</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12"/>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100,384,837.64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90,037,671.64</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100,384,837.64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90,037,671.64</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60"/>
        <w:gridCol w:w="3222"/>
        <w:gridCol w:w="3277"/>
      </w:tblGrid>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100,384,837.64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90,037,671.64</w:t>
            </w: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100,384,837.64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90,037,671.64</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0.22</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r>
    </w:tbl>
    <w:p>
      <w:pPr>
        <w:tabs>
          <w:tab w:pos="3578" w:val="left" w:leader="none"/>
          <w:tab w:pos="7721" w:val="left" w:leader="none"/>
        </w:tabs>
        <w:spacing w:line="621" w:lineRule="auto" w:before="49"/>
        <w:ind w:left="152" w:right="243"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法定代表人：吴培服</w:t>
        <w:tab/>
      </w:r>
      <w:r>
        <w:rPr>
          <w:rFonts w:ascii="宋体" w:hAnsi="宋体" w:cs="宋体" w:eastAsia="宋体" w:hint="default"/>
          <w:spacing w:val="-1"/>
          <w:sz w:val="18"/>
          <w:szCs w:val="18"/>
        </w:rPr>
        <w:t>主管会计工作负责人：周海燕</w:t>
        <w:tab/>
      </w:r>
      <w:r>
        <w:rPr>
          <w:rFonts w:ascii="宋体" w:hAnsi="宋体" w:cs="宋体" w:eastAsia="宋体" w:hint="default"/>
          <w:sz w:val="18"/>
          <w:szCs w:val="18"/>
        </w:rPr>
        <w:t>会计机构负责人：邹雪梅</w:t>
      </w:r>
    </w:p>
    <w:p>
      <w:pPr>
        <w:pStyle w:val="Heading4"/>
        <w:spacing w:line="240" w:lineRule="auto" w:before="69"/>
        <w:ind w:right="146"/>
        <w:jc w:val="left"/>
        <w:rPr>
          <w:b w:val="0"/>
          <w:bCs w:val="0"/>
        </w:rPr>
      </w:pPr>
      <w:r>
        <w:rPr>
          <w:rFonts w:ascii="Times New Roman" w:hAnsi="Times New Roman" w:cs="Times New Roman" w:eastAsia="Times New Roman" w:hint="default"/>
        </w:rPr>
        <w:t>3</w:t>
      </w:r>
      <w:r>
        <w:rPr/>
        <w:t>、现金流量表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2,336,845,535.07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2,576,005,776.32</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11,674,763.92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18,264,690.73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30,458,716.88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32,924,551.69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2,378,979,015.87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2,627,195,018.74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2,176,386,137.36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2,454,609,266.38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60,300,061.40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43,136,149.76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24,220,152.21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8,902,777.19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71,207,963.36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97,600,040.04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2,332,114,314.33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2,604,248,233.37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46,864,701.54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22,946,785.37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924,165.00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924,165.00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14,775,797.07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166,062,328.79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15,699,962.07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166,986,493.79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539,848,627.26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165,682,590.26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705,479,999.95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1,245,328,627.21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165,682,590.26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-1,229,628,665.14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1,303,903.53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1,367,939,377.08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248,668,116.76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39,092,007.81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1,616,607,493.84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39,092,007.81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269,277,583.96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65,165,058.51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13,382,306.61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42,438,737.16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282,659,890.57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107,603,795.67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1,333,947,603.27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-68,511,787.86</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4,296,751.83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-1,422,490.35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155,480,391.50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-45,683,589.31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107,017,084.93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152,700,674.24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262,497,476.43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107,017,084.93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46"/>
        <w:jc w:val="left"/>
        <w:rPr>
          <w:b w:val="0"/>
          <w:bCs w:val="0"/>
        </w:rPr>
      </w:pPr>
      <w:r>
        <w:rPr>
          <w:rFonts w:ascii="Times New Roman" w:hAnsi="Times New Roman" w:cs="Times New Roman" w:eastAsia="Times New Roman" w:hint="default"/>
        </w:rPr>
        <w:t>4</w:t>
      </w:r>
      <w:r>
        <w:rPr/>
        <w:t>、所有者权益变动表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14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1"/>
        <w:gridCol w:w="530"/>
        <w:gridCol w:w="665"/>
        <w:gridCol w:w="665"/>
        <w:gridCol w:w="665"/>
        <w:gridCol w:w="665"/>
        <w:gridCol w:w="665"/>
        <w:gridCol w:w="665"/>
        <w:gridCol w:w="665"/>
        <w:gridCol w:w="665"/>
        <w:gridCol w:w="660"/>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9"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416,00</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26,816.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94,988,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849.60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585,137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,174.03</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3,666,2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52,839.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416,00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26,816.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94,988,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849.60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585,137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,174.03</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52,839.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1"/>
              <w:jc w:val="right"/>
              <w:rPr>
                <w:rFonts w:ascii="宋体" w:hAnsi="宋体" w:cs="宋体" w:eastAsia="宋体" w:hint="default"/>
                <w:sz w:val="18"/>
                <w:szCs w:val="18"/>
              </w:rPr>
            </w:pPr>
            <w:r>
              <w:rPr>
                <w:rFonts w:ascii="宋体" w:hAnsi="宋体" w:cs="宋体" w:eastAsia="宋体" w:hint="default"/>
                <w:spacing w:val="-8"/>
                <w:sz w:val="18"/>
                <w:szCs w:val="18"/>
              </w:rPr>
              <w:t>三、本期增减变动</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left="28" w:right="0"/>
              <w:jc w:val="left"/>
              <w:rPr>
                <w:rFonts w:ascii="Times New Roman" w:hAnsi="Times New Roman" w:cs="Times New Roman" w:eastAsia="Times New Roman" w:hint="default"/>
                <w:sz w:val="18"/>
                <w:szCs w:val="18"/>
              </w:rPr>
            </w:pPr>
            <w:r>
              <w:rPr>
                <w:rFonts w:ascii="Times New Roman"/>
                <w:sz w:val="18"/>
              </w:rPr>
              <w:t>135,79</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1,232,1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10,038,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3" w:right="0"/>
              <w:jc w:val="left"/>
              <w:rPr>
                <w:rFonts w:ascii="Times New Roman" w:hAnsi="Times New Roman" w:cs="Times New Roman" w:eastAsia="Times New Roman" w:hint="default"/>
                <w:sz w:val="18"/>
                <w:szCs w:val="18"/>
              </w:rPr>
            </w:pPr>
            <w:r>
              <w:rPr>
                <w:rFonts w:ascii="Times New Roman"/>
                <w:sz w:val="18"/>
              </w:rPr>
              <w:t>79,946,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6" w:right="0"/>
              <w:jc w:val="left"/>
              <w:rPr>
                <w:rFonts w:ascii="Times New Roman" w:hAnsi="Times New Roman" w:cs="Times New Roman" w:eastAsia="Times New Roman" w:hint="default"/>
                <w:sz w:val="18"/>
                <w:szCs w:val="18"/>
              </w:rPr>
            </w:pPr>
            <w:r>
              <w:rPr>
                <w:rFonts w:ascii="Times New Roman"/>
                <w:sz w:val="18"/>
              </w:rPr>
              <w:t>1,457,9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22.646004pt;margin-top:72.47998pt;width:32.7pt;height:15.6pt;mso-position-horizontal-relative:page;mso-position-vertical-relative:page;z-index:-584464" coordorigin="2453,1450" coordsize="654,312">
            <v:group style="position:absolute;left:2600;top:1450;width:507;height:312" coordorigin="2600,1450" coordsize="507,312">
              <v:shape style="position:absolute;left:2600;top:1450;width:507;height:312" coordorigin="2600,1450" coordsize="507,312" path="m2600,1762l3106,1762,3106,1450,2600,1450,2600,1762xe" filled="true" fillcolor="#ffffff" stroked="false">
                <v:path arrowok="t"/>
                <v:fill type="solid"/>
              </v:shape>
              <v:shape style="position:absolute;left:2453;top:1450;width:654;height:31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73"/>
        <w:gridCol w:w="489"/>
        <w:gridCol w:w="533"/>
        <w:gridCol w:w="531"/>
        <w:gridCol w:w="530"/>
        <w:gridCol w:w="665"/>
        <w:gridCol w:w="665"/>
        <w:gridCol w:w="665"/>
        <w:gridCol w:w="665"/>
        <w:gridCol w:w="665"/>
        <w:gridCol w:w="665"/>
        <w:gridCol w:w="665"/>
        <w:gridCol w:w="665"/>
        <w:gridCol w:w="660"/>
      </w:tblGrid>
      <w:tr>
        <w:trPr>
          <w:trHeight w:val="675" w:hRule="exact"/>
        </w:trPr>
        <w:tc>
          <w:tcPr>
            <w:tcW w:w="143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9" w:lineRule="auto" w:before="8"/>
              <w:ind w:left="22" w:right="99"/>
              <w:jc w:val="left"/>
              <w:rPr>
                <w:rFonts w:ascii="宋体" w:hAnsi="宋体" w:cs="宋体" w:eastAsia="宋体" w:hint="default"/>
                <w:sz w:val="18"/>
                <w:szCs w:val="18"/>
              </w:rPr>
            </w:pPr>
            <w:r>
              <w:rPr>
                <w:rFonts w:ascii="宋体" w:hAnsi="宋体" w:cs="宋体" w:eastAsia="宋体" w:hint="default"/>
                <w:spacing w:val="-19"/>
                <w:sz w:val="18"/>
                <w:szCs w:val="18"/>
              </w:rPr>
              <w:t>金额（减少以“－</w:t>
            </w:r>
            <w:r>
              <w:rPr>
                <w:rFonts w:ascii="宋体" w:hAnsi="宋体" w:cs="宋体" w:eastAsia="宋体" w:hint="default"/>
                <w:sz w:val="18"/>
                <w:szCs w:val="18"/>
              </w:rPr>
              <w:t> 号填列）</w:t>
            </w:r>
          </w:p>
        </w:tc>
        <w:tc>
          <w:tcPr>
            <w:tcW w:w="73" w:type="dxa"/>
            <w:tcBorders>
              <w:top w:val="single" w:sz="4" w:space="0" w:color="000000"/>
              <w:left w:val="single" w:sz="13" w:space="0" w:color="FFFFFF"/>
              <w:bottom w:val="single" w:sz="4" w:space="0" w:color="000000"/>
              <w:right w:val="nil" w:sz="6" w:space="0" w:color="auto"/>
            </w:tcBorders>
          </w:tcPr>
          <w:p>
            <w:pPr/>
          </w:p>
        </w:tc>
        <w:tc>
          <w:tcPr>
            <w:tcW w:w="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0" w:right="0"/>
              <w:jc w:val="left"/>
              <w:rPr>
                <w:rFonts w:ascii="Times New Roman" w:hAnsi="Times New Roman" w:cs="Times New Roman" w:eastAsia="Times New Roman" w:hint="default"/>
                <w:sz w:val="18"/>
                <w:szCs w:val="18"/>
              </w:rPr>
            </w:pPr>
            <w:r>
              <w:rPr>
                <w:rFonts w:ascii="Times New Roman"/>
                <w:sz w:val="18"/>
              </w:rPr>
              <w:t>0,494.</w:t>
            </w:r>
          </w:p>
          <w:p>
            <w:pPr>
              <w:pStyle w:val="TableParagraph"/>
              <w:spacing w:line="240" w:lineRule="auto" w:before="105"/>
              <w:ind w:left="282"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48,883.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483.76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Times New Roman"/>
                <w:sz w:val="18"/>
              </w:rPr>
              <w:t>353.88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24,214.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100,384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,837.64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100,384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,837.64</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135,79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0,494.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48,883.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39,377.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135,79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0,494.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48,883.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39,377.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10,038,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483.76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-20,438,</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483.76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10,038,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483.76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-10,038,</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483.76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28.779999pt;margin-top:502.389984pt;width:26.55pt;height:20.8pt;mso-position-horizontal-relative:page;mso-position-vertical-relative:page;z-index:-584440" coordorigin="2576,10048" coordsize="531,416">
            <v:group style="position:absolute;left:2588;top:10060;width:2;height:392" coordorigin="2588,10060" coordsize="2,392">
              <v:shape style="position:absolute;left:2588;top:10060;width:2;height:392" coordorigin="2588,10060" coordsize="0,392" path="m2588,10060l2588,10451e" filled="false" stroked="true" strokeweight="1.2pt" strokecolor="#ffffff">
                <v:path arrowok="t"/>
              </v:shape>
            </v:group>
            <v:group style="position:absolute;left:2600;top:10060;width:507;height:392" coordorigin="2600,10060" coordsize="507,392">
              <v:shape style="position:absolute;left:2600;top:10060;width:507;height:392" coordorigin="2600,10060" coordsize="507,392" path="m2600,10451l3106,10451,3106,10060,2600,10060,2600,1045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551,79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0,494.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75,699.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105,027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,333.36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665,083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,527.91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77,054.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1"/>
        <w:gridCol w:w="533"/>
        <w:gridCol w:w="662"/>
        <w:gridCol w:w="665"/>
        <w:gridCol w:w="668"/>
        <w:gridCol w:w="665"/>
        <w:gridCol w:w="662"/>
        <w:gridCol w:w="665"/>
        <w:gridCol w:w="680"/>
        <w:gridCol w:w="653"/>
        <w:gridCol w:w="658"/>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2"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54" w:right="63"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416,00</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26,816.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85,985,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082.44</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545,703</w:t>
            </w:r>
          </w:p>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,269.55</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3,617,8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15,168.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416,00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26,816.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85,985,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082.44</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545,703</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,269.55</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15,168.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sz w:val="18"/>
                <w:szCs w:val="18"/>
              </w:rPr>
              <w:t>金额（减少以“－</w:t>
            </w:r>
            <w:r>
              <w:rPr>
                <w:rFonts w:ascii="宋体" w:hAnsi="宋体" w:cs="宋体" w:eastAsia="宋体" w:hint="default"/>
                <w:sz w:val="18"/>
                <w:szCs w:val="18"/>
              </w:rPr>
              <w:t> 号填列）</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9,003,7</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67.16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39,433,</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904.48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48,437,</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671.64</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90,037,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671.64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90,037,</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671.64</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9,003,7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67.16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-50,603,</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767.16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-41,600,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9,003,7</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67.16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-9,003,7</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67.16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-41,600,</w:t>
            </w:r>
          </w:p>
          <w:p>
            <w:pPr>
              <w:pStyle w:val="TableParagraph"/>
              <w:spacing w:line="240" w:lineRule="auto" w:before="102"/>
              <w:ind w:left="128"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-41,600,</w:t>
            </w:r>
          </w:p>
          <w:p>
            <w:pPr>
              <w:pStyle w:val="TableParagraph"/>
              <w:spacing w:line="240" w:lineRule="auto" w:before="102"/>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416,00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26,816.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94,988,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849.60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585,137</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,174.03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52,839.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r>
    </w:tbl>
    <w:p>
      <w:pPr>
        <w:spacing w:line="240" w:lineRule="auto" w:before="1"/>
        <w:rPr>
          <w:rFonts w:ascii="宋体" w:hAnsi="宋体" w:cs="宋体" w:eastAsia="宋体" w:hint="default"/>
          <w:sz w:val="18"/>
          <w:szCs w:val="18"/>
        </w:rPr>
      </w:pPr>
    </w:p>
    <w:p>
      <w:pPr>
        <w:pStyle w:val="Heading2"/>
        <w:spacing w:line="240" w:lineRule="auto" w:before="26"/>
        <w:ind w:right="146"/>
        <w:jc w:val="left"/>
        <w:rPr>
          <w:b w:val="0"/>
          <w:bCs w:val="0"/>
        </w:rPr>
      </w:pPr>
      <w:r>
        <w:rPr/>
        <w:t>三、公司基本情况</w:t>
      </w:r>
      <w:r>
        <w:rPr>
          <w:b w:val="0"/>
          <w:bCs w:val="0"/>
        </w:rPr>
      </w:r>
    </w:p>
    <w:p>
      <w:pPr>
        <w:spacing w:line="240" w:lineRule="auto" w:before="9"/>
        <w:rPr>
          <w:rFonts w:ascii="宋体" w:hAnsi="宋体" w:cs="宋体" w:eastAsia="宋体" w:hint="default"/>
          <w:b/>
          <w:bCs/>
          <w:sz w:val="24"/>
          <w:szCs w:val="24"/>
        </w:rPr>
      </w:pPr>
    </w:p>
    <w:p>
      <w:pPr>
        <w:pStyle w:val="BodyText"/>
        <w:spacing w:line="367" w:lineRule="auto"/>
        <w:ind w:left="909" w:right="1674" w:hanging="651"/>
        <w:jc w:val="left"/>
      </w:pPr>
      <w:r>
        <w:rPr/>
        <w:t>（一）公司注册地址、组织形式、总部地址及注册资本</w:t>
      </w:r>
      <w:r>
        <w:rPr>
          <w:w w:val="100"/>
        </w:rPr>
        <w:t> </w:t>
      </w:r>
      <w:r>
        <w:rPr>
          <w:spacing w:val="-2"/>
        </w:rPr>
        <w:t>注册地址：江苏省宿迁市宿豫区彩塑工业园区井头街</w:t>
      </w:r>
      <w:r>
        <w:rPr>
          <w:rFonts w:ascii="Times New Roman" w:hAnsi="Times New Roman" w:cs="Times New Roman" w:eastAsia="Times New Roman" w:hint="default"/>
          <w:spacing w:val="-2"/>
        </w:rPr>
        <w:t>1</w:t>
      </w:r>
      <w:r>
        <w:rPr>
          <w:spacing w:val="-2"/>
        </w:rPr>
        <w:t>号</w:t>
      </w:r>
      <w:r>
        <w:rPr>
          <w:w w:val="100"/>
        </w:rPr>
        <w:t> </w:t>
      </w:r>
      <w:r>
        <w:rPr/>
        <w:t>组织形式：股份有限公司（上市公司）</w:t>
      </w:r>
      <w:r>
        <w:rPr>
          <w:w w:val="100"/>
        </w:rPr>
        <w:t> </w:t>
      </w:r>
      <w:r>
        <w:rPr>
          <w:spacing w:val="-2"/>
        </w:rPr>
        <w:t>总部地址：江苏省宿迁市宿豫区彩塑工业园区井头街</w:t>
      </w:r>
      <w:r>
        <w:rPr>
          <w:rFonts w:ascii="Times New Roman" w:hAnsi="Times New Roman" w:cs="Times New Roman" w:eastAsia="Times New Roman" w:hint="default"/>
          <w:spacing w:val="-2"/>
        </w:rPr>
        <w:t>1</w:t>
      </w:r>
      <w:r>
        <w:rPr>
          <w:spacing w:val="-2"/>
        </w:rPr>
        <w:t>号</w:t>
      </w:r>
      <w:r>
        <w:rPr>
          <w:w w:val="100"/>
        </w:rPr>
        <w:t> </w:t>
      </w:r>
      <w:r>
        <w:rPr/>
        <w:t>注册资本：</w:t>
      </w:r>
      <w:r>
        <w:rPr>
          <w:rFonts w:ascii="Times New Roman" w:hAnsi="Times New Roman" w:cs="Times New Roman" w:eastAsia="Times New Roman" w:hint="default"/>
        </w:rPr>
        <w:t>55,179.05</w:t>
      </w:r>
      <w:r>
        <w:rPr/>
        <w:t>万元</w:t>
      </w:r>
    </w:p>
    <w:p>
      <w:pPr>
        <w:pStyle w:val="BodyText"/>
        <w:spacing w:line="240" w:lineRule="auto" w:before="18"/>
        <w:ind w:right="146"/>
        <w:jc w:val="left"/>
      </w:pPr>
      <w:r>
        <w:rPr/>
        <w:t>（二）公司设立情况</w:t>
      </w:r>
    </w:p>
    <w:p>
      <w:pPr>
        <w:pStyle w:val="BodyText"/>
        <w:spacing w:line="256" w:lineRule="auto" w:before="157"/>
        <w:ind w:right="146" w:firstLine="504"/>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月，根据</w:t>
      </w:r>
      <w:r>
        <w:rPr>
          <w:rFonts w:ascii="Times New Roman" w:hAnsi="Times New Roman" w:cs="Times New Roman" w:eastAsia="Times New Roman" w:hint="default"/>
          <w:spacing w:val="-2"/>
        </w:rPr>
        <w:t>2010</w:t>
      </w:r>
      <w:r>
        <w:rPr>
          <w:spacing w:val="-2"/>
        </w:rPr>
        <w:t>年度第三次临时股东大会决议和中国证券监督管理委员会《关于核准江苏双星</w:t>
      </w:r>
      <w:r>
        <w:rPr>
          <w:w w:val="100"/>
        </w:rPr>
        <w:t> </w:t>
      </w:r>
      <w:r>
        <w:rPr>
          <w:spacing w:val="-2"/>
        </w:rPr>
        <w:t>彩塑新材料股份有限公司首次公开发行股票的批复》（证监许可［</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713</w:t>
      </w:r>
      <w:r>
        <w:rPr>
          <w:spacing w:val="-2"/>
        </w:rPr>
        <w:t>号</w:t>
      </w:r>
      <w:r>
        <w:rPr>
          <w:rFonts w:ascii="Times New Roman" w:hAnsi="Times New Roman" w:cs="Times New Roman" w:eastAsia="Times New Roman" w:hint="default"/>
          <w:spacing w:val="-2"/>
        </w:rPr>
        <w:t>)</w:t>
      </w:r>
      <w:r>
        <w:rPr>
          <w:spacing w:val="-2"/>
        </w:rPr>
        <w:t>的核准，并经深圳证券交</w:t>
      </w:r>
      <w:r>
        <w:rPr>
          <w:spacing w:val="-13"/>
        </w:rPr>
        <w:t> </w:t>
      </w:r>
      <w:r>
        <w:rPr>
          <w:spacing w:val="-13"/>
        </w:rPr>
      </w:r>
      <w:r>
        <w:rPr>
          <w:spacing w:val="-3"/>
        </w:rPr>
        <w:t>易所同意，双星新材向社会公开发行人民币普通股股票</w:t>
      </w:r>
      <w:r>
        <w:rPr>
          <w:rFonts w:ascii="Times New Roman" w:hAnsi="Times New Roman" w:cs="Times New Roman" w:eastAsia="Times New Roman" w:hint="default"/>
          <w:spacing w:val="-3"/>
        </w:rPr>
        <w:t>5,200</w:t>
      </w:r>
      <w:r>
        <w:rPr>
          <w:spacing w:val="-3"/>
        </w:rPr>
        <w:t>万股，每股面值壹元（</w:t>
      </w:r>
      <w:r>
        <w:rPr>
          <w:rFonts w:ascii="Times New Roman" w:hAnsi="Times New Roman" w:cs="Times New Roman" w:eastAsia="Times New Roman" w:hint="default"/>
          <w:spacing w:val="-3"/>
        </w:rPr>
        <w:t>CNY </w:t>
      </w:r>
      <w:r>
        <w:rPr>
          <w:rFonts w:ascii="Times New Roman" w:hAnsi="Times New Roman" w:cs="Times New Roman" w:eastAsia="Times New Roman" w:hint="default"/>
          <w:spacing w:val="-5"/>
        </w:rPr>
        <w:t>1.00</w:t>
      </w:r>
      <w:r>
        <w:rPr>
          <w:spacing w:val="-5"/>
        </w:rPr>
        <w:t>），每股发行</w:t>
      </w:r>
      <w:r>
        <w:rPr>
          <w:spacing w:val="-86"/>
        </w:rPr>
        <w:t> </w:t>
      </w:r>
      <w:r>
        <w:rPr>
          <w:spacing w:val="-86"/>
        </w:rPr>
      </w:r>
      <w:r>
        <w:rPr>
          <w:spacing w:val="-10"/>
          <w:w w:val="100"/>
        </w:rPr>
        <w:t>价为人民币伍拾伍元（</w:t>
      </w:r>
      <w:r>
        <w:rPr>
          <w:rFonts w:ascii="Times New Roman" w:hAnsi="Times New Roman" w:cs="Times New Roman" w:eastAsia="Times New Roman" w:hint="default"/>
          <w:spacing w:val="-10"/>
          <w:w w:val="100"/>
        </w:rPr>
        <w:t>CNY</w:t>
      </w:r>
      <w:r>
        <w:rPr>
          <w:rFonts w:ascii="Times New Roman" w:hAnsi="Times New Roman" w:cs="Times New Roman" w:eastAsia="Times New Roman" w:hint="default"/>
          <w:w w:val="100"/>
        </w:rPr>
        <w:t> </w:t>
      </w:r>
      <w:r>
        <w:rPr>
          <w:rFonts w:ascii="Times New Roman" w:hAnsi="Times New Roman" w:cs="Times New Roman" w:eastAsia="Times New Roman" w:hint="default"/>
          <w:spacing w:val="-12"/>
          <w:w w:val="100"/>
        </w:rPr>
        <w:t>55.00</w:t>
      </w:r>
      <w:r>
        <w:rPr>
          <w:spacing w:val="-12"/>
          <w:w w:val="100"/>
        </w:rPr>
        <w:t>），可募集资金总额为人民币贰拾捌亿陆仟万元整（</w:t>
      </w:r>
      <w:r>
        <w:rPr>
          <w:rFonts w:ascii="Times New Roman" w:hAnsi="Times New Roman" w:cs="Times New Roman" w:eastAsia="Times New Roman" w:hint="default"/>
          <w:spacing w:val="-12"/>
          <w:w w:val="100"/>
        </w:rPr>
        <w:t>CNY</w:t>
      </w:r>
      <w:r>
        <w:rPr>
          <w:rFonts w:ascii="Times New Roman" w:hAnsi="Times New Roman" w:cs="Times New Roman" w:eastAsia="Times New Roman" w:hint="default"/>
          <w:spacing w:val="16"/>
          <w:w w:val="100"/>
        </w:rPr>
        <w:t> </w:t>
      </w:r>
      <w:r>
        <w:rPr>
          <w:rFonts w:ascii="Times New Roman" w:hAnsi="Times New Roman" w:cs="Times New Roman" w:eastAsia="Times New Roman" w:hint="default"/>
          <w:spacing w:val="-13"/>
          <w:w w:val="100"/>
        </w:rPr>
        <w:t>2,860,000,000.00</w:t>
      </w:r>
      <w:r>
        <w:rPr>
          <w:spacing w:val="-13"/>
          <w:w w:val="100"/>
        </w:rPr>
        <w:t>）。</w:t>
      </w:r>
      <w:r>
        <w:rPr>
          <w:w w:val="100"/>
        </w:rPr>
      </w:r>
    </w:p>
    <w:p>
      <w:pPr>
        <w:spacing w:after="0" w:line="256"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双星新材于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日取得宿迁市工商行政管理局核发的</w:t>
      </w:r>
      <w:r>
        <w:rPr>
          <w:rFonts w:ascii="Times New Roman" w:hAnsi="Times New Roman" w:cs="Times New Roman" w:eastAsia="Times New Roman" w:hint="default"/>
        </w:rPr>
        <w:t>321300000005816</w:t>
      </w:r>
      <w:r>
        <w:rPr/>
        <w:t>号《企业法人营业执照》。</w:t>
      </w:r>
    </w:p>
    <w:p>
      <w:pPr>
        <w:pStyle w:val="BodyText"/>
        <w:spacing w:line="240" w:lineRule="auto" w:before="141"/>
        <w:ind w:left="657"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日，根据</w:t>
      </w:r>
      <w:r>
        <w:rPr>
          <w:rFonts w:ascii="Times New Roman" w:hAnsi="Times New Roman" w:cs="Times New Roman" w:eastAsia="Times New Roman" w:hint="default"/>
        </w:rPr>
        <w:t>2011</w:t>
      </w:r>
      <w:r>
        <w:rPr/>
        <w:t>年度股东大会决议和修改后章程的规定，公司申请转增注册资本人民币</w:t>
      </w:r>
    </w:p>
    <w:p>
      <w:pPr>
        <w:pStyle w:val="BodyText"/>
        <w:spacing w:line="240" w:lineRule="auto" w:before="21"/>
        <w:ind w:right="0"/>
        <w:jc w:val="left"/>
      </w:pPr>
      <w:r>
        <w:rPr>
          <w:rFonts w:ascii="Times New Roman" w:hAnsi="Times New Roman" w:cs="Times New Roman" w:eastAsia="Times New Roman" w:hint="default"/>
        </w:rPr>
        <w:t>208,000,000</w:t>
      </w:r>
      <w:r>
        <w:rPr/>
        <w:t>元，公司以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日的总股本</w:t>
      </w:r>
      <w:r>
        <w:rPr>
          <w:rFonts w:ascii="Times New Roman" w:hAnsi="Times New Roman" w:cs="Times New Roman" w:eastAsia="Times New Roman" w:hint="default"/>
        </w:rPr>
        <w:t>208,000,000</w:t>
      </w:r>
      <w:r>
        <w:rPr/>
        <w:t>股为基数，以资本公积向全体股东每</w:t>
      </w:r>
      <w:r>
        <w:rPr>
          <w:rFonts w:ascii="Times New Roman" w:hAnsi="Times New Roman" w:cs="Times New Roman" w:eastAsia="Times New Roman" w:hint="default"/>
        </w:rPr>
        <w:t>10</w:t>
      </w:r>
      <w:r>
        <w:rPr/>
        <w:t>股转增</w:t>
      </w:r>
    </w:p>
    <w:p>
      <w:pPr>
        <w:pStyle w:val="BodyText"/>
        <w:spacing w:line="240" w:lineRule="auto" w:before="21"/>
        <w:ind w:right="0"/>
        <w:jc w:val="left"/>
        <w:rPr>
          <w:rFonts w:ascii="Times New Roman" w:hAnsi="Times New Roman" w:cs="Times New Roman" w:eastAsia="Times New Roman" w:hint="default"/>
        </w:rPr>
      </w:pP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208,000,000</w:t>
      </w:r>
      <w:r>
        <w:rPr/>
        <w:t>股。资本公积金转增股本实施后，公司股本总数为</w:t>
      </w:r>
      <w:r>
        <w:rPr>
          <w:rFonts w:ascii="Times New Roman" w:hAnsi="Times New Roman" w:cs="Times New Roman" w:eastAsia="Times New Roman" w:hint="default"/>
        </w:rPr>
        <w:t>416,000,000</w:t>
      </w:r>
      <w:r>
        <w:rPr/>
        <w:t>股，每股面值</w:t>
      </w:r>
      <w:r>
        <w:rPr>
          <w:rFonts w:ascii="Times New Roman" w:hAnsi="Times New Roman" w:cs="Times New Roman" w:eastAsia="Times New Roman" w:hint="default"/>
        </w:rPr>
        <w:t>1</w:t>
      </w:r>
    </w:p>
    <w:p>
      <w:pPr>
        <w:pStyle w:val="BodyText"/>
        <w:spacing w:line="240" w:lineRule="auto" w:before="21"/>
        <w:ind w:right="0"/>
        <w:jc w:val="left"/>
      </w:pPr>
      <w:r>
        <w:rPr/>
        <w:t>元，共计</w:t>
      </w:r>
      <w:r>
        <w:rPr>
          <w:rFonts w:ascii="Times New Roman" w:hAnsi="Times New Roman" w:cs="Times New Roman" w:eastAsia="Times New Roman" w:hint="default"/>
        </w:rPr>
        <w:t>416,000,000</w:t>
      </w:r>
      <w:r>
        <w:rPr/>
        <w:t>元。双星新材于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日取得宿迁市工商行政管理局核发的</w:t>
      </w:r>
      <w:r>
        <w:rPr>
          <w:rFonts w:ascii="Times New Roman" w:hAnsi="Times New Roman" w:cs="Times New Roman" w:eastAsia="Times New Roman" w:hint="default"/>
        </w:rPr>
        <w:t>321300000005816</w:t>
      </w:r>
      <w:r>
        <w:rPr/>
        <w:t>号</w:t>
      </w:r>
    </w:p>
    <w:p>
      <w:pPr>
        <w:pStyle w:val="BodyText"/>
        <w:spacing w:line="240" w:lineRule="auto" w:before="21"/>
        <w:ind w:right="0"/>
        <w:jc w:val="left"/>
      </w:pPr>
      <w:r>
        <w:rPr/>
        <w:t>《企业法人营业执照》。</w:t>
      </w:r>
    </w:p>
    <w:p>
      <w:pPr>
        <w:pStyle w:val="BodyText"/>
        <w:spacing w:line="256" w:lineRule="auto" w:before="157"/>
        <w:ind w:right="0" w:firstLine="420"/>
        <w:jc w:val="left"/>
      </w:pPr>
      <w:r>
        <w:rPr>
          <w:spacing w:val="-2"/>
        </w:rPr>
        <w:t>根据公司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w:t>
      </w:r>
      <w:r>
        <w:rPr>
          <w:rFonts w:ascii="Times New Roman" w:hAnsi="Times New Roman" w:cs="Times New Roman" w:eastAsia="Times New Roman" w:hint="default"/>
          <w:spacing w:val="-2"/>
        </w:rPr>
        <w:t>2013</w:t>
      </w:r>
      <w:r>
        <w:rPr>
          <w:spacing w:val="-2"/>
        </w:rPr>
        <w:t>年度第二次临时股东大会决议和中国证券监督管理委员会核准（证监许</w:t>
      </w:r>
      <w:r>
        <w:rPr>
          <w:w w:val="100"/>
        </w:rPr>
        <w:t> </w:t>
      </w:r>
      <w:r>
        <w:rPr/>
        <w:t>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612</w:t>
      </w:r>
      <w:r>
        <w:rPr/>
        <w:t>号），同意公司非公开发行人民币普通股，增加注册资本人民币</w:t>
      </w:r>
      <w:r>
        <w:rPr>
          <w:rFonts w:ascii="Times New Roman" w:hAnsi="Times New Roman" w:cs="Times New Roman" w:eastAsia="Times New Roman" w:hint="default"/>
        </w:rPr>
        <w:t>135,790,494.00</w:t>
      </w:r>
      <w:r>
        <w:rPr/>
        <w:t>元，变更后</w:t>
      </w:r>
      <w:r>
        <w:rPr>
          <w:w w:val="100"/>
        </w:rPr>
        <w:t> </w:t>
      </w:r>
      <w:r>
        <w:rPr>
          <w:spacing w:val="-4"/>
        </w:rPr>
        <w:t>的注册资本为人民币</w:t>
      </w:r>
      <w:r>
        <w:rPr>
          <w:rFonts w:ascii="Times New Roman" w:hAnsi="Times New Roman" w:cs="Times New Roman" w:eastAsia="Times New Roman" w:hint="default"/>
          <w:spacing w:val="-4"/>
        </w:rPr>
        <w:t>551,790,494</w:t>
      </w:r>
      <w:r>
        <w:rPr>
          <w:spacing w:val="-4"/>
        </w:rPr>
        <w:t>元。此次非公开发行股票募集资金净额为人民币</w:t>
      </w:r>
      <w:r>
        <w:rPr>
          <w:rFonts w:ascii="Times New Roman" w:hAnsi="Times New Roman" w:cs="Times New Roman" w:eastAsia="Times New Roman" w:hint="default"/>
          <w:spacing w:val="-4"/>
        </w:rPr>
        <w:t>1,367,939,377.08</w:t>
      </w:r>
      <w:r>
        <w:rPr>
          <w:spacing w:val="-4"/>
        </w:rPr>
        <w:t>元，其中：</w:t>
      </w:r>
      <w:r>
        <w:rPr>
          <w:spacing w:val="5"/>
        </w:rPr>
        <w:t> </w:t>
      </w:r>
      <w:r>
        <w:rPr>
          <w:spacing w:val="5"/>
        </w:rPr>
      </w:r>
      <w:r>
        <w:rPr>
          <w:spacing w:val="-3"/>
        </w:rPr>
        <w:t>新增股本人民币</w:t>
      </w:r>
      <w:r>
        <w:rPr>
          <w:rFonts w:ascii="Times New Roman" w:hAnsi="Times New Roman" w:cs="Times New Roman" w:eastAsia="Times New Roman" w:hint="default"/>
          <w:spacing w:val="-3"/>
        </w:rPr>
        <w:t>135,790,494.00</w:t>
      </w:r>
      <w:r>
        <w:rPr>
          <w:spacing w:val="-3"/>
        </w:rPr>
        <w:t>元；出资额溢价部分为人民币</w:t>
      </w:r>
      <w:r>
        <w:rPr>
          <w:rFonts w:ascii="Times New Roman" w:hAnsi="Times New Roman" w:cs="Times New Roman" w:eastAsia="Times New Roman" w:hint="default"/>
          <w:spacing w:val="-3"/>
        </w:rPr>
        <w:t>1,232,148,883.08</w:t>
      </w:r>
      <w:r>
        <w:rPr>
          <w:spacing w:val="-3"/>
        </w:rPr>
        <w:t>元，全部计入资本公积。此次</w:t>
      </w:r>
      <w:r>
        <w:rPr>
          <w:spacing w:val="-5"/>
        </w:rPr>
        <w:t> </w:t>
      </w:r>
      <w:r>
        <w:rPr>
          <w:spacing w:val="-5"/>
        </w:rPr>
      </w:r>
      <w:r>
        <w:rPr/>
        <w:t>发行新股业经众华会计师事务所（特殊普通合伙）出具的众会验字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4614</w:t>
      </w:r>
      <w:r>
        <w:rPr/>
        <w:t>号《验资报告》验证。双</w:t>
      </w:r>
      <w:r>
        <w:rPr>
          <w:w w:val="100"/>
        </w:rPr>
        <w:t> </w:t>
      </w:r>
      <w:r>
        <w:rPr>
          <w:spacing w:val="-4"/>
        </w:rPr>
        <w:t>星新材于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8</w:t>
      </w:r>
      <w:r>
        <w:rPr>
          <w:spacing w:val="-4"/>
        </w:rPr>
        <w:t>日取得江苏省宿迁工商行政管理局核发的</w:t>
      </w:r>
      <w:r>
        <w:rPr>
          <w:rFonts w:ascii="Times New Roman" w:hAnsi="Times New Roman" w:cs="Times New Roman" w:eastAsia="Times New Roman" w:hint="default"/>
          <w:spacing w:val="-4"/>
        </w:rPr>
        <w:t>321300000005816</w:t>
      </w:r>
      <w:r>
        <w:rPr>
          <w:spacing w:val="-4"/>
        </w:rPr>
        <w:t>号《企业法人营业执照》。</w:t>
      </w:r>
    </w:p>
    <w:p>
      <w:pPr>
        <w:pStyle w:val="BodyText"/>
        <w:spacing w:line="432" w:lineRule="exact" w:before="25"/>
        <w:ind w:left="657" w:right="0" w:hanging="505"/>
        <w:jc w:val="left"/>
      </w:pPr>
      <w:r>
        <w:rPr/>
        <w:t>（三）公司的业务性质和主要经营活动</w:t>
      </w:r>
      <w:r>
        <w:rPr>
          <w:w w:val="100"/>
        </w:rPr>
        <w:t> </w:t>
      </w:r>
      <w:r>
        <w:rPr>
          <w:spacing w:val="-2"/>
        </w:rPr>
        <w:t>业务性质：本公司从事新型塑料包装薄膜以及光学膜的研发、生产和销售，主要产品为聚酯薄膜等</w:t>
      </w:r>
    </w:p>
    <w:p>
      <w:pPr>
        <w:pStyle w:val="BodyText"/>
        <w:spacing w:line="255" w:lineRule="exact"/>
        <w:ind w:right="0"/>
        <w:jc w:val="left"/>
      </w:pPr>
      <w:r>
        <w:rPr/>
        <w:t>新型塑料薄膜。</w:t>
      </w:r>
    </w:p>
    <w:p>
      <w:pPr>
        <w:pStyle w:val="BodyText"/>
        <w:spacing w:line="266" w:lineRule="auto" w:before="157"/>
        <w:ind w:right="0" w:firstLine="420"/>
        <w:jc w:val="left"/>
      </w:pPr>
      <w:r>
        <w:rPr>
          <w:spacing w:val="-5"/>
        </w:rPr>
        <w:t>本公司经营范围：光电新材料、光学膜、太阳能电池背材膜、聚酯电容膜、聚酯工业基材生产、销售；</w:t>
      </w:r>
      <w:r>
        <w:rPr>
          <w:w w:val="100"/>
        </w:rPr>
        <w:t> </w:t>
      </w:r>
      <w:r>
        <w:rPr>
          <w:spacing w:val="-2"/>
        </w:rPr>
        <w:t>高分子复合材料技术研发；包装材料生产；化工材料（除危险化学品）销售；包装装潢印刷品印刷、其他</w:t>
      </w:r>
      <w:r>
        <w:rPr>
          <w:spacing w:val="-42"/>
        </w:rPr>
        <w:t> </w:t>
      </w:r>
      <w:r>
        <w:rPr>
          <w:spacing w:val="-42"/>
        </w:rPr>
      </w:r>
      <w:r>
        <w:rPr/>
        <w:t>印刷品印刷（印刷经营许可证有效期至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日）；经营本企业自产产品及技术的出口业务；经营</w:t>
      </w:r>
      <w:r>
        <w:rPr>
          <w:w w:val="100"/>
        </w:rPr>
        <w:t> </w:t>
      </w:r>
      <w:r>
        <w:rPr>
          <w:spacing w:val="-2"/>
        </w:rPr>
        <w:t>本企业生产、科研所需的原辅材料、仪器仪表、机械设备、零配件及技术的进口业务（国家限定公司经营</w:t>
      </w:r>
      <w:r>
        <w:rPr>
          <w:spacing w:val="-43"/>
        </w:rPr>
        <w:t> </w:t>
      </w:r>
      <w:r>
        <w:rPr>
          <w:spacing w:val="-43"/>
        </w:rPr>
      </w:r>
      <w:r>
        <w:rPr/>
        <w:t>和国家禁止进出口的商品及技术除外）；经营进料加工和</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业务。（依法须经批准的项目，经相</w:t>
      </w:r>
      <w:r>
        <w:rPr>
          <w:w w:val="100"/>
        </w:rPr>
        <w:t> </w:t>
      </w:r>
      <w:r>
        <w:rPr/>
        <w:t>关部门批准后方可开展经营活动）</w:t>
      </w:r>
    </w:p>
    <w:p>
      <w:pPr>
        <w:pStyle w:val="BodyText"/>
        <w:spacing w:line="357" w:lineRule="auto" w:before="134"/>
        <w:ind w:left="573" w:right="0"/>
        <w:jc w:val="left"/>
      </w:pPr>
      <w:r>
        <w:rPr>
          <w:spacing w:val="-2"/>
        </w:rPr>
        <w:t>本公司主要产品包括聚酯薄膜、真空镀铝膜、</w:t>
      </w:r>
      <w:r>
        <w:rPr>
          <w:rFonts w:ascii="Times New Roman" w:hAnsi="Times New Roman" w:cs="Times New Roman" w:eastAsia="Times New Roman" w:hint="default"/>
          <w:spacing w:val="-2"/>
        </w:rPr>
        <w:t>PVC</w:t>
      </w:r>
      <w:r>
        <w:rPr>
          <w:spacing w:val="-2"/>
        </w:rPr>
        <w:t>功能薄膜、光学膜等。</w:t>
      </w:r>
      <w:r>
        <w:rPr>
          <w:spacing w:val="-44"/>
        </w:rPr>
        <w:t> </w:t>
      </w:r>
      <w:r>
        <w:rPr>
          <w:spacing w:val="-44"/>
        </w:rPr>
      </w:r>
      <w:r>
        <w:rPr/>
        <w:t>本财务报告的批准报出日：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w:t>
      </w:r>
    </w:p>
    <w:p>
      <w:pPr>
        <w:spacing w:before="48"/>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0"/>
        <w:jc w:val="left"/>
      </w:pPr>
      <w:r>
        <w:rPr>
          <w:spacing w:val="-2"/>
        </w:rPr>
        <w:t>本公司以持续经营为基础，根据实际发生的交易和事项，按照《企业会计准则</w:t>
      </w:r>
      <w:r>
        <w:rPr>
          <w:rFonts w:ascii="Times New Roman" w:hAnsi="Times New Roman" w:cs="Times New Roman" w:eastAsia="Times New Roman" w:hint="default"/>
          <w:spacing w:val="-2"/>
        </w:rPr>
        <w:t>—</w:t>
      </w:r>
      <w:r>
        <w:rPr>
          <w:spacing w:val="-2"/>
        </w:rPr>
        <w:t>基本准则》和其他各项会</w:t>
      </w:r>
      <w:r>
        <w:rPr>
          <w:spacing w:val="-47"/>
        </w:rPr>
        <w:t> </w:t>
      </w:r>
      <w:r>
        <w:rPr>
          <w:spacing w:val="-47"/>
        </w:rPr>
      </w:r>
      <w:r>
        <w:rPr/>
        <w:t>计准则的规定进行确认和计量，在此基础上编制财务报表。</w:t>
      </w:r>
    </w:p>
    <w:p>
      <w:pPr>
        <w:pStyle w:val="BodyText"/>
        <w:spacing w:line="256" w:lineRule="auto" w:before="22"/>
        <w:ind w:right="210" w:firstLine="336"/>
        <w:jc w:val="both"/>
      </w:pPr>
      <w:r>
        <w:rPr>
          <w:spacing w:val="-6"/>
        </w:rPr>
        <w:t>根据财政部《关于印发修订</w:t>
      </w:r>
      <w:r>
        <w:rPr>
          <w:rFonts w:ascii="Times New Roman" w:hAnsi="Times New Roman" w:cs="Times New Roman" w:eastAsia="Times New Roman" w:hint="default"/>
          <w:spacing w:val="-6"/>
        </w:rPr>
        <w:t>&lt;</w:t>
      </w:r>
      <w:r>
        <w:rPr>
          <w:spacing w:val="-6"/>
        </w:rPr>
        <w:t>企业会计准则第</w:t>
      </w:r>
      <w:r>
        <w:rPr>
          <w:rFonts w:ascii="Times New Roman" w:hAnsi="Times New Roman" w:cs="Times New Roman" w:eastAsia="Times New Roman" w:hint="default"/>
          <w:spacing w:val="-6"/>
        </w:rPr>
        <w:t>2</w:t>
      </w:r>
      <w:r>
        <w:rPr>
          <w:spacing w:val="-6"/>
        </w:rPr>
        <w:t>号</w:t>
      </w:r>
      <w:r>
        <w:rPr>
          <w:rFonts w:ascii="Times New Roman" w:hAnsi="Times New Roman" w:cs="Times New Roman" w:eastAsia="Times New Roman" w:hint="default"/>
          <w:spacing w:val="-6"/>
        </w:rPr>
        <w:t>——</w:t>
      </w:r>
      <w:r>
        <w:rPr>
          <w:spacing w:val="-6"/>
        </w:rPr>
        <w:t>长期股权投资</w:t>
      </w:r>
      <w:r>
        <w:rPr>
          <w:rFonts w:ascii="Times New Roman" w:hAnsi="Times New Roman" w:cs="Times New Roman" w:eastAsia="Times New Roman" w:hint="default"/>
          <w:spacing w:val="-6"/>
        </w:rPr>
        <w:t>&gt;</w:t>
      </w:r>
      <w:r>
        <w:rPr>
          <w:spacing w:val="-6"/>
        </w:rPr>
        <w:t>的通知》等</w:t>
      </w:r>
      <w:r>
        <w:rPr>
          <w:rFonts w:ascii="Times New Roman" w:hAnsi="Times New Roman" w:cs="Times New Roman" w:eastAsia="Times New Roman" w:hint="default"/>
          <w:spacing w:val="-6"/>
        </w:rPr>
        <w:t>7</w:t>
      </w:r>
      <w:r>
        <w:rPr>
          <w:spacing w:val="-6"/>
        </w:rPr>
        <w:t>项通知（财会</w:t>
      </w:r>
      <w:r>
        <w:rPr>
          <w:rFonts w:ascii="Times New Roman" w:hAnsi="Times New Roman" w:cs="Times New Roman" w:eastAsia="Times New Roman" w:hint="default"/>
          <w:spacing w:val="-6"/>
        </w:rPr>
        <w:t>[2014]6~8</w:t>
      </w:r>
      <w:r>
        <w:rPr>
          <w:rFonts w:ascii="Times New Roman" w:hAnsi="Times New Roman" w:cs="Times New Roman" w:eastAsia="Times New Roman" w:hint="default"/>
          <w:w w:val="100"/>
        </w:rPr>
        <w:t> </w:t>
      </w:r>
      <w:r>
        <w:rPr>
          <w:spacing w:val="-2"/>
        </w:rPr>
        <w:t>号、</w:t>
      </w:r>
      <w:r>
        <w:rPr>
          <w:rFonts w:ascii="Times New Roman" w:hAnsi="Times New Roman" w:cs="Times New Roman" w:eastAsia="Times New Roman" w:hint="default"/>
          <w:spacing w:val="-2"/>
        </w:rPr>
        <w:t>10~11</w:t>
      </w:r>
      <w:r>
        <w:rPr>
          <w:spacing w:val="-2"/>
        </w:rPr>
        <w:t>号、</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16</w:t>
      </w:r>
      <w:r>
        <w:rPr>
          <w:spacing w:val="-2"/>
        </w:rPr>
        <w:t>号）等规定，本公司自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日起执行财政部</w:t>
      </w:r>
      <w:r>
        <w:rPr>
          <w:rFonts w:ascii="Times New Roman" w:hAnsi="Times New Roman" w:cs="Times New Roman" w:eastAsia="Times New Roman" w:hint="default"/>
          <w:spacing w:val="-2"/>
        </w:rPr>
        <w:t>2014</w:t>
      </w:r>
      <w:r>
        <w:rPr>
          <w:spacing w:val="-2"/>
        </w:rPr>
        <w:t>年发布的前述</w:t>
      </w:r>
      <w:r>
        <w:rPr>
          <w:rFonts w:ascii="Times New Roman" w:hAnsi="Times New Roman" w:cs="Times New Roman" w:eastAsia="Times New Roman" w:hint="default"/>
          <w:spacing w:val="-2"/>
        </w:rPr>
        <w:t>7</w:t>
      </w:r>
      <w:r>
        <w:rPr>
          <w:spacing w:val="-2"/>
        </w:rPr>
        <w:t>项企业会计</w:t>
      </w:r>
      <w:r>
        <w:rPr>
          <w:spacing w:val="-42"/>
        </w:rPr>
        <w:t> </w:t>
      </w:r>
      <w:r>
        <w:rPr>
          <w:spacing w:val="-42"/>
        </w:rPr>
      </w:r>
      <w:r>
        <w:rPr/>
        <w:t>准则。</w:t>
      </w:r>
    </w:p>
    <w:p>
      <w:pPr>
        <w:pStyle w:val="BodyText"/>
        <w:spacing w:line="256" w:lineRule="auto" w:before="63"/>
        <w:ind w:right="0" w:firstLine="336"/>
        <w:jc w:val="left"/>
      </w:pPr>
      <w:r>
        <w:rPr>
          <w:spacing w:val="-1"/>
        </w:rPr>
        <w:t>根据财政部《中华人民共和国财政部令第</w:t>
      </w:r>
      <w:r>
        <w:rPr>
          <w:rFonts w:ascii="Times New Roman" w:hAnsi="Times New Roman" w:cs="Times New Roman" w:eastAsia="Times New Roman" w:hint="default"/>
          <w:spacing w:val="-1"/>
        </w:rPr>
        <w:t>76</w:t>
      </w:r>
      <w:r>
        <w:rPr>
          <w:spacing w:val="-1"/>
        </w:rPr>
        <w:t>号</w:t>
      </w:r>
      <w:r>
        <w:rPr>
          <w:rFonts w:ascii="Times New Roman" w:hAnsi="Times New Roman" w:cs="Times New Roman" w:eastAsia="Times New Roman" w:hint="default"/>
          <w:spacing w:val="-1"/>
        </w:rPr>
        <w:t>——</w:t>
      </w:r>
      <w:r>
        <w:rPr>
          <w:spacing w:val="-1"/>
        </w:rPr>
        <w:t>财政部关于修改</w:t>
      </w:r>
      <w:r>
        <w:rPr>
          <w:rFonts w:ascii="Times New Roman" w:hAnsi="Times New Roman" w:cs="Times New Roman" w:eastAsia="Times New Roman" w:hint="default"/>
          <w:spacing w:val="-1"/>
        </w:rPr>
        <w:t>&lt;</w:t>
      </w:r>
      <w:r>
        <w:rPr>
          <w:spacing w:val="-1"/>
        </w:rPr>
        <w:t>企业会计准则</w:t>
      </w:r>
      <w:r>
        <w:rPr>
          <w:rFonts w:ascii="Times New Roman" w:hAnsi="Times New Roman" w:cs="Times New Roman" w:eastAsia="Times New Roman" w:hint="default"/>
          <w:spacing w:val="-1"/>
        </w:rPr>
        <w:t>——</w:t>
      </w:r>
      <w:r>
        <w:rPr>
          <w:spacing w:val="-1"/>
        </w:rPr>
        <w:t>基本准则</w:t>
      </w:r>
      <w:r>
        <w:rPr>
          <w:rFonts w:ascii="Times New Roman" w:hAnsi="Times New Roman" w:cs="Times New Roman" w:eastAsia="Times New Roman" w:hint="default"/>
          <w:spacing w:val="-1"/>
        </w:rPr>
        <w:t>&gt;</w:t>
      </w:r>
      <w:r>
        <w:rPr>
          <w:spacing w:val="-1"/>
        </w:rPr>
        <w:t>的决</w:t>
      </w:r>
      <w:r>
        <w:rPr>
          <w:spacing w:val="-3"/>
          <w:w w:val="100"/>
        </w:rPr>
        <w:t> </w:t>
      </w:r>
      <w:r>
        <w:rPr/>
        <w:t>定》，本公司自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日起执行该决定。</w:t>
      </w:r>
    </w:p>
    <w:p>
      <w:pPr>
        <w:pStyle w:val="BodyText"/>
        <w:spacing w:line="256" w:lineRule="auto" w:before="43"/>
        <w:ind w:right="0"/>
        <w:jc w:val="left"/>
      </w:pPr>
      <w:r>
        <w:rPr/>
        <w:t>根据财政部《关于印发修订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[2014]23</w:t>
      </w:r>
      <w:r>
        <w:rPr/>
        <w:t>号的规定，本</w:t>
      </w:r>
      <w:r>
        <w:rPr>
          <w:spacing w:val="-22"/>
        </w:rPr>
        <w:t> </w:t>
      </w:r>
      <w:r>
        <w:rPr>
          <w:spacing w:val="-22"/>
        </w:rPr>
      </w:r>
      <w:r>
        <w:rPr/>
        <w:t>公司自</w:t>
      </w:r>
      <w:r>
        <w:rPr>
          <w:rFonts w:ascii="Times New Roman" w:hAnsi="Times New Roman" w:cs="Times New Roman" w:eastAsia="Times New Roman" w:hint="default"/>
        </w:rPr>
        <w:t>2014</w:t>
      </w:r>
      <w:r>
        <w:rPr/>
        <w:t>年度起执行该规定。</w:t>
      </w:r>
    </w:p>
    <w:p>
      <w:pPr>
        <w:spacing w:after="0" w:line="256"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0"/>
        <w:jc w:val="left"/>
      </w:pPr>
      <w:r>
        <w:rPr>
          <w:spacing w:val="-2"/>
        </w:rPr>
        <w:t>经本公司评估，自本报告期末起的</w:t>
      </w:r>
      <w:r>
        <w:rPr>
          <w:rFonts w:ascii="Times New Roman" w:hAnsi="Times New Roman" w:cs="Times New Roman" w:eastAsia="Times New Roman" w:hint="default"/>
          <w:spacing w:val="-2"/>
        </w:rPr>
        <w:t>12</w:t>
      </w:r>
      <w:r>
        <w:rPr>
          <w:spacing w:val="-2"/>
        </w:rPr>
        <w:t>个月内，本公司持续经营能力良好，不存在导致对本公司持续经营能</w:t>
      </w:r>
      <w:r>
        <w:rPr>
          <w:spacing w:val="-42"/>
        </w:rPr>
        <w:t> </w:t>
      </w:r>
      <w:r>
        <w:rPr>
          <w:spacing w:val="-42"/>
        </w:rPr>
      </w:r>
      <w:r>
        <w:rPr/>
        <w:t>力产生重大怀疑的因素。</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w:t>
      </w:r>
      <w:r>
        <w:rPr>
          <w:rFonts w:ascii="宋体" w:hAnsi="宋体" w:cs="宋体" w:eastAsia="宋体" w:hint="default"/>
          <w:spacing w:val="-2"/>
          <w:sz w:val="18"/>
          <w:szCs w:val="18"/>
        </w:rPr>
        <w:t>本公司的主要产品为聚酯薄膜，根据实际生产经营特点，依据相关企业会计准则的规定，对收入确认等交易和事项制定了若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干具体会计政策和会计估计，详见附注各项描述。关于管理层所作出的重大会计判断和估计的说明，请参阅附注。</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0"/>
        <w:jc w:val="left"/>
      </w:pPr>
      <w:r>
        <w:rPr>
          <w:spacing w:val="-2"/>
        </w:rPr>
        <w:t>本公司所编制的财务报表符合企业会计准则的要求，真实、完整地反映了本公司的财务状况、经营成果、</w:t>
      </w:r>
      <w:r>
        <w:rPr>
          <w:spacing w:val="-21"/>
        </w:rPr>
        <w:t> </w:t>
      </w:r>
      <w:r>
        <w:rPr>
          <w:spacing w:val="-21"/>
        </w:rPr>
      </w:r>
      <w:r>
        <w:rPr/>
        <w:t>所有者权益变动和现金流量等有关信息。</w:t>
      </w:r>
    </w:p>
    <w:p>
      <w:pPr>
        <w:spacing w:line="240" w:lineRule="auto" w:before="7"/>
        <w:rPr>
          <w:rFonts w:ascii="宋体" w:hAnsi="宋体" w:cs="宋体" w:eastAsia="宋体" w:hint="default"/>
          <w:sz w:val="23"/>
          <w:szCs w:val="23"/>
        </w:rPr>
      </w:pPr>
    </w:p>
    <w:p>
      <w:pPr>
        <w:spacing w:line="506" w:lineRule="auto" w:before="0"/>
        <w:ind w:left="152" w:right="47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会计期间为自公历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日起至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06" w:lineRule="auto" w:before="63"/>
        <w:ind w:left="152" w:right="6614" w:firstLine="0"/>
        <w:jc w:val="left"/>
        <w:rPr>
          <w:rFonts w:ascii="宋体" w:hAnsi="宋体" w:cs="宋体" w:eastAsia="宋体" w:hint="default"/>
          <w:sz w:val="21"/>
          <w:szCs w:val="21"/>
        </w:rPr>
      </w:pPr>
      <w:r>
        <w:rPr>
          <w:rFonts w:ascii="宋体" w:hAnsi="宋体" w:cs="宋体" w:eastAsia="宋体" w:hint="default"/>
          <w:sz w:val="21"/>
          <w:szCs w:val="21"/>
        </w:rPr>
        <w:t>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记账本位币为人民币。</w:t>
      </w:r>
    </w:p>
    <w:p>
      <w:pPr>
        <w:pStyle w:val="Heading4"/>
        <w:spacing w:line="240" w:lineRule="auto" w:before="104"/>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1" w:lineRule="auto"/>
        <w:ind w:right="0"/>
        <w:jc w:val="left"/>
      </w:pPr>
      <w:r>
        <w:rPr>
          <w:rFonts w:ascii="Times New Roman" w:hAnsi="Times New Roman" w:cs="Times New Roman" w:eastAsia="Times New Roman" w:hint="default"/>
        </w:rPr>
        <w:t>5.1</w:t>
      </w:r>
      <w:r>
        <w:rPr>
          <w:rFonts w:ascii="Times New Roman" w:hAnsi="Times New Roman" w:cs="Times New Roman" w:eastAsia="Times New Roman" w:hint="default"/>
          <w:spacing w:val="31"/>
        </w:rPr>
        <w:t> </w:t>
      </w:r>
      <w:r>
        <w:rPr/>
        <w:t>同一控制下的企业合并</w:t>
      </w:r>
      <w:r>
        <w:rPr>
          <w:w w:val="100"/>
        </w:rPr>
        <w:t> </w:t>
      </w:r>
      <w:r>
        <w:rPr>
          <w:spacing w:val="-2"/>
        </w:rPr>
        <w:t>参与合并的企业在合并前后均受同一方或相同的多方最终控制且该控制并非暂时性的，认定为同一控制下</w:t>
      </w:r>
      <w:r>
        <w:rPr>
          <w:spacing w:val="-43"/>
        </w:rPr>
        <w:t> </w:t>
      </w:r>
      <w:r>
        <w:rPr>
          <w:spacing w:val="-43"/>
        </w:rPr>
      </w:r>
      <w:r>
        <w:rPr/>
        <w:t>的企业合并。</w:t>
      </w:r>
      <w:r>
        <w:rPr>
          <w:w w:val="100"/>
        </w:rPr>
        <w:t> </w:t>
      </w:r>
      <w:r>
        <w:rPr>
          <w:spacing w:val="-2"/>
        </w:rPr>
        <w:t>合并方以支付现金、转让非现金资产或承担债务方式作为合并对价的，在合并日按照被合并方所有者权益</w:t>
      </w:r>
      <w:r>
        <w:rPr>
          <w:spacing w:val="-42"/>
        </w:rPr>
        <w:t> </w:t>
      </w:r>
      <w:r>
        <w:rPr>
          <w:spacing w:val="-42"/>
        </w:rPr>
      </w:r>
      <w:r>
        <w:rPr>
          <w:spacing w:val="-2"/>
        </w:rPr>
        <w:t>在最终控制方合并财务报表中的账面价值的份额作为长期股权投资的初始投资成本。长期股权投资初始投</w:t>
      </w:r>
      <w:r>
        <w:rPr>
          <w:spacing w:val="-43"/>
        </w:rPr>
        <w:t> </w:t>
      </w:r>
      <w:r>
        <w:rPr>
          <w:spacing w:val="-43"/>
        </w:rPr>
      </w:r>
      <w:r>
        <w:rPr>
          <w:spacing w:val="-2"/>
        </w:rPr>
        <w:t>资成本与支付的现金、转让的非现金资产以及所承担债务账面价值之间的差额，调整资本公积；资本公积</w:t>
      </w:r>
      <w:r>
        <w:rPr>
          <w:spacing w:val="-44"/>
        </w:rPr>
        <w:t> </w:t>
      </w:r>
      <w:r>
        <w:rPr>
          <w:spacing w:val="-44"/>
        </w:rPr>
      </w:r>
      <w:r>
        <w:rPr/>
        <w:t>不足冲减的，调整留存收益。</w:t>
      </w:r>
      <w:r>
        <w:rPr>
          <w:w w:val="100"/>
        </w:rPr>
        <w:t> </w:t>
      </w:r>
      <w:r>
        <w:rPr>
          <w:spacing w:val="-2"/>
        </w:rPr>
        <w:t>合并方以发行权益性证券作为合并对价的，在合并日按照被合并方所有者权益在最终控制方合并财务报表</w:t>
      </w:r>
      <w:r>
        <w:rPr>
          <w:spacing w:val="-43"/>
        </w:rPr>
        <w:t> </w:t>
      </w:r>
      <w:r>
        <w:rPr>
          <w:spacing w:val="-43"/>
        </w:rPr>
      </w:r>
      <w:r>
        <w:rPr>
          <w:spacing w:val="-2"/>
        </w:rPr>
        <w:t>中的账面价值的份额作为长期股权投资的初始投资成本。按照发行股份的面值总额作为股本，长期股权投</w:t>
      </w:r>
      <w:r>
        <w:rPr>
          <w:spacing w:val="-43"/>
        </w:rPr>
        <w:t> </w:t>
      </w:r>
      <w:r>
        <w:rPr>
          <w:spacing w:val="-43"/>
        </w:rPr>
      </w:r>
      <w:r>
        <w:rPr>
          <w:spacing w:val="-5"/>
        </w:rPr>
        <w:t>资初始投资成本与所发行股份面值总额之间的差额，调整资本公积；资本公积不足冲减的，调整留存收益。</w:t>
      </w:r>
      <w:r>
        <w:rPr>
          <w:spacing w:val="-8"/>
        </w:rPr>
        <w:t> </w:t>
      </w:r>
      <w:r>
        <w:rPr>
          <w:spacing w:val="-8"/>
        </w:rPr>
      </w:r>
      <w:r>
        <w:rPr>
          <w:spacing w:val="-2"/>
        </w:rPr>
        <w:t>合并方为企业合并发生的审计、法律服务、评估咨询等中介费用以及其他相关管理费用，于发生时计入当</w:t>
      </w:r>
      <w:r>
        <w:rPr>
          <w:spacing w:val="-43"/>
        </w:rPr>
        <w:t> </w:t>
      </w:r>
      <w:r>
        <w:rPr>
          <w:spacing w:val="-43"/>
        </w:rPr>
      </w:r>
      <w:r>
        <w:rPr/>
        <w:t>期损益。</w:t>
      </w:r>
    </w:p>
    <w:p>
      <w:pPr>
        <w:pStyle w:val="BodyText"/>
        <w:spacing w:line="264" w:lineRule="auto" w:before="10"/>
        <w:ind w:right="0"/>
        <w:jc w:val="left"/>
      </w:pPr>
      <w:r>
        <w:rPr>
          <w:rFonts w:ascii="Times New Roman" w:hAnsi="Times New Roman" w:cs="Times New Roman" w:eastAsia="Times New Roman" w:hint="default"/>
        </w:rPr>
        <w:t>5.2</w:t>
      </w:r>
      <w:r>
        <w:rPr>
          <w:rFonts w:ascii="Times New Roman" w:hAnsi="Times New Roman" w:cs="Times New Roman" w:eastAsia="Times New Roman" w:hint="default"/>
          <w:spacing w:val="31"/>
        </w:rPr>
        <w:t> </w:t>
      </w:r>
      <w:r>
        <w:rPr/>
        <w:t>非同一控制下的企业合并</w:t>
      </w:r>
      <w:r>
        <w:rPr>
          <w:w w:val="100"/>
        </w:rPr>
        <w:t> </w:t>
      </w:r>
      <w:r>
        <w:rPr/>
        <w:t>参与合并的各方在合并前后不受同一方或相同的多方最终控制的，认定为非同一控制下的企业合并。</w:t>
      </w:r>
      <w:r>
        <w:rPr>
          <w:w w:val="100"/>
        </w:rPr>
        <w:t> </w:t>
      </w:r>
      <w:r>
        <w:rPr>
          <w:spacing w:val="-2"/>
        </w:rPr>
        <w:t>购买方通过一次交换交易实现的企业合并，合并成本为购买方在购买日为取得对被购买方的控制权而付出</w:t>
      </w:r>
    </w:p>
    <w:p>
      <w:pPr>
        <w:spacing w:after="0" w:line="264"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r>
        <w:rPr>
          <w:spacing w:val="-5"/>
        </w:rPr>
        <w:t>的资产、发生或承担的负债以及发行的权益性证券的公允价值。购买方为企业合并发生的审计、法律服务、 </w:t>
      </w:r>
      <w:r>
        <w:rPr/>
        <w:t>评估咨询等中介费用以及其他相关管理费用，于发生时计入当期损益；购买方作为合并对价发行的权益性</w:t>
      </w:r>
      <w:r>
        <w:rPr>
          <w:w w:val="100"/>
        </w:rPr>
        <w:t> </w:t>
      </w:r>
      <w:r>
        <w:rPr/>
        <w:t>证券或债务性证券的交易费用，计入权益性证券或债务性证券的初始确认金额。</w:t>
      </w:r>
      <w:r>
        <w:rPr>
          <w:w w:val="100"/>
        </w:rPr>
        <w:t> </w:t>
      </w:r>
      <w:r>
        <w:rPr>
          <w:spacing w:val="-2"/>
        </w:rPr>
        <w:t>购买方的合并成本和购买方在合并中取得的可辨认净资产按购买日的公允价值计量。合并成本大于合并中</w:t>
      </w:r>
      <w:r>
        <w:rPr>
          <w:spacing w:val="-43"/>
        </w:rPr>
        <w:t> </w:t>
      </w:r>
      <w:r>
        <w:rPr>
          <w:spacing w:val="-43"/>
        </w:rPr>
      </w:r>
      <w:r>
        <w:rPr/>
        <w:t>取得的被购买方于购买日可辨认净资产公允价值份额的差额，确认为商誉；合并成本小于合并中取得的被</w:t>
      </w:r>
      <w:r>
        <w:rPr>
          <w:w w:val="100"/>
        </w:rPr>
        <w:t> </w:t>
      </w:r>
      <w:r>
        <w:rPr/>
        <w:t>购买方可辨认净资产公允价值份额的差额，计入当期损益。</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ind w:right="667"/>
        <w:jc w:val="left"/>
      </w:pPr>
      <w:r>
        <w:rPr>
          <w:rFonts w:ascii="Times New Roman" w:hAnsi="Times New Roman" w:cs="Times New Roman" w:eastAsia="Times New Roman" w:hint="default"/>
        </w:rPr>
        <w:t>6.1</w:t>
      </w:r>
      <w:r>
        <w:rPr/>
        <w:t>合并范围</w:t>
      </w:r>
      <w:r>
        <w:rPr>
          <w:w w:val="100"/>
        </w:rPr>
        <w:t> </w:t>
      </w:r>
      <w:r>
        <w:rPr>
          <w:spacing w:val="-2"/>
        </w:rPr>
        <w:t>合并财务报表的合并范围包括本公司及子公司。合并财务报表的合并范围以控制为基础予以确定。</w:t>
      </w:r>
      <w:r>
        <w:rPr>
          <w:spacing w:val="-25"/>
        </w:rPr>
        <w:t> </w:t>
      </w:r>
      <w:r>
        <w:rPr>
          <w:spacing w:val="-25"/>
        </w:rPr>
      </w:r>
      <w:r>
        <w:rPr>
          <w:rFonts w:ascii="Times New Roman" w:hAnsi="Times New Roman" w:cs="Times New Roman" w:eastAsia="Times New Roman" w:hint="default"/>
        </w:rPr>
        <w:t>6.2</w:t>
      </w:r>
      <w:r>
        <w:rPr>
          <w:rFonts w:ascii="Times New Roman" w:hAnsi="Times New Roman" w:cs="Times New Roman" w:eastAsia="Times New Roman" w:hint="default"/>
          <w:spacing w:val="33"/>
        </w:rPr>
        <w:t> </w:t>
      </w:r>
      <w:r>
        <w:rPr/>
        <w:t>控制的依据</w:t>
      </w:r>
    </w:p>
    <w:p>
      <w:pPr>
        <w:pStyle w:val="BodyText"/>
        <w:spacing w:line="273" w:lineRule="auto"/>
        <w:ind w:right="206"/>
        <w:jc w:val="both"/>
      </w:pPr>
      <w:r>
        <w:rPr>
          <w:spacing w:val="-2"/>
        </w:rPr>
        <w:t>投资方拥有对被投资方的权力，通过参与被投资方的相关活动而享有可变回报，并且有能力运用对被投资</w:t>
      </w:r>
      <w:r>
        <w:rPr>
          <w:spacing w:val="-43"/>
        </w:rPr>
        <w:t> </w:t>
      </w:r>
      <w:r>
        <w:rPr>
          <w:spacing w:val="-43"/>
        </w:rPr>
      </w:r>
      <w:r>
        <w:rPr>
          <w:spacing w:val="-2"/>
        </w:rPr>
        <w:t>方的权力影响其回报金额，视为投资方控制被投资方。相关活动，系为对被投资方的回报产生重大影响的</w:t>
      </w:r>
      <w:r>
        <w:rPr>
          <w:spacing w:val="-44"/>
        </w:rPr>
        <w:t> </w:t>
      </w:r>
      <w:r>
        <w:rPr>
          <w:spacing w:val="-44"/>
        </w:rPr>
      </w:r>
      <w:r>
        <w:rPr/>
        <w:t>活动。</w:t>
      </w:r>
    </w:p>
    <w:p>
      <w:pPr>
        <w:pStyle w:val="BodyText"/>
        <w:spacing w:line="268" w:lineRule="auto" w:before="7"/>
        <w:ind w:right="0"/>
        <w:jc w:val="left"/>
      </w:pPr>
      <w:r>
        <w:rPr>
          <w:rFonts w:ascii="Times New Roman" w:hAnsi="Times New Roman" w:cs="Times New Roman" w:eastAsia="Times New Roman" w:hint="default"/>
        </w:rPr>
        <w:t>6.3</w:t>
      </w:r>
      <w:r>
        <w:rPr>
          <w:rFonts w:ascii="Times New Roman" w:hAnsi="Times New Roman" w:cs="Times New Roman" w:eastAsia="Times New Roman" w:hint="default"/>
          <w:spacing w:val="31"/>
        </w:rPr>
        <w:t> </w:t>
      </w:r>
      <w:r>
        <w:rPr/>
        <w:t>决策者和代理人</w:t>
      </w:r>
      <w:r>
        <w:rPr>
          <w:w w:val="100"/>
        </w:rPr>
        <w:t> </w:t>
      </w:r>
      <w:r>
        <w:rPr>
          <w:spacing w:val="-2"/>
        </w:rPr>
        <w:t>代理人仅代表主要责任人行使决策权，不控制被投资方。投资方将被投资方相关活动的决策权委托给代理</w:t>
      </w:r>
      <w:r>
        <w:rPr>
          <w:spacing w:val="-43"/>
        </w:rPr>
        <w:t> </w:t>
      </w:r>
      <w:r>
        <w:rPr>
          <w:spacing w:val="-43"/>
        </w:rPr>
      </w:r>
      <w:r>
        <w:rPr/>
        <w:t>人的，将该决策权视为自身直接持有。</w:t>
      </w:r>
      <w:r>
        <w:rPr>
          <w:w w:val="100"/>
        </w:rPr>
        <w:t> </w:t>
      </w:r>
      <w:r>
        <w:rPr/>
        <w:t>在确定决策者是否为代理人时，公司综合考虑该决策者与被投资方以及其他投资方之间的关系。</w:t>
      </w:r>
      <w:r>
        <w:rPr>
          <w:w w:val="100"/>
        </w:rPr>
        <w:t> </w:t>
      </w:r>
      <w:r>
        <w:rPr>
          <w:rFonts w:ascii="Times New Roman" w:hAnsi="Times New Roman" w:cs="Times New Roman" w:eastAsia="Times New Roman" w:hint="default"/>
        </w:rPr>
        <w:t>1</w:t>
      </w:r>
      <w:r>
        <w:rPr/>
        <w:t>）存在单独一方拥有实质性权利可以无条件罢免决策者的，该决策者为代理人。</w:t>
      </w:r>
    </w:p>
    <w:p>
      <w:pPr>
        <w:pStyle w:val="BodyText"/>
        <w:spacing w:line="256" w:lineRule="auto"/>
        <w:ind w:right="0"/>
        <w:jc w:val="left"/>
      </w:pPr>
      <w:r>
        <w:rPr>
          <w:rFonts w:ascii="Times New Roman" w:hAnsi="Times New Roman" w:cs="Times New Roman" w:eastAsia="Times New Roman" w:hint="default"/>
          <w:spacing w:val="-2"/>
        </w:rPr>
        <w:t>2</w:t>
      </w:r>
      <w:r>
        <w:rPr>
          <w:spacing w:val="-2"/>
        </w:rPr>
        <w:t>）除</w:t>
      </w:r>
      <w:r>
        <w:rPr>
          <w:rFonts w:ascii="Times New Roman" w:hAnsi="Times New Roman" w:cs="Times New Roman" w:eastAsia="Times New Roman" w:hint="default"/>
          <w:spacing w:val="-2"/>
        </w:rPr>
        <w:t>1</w:t>
      </w:r>
      <w:r>
        <w:rPr>
          <w:spacing w:val="-2"/>
        </w:rPr>
        <w:t>）以外的情况下，综合考虑决策者对被投资方的决策权范围、其他方享有的实质性权利、决策者的</w:t>
      </w:r>
      <w:r>
        <w:rPr>
          <w:spacing w:val="-41"/>
        </w:rPr>
        <w:t> </w:t>
      </w:r>
      <w:r>
        <w:rPr>
          <w:spacing w:val="-41"/>
        </w:rPr>
      </w:r>
      <w:r>
        <w:rPr/>
        <w:t>薪酬水平、决策者因持有被投资方中的其他权益所承担可变回报的风险等相关因素进行判断。</w:t>
      </w:r>
    </w:p>
    <w:p>
      <w:pPr>
        <w:pStyle w:val="BodyText"/>
        <w:spacing w:line="256" w:lineRule="auto" w:before="22"/>
        <w:ind w:right="4769"/>
        <w:jc w:val="left"/>
      </w:pPr>
      <w:r>
        <w:rPr>
          <w:rFonts w:ascii="Times New Roman" w:hAnsi="Times New Roman" w:cs="Times New Roman" w:eastAsia="Times New Roman" w:hint="default"/>
        </w:rPr>
        <w:t>6.4</w:t>
      </w:r>
      <w:r>
        <w:rPr>
          <w:rFonts w:ascii="Times New Roman" w:hAnsi="Times New Roman" w:cs="Times New Roman" w:eastAsia="Times New Roman" w:hint="default"/>
          <w:spacing w:val="31"/>
        </w:rPr>
        <w:t> </w:t>
      </w:r>
      <w:r>
        <w:rPr/>
        <w:t>投资性主体</w:t>
      </w:r>
      <w:r>
        <w:rPr>
          <w:w w:val="100"/>
        </w:rPr>
        <w:t> </w:t>
      </w:r>
      <w:r>
        <w:rPr>
          <w:spacing w:val="-2"/>
        </w:rPr>
        <w:t>当同时满足下列条件时，视为投资性主体：</w:t>
      </w:r>
    </w:p>
    <w:p>
      <w:pPr>
        <w:pStyle w:val="BodyText"/>
        <w:spacing w:line="240" w:lineRule="auto" w:before="23"/>
        <w:ind w:right="0"/>
        <w:jc w:val="left"/>
      </w:pPr>
      <w:r>
        <w:rPr>
          <w:rFonts w:ascii="Times New Roman" w:hAnsi="Times New Roman" w:cs="Times New Roman" w:eastAsia="Times New Roman" w:hint="default"/>
        </w:rPr>
        <w:t>1</w:t>
      </w:r>
      <w:r>
        <w:rPr/>
        <w:t>）该公司是以向投资者提供投资管理服务为目的，从一个或多个投资者处获取资金；</w:t>
      </w:r>
    </w:p>
    <w:p>
      <w:pPr>
        <w:pStyle w:val="BodyText"/>
        <w:spacing w:line="240" w:lineRule="auto" w:before="21"/>
        <w:ind w:right="0"/>
        <w:jc w:val="left"/>
      </w:pPr>
      <w:r>
        <w:rPr>
          <w:rFonts w:ascii="Times New Roman" w:hAnsi="Times New Roman" w:cs="Times New Roman" w:eastAsia="Times New Roman" w:hint="default"/>
        </w:rPr>
        <w:t>2</w:t>
      </w:r>
      <w:r>
        <w:rPr/>
        <w:t>）该公司的唯一经营目的，是通过资本增值、投资收益或两者兼有而让投资者获得回报；</w:t>
      </w:r>
    </w:p>
    <w:p>
      <w:pPr>
        <w:pStyle w:val="BodyText"/>
        <w:spacing w:line="264" w:lineRule="auto" w:before="21"/>
        <w:ind w:right="2839"/>
        <w:jc w:val="left"/>
      </w:pPr>
      <w:r>
        <w:rPr>
          <w:rFonts w:ascii="Times New Roman" w:hAnsi="Times New Roman" w:cs="Times New Roman" w:eastAsia="Times New Roman" w:hint="default"/>
          <w:spacing w:val="-2"/>
        </w:rPr>
        <w:t>3</w:t>
      </w:r>
      <w:r>
        <w:rPr>
          <w:spacing w:val="-2"/>
        </w:rPr>
        <w:t>）该公司按照公允价值对几乎所有投资的业绩进行考量和评价。</w:t>
      </w:r>
      <w:r>
        <w:rPr>
          <w:spacing w:val="-52"/>
        </w:rPr>
        <w:t> </w:t>
      </w:r>
      <w:r>
        <w:rPr>
          <w:spacing w:val="-52"/>
        </w:rPr>
      </w:r>
      <w:r>
        <w:rPr/>
        <w:t>属于投资性主体的，通常情况下符合下列所有特征：</w:t>
      </w:r>
      <w:r>
        <w:rPr>
          <w:w w:val="100"/>
        </w:rPr>
        <w:t> </w:t>
      </w:r>
      <w:r>
        <w:rPr>
          <w:rFonts w:ascii="Times New Roman" w:hAnsi="Times New Roman" w:cs="Times New Roman" w:eastAsia="Times New Roman" w:hint="default"/>
        </w:rPr>
        <w:t>1</w:t>
      </w:r>
      <w:r>
        <w:rPr/>
        <w:t>）拥有一个以上投资；</w:t>
      </w:r>
    </w:p>
    <w:p>
      <w:pPr>
        <w:pStyle w:val="BodyText"/>
        <w:spacing w:line="289" w:lineRule="exact"/>
        <w:ind w:right="0"/>
        <w:jc w:val="left"/>
      </w:pPr>
      <w:r>
        <w:rPr>
          <w:rFonts w:ascii="Times New Roman" w:hAnsi="Times New Roman" w:cs="Times New Roman" w:eastAsia="Times New Roman" w:hint="default"/>
        </w:rPr>
        <w:t>2</w:t>
      </w:r>
      <w:r>
        <w:rPr/>
        <w:t>）拥有一个以上投资者；</w:t>
      </w:r>
    </w:p>
    <w:p>
      <w:pPr>
        <w:pStyle w:val="BodyText"/>
        <w:spacing w:line="240" w:lineRule="auto" w:before="21"/>
        <w:ind w:right="0"/>
        <w:jc w:val="left"/>
      </w:pPr>
      <w:r>
        <w:rPr>
          <w:rFonts w:ascii="Times New Roman" w:hAnsi="Times New Roman" w:cs="Times New Roman" w:eastAsia="Times New Roman" w:hint="default"/>
        </w:rPr>
        <w:t>3</w:t>
      </w:r>
      <w:r>
        <w:rPr/>
        <w:t>）投资者不是该主体的关联方；</w:t>
      </w:r>
    </w:p>
    <w:p>
      <w:pPr>
        <w:pStyle w:val="BodyText"/>
        <w:spacing w:line="266" w:lineRule="auto" w:before="21"/>
        <w:ind w:right="0"/>
        <w:jc w:val="left"/>
      </w:pPr>
      <w:r>
        <w:rPr>
          <w:rFonts w:ascii="Times New Roman" w:hAnsi="Times New Roman" w:cs="Times New Roman" w:eastAsia="Times New Roman" w:hint="default"/>
        </w:rPr>
        <w:t>4</w:t>
      </w:r>
      <w:r>
        <w:rPr/>
        <w:t>）其所有者权益以股权或类似权益方式存在。</w:t>
      </w:r>
      <w:r>
        <w:rPr>
          <w:w w:val="100"/>
        </w:rPr>
        <w:t> </w:t>
      </w:r>
      <w:r>
        <w:rPr>
          <w:spacing w:val="-2"/>
        </w:rPr>
        <w:t>如果母公司是投资性主体，则母公司仅将为其投资活动提供相关服务的子公司</w:t>
      </w:r>
      <w:r>
        <w:rPr>
          <w:rFonts w:ascii="Times New Roman" w:hAnsi="Times New Roman" w:cs="Times New Roman" w:eastAsia="Times New Roman" w:hint="default"/>
          <w:spacing w:val="-2"/>
        </w:rPr>
        <w:t>(</w:t>
      </w:r>
      <w:r>
        <w:rPr>
          <w:spacing w:val="-2"/>
        </w:rPr>
        <w:t>如有</w:t>
      </w:r>
      <w:r>
        <w:rPr>
          <w:rFonts w:ascii="Times New Roman" w:hAnsi="Times New Roman" w:cs="Times New Roman" w:eastAsia="Times New Roman" w:hint="default"/>
          <w:spacing w:val="-2"/>
        </w:rPr>
        <w:t>)</w:t>
      </w:r>
      <w:r>
        <w:rPr>
          <w:spacing w:val="-2"/>
        </w:rPr>
        <w:t>纳入合并范围并编制</w:t>
      </w:r>
      <w:r>
        <w:rPr>
          <w:spacing w:val="-17"/>
        </w:rPr>
        <w:t> </w:t>
      </w:r>
      <w:r>
        <w:rPr>
          <w:spacing w:val="-17"/>
        </w:rPr>
      </w:r>
      <w:r>
        <w:rPr>
          <w:spacing w:val="-2"/>
        </w:rPr>
        <w:t>合并财务报表；其他子公司不予以合并，母公司对其他子公司的投资按照公允价值计量且其变动计入当期</w:t>
      </w:r>
      <w:r>
        <w:rPr>
          <w:spacing w:val="-42"/>
        </w:rPr>
        <w:t> </w:t>
      </w:r>
      <w:r>
        <w:rPr>
          <w:spacing w:val="-42"/>
        </w:rPr>
      </w:r>
      <w:r>
        <w:rPr/>
        <w:t>损益。</w:t>
      </w:r>
      <w:r>
        <w:rPr>
          <w:spacing w:val="-102"/>
        </w:rPr>
        <w:t> </w:t>
      </w:r>
      <w:r>
        <w:rPr>
          <w:spacing w:val="-2"/>
        </w:rPr>
        <w:t>投资性主体的母公司本身不是投资性主体，则将其控制的全部主体，包括那些通过投资性主体所间接控制</w:t>
      </w:r>
      <w:r>
        <w:rPr>
          <w:spacing w:val="-44"/>
        </w:rPr>
        <w:t> </w:t>
      </w:r>
      <w:r>
        <w:rPr>
          <w:spacing w:val="-44"/>
        </w:rPr>
      </w:r>
      <w:r>
        <w:rPr/>
        <w:t>的主体，纳入合并财务报表范围。</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ind w:right="4769"/>
        <w:jc w:val="left"/>
      </w:pPr>
      <w:r>
        <w:rPr>
          <w:rFonts w:ascii="Times New Roman" w:hAnsi="Times New Roman" w:cs="Times New Roman" w:eastAsia="Times New Roman" w:hint="default"/>
        </w:rPr>
        <w:t>7.1</w:t>
      </w:r>
      <w:r>
        <w:rPr>
          <w:rFonts w:ascii="Times New Roman" w:hAnsi="Times New Roman" w:cs="Times New Roman" w:eastAsia="Times New Roman" w:hint="default"/>
          <w:spacing w:val="31"/>
        </w:rPr>
        <w:t> </w:t>
      </w:r>
      <w:r>
        <w:rPr/>
        <w:t>合营安排的分类</w:t>
      </w:r>
      <w:r>
        <w:rPr>
          <w:w w:val="100"/>
        </w:rPr>
        <w:t> </w:t>
      </w:r>
      <w:r>
        <w:rPr>
          <w:spacing w:val="-2"/>
        </w:rPr>
        <w:t>合营安排分为共同经营和合营企业。</w:t>
      </w:r>
      <w:r>
        <w:rPr>
          <w:spacing w:val="-72"/>
        </w:rPr>
        <w:t> </w:t>
      </w:r>
      <w:r>
        <w:rPr>
          <w:spacing w:val="-72"/>
        </w:rPr>
      </w:r>
      <w:r>
        <w:rPr>
          <w:rFonts w:ascii="Times New Roman" w:hAnsi="Times New Roman" w:cs="Times New Roman" w:eastAsia="Times New Roman" w:hint="default"/>
        </w:rPr>
        <w:t>7.2</w:t>
      </w:r>
      <w:r>
        <w:rPr/>
        <w:t>共同经营参与方的会计处理</w:t>
      </w:r>
    </w:p>
    <w:p>
      <w:pPr>
        <w:pStyle w:val="BodyText"/>
        <w:spacing w:line="273" w:lineRule="exact"/>
        <w:ind w:right="0"/>
        <w:jc w:val="left"/>
      </w:pPr>
      <w:r>
        <w:rPr/>
        <w:t>合营方确认其与共同经营中利益份额相关的下列项目，并按照相关企业会计准则的规定进行会计处理：</w:t>
      </w:r>
    </w:p>
    <w:p>
      <w:pPr>
        <w:spacing w:after="0" w:line="273" w:lineRule="exact"/>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21"/>
        <w:ind w:right="0"/>
        <w:jc w:val="left"/>
      </w:pP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21"/>
        <w:ind w:right="0"/>
        <w:jc w:val="left"/>
      </w:pP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21"/>
        <w:ind w:right="0"/>
        <w:jc w:val="left"/>
      </w:pPr>
      <w:r>
        <w:rPr>
          <w:rFonts w:ascii="Times New Roman" w:hAnsi="Times New Roman" w:cs="Times New Roman" w:eastAsia="Times New Roman" w:hint="default"/>
        </w:rPr>
        <w:t>4</w:t>
      </w:r>
      <w:r>
        <w:rPr/>
        <w:t>）按其份额确认共同经营因出售产出所产生的收入；</w:t>
      </w:r>
    </w:p>
    <w:p>
      <w:pPr>
        <w:pStyle w:val="BodyText"/>
        <w:spacing w:line="264" w:lineRule="auto" w:before="21"/>
        <w:ind w:right="0"/>
        <w:jc w:val="left"/>
      </w:pPr>
      <w:r>
        <w:rPr>
          <w:rFonts w:ascii="Times New Roman" w:hAnsi="Times New Roman" w:cs="Times New Roman" w:eastAsia="Times New Roman" w:hint="default"/>
        </w:rPr>
        <w:t>5</w:t>
      </w:r>
      <w:r>
        <w:rPr/>
        <w:t>）确认单独所发生的费用，以及按其份额确认共同经营发生的费用。</w:t>
      </w:r>
      <w:r>
        <w:rPr>
          <w:w w:val="100"/>
        </w:rPr>
        <w:t> </w:t>
      </w:r>
      <w:r>
        <w:rPr>
          <w:spacing w:val="-3"/>
        </w:rPr>
        <w:t>合营方向共同经营投出或出售资产等</w:t>
      </w:r>
      <w:r>
        <w:rPr>
          <w:rFonts w:ascii="Times New Roman" w:hAnsi="Times New Roman" w:cs="Times New Roman" w:eastAsia="Times New Roman" w:hint="default"/>
          <w:spacing w:val="-3"/>
        </w:rPr>
        <w:t>(</w:t>
      </w:r>
      <w:r>
        <w:rPr>
          <w:spacing w:val="-3"/>
        </w:rPr>
        <w:t>该资产构成业务的除外</w:t>
      </w:r>
      <w:r>
        <w:rPr>
          <w:rFonts w:ascii="Times New Roman" w:hAnsi="Times New Roman" w:cs="Times New Roman" w:eastAsia="Times New Roman" w:hint="default"/>
          <w:spacing w:val="-3"/>
        </w:rPr>
        <w:t>)</w:t>
      </w:r>
      <w:r>
        <w:rPr>
          <w:spacing w:val="-3"/>
        </w:rPr>
        <w:t>，在该资产等由共同经营出售给第三方之前，</w:t>
      </w:r>
      <w:r>
        <w:rPr>
          <w:spacing w:val="-24"/>
        </w:rPr>
        <w:t> </w:t>
      </w:r>
      <w:r>
        <w:rPr>
          <w:spacing w:val="-24"/>
        </w:rPr>
      </w:r>
      <w:r>
        <w:rPr/>
        <w:t>仅确认因该交易产生的损益中归属于共同经营其他参与方的部分。投出或出售的资产发生符合《企业会计</w:t>
      </w:r>
      <w:r>
        <w:rPr>
          <w:w w:val="100"/>
        </w:rPr>
        <w:t> </w:t>
      </w:r>
      <w:r>
        <w:rPr/>
        <w:t>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资产减值》等规定的资产减值损失的，合营方全额确认该损失。</w:t>
      </w:r>
      <w:r>
        <w:rPr>
          <w:w w:val="100"/>
        </w:rPr>
        <w:t> </w:t>
      </w:r>
      <w:r>
        <w:rPr/>
        <w:t>合营方自共同经营购买资产等</w:t>
      </w:r>
      <w:r>
        <w:rPr>
          <w:rFonts w:ascii="Times New Roman" w:hAnsi="Times New Roman" w:cs="Times New Roman" w:eastAsia="Times New Roman" w:hint="default"/>
        </w:rPr>
        <w:t>(</w:t>
      </w:r>
      <w:r>
        <w:rPr/>
        <w:t>该资产构成业务的除外</w:t>
      </w:r>
      <w:r>
        <w:rPr>
          <w:rFonts w:ascii="Times New Roman" w:hAnsi="Times New Roman" w:cs="Times New Roman" w:eastAsia="Times New Roman" w:hint="default"/>
        </w:rPr>
        <w:t>)</w:t>
      </w:r>
      <w:r>
        <w:rPr/>
        <w:t>，在将该资产等出售给第三方之前，仅确认因该交</w:t>
      </w:r>
      <w:r>
        <w:rPr>
          <w:w w:val="100"/>
        </w:rPr>
        <w:t> </w:t>
      </w:r>
      <w:r>
        <w:rPr/>
        <w:t>易产生的损益中归属于共同经营其他参与方的部分。购入的资产发生符合《企业会计准则第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w:t>
      </w:r>
      <w:r>
        <w:rPr>
          <w:spacing w:val="-3"/>
          <w:w w:val="100"/>
        </w:rPr>
        <w:t> </w:t>
      </w:r>
      <w:r>
        <w:rPr/>
        <w:t>减值》等规定的资产减值损失的，合营方按其承担的份额确认该部分损失。</w:t>
      </w:r>
      <w:r>
        <w:rPr>
          <w:w w:val="100"/>
        </w:rPr>
        <w:t> </w:t>
      </w:r>
      <w:r>
        <w:rPr/>
        <w:t>对共同经营不享有共同控制的参与方，如果享有该共同经营相关资产且承担该共同经营相关负债的，按照</w:t>
      </w:r>
      <w:r>
        <w:rPr>
          <w:w w:val="100"/>
        </w:rPr>
        <w:t> </w:t>
      </w:r>
      <w:r>
        <w:rPr/>
        <w:t>上述方法进行会计处理；否则，按照相关企业会计准则的规定进行会计处理。</w:t>
      </w:r>
    </w:p>
    <w:p>
      <w:pPr>
        <w:spacing w:line="240" w:lineRule="auto" w:before="2"/>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spacing w:val="-2"/>
        </w:rPr>
        <w:t>列示于现金流量表中的现金是指库存现金及可随时用于支付的存款，现金等价物是指持有的期限短（一般</w:t>
      </w:r>
      <w:r>
        <w:rPr>
          <w:spacing w:val="-44"/>
        </w:rPr>
        <w:t> </w:t>
      </w:r>
      <w:r>
        <w:rPr>
          <w:spacing w:val="-44"/>
        </w:rPr>
      </w:r>
      <w:r>
        <w:rPr/>
        <w:t>指从购买日起三个月内到期）、流动性强、易于转换为已知金额现金及价值变动风险很小的投资。</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2839"/>
        <w:jc w:val="left"/>
      </w:pPr>
      <w:r>
        <w:rPr>
          <w:rFonts w:ascii="Times New Roman" w:hAnsi="Times New Roman" w:cs="Times New Roman" w:eastAsia="Times New Roman" w:hint="default"/>
        </w:rPr>
        <w:t>9.1</w:t>
      </w:r>
      <w:r>
        <w:rPr>
          <w:rFonts w:ascii="Times New Roman" w:hAnsi="Times New Roman" w:cs="Times New Roman" w:eastAsia="Times New Roman" w:hint="default"/>
          <w:spacing w:val="31"/>
        </w:rPr>
        <w:t> </w:t>
      </w:r>
      <w:r>
        <w:rPr/>
        <w:t>外币业务</w:t>
      </w:r>
      <w:r>
        <w:rPr>
          <w:w w:val="100"/>
        </w:rPr>
        <w:t> </w:t>
      </w:r>
      <w:r>
        <w:rPr>
          <w:spacing w:val="-2"/>
        </w:rPr>
        <w:t>外币业务按业务发生日的即期汇率将外币金额折算为人民币入账。</w:t>
      </w:r>
    </w:p>
    <w:p>
      <w:pPr>
        <w:pStyle w:val="BodyText"/>
        <w:spacing w:line="273" w:lineRule="auto" w:before="22"/>
        <w:ind w:right="206"/>
        <w:jc w:val="both"/>
      </w:pPr>
      <w:r>
        <w:rPr>
          <w:spacing w:val="-2"/>
        </w:rPr>
        <w:t>于资产负债表日，外币货币性项目采用资产负债表日的即期汇率折算为人民币，所产生的折算差额除了为</w:t>
      </w:r>
      <w:r>
        <w:rPr>
          <w:spacing w:val="-44"/>
        </w:rPr>
        <w:t> </w:t>
      </w:r>
      <w:r>
        <w:rPr>
          <w:spacing w:val="-44"/>
        </w:rPr>
      </w:r>
      <w:r>
        <w:rPr>
          <w:spacing w:val="-2"/>
        </w:rPr>
        <w:t>购建或生产符合资本化条件的资产而借入的外币借款产生的汇兑差额按资本化的原则处理外，直接计入当</w:t>
      </w:r>
      <w:r>
        <w:rPr>
          <w:spacing w:val="-43"/>
        </w:rPr>
        <w:t> </w:t>
      </w:r>
      <w:r>
        <w:rPr>
          <w:spacing w:val="-43"/>
        </w:rPr>
      </w:r>
      <w:r>
        <w:rPr/>
        <w:t>期损益。以历史成本计量的外币非货币性项目，于资产负债表日采用交易发生日的即期汇率折算。</w:t>
      </w:r>
    </w:p>
    <w:p>
      <w:pPr>
        <w:pStyle w:val="BodyText"/>
        <w:spacing w:line="268" w:lineRule="auto" w:before="7"/>
        <w:ind w:right="0"/>
        <w:jc w:val="left"/>
      </w:pPr>
      <w:r>
        <w:rPr>
          <w:rFonts w:ascii="Times New Roman" w:hAnsi="Times New Roman" w:cs="Times New Roman" w:eastAsia="Times New Roman" w:hint="default"/>
        </w:rPr>
        <w:t>9.2</w:t>
      </w:r>
      <w:r>
        <w:rPr>
          <w:rFonts w:ascii="Times New Roman" w:hAnsi="Times New Roman" w:cs="Times New Roman" w:eastAsia="Times New Roman" w:hint="default"/>
          <w:spacing w:val="31"/>
        </w:rPr>
        <w:t> </w:t>
      </w:r>
      <w:r>
        <w:rPr/>
        <w:t>外币财务报表的折算</w:t>
      </w:r>
      <w:r>
        <w:rPr>
          <w:w w:val="100"/>
        </w:rPr>
        <w:t> </w:t>
      </w:r>
      <w:r>
        <w:rPr/>
        <w:t>以非记账本位币编制的资产负债表中的资产和负债项目，采用资产负债表日的即期汇率折算成记账本位</w:t>
      </w:r>
      <w:r>
        <w:rPr>
          <w:w w:val="100"/>
        </w:rPr>
        <w:t> </w:t>
      </w:r>
      <w:r>
        <w:rPr>
          <w:spacing w:val="-2"/>
        </w:rPr>
        <w:t>币，所有者权益中除未分配利润项目外，其他项目采用发生时的即期汇率折算。以非记账本位币编制的利</w:t>
      </w:r>
      <w:r>
        <w:rPr>
          <w:spacing w:val="-43"/>
        </w:rPr>
        <w:t> </w:t>
      </w:r>
      <w:r>
        <w:rPr>
          <w:spacing w:val="-43"/>
        </w:rPr>
      </w:r>
      <w:r>
        <w:rPr>
          <w:spacing w:val="-2"/>
        </w:rPr>
        <w:t>润表中的收入与费用项目，采用交易发生日的即期汇率折算成记账本位币。上述折算产生的外币报表折算</w:t>
      </w:r>
      <w:r>
        <w:rPr>
          <w:spacing w:val="-43"/>
        </w:rPr>
        <w:t> </w:t>
      </w:r>
      <w:r>
        <w:rPr>
          <w:spacing w:val="-43"/>
        </w:rPr>
      </w:r>
      <w:r>
        <w:rPr>
          <w:spacing w:val="-2"/>
        </w:rPr>
        <w:t>差额，在其他综合收益中核算。以非记账本位币编制的现金流量表中各项目的现金流量采用现金流量发生</w:t>
      </w:r>
      <w:r>
        <w:rPr>
          <w:spacing w:val="-42"/>
        </w:rPr>
        <w:t> </w:t>
      </w:r>
      <w:r>
        <w:rPr>
          <w:spacing w:val="-42"/>
        </w:rPr>
      </w:r>
      <w:r>
        <w:rPr/>
        <w:t>日的即期汇率折算成记账本位币。汇率变动对现金的影响额，在现金流量表中单独列示。</w:t>
      </w:r>
    </w:p>
    <w:p>
      <w:pPr>
        <w:spacing w:line="240" w:lineRule="auto" w:before="11"/>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0"/>
        <w:rPr>
          <w:rFonts w:ascii="宋体" w:hAnsi="宋体" w:cs="宋体" w:eastAsia="宋体" w:hint="default"/>
          <w:b/>
          <w:bCs/>
          <w:sz w:val="24"/>
          <w:szCs w:val="24"/>
        </w:rPr>
      </w:pPr>
    </w:p>
    <w:p>
      <w:pPr>
        <w:pStyle w:val="BodyText"/>
        <w:spacing w:line="266" w:lineRule="auto"/>
        <w:ind w:right="2839"/>
        <w:jc w:val="left"/>
      </w:pPr>
      <w:r>
        <w:rPr>
          <w:rFonts w:ascii="Times New Roman" w:hAnsi="Times New Roman" w:cs="Times New Roman" w:eastAsia="Times New Roman" w:hint="default"/>
        </w:rPr>
        <w:t>10.1</w:t>
      </w:r>
      <w:r>
        <w:rPr>
          <w:rFonts w:ascii="Times New Roman" w:hAnsi="Times New Roman" w:cs="Times New Roman" w:eastAsia="Times New Roman" w:hint="default"/>
          <w:spacing w:val="31"/>
        </w:rPr>
        <w:t> </w:t>
      </w:r>
      <w:r>
        <w:rPr/>
        <w:t>金融工具的确认和终止确认</w:t>
      </w:r>
      <w:r>
        <w:rPr>
          <w:w w:val="100"/>
        </w:rPr>
        <w:t> </w:t>
      </w:r>
      <w:r>
        <w:rPr>
          <w:spacing w:val="-2"/>
        </w:rPr>
        <w:t>本公司于成为金融工具合同的一方时确认一项金融资产或金融负债。</w:t>
      </w:r>
      <w:r>
        <w:rPr>
          <w:spacing w:val="-48"/>
        </w:rPr>
        <w:t> </w:t>
      </w:r>
      <w:r>
        <w:rPr>
          <w:spacing w:val="-48"/>
        </w:rPr>
      </w:r>
      <w:r>
        <w:rPr/>
        <w:t>金融资产满足下列条件之一的，终止确认：</w:t>
      </w:r>
      <w:r>
        <w:rPr>
          <w:w w:val="100"/>
        </w:rPr>
        <w:t> </w:t>
      </w:r>
      <w:r>
        <w:rPr>
          <w:rFonts w:ascii="Times New Roman" w:hAnsi="Times New Roman" w:cs="Times New Roman" w:eastAsia="Times New Roman" w:hint="default"/>
        </w:rPr>
        <w:t>1</w:t>
      </w:r>
      <w:r>
        <w:rPr/>
        <w:t>）收取该金融资产现金流量的合同权利终止；</w:t>
      </w:r>
    </w:p>
    <w:p>
      <w:pPr>
        <w:pStyle w:val="BodyText"/>
        <w:spacing w:line="256" w:lineRule="auto"/>
        <w:ind w:right="0"/>
        <w:jc w:val="left"/>
      </w:pPr>
      <w:r>
        <w:rPr>
          <w:rFonts w:ascii="Times New Roman" w:hAnsi="Times New Roman" w:cs="Times New Roman" w:eastAsia="Times New Roman" w:hint="default"/>
          <w:spacing w:val="-2"/>
        </w:rPr>
        <w:t>2</w:t>
      </w:r>
      <w:r>
        <w:rPr>
          <w:spacing w:val="-2"/>
        </w:rPr>
        <w:t>）该金融资产已转移，且符合《企业会计准则第</w:t>
      </w:r>
      <w:r>
        <w:rPr>
          <w:rFonts w:ascii="Times New Roman" w:hAnsi="Times New Roman" w:cs="Times New Roman" w:eastAsia="Times New Roman" w:hint="default"/>
          <w:spacing w:val="-2"/>
        </w:rPr>
        <w:t>23</w:t>
      </w:r>
      <w:r>
        <w:rPr>
          <w:spacing w:val="-2"/>
        </w:rPr>
        <w:t>号－金融资产转移》规定的金融资产终止确认条件。</w:t>
      </w:r>
      <w:r>
        <w:rPr>
          <w:spacing w:val="-20"/>
        </w:rPr>
        <w:t> </w:t>
      </w:r>
      <w:r>
        <w:rPr>
          <w:spacing w:val="-20"/>
        </w:rPr>
      </w:r>
      <w:r>
        <w:rPr/>
        <w:t>金融负债的现时义务全部或部分已经解除的，终止确认该金融负债或其一部分。</w:t>
      </w:r>
    </w:p>
    <w:p>
      <w:pPr>
        <w:pStyle w:val="BodyText"/>
        <w:spacing w:line="264" w:lineRule="auto" w:before="22"/>
        <w:ind w:right="0"/>
        <w:jc w:val="left"/>
      </w:pPr>
      <w:r>
        <w:rPr>
          <w:rFonts w:ascii="Times New Roman" w:hAnsi="Times New Roman" w:cs="Times New Roman" w:eastAsia="Times New Roman" w:hint="default"/>
        </w:rPr>
        <w:t>10.2</w:t>
      </w:r>
      <w:r>
        <w:rPr/>
        <w:t>金融资产的分类</w:t>
      </w:r>
      <w:r>
        <w:rPr>
          <w:w w:val="100"/>
        </w:rPr>
        <w:t> </w:t>
      </w:r>
      <w:r>
        <w:rPr>
          <w:spacing w:val="-2"/>
        </w:rPr>
        <w:t>金融资产于初始确认时分类为：以公允价值计量且其变动计入当期损益的金融资产、应收款项、可供出售</w:t>
      </w:r>
      <w:r>
        <w:rPr>
          <w:spacing w:val="-44"/>
        </w:rPr>
        <w:t> </w:t>
      </w:r>
      <w:r>
        <w:rPr>
          <w:spacing w:val="-44"/>
        </w:rPr>
      </w:r>
      <w:r>
        <w:rPr/>
        <w:t>金融资产和持有至到期投资。金融资产的分类取决于本公司对金融资产的持有意图和持有能力。</w:t>
      </w:r>
    </w:p>
    <w:p>
      <w:pPr>
        <w:pStyle w:val="BodyText"/>
        <w:spacing w:line="240" w:lineRule="auto" w:before="16"/>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以公允价值计量且其变动计入当期损益的金融资产</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46"/>
        <w:jc w:val="left"/>
      </w:pPr>
      <w:r>
        <w:rPr>
          <w:spacing w:val="-2"/>
        </w:rPr>
        <w:t>以公允价值计量且其变动计入当期损益的金融资产包括持有目的为短期内出售的金融资产，该资产在资产</w:t>
      </w:r>
      <w:r>
        <w:rPr>
          <w:spacing w:val="-43"/>
        </w:rPr>
        <w:t> </w:t>
      </w:r>
      <w:r>
        <w:rPr>
          <w:spacing w:val="-43"/>
        </w:rPr>
      </w:r>
      <w:r>
        <w:rPr/>
        <w:t>负债表中以交易性金融资产列示。</w:t>
      </w:r>
    </w:p>
    <w:p>
      <w:pPr>
        <w:pStyle w:val="BodyText"/>
        <w:spacing w:line="264" w:lineRule="auto" w:before="7"/>
        <w:ind w:right="14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应收款项</w:t>
      </w:r>
      <w:r>
        <w:rPr>
          <w:spacing w:val="-103"/>
        </w:rPr>
        <w:t> </w:t>
      </w:r>
      <w:r>
        <w:rPr>
          <w:spacing w:val="-103"/>
        </w:rPr>
      </w:r>
      <w:r>
        <w:rPr>
          <w:spacing w:val="-2"/>
        </w:rPr>
        <w:t>应收款项是指在活跃市场中没有报价、回收金额固定或可确定的非衍生金融资产，包括应收账款、其他应</w:t>
      </w:r>
      <w:r>
        <w:rPr>
          <w:spacing w:val="-43"/>
        </w:rPr>
        <w:t> </w:t>
      </w:r>
      <w:r>
        <w:rPr>
          <w:spacing w:val="-43"/>
        </w:rPr>
      </w:r>
      <w:r>
        <w:rPr/>
        <w:t>收款和长期应收款等。</w:t>
      </w:r>
    </w:p>
    <w:p>
      <w:pPr>
        <w:pStyle w:val="BodyText"/>
        <w:spacing w:line="261" w:lineRule="auto" w:before="16"/>
        <w:ind w:right="14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可供出售金融资产</w:t>
      </w:r>
      <w:r>
        <w:rPr>
          <w:w w:val="100"/>
        </w:rPr>
        <w:t> </w:t>
      </w:r>
      <w:r>
        <w:rPr/>
        <w:t>可供出售金融资产包括初始确认时即被指定为可供出售的非衍生金融资产及未被划分为其他类的金融资</w:t>
      </w:r>
      <w:r>
        <w:rPr>
          <w:w w:val="100"/>
        </w:rPr>
        <w:t> </w:t>
      </w:r>
      <w:r>
        <w:rPr>
          <w:spacing w:val="-2"/>
        </w:rPr>
        <w:t>产。自资产负债表日起</w:t>
      </w:r>
      <w:r>
        <w:rPr>
          <w:rFonts w:ascii="Times New Roman" w:hAnsi="Times New Roman" w:cs="Times New Roman" w:eastAsia="Times New Roman" w:hint="default"/>
          <w:spacing w:val="-2"/>
        </w:rPr>
        <w:t>12</w:t>
      </w:r>
      <w:r>
        <w:rPr>
          <w:spacing w:val="-2"/>
        </w:rPr>
        <w:t>个月内将出售的可供出售金融资产在资产负债表中列示为一年内到期的非流动资</w:t>
      </w:r>
      <w:r>
        <w:rPr>
          <w:spacing w:val="-41"/>
        </w:rPr>
        <w:t> </w:t>
      </w:r>
      <w:r>
        <w:rPr>
          <w:spacing w:val="-41"/>
        </w:rPr>
      </w:r>
      <w:r>
        <w:rPr/>
        <w:t>产。</w:t>
      </w:r>
    </w:p>
    <w:p>
      <w:pPr>
        <w:pStyle w:val="BodyText"/>
        <w:spacing w:line="261" w:lineRule="auto" w:before="18"/>
        <w:ind w:right="14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持有至到期投资</w:t>
      </w:r>
      <w:r>
        <w:rPr>
          <w:spacing w:val="-103"/>
        </w:rPr>
        <w:t> </w:t>
      </w:r>
      <w:r>
        <w:rPr>
          <w:spacing w:val="-103"/>
        </w:rPr>
      </w:r>
      <w:r>
        <w:rPr>
          <w:spacing w:val="-2"/>
        </w:rPr>
        <w:t>持有至到期投资是指到期日固定、回收金额固定或可确定，且管理层有明确意图和能力持有至到期的非衍</w:t>
      </w:r>
      <w:r>
        <w:rPr>
          <w:spacing w:val="-43"/>
        </w:rPr>
        <w:t> </w:t>
      </w:r>
      <w:r>
        <w:rPr>
          <w:spacing w:val="-43"/>
        </w:rPr>
      </w:r>
      <w:r>
        <w:rPr>
          <w:spacing w:val="-2"/>
        </w:rPr>
        <w:t>生金融资产。自资产负债表日起</w:t>
      </w:r>
      <w:r>
        <w:rPr>
          <w:rFonts w:ascii="Times New Roman" w:hAnsi="Times New Roman" w:cs="Times New Roman" w:eastAsia="Times New Roman" w:hint="default"/>
          <w:spacing w:val="-2"/>
        </w:rPr>
        <w:t>12</w:t>
      </w:r>
      <w:r>
        <w:rPr>
          <w:spacing w:val="-2"/>
        </w:rPr>
        <w:t>个月内到期的持有至到期投资在资产负债表中列示为一年内到期的非流</w:t>
      </w:r>
      <w:r>
        <w:rPr>
          <w:spacing w:val="-40"/>
        </w:rPr>
        <w:t> </w:t>
      </w:r>
      <w:r>
        <w:rPr>
          <w:spacing w:val="-40"/>
        </w:rPr>
      </w:r>
      <w:r>
        <w:rPr/>
        <w:t>动资产。</w:t>
      </w:r>
    </w:p>
    <w:p>
      <w:pPr>
        <w:pStyle w:val="BodyText"/>
        <w:spacing w:line="271" w:lineRule="auto" w:before="18"/>
        <w:ind w:right="146"/>
        <w:jc w:val="left"/>
      </w:pPr>
      <w:r>
        <w:rPr>
          <w:rFonts w:ascii="Times New Roman" w:hAnsi="Times New Roman" w:cs="Times New Roman" w:eastAsia="Times New Roman" w:hint="default"/>
        </w:rPr>
        <w:t>10.3</w:t>
      </w:r>
      <w:r>
        <w:rPr>
          <w:rFonts w:ascii="Times New Roman" w:hAnsi="Times New Roman" w:cs="Times New Roman" w:eastAsia="Times New Roman" w:hint="default"/>
          <w:spacing w:val="31"/>
        </w:rPr>
        <w:t> </w:t>
      </w:r>
      <w:r>
        <w:rPr/>
        <w:t>金融资产的计量</w:t>
      </w:r>
      <w:r>
        <w:rPr>
          <w:w w:val="100"/>
        </w:rPr>
        <w:t> </w:t>
      </w:r>
      <w:r>
        <w:rPr>
          <w:spacing w:val="-2"/>
        </w:rPr>
        <w:t>金融资产于本公司成为金融工具合同的一方时，按公允价值在资产负债表内确认。以公允价值计量且其变</w:t>
      </w:r>
      <w:r>
        <w:rPr>
          <w:spacing w:val="-43"/>
        </w:rPr>
        <w:t> </w:t>
      </w:r>
      <w:r>
        <w:rPr>
          <w:spacing w:val="-43"/>
        </w:rPr>
      </w:r>
      <w:r>
        <w:rPr>
          <w:spacing w:val="-2"/>
        </w:rPr>
        <w:t>动计入当期损益的金融资产，取得时发生的相关交易费用直接计入当期损益。其他金融资产的相关交易费</w:t>
      </w:r>
      <w:r>
        <w:rPr>
          <w:spacing w:val="-44"/>
        </w:rPr>
        <w:t> </w:t>
      </w:r>
      <w:r>
        <w:rPr>
          <w:spacing w:val="-44"/>
        </w:rPr>
      </w:r>
      <w:r>
        <w:rPr/>
        <w:t>用计入初始确认金额。</w:t>
      </w:r>
      <w:r>
        <w:rPr>
          <w:w w:val="100"/>
        </w:rPr>
        <w:t> </w:t>
      </w:r>
      <w:r>
        <w:rPr>
          <w:spacing w:val="-2"/>
        </w:rPr>
        <w:t>以公允价值计量且其变动计入当期损益的金融资产和可供出售金融资产按照公允价值进行后续计量，但在</w:t>
      </w:r>
      <w:r>
        <w:rPr>
          <w:spacing w:val="-43"/>
        </w:rPr>
        <w:t> </w:t>
      </w:r>
      <w:r>
        <w:rPr>
          <w:spacing w:val="-43"/>
        </w:rPr>
      </w:r>
      <w:r>
        <w:rPr>
          <w:spacing w:val="-2"/>
        </w:rPr>
        <w:t>活跃市场中没有报价且其公允价值不能可靠计量的权益工具投资，按照成本计量；应收款项以及持有至到</w:t>
      </w:r>
      <w:r>
        <w:rPr>
          <w:spacing w:val="-42"/>
        </w:rPr>
        <w:t> </w:t>
      </w:r>
      <w:r>
        <w:rPr>
          <w:spacing w:val="-42"/>
        </w:rPr>
      </w:r>
      <w:r>
        <w:rPr/>
        <w:t>期投资采用实际利率法，以摊余成本计量。</w:t>
      </w:r>
      <w:r>
        <w:rPr>
          <w:w w:val="100"/>
        </w:rPr>
        <w:t> </w:t>
      </w:r>
      <w:r>
        <w:rPr>
          <w:spacing w:val="-2"/>
        </w:rPr>
        <w:t>以公允价值计量且其变动计入当期损益的金融资产的公允价值变动计入公允价值变动损益；在资产持有期</w:t>
      </w:r>
      <w:r>
        <w:rPr>
          <w:spacing w:val="-43"/>
        </w:rPr>
        <w:t> </w:t>
      </w:r>
      <w:r>
        <w:rPr>
          <w:spacing w:val="-43"/>
        </w:rPr>
      </w:r>
      <w:r>
        <w:rPr/>
        <w:t>间所取得的利息或现金股利以及在处置时产生的处置损益，计入当期损益。</w:t>
      </w:r>
      <w:r>
        <w:rPr>
          <w:w w:val="100"/>
        </w:rPr>
        <w:t> </w:t>
      </w:r>
      <w:r>
        <w:rPr>
          <w:spacing w:val="-2"/>
        </w:rPr>
        <w:t>除减值损失及外币货币性金融资产形成的汇兑损益外，可供出售金融资产公允价值变动计入股东权益，待</w:t>
      </w:r>
      <w:r>
        <w:rPr>
          <w:spacing w:val="-44"/>
        </w:rPr>
        <w:t> </w:t>
      </w:r>
      <w:r>
        <w:rPr>
          <w:spacing w:val="-44"/>
        </w:rPr>
      </w:r>
      <w:r>
        <w:rPr>
          <w:spacing w:val="-2"/>
        </w:rPr>
        <w:t>该金融资产终止确认时，原直接计入权益的公允价值变动累计额转入当期损益。可供出售债务工具投资在</w:t>
      </w:r>
      <w:r>
        <w:rPr>
          <w:spacing w:val="-43"/>
        </w:rPr>
        <w:t> </w:t>
      </w:r>
      <w:r>
        <w:rPr>
          <w:spacing w:val="-43"/>
        </w:rPr>
      </w:r>
      <w:r>
        <w:rPr>
          <w:spacing w:val="-2"/>
        </w:rPr>
        <w:t>持有期间按实际利率法计算利息，计入投资收益；可供出售权益工具投资的现金股利，于被投资单位宣告</w:t>
      </w:r>
      <w:r>
        <w:rPr>
          <w:spacing w:val="-42"/>
        </w:rPr>
        <w:t> </w:t>
      </w:r>
      <w:r>
        <w:rPr>
          <w:spacing w:val="-42"/>
        </w:rPr>
      </w:r>
      <w:r>
        <w:rPr/>
        <w:t>发放股利时计入投资收益。</w:t>
      </w:r>
    </w:p>
    <w:p>
      <w:pPr>
        <w:pStyle w:val="BodyText"/>
        <w:spacing w:line="268" w:lineRule="auto" w:before="10"/>
        <w:ind w:right="146"/>
        <w:jc w:val="left"/>
      </w:pPr>
      <w:r>
        <w:rPr>
          <w:rFonts w:ascii="Times New Roman" w:hAnsi="Times New Roman" w:cs="Times New Roman" w:eastAsia="Times New Roman" w:hint="default"/>
        </w:rPr>
        <w:t>10.4</w:t>
      </w:r>
      <w:r>
        <w:rPr/>
        <w:t>金融资产转移的确认依据和计量方法</w:t>
      </w:r>
      <w:r>
        <w:rPr>
          <w:w w:val="100"/>
        </w:rPr>
        <w:t> </w:t>
      </w:r>
      <w:r>
        <w:rPr>
          <w:spacing w:val="-2"/>
        </w:rPr>
        <w:t>公司已将金融资产所有权上几乎所有的风险和报酬转移给转入方的，终止确认该金融资产；保留了金融资</w:t>
      </w:r>
      <w:r>
        <w:rPr>
          <w:spacing w:val="-43"/>
        </w:rPr>
        <w:t> </w:t>
      </w:r>
      <w:r>
        <w:rPr>
          <w:spacing w:val="-43"/>
        </w:rPr>
      </w:r>
      <w:r>
        <w:rPr/>
        <w:t>产所有权上几乎所有的风险和报酬的，不终止确认该金融资产。</w:t>
      </w:r>
      <w:r>
        <w:rPr>
          <w:w w:val="100"/>
        </w:rPr>
        <w:t> </w:t>
      </w:r>
      <w:r>
        <w:rPr/>
        <w:t>金融资产整体转移满足终止确认条件的，将下列两项金额的差额计入当期损益：</w:t>
      </w:r>
      <w:r>
        <w:rPr>
          <w:w w:val="100"/>
        </w:rPr>
        <w:t> </w:t>
      </w:r>
      <w:r>
        <w:rPr>
          <w:rFonts w:ascii="Times New Roman" w:hAnsi="Times New Roman" w:cs="Times New Roman" w:eastAsia="Times New Roman" w:hint="default"/>
        </w:rPr>
        <w:t>1</w:t>
      </w:r>
      <w:r>
        <w:rPr/>
        <w:t>）所转移金融资产的账面价值；</w:t>
      </w:r>
    </w:p>
    <w:p>
      <w:pPr>
        <w:pStyle w:val="BodyText"/>
        <w:spacing w:line="271" w:lineRule="auto"/>
        <w:ind w:right="146"/>
        <w:jc w:val="left"/>
      </w:pPr>
      <w:r>
        <w:rPr>
          <w:rFonts w:ascii="Times New Roman" w:hAnsi="Times New Roman" w:cs="Times New Roman" w:eastAsia="Times New Roman" w:hint="default"/>
        </w:rPr>
        <w:t>2</w:t>
      </w:r>
      <w:r>
        <w:rPr/>
        <w:t>）因转移而收到的对价，与原直接计入所有者权益的公允价值变动累计额（涉及转移的金融资产为可供</w:t>
      </w:r>
      <w:r>
        <w:rPr>
          <w:spacing w:val="-25"/>
        </w:rPr>
        <w:t> </w:t>
      </w:r>
      <w:r>
        <w:rPr>
          <w:spacing w:val="-25"/>
        </w:rPr>
      </w:r>
      <w:r>
        <w:rPr/>
        <w:t>出售金融资产的情形）之和。</w:t>
      </w:r>
      <w:r>
        <w:rPr>
          <w:w w:val="100"/>
        </w:rPr>
        <w:t> </w:t>
      </w:r>
      <w:r>
        <w:rPr>
          <w:spacing w:val="-2"/>
        </w:rPr>
        <w:t>因金融资产转移获得了新金融资产或承担了新金融负债的，在转移日按照公允价值确认该金融资产或金融</w:t>
      </w:r>
      <w:r>
        <w:rPr>
          <w:spacing w:val="-42"/>
        </w:rPr>
        <w:t> </w:t>
      </w:r>
      <w:r>
        <w:rPr>
          <w:spacing w:val="-42"/>
        </w:rPr>
      </w:r>
      <w:r>
        <w:rPr>
          <w:spacing w:val="-2"/>
        </w:rPr>
        <w:t>负债（包括看涨期权、看跌期权、担保负债、远期合同、互换等），并将该金融资产扣除金融负债后的净</w:t>
      </w:r>
      <w:r>
        <w:rPr>
          <w:spacing w:val="-44"/>
        </w:rPr>
        <w:t> </w:t>
      </w:r>
      <w:r>
        <w:rPr>
          <w:spacing w:val="-44"/>
        </w:rPr>
      </w:r>
      <w:r>
        <w:rPr/>
        <w:t>额作为上述对价的组成部分。</w:t>
      </w:r>
      <w:r>
        <w:rPr>
          <w:w w:val="100"/>
        </w:rPr>
        <w:t> </w:t>
      </w:r>
      <w:r>
        <w:rPr>
          <w:spacing w:val="-2"/>
        </w:rPr>
        <w:t>公司与金融资产转入方签订服务合同提供相关服务的（包括收取该金融资产的现金流量，并将所收取的现</w:t>
      </w:r>
      <w:r>
        <w:rPr>
          <w:spacing w:val="-44"/>
        </w:rPr>
        <w:t> </w:t>
      </w:r>
      <w:r>
        <w:rPr>
          <w:spacing w:val="-44"/>
        </w:rPr>
      </w:r>
      <w:r>
        <w:rPr>
          <w:spacing w:val="-2"/>
        </w:rPr>
        <w:t>金流量交付给指定的资金保管机构等），就该服务合同确认一项服务资产或服务负债。服务负债应当按照</w:t>
      </w:r>
      <w:r>
        <w:rPr>
          <w:spacing w:val="-44"/>
        </w:rPr>
        <w:t> </w:t>
      </w:r>
      <w:r>
        <w:rPr>
          <w:spacing w:val="-44"/>
        </w:rPr>
      </w:r>
      <w:r>
        <w:rPr/>
        <w:t>公允价值进行初始计量，并作为上述对价的组成部分。</w:t>
      </w:r>
    </w:p>
    <w:p>
      <w:pPr>
        <w:pStyle w:val="BodyText"/>
        <w:spacing w:line="266" w:lineRule="auto" w:before="10"/>
        <w:ind w:right="146"/>
        <w:jc w:val="left"/>
      </w:pPr>
      <w:r>
        <w:rPr>
          <w:rFonts w:ascii="Times New Roman" w:hAnsi="Times New Roman" w:cs="Times New Roman" w:eastAsia="Times New Roman" w:hint="default"/>
        </w:rPr>
        <w:t>10.5</w:t>
      </w:r>
      <w:r>
        <w:rPr/>
        <w:t>金融负债的分类</w:t>
      </w:r>
      <w:r>
        <w:rPr>
          <w:w w:val="100"/>
        </w:rPr>
        <w:t> </w:t>
      </w:r>
      <w:r>
        <w:rPr>
          <w:spacing w:val="-2"/>
        </w:rPr>
        <w:t>金融负债于初始确认时分类为：以公允价值计量且其变动计入当期损益的金融负债和其他金融负债。以公</w:t>
      </w:r>
      <w:r>
        <w:rPr>
          <w:spacing w:val="-42"/>
        </w:rPr>
        <w:t> </w:t>
      </w:r>
      <w:r>
        <w:rPr>
          <w:spacing w:val="-42"/>
        </w:rPr>
      </w:r>
      <w:r>
        <w:rPr>
          <w:spacing w:val="-2"/>
        </w:rPr>
        <w:t>允价值计量且其变动计入当期损益的金融负债，包括交易性金融负债和初始确认时指定为以公允价值计量</w:t>
      </w:r>
      <w:r>
        <w:rPr>
          <w:spacing w:val="-42"/>
        </w:rPr>
        <w:t> </w:t>
      </w:r>
      <w:r>
        <w:rPr>
          <w:spacing w:val="-42"/>
        </w:rPr>
      </w:r>
      <w:r>
        <w:rPr/>
        <w:t>且其变动计入当期损益的金融负债。</w:t>
      </w:r>
    </w:p>
    <w:p>
      <w:pPr>
        <w:pStyle w:val="BodyText"/>
        <w:spacing w:line="240" w:lineRule="auto" w:before="14"/>
        <w:ind w:right="146"/>
        <w:jc w:val="left"/>
      </w:pPr>
      <w:r>
        <w:rPr>
          <w:rFonts w:ascii="Times New Roman" w:hAnsi="Times New Roman" w:cs="Times New Roman" w:eastAsia="Times New Roman" w:hint="default"/>
        </w:rPr>
        <w:t>10.6</w:t>
      </w:r>
      <w:r>
        <w:rPr/>
        <w:t>金融负债的计量</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46"/>
        <w:jc w:val="left"/>
      </w:pPr>
      <w:r>
        <w:rPr>
          <w:spacing w:val="-2"/>
        </w:rPr>
        <w:t>金融负债于本公司成为金融工具合同的一方时，按公允价值在资产负债表内确认。以公允价值计量且其变</w:t>
      </w:r>
      <w:r>
        <w:rPr>
          <w:spacing w:val="-43"/>
        </w:rPr>
        <w:t> </w:t>
      </w:r>
      <w:r>
        <w:rPr>
          <w:spacing w:val="-43"/>
        </w:rPr>
      </w:r>
      <w:r>
        <w:rPr>
          <w:spacing w:val="-2"/>
        </w:rPr>
        <w:t>动计入当期损益的金融负债，取得时发生的相关交易费用直接计入当期损益；其他金融负债的相关交易费</w:t>
      </w:r>
      <w:r>
        <w:rPr>
          <w:spacing w:val="-44"/>
        </w:rPr>
        <w:t> </w:t>
      </w:r>
      <w:r>
        <w:rPr>
          <w:spacing w:val="-44"/>
        </w:rPr>
      </w:r>
      <w:r>
        <w:rPr/>
        <w:t>用计入初始确认金额。</w:t>
      </w:r>
      <w:r>
        <w:rPr>
          <w:w w:val="100"/>
        </w:rPr>
        <w:t> </w:t>
      </w:r>
      <w:r>
        <w:rPr>
          <w:spacing w:val="-2"/>
        </w:rPr>
        <w:t>以公允价值计量且其变动计入当期损益的金融负债，按照公允价值后续计量，且不扣除将来结清金融负债</w:t>
      </w:r>
      <w:r>
        <w:rPr>
          <w:spacing w:val="-44"/>
        </w:rPr>
        <w:t> </w:t>
      </w:r>
      <w:r>
        <w:rPr>
          <w:spacing w:val="-44"/>
        </w:rPr>
      </w:r>
      <w:r>
        <w:rPr/>
        <w:t>时可能发生的交易费用。</w:t>
      </w:r>
    </w:p>
    <w:p>
      <w:pPr>
        <w:pStyle w:val="BodyText"/>
        <w:spacing w:line="240" w:lineRule="auto" w:before="7"/>
        <w:ind w:right="146"/>
        <w:jc w:val="left"/>
      </w:pPr>
      <w:r>
        <w:rPr/>
        <w:t>其他金融负债，采用实际利率法，按照摊余成本进行后续计量。</w:t>
      </w:r>
    </w:p>
    <w:p>
      <w:pPr>
        <w:pStyle w:val="BodyText"/>
        <w:spacing w:line="268" w:lineRule="auto" w:before="37"/>
        <w:ind w:right="146"/>
        <w:jc w:val="left"/>
      </w:pPr>
      <w:r>
        <w:rPr>
          <w:rFonts w:ascii="Times New Roman" w:hAnsi="Times New Roman" w:cs="Times New Roman" w:eastAsia="Times New Roman" w:hint="default"/>
        </w:rPr>
        <w:t>10.7</w:t>
      </w:r>
      <w:r>
        <w:rPr>
          <w:rFonts w:ascii="Times New Roman" w:hAnsi="Times New Roman" w:cs="Times New Roman" w:eastAsia="Times New Roman" w:hint="default"/>
          <w:spacing w:val="31"/>
        </w:rPr>
        <w:t> </w:t>
      </w:r>
      <w:r>
        <w:rPr/>
        <w:t>金融资产和金融负债的公允价值的确定方法</w:t>
      </w:r>
      <w:r>
        <w:rPr>
          <w:w w:val="100"/>
        </w:rPr>
        <w:t> </w:t>
      </w:r>
      <w:r>
        <w:rPr>
          <w:spacing w:val="-2"/>
        </w:rPr>
        <w:t>存在活跃市场的金融资产或金融负债，采用活跃市场中的报价确定其公允价值。金融工具不存在活跃市场</w:t>
      </w:r>
      <w:r>
        <w:rPr>
          <w:spacing w:val="-44"/>
        </w:rPr>
        <w:t> </w:t>
      </w:r>
      <w:r>
        <w:rPr>
          <w:spacing w:val="-44"/>
        </w:rPr>
      </w:r>
      <w:r>
        <w:rPr>
          <w:spacing w:val="-2"/>
        </w:rPr>
        <w:t>的，采用估值技术确定其公允价值，估值技术包括参考熟悉情况并自愿交易的各方最近进行的市场交易中</w:t>
      </w:r>
      <w:r>
        <w:rPr>
          <w:spacing w:val="-43"/>
        </w:rPr>
        <w:t> </w:t>
      </w:r>
      <w:r>
        <w:rPr>
          <w:spacing w:val="-43"/>
        </w:rPr>
      </w:r>
      <w:r>
        <w:rPr/>
        <w:t>使用的价格、参照实质上相同的其他金融工具的当前公允价值、现金流量折现法和期权定价模型等。</w:t>
      </w:r>
      <w:r>
        <w:rPr>
          <w:w w:val="100"/>
        </w:rPr>
        <w:t> </w:t>
      </w:r>
      <w:r>
        <w:rPr>
          <w:rFonts w:ascii="Times New Roman" w:hAnsi="Times New Roman" w:cs="Times New Roman" w:eastAsia="Times New Roman" w:hint="default"/>
        </w:rPr>
        <w:t>10.8</w:t>
      </w:r>
      <w:r>
        <w:rPr/>
        <w:t>金融资产和金融负债的公允价值的确定方法</w:t>
      </w:r>
      <w:r>
        <w:rPr>
          <w:w w:val="100"/>
        </w:rPr>
        <w:t> </w:t>
      </w:r>
      <w:r>
        <w:rPr>
          <w:spacing w:val="-2"/>
        </w:rPr>
        <w:t>除以公允价值计量且其变动计入当期损益的金融资产外，本公司于资产负债表日对金融资产的账面价值进</w:t>
      </w:r>
      <w:r>
        <w:rPr>
          <w:spacing w:val="-43"/>
        </w:rPr>
        <w:t> </w:t>
      </w:r>
      <w:r>
        <w:rPr>
          <w:spacing w:val="-43"/>
        </w:rPr>
      </w:r>
      <w:r>
        <w:rPr/>
        <w:t>行检查，如果有客观证据表明某项金融资产发生减值的，计提减值准备。</w:t>
      </w:r>
      <w:r>
        <w:rPr>
          <w:w w:val="100"/>
        </w:rPr>
        <w:t> </w:t>
      </w:r>
      <w:r>
        <w:rPr>
          <w:spacing w:val="-2"/>
        </w:rPr>
        <w:t>以摊余成本计量的金融资产发生减值时，按预计未来现金流量</w:t>
      </w:r>
      <w:r>
        <w:rPr>
          <w:rFonts w:ascii="Times New Roman" w:hAnsi="Times New Roman" w:cs="Times New Roman" w:eastAsia="Times New Roman" w:hint="default"/>
          <w:spacing w:val="-2"/>
        </w:rPr>
        <w:t>(</w:t>
      </w:r>
      <w:r>
        <w:rPr>
          <w:spacing w:val="-2"/>
        </w:rPr>
        <w:t>不包括尚未发生的未来信用损失</w:t>
      </w:r>
      <w:r>
        <w:rPr>
          <w:rFonts w:ascii="Times New Roman" w:hAnsi="Times New Roman" w:cs="Times New Roman" w:eastAsia="Times New Roman" w:hint="default"/>
          <w:spacing w:val="-2"/>
        </w:rPr>
        <w:t>)</w:t>
      </w:r>
      <w:r>
        <w:rPr>
          <w:spacing w:val="-2"/>
        </w:rPr>
        <w:t>现值低于</w:t>
      </w:r>
      <w:r>
        <w:rPr>
          <w:spacing w:val="-18"/>
        </w:rPr>
        <w:t> </w:t>
      </w:r>
      <w:r>
        <w:rPr>
          <w:spacing w:val="-18"/>
        </w:rPr>
      </w:r>
      <w:r>
        <w:rPr>
          <w:spacing w:val="-2"/>
        </w:rPr>
        <w:t>账面价值的差额，计提减值准备。如果有客观证据表明该金融资产价值已恢复，且客观上与确认该损失后</w:t>
      </w:r>
      <w:r>
        <w:rPr>
          <w:spacing w:val="-43"/>
        </w:rPr>
        <w:t> </w:t>
      </w:r>
      <w:r>
        <w:rPr>
          <w:spacing w:val="-43"/>
        </w:rPr>
      </w:r>
      <w:r>
        <w:rPr/>
        <w:t>发生的事项有关，原确认的减值损失予以转回，计入当期损益。</w:t>
      </w:r>
      <w:r>
        <w:rPr>
          <w:w w:val="100"/>
        </w:rPr>
        <w:t> </w:t>
      </w:r>
      <w:r>
        <w:rPr>
          <w:spacing w:val="-2"/>
        </w:rPr>
        <w:t>当可供出售金融资产的公允价值发生较大幅度或非暂时性下降，原直接计入所有者权益的因公允价值下降</w:t>
      </w:r>
      <w:r>
        <w:rPr>
          <w:spacing w:val="-43"/>
        </w:rPr>
        <w:t> </w:t>
      </w:r>
      <w:r>
        <w:rPr>
          <w:spacing w:val="-43"/>
        </w:rPr>
      </w:r>
      <w:r>
        <w:rPr>
          <w:spacing w:val="-2"/>
        </w:rPr>
        <w:t>形成的累计损失计入减值损失。对已确认减值损失的可供出售债务工具投资，在期后公允价值上升且客观</w:t>
      </w:r>
      <w:r>
        <w:rPr>
          <w:spacing w:val="-43"/>
        </w:rPr>
        <w:t> </w:t>
      </w:r>
      <w:r>
        <w:rPr>
          <w:spacing w:val="-43"/>
        </w:rPr>
      </w:r>
      <w:r>
        <w:rPr>
          <w:spacing w:val="-2"/>
        </w:rPr>
        <w:t>上与确认原减值损失确认后发生的事项有关的，原确认的减值损失予以转回，计入当期损益。对已确认减</w:t>
      </w:r>
      <w:r>
        <w:rPr>
          <w:spacing w:val="-43"/>
        </w:rPr>
        <w:t> </w:t>
      </w:r>
      <w:r>
        <w:rPr>
          <w:spacing w:val="-43"/>
        </w:rPr>
      </w:r>
      <w:r>
        <w:rPr>
          <w:spacing w:val="-2"/>
        </w:rPr>
        <w:t>值损失的可供出售权益工具投资，在期后公允价值上升且客观上与确认原减值损失后发生的事项有关的，</w:t>
      </w:r>
      <w:r>
        <w:rPr>
          <w:spacing w:val="-21"/>
        </w:rPr>
        <w:t> </w:t>
      </w:r>
      <w:r>
        <w:rPr>
          <w:spacing w:val="-21"/>
        </w:rPr>
      </w:r>
      <w:r>
        <w:rPr>
          <w:spacing w:val="-2"/>
        </w:rPr>
        <w:t>原确认的减值损失予以转回，直接计入所有者权益。在活跃市场中没有报价且其公允价值不能可靠计量的</w:t>
      </w:r>
      <w:r>
        <w:rPr>
          <w:spacing w:val="-44"/>
        </w:rPr>
        <w:t> </w:t>
      </w:r>
      <w:r>
        <w:rPr>
          <w:spacing w:val="-44"/>
        </w:rPr>
      </w:r>
      <w:r>
        <w:rPr/>
        <w:t>权益工具投资发生的减值损失，如果在以后期间价值得以恢复，也不予转回。</w:t>
      </w:r>
    </w:p>
    <w:p>
      <w:pPr>
        <w:spacing w:line="240" w:lineRule="auto" w:before="11"/>
        <w:rPr>
          <w:rFonts w:ascii="宋体" w:hAnsi="宋体" w:cs="宋体" w:eastAsia="宋体" w:hint="default"/>
          <w:sz w:val="23"/>
          <w:szCs w:val="23"/>
        </w:rPr>
      </w:pPr>
    </w:p>
    <w:p>
      <w:pPr>
        <w:pStyle w:val="Heading4"/>
        <w:spacing w:line="240" w:lineRule="auto"/>
        <w:ind w:right="146"/>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应收款项余额前五名。</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 单独进行减值测试，计提坏账准备。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性质组合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对于单项金额不重大但单项计提坏账准备的应收款项，当存 在客观证据表明本公司将无法按应收款项的原有条款收回所 有款项时，确认相应的坏账准备。</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 单独进行减值测试，计提坏账准备。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right="2018"/>
        <w:jc w:val="left"/>
      </w:pPr>
      <w:r>
        <w:rPr>
          <w:rFonts w:ascii="Times New Roman" w:hAnsi="Times New Roman" w:cs="Times New Roman" w:eastAsia="Times New Roman" w:hint="default"/>
        </w:rPr>
        <w:t>12.1</w:t>
      </w:r>
      <w:r>
        <w:rPr>
          <w:rFonts w:ascii="Times New Roman" w:hAnsi="Times New Roman" w:cs="Times New Roman" w:eastAsia="Times New Roman" w:hint="default"/>
          <w:spacing w:val="31"/>
        </w:rPr>
        <w:t> </w:t>
      </w:r>
      <w:r>
        <w:rPr/>
        <w:t>存货的类别</w:t>
      </w:r>
      <w:r>
        <w:rPr>
          <w:spacing w:val="-103"/>
        </w:rPr>
        <w:t> </w:t>
      </w:r>
      <w:r>
        <w:rPr>
          <w:spacing w:val="-103"/>
        </w:rPr>
      </w:r>
      <w:r>
        <w:rPr>
          <w:spacing w:val="-2"/>
        </w:rPr>
        <w:t>存货包括原材料、在产品、产成品和周转材料等，按成本与可变现净值孰低列示。</w:t>
      </w:r>
      <w:r>
        <w:rPr>
          <w:spacing w:val="-35"/>
        </w:rPr>
        <w:t> </w:t>
      </w:r>
      <w:r>
        <w:rPr>
          <w:spacing w:val="-35"/>
        </w:rPr>
      </w:r>
      <w:r>
        <w:rPr>
          <w:rFonts w:ascii="Times New Roman" w:hAnsi="Times New Roman" w:cs="Times New Roman" w:eastAsia="Times New Roman" w:hint="default"/>
        </w:rPr>
        <w:t>12.2</w:t>
      </w:r>
      <w:r>
        <w:rPr>
          <w:rFonts w:ascii="Times New Roman" w:hAnsi="Times New Roman" w:cs="Times New Roman" w:eastAsia="Times New Roman" w:hint="default"/>
          <w:spacing w:val="32"/>
        </w:rPr>
        <w:t> </w:t>
      </w:r>
      <w:r>
        <w:rPr/>
        <w:t>发出存货的计价方法</w:t>
      </w:r>
    </w:p>
    <w:p>
      <w:pPr>
        <w:pStyle w:val="BodyText"/>
        <w:spacing w:line="271" w:lineRule="auto"/>
        <w:ind w:right="0"/>
        <w:jc w:val="left"/>
      </w:pPr>
      <w:r>
        <w:rPr>
          <w:spacing w:val="-2"/>
        </w:rPr>
        <w:t>存货发出时的成本按加权平均法核算，产成品和在产品成本包括原材料、直接人工以及在正常生产能力下</w:t>
      </w:r>
      <w:r>
        <w:rPr>
          <w:spacing w:val="-44"/>
        </w:rPr>
        <w:t> </w:t>
      </w:r>
      <w:r>
        <w:rPr>
          <w:spacing w:val="-44"/>
        </w:rPr>
      </w:r>
      <w:r>
        <w:rPr/>
        <w:t>按照一定方法分配的制造费用。周转材料包括低值易耗品和包装物等。</w:t>
      </w:r>
      <w:r>
        <w:rPr>
          <w:w w:val="100"/>
        </w:rPr>
        <w:t> </w:t>
      </w:r>
      <w:r>
        <w:rPr>
          <w:rFonts w:ascii="Times New Roman" w:hAnsi="Times New Roman" w:cs="Times New Roman" w:eastAsia="Times New Roman" w:hint="default"/>
        </w:rPr>
        <w:t>12.3</w:t>
      </w:r>
      <w:r>
        <w:rPr/>
        <w:t>确定不同类别存货可变现净值的依据</w:t>
      </w:r>
      <w:r>
        <w:rPr>
          <w:w w:val="100"/>
        </w:rPr>
        <w:t> </w:t>
      </w:r>
      <w:r>
        <w:rPr>
          <w:spacing w:val="-2"/>
        </w:rPr>
        <w:t>存货成本高于其可变现净值的，计提存货跌价准备，计入当期损益。可变现净值，是指在日常活动中，存</w:t>
      </w:r>
      <w:r>
        <w:rPr>
          <w:spacing w:val="-43"/>
        </w:rPr>
        <w:t> </w:t>
      </w:r>
      <w:r>
        <w:rPr>
          <w:spacing w:val="-43"/>
        </w:rPr>
      </w:r>
      <w:r>
        <w:rPr>
          <w:spacing w:val="-2"/>
        </w:rPr>
        <w:t>货的估计售价减去至完工时估计将要发生的成本、估计的销售费用以及相关税费后的金额。公司确定存货</w:t>
      </w:r>
      <w:r>
        <w:rPr>
          <w:spacing w:val="-42"/>
        </w:rPr>
        <w:t> </w:t>
      </w:r>
      <w:r>
        <w:rPr>
          <w:spacing w:val="-42"/>
        </w:rPr>
      </w:r>
      <w:r>
        <w:rPr>
          <w:spacing w:val="-5"/>
        </w:rPr>
        <w:t>的可变现净值，以取得的确凿证据为基础，并且考虑持有存货的目的、资产负债表日后事项的影响等因素。</w:t>
      </w:r>
      <w:r>
        <w:rPr>
          <w:spacing w:val="-7"/>
        </w:rPr>
        <w:t> </w:t>
      </w:r>
      <w:r>
        <w:rPr>
          <w:spacing w:val="-7"/>
        </w:rPr>
      </w:r>
      <w:r>
        <w:rPr>
          <w:spacing w:val="-2"/>
        </w:rPr>
        <w:t>为生产而持有的材料等，用其生产的产成品的可变现净值高于成本的，该材料仍然按照成本计量；材料价</w:t>
      </w:r>
      <w:r>
        <w:rPr>
          <w:spacing w:val="-42"/>
        </w:rPr>
        <w:t> </w:t>
      </w:r>
      <w:r>
        <w:rPr>
          <w:spacing w:val="-42"/>
        </w:rPr>
      </w:r>
      <w:r>
        <w:rPr/>
        <w:t>格的下降表明产成品的可变现净值低于成本的，该材料按照可变现净值计量。</w:t>
      </w:r>
      <w:r>
        <w:rPr>
          <w:w w:val="100"/>
        </w:rPr>
        <w:t> </w:t>
      </w:r>
      <w:r>
        <w:rPr>
          <w:spacing w:val="-2"/>
        </w:rPr>
        <w:t>为执行销售合同或者劳务合同而持有的存货，其可变现净值以合同价格为基础计算。持有存货的数量多于</w:t>
      </w:r>
      <w:r>
        <w:rPr>
          <w:spacing w:val="-43"/>
        </w:rPr>
        <w:t> </w:t>
      </w:r>
      <w:r>
        <w:rPr>
          <w:spacing w:val="-43"/>
        </w:rPr>
      </w:r>
      <w:r>
        <w:rPr/>
        <w:t>销售合同订购数量的，超出部分的存货的可变现净值以一般销售价格为基础计算。</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68" w:lineRule="auto"/>
        <w:ind w:right="0"/>
        <w:jc w:val="left"/>
      </w:pPr>
      <w:r>
        <w:rPr>
          <w:rFonts w:ascii="Times New Roman" w:hAnsi="Times New Roman" w:cs="Times New Roman" w:eastAsia="Times New Roman" w:hint="default"/>
        </w:rPr>
        <w:t>14.1</w:t>
      </w:r>
      <w:r>
        <w:rPr/>
        <w:t>共同控制、重大影响的判断标准</w:t>
      </w:r>
      <w:r>
        <w:rPr>
          <w:w w:val="100"/>
        </w:rPr>
        <w:t> </w:t>
      </w:r>
      <w:r>
        <w:rPr>
          <w:spacing w:val="-2"/>
        </w:rPr>
        <w:t>按照相关约定对某项安排所共有的控制，并且该安排的相关活动必须经过分享控制权的参与方一致同意后</w:t>
      </w:r>
      <w:r>
        <w:rPr>
          <w:spacing w:val="-43"/>
        </w:rPr>
        <w:t> </w:t>
      </w:r>
      <w:r>
        <w:rPr>
          <w:spacing w:val="-43"/>
        </w:rPr>
      </w:r>
      <w:r>
        <w:rPr>
          <w:spacing w:val="-2"/>
        </w:rPr>
        <w:t>才能决策，则视为共同控制。如果存在两个或两个以上的参与方组合能够集体控制某项安排的，不视为共</w:t>
      </w:r>
      <w:r>
        <w:rPr>
          <w:spacing w:val="-43"/>
        </w:rPr>
        <w:t> </w:t>
      </w:r>
      <w:r>
        <w:rPr>
          <w:spacing w:val="-43"/>
        </w:rPr>
      </w:r>
      <w:r>
        <w:rPr/>
        <w:t>同控制。</w:t>
      </w:r>
      <w:r>
        <w:rPr>
          <w:w w:val="100"/>
        </w:rPr>
        <w:t> </w:t>
      </w:r>
      <w:r>
        <w:rPr>
          <w:spacing w:val="-2"/>
        </w:rPr>
        <w:t>对被投资单位的财务和经营政策有参与决策的权力，但并不能够控制或者与其他方一起共同控制这些政策</w:t>
      </w:r>
      <w:r>
        <w:rPr>
          <w:spacing w:val="-43"/>
        </w:rPr>
        <w:t> </w:t>
      </w:r>
      <w:r>
        <w:rPr>
          <w:spacing w:val="-43"/>
        </w:rPr>
      </w:r>
      <w:r>
        <w:rPr/>
        <w:t>的制定，则视为对被投资单位实施重大影响。</w:t>
      </w:r>
    </w:p>
    <w:p>
      <w:pPr>
        <w:pStyle w:val="BodyText"/>
        <w:spacing w:line="240" w:lineRule="auto" w:before="12"/>
        <w:ind w:right="0"/>
        <w:jc w:val="left"/>
      </w:pPr>
      <w:r>
        <w:rPr>
          <w:rFonts w:ascii="Times New Roman" w:hAnsi="Times New Roman" w:cs="Times New Roman" w:eastAsia="Times New Roman" w:hint="default"/>
        </w:rPr>
        <w:t>14.2</w:t>
      </w:r>
      <w:r>
        <w:rPr/>
        <w:t>初始投资成本确定</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66" w:lineRule="auto" w:before="36"/>
        <w:ind w:right="0"/>
        <w:jc w:val="left"/>
      </w:pPr>
      <w:r>
        <w:rPr>
          <w:spacing w:val="-3"/>
        </w:rPr>
        <w:t>企业合并形成的长期股权投资，按照本附注</w:t>
      </w:r>
      <w:r>
        <w:rPr>
          <w:rFonts w:ascii="Times New Roman" w:hAnsi="Times New Roman" w:cs="Times New Roman" w:eastAsia="Times New Roman" w:hint="default"/>
          <w:spacing w:val="-3"/>
        </w:rPr>
        <w:t>“3.5</w:t>
      </w:r>
      <w:r>
        <w:rPr>
          <w:spacing w:val="-3"/>
        </w:rPr>
        <w:t>同一控制下和非同一控制下企业合并的会计处理方法</w:t>
      </w:r>
      <w:r>
        <w:rPr>
          <w:rFonts w:ascii="Times New Roman" w:hAnsi="Times New Roman" w:cs="Times New Roman" w:eastAsia="Times New Roman" w:hint="default"/>
          <w:spacing w:val="-3"/>
        </w:rPr>
        <w:t>”</w:t>
      </w:r>
      <w:r>
        <w:rPr>
          <w:spacing w:val="-3"/>
        </w:rPr>
        <w:t>的相</w:t>
      </w:r>
      <w:r>
        <w:rPr>
          <w:spacing w:val="-24"/>
        </w:rPr>
        <w:t> </w:t>
      </w:r>
      <w:r>
        <w:rPr>
          <w:spacing w:val="-2"/>
        </w:rPr>
        <w:t>关内容确认初始投资成本；除企业合并形成的长期股权投资以外，其他方式取得的长期股权投资，按照下</w:t>
      </w:r>
      <w:r>
        <w:rPr>
          <w:spacing w:val="-45"/>
        </w:rPr>
        <w:t> </w:t>
      </w:r>
      <w:r>
        <w:rPr>
          <w:spacing w:val="-45"/>
        </w:rPr>
      </w:r>
      <w:r>
        <w:rPr/>
        <w:t>述方法确认其初始投资成本：</w:t>
      </w:r>
      <w:r>
        <w:rPr>
          <w:w w:val="100"/>
        </w:rPr>
        <w:t> </w:t>
      </w:r>
      <w:r>
        <w:rPr>
          <w:rFonts w:ascii="Times New Roman" w:hAnsi="Times New Roman" w:cs="Times New Roman" w:eastAsia="Times New Roman" w:hint="default"/>
        </w:rPr>
        <w:t>1</w:t>
      </w:r>
      <w:r>
        <w:rPr/>
        <w:t>）以支付现金取得的长期股权投资，应当按照实际支付的购买价款作为初始投资成本。初始投资成本包</w:t>
      </w:r>
      <w:r>
        <w:rPr>
          <w:spacing w:val="-21"/>
        </w:rPr>
        <w:t> </w:t>
      </w:r>
      <w:r>
        <w:rPr>
          <w:spacing w:val="-21"/>
        </w:rPr>
      </w:r>
      <w:r>
        <w:rPr/>
        <w:t>括与取得长期股权投资直接相关的费用、税金及其他必要支出。</w:t>
      </w:r>
      <w:r>
        <w:rPr>
          <w:w w:val="100"/>
        </w:rPr>
        <w:t> </w:t>
      </w:r>
      <w:r>
        <w:rPr>
          <w:rFonts w:ascii="Times New Roman" w:hAnsi="Times New Roman" w:cs="Times New Roman" w:eastAsia="Times New Roman" w:hint="default"/>
        </w:rPr>
        <w:t>2</w:t>
      </w:r>
      <w:r>
        <w:rPr/>
        <w:t>）以发行权益性证券取得的长期股权投资，应当按照发行权益性证券的公允价值作为初始投资成本。与</w:t>
      </w:r>
      <w:r>
        <w:rPr>
          <w:spacing w:val="-25"/>
        </w:rPr>
        <w:t> </w:t>
      </w:r>
      <w:r>
        <w:rPr>
          <w:spacing w:val="-25"/>
        </w:rPr>
      </w:r>
      <w:r>
        <w:rPr>
          <w:spacing w:val="-2"/>
        </w:rPr>
        <w:t>发行权益行证券直接相关的费用，应当按照《企业会计准则第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金融工具列报》的有关规定确定。</w:t>
      </w:r>
      <w:r>
        <w:rPr>
          <w:spacing w:val="-21"/>
        </w:rPr>
        <w:t> </w:t>
      </w:r>
      <w:r>
        <w:rPr>
          <w:spacing w:val="-21"/>
        </w:rPr>
      </w:r>
      <w:r>
        <w:rPr>
          <w:rFonts w:ascii="Times New Roman" w:hAnsi="Times New Roman" w:cs="Times New Roman" w:eastAsia="Times New Roman" w:hint="default"/>
        </w:rPr>
        <w:t>3</w:t>
      </w:r>
      <w:r>
        <w:rPr/>
        <w:t>）在非货币性资产交换具备商业实质和换入资产或换出资产的公允价值能够可靠计量的前提下，非货币</w:t>
      </w:r>
      <w:r>
        <w:rPr>
          <w:spacing w:val="-25"/>
        </w:rPr>
        <w:t> </w:t>
      </w:r>
      <w:r>
        <w:rPr>
          <w:spacing w:val="-25"/>
        </w:rPr>
      </w:r>
      <w:r>
        <w:rPr>
          <w:spacing w:val="-2"/>
        </w:rPr>
        <w:t>性资产交换换入的长期股权投资以换出资产的公允价值为基础确定其初始投资成本，除非有确凿证据表明</w:t>
      </w:r>
      <w:r>
        <w:rPr>
          <w:spacing w:val="-43"/>
        </w:rPr>
        <w:t> </w:t>
      </w:r>
      <w:r>
        <w:rPr>
          <w:spacing w:val="-43"/>
        </w:rPr>
      </w:r>
      <w:r>
        <w:rPr>
          <w:spacing w:val="-2"/>
        </w:rPr>
        <w:t>换入资产的公允价值更加可靠；不满足上述前提的非货币性资产交换，以换出资产的账面价值和应支付的</w:t>
      </w:r>
      <w:r>
        <w:rPr>
          <w:spacing w:val="-42"/>
        </w:rPr>
        <w:t> </w:t>
      </w:r>
      <w:r>
        <w:rPr>
          <w:spacing w:val="-42"/>
        </w:rPr>
      </w:r>
      <w:r>
        <w:rPr/>
        <w:t>相关税费作为换入长期股权投资的初始投资成本。</w:t>
      </w:r>
      <w:r>
        <w:rPr>
          <w:w w:val="100"/>
        </w:rPr>
        <w:t> </w:t>
      </w:r>
      <w:r>
        <w:rPr>
          <w:rFonts w:ascii="Times New Roman" w:hAnsi="Times New Roman" w:cs="Times New Roman" w:eastAsia="Times New Roman" w:hint="default"/>
        </w:rPr>
        <w:t>4</w:t>
      </w:r>
      <w:r>
        <w:rPr/>
        <w:t>）通过债务重组取得的长期股权投资，其初始投资成本按照公允价值为基础确定。</w:t>
      </w:r>
    </w:p>
    <w:p>
      <w:pPr>
        <w:pStyle w:val="BodyText"/>
        <w:spacing w:line="287" w:lineRule="exact"/>
        <w:ind w:right="0"/>
        <w:jc w:val="left"/>
      </w:pPr>
      <w:r>
        <w:rPr>
          <w:rFonts w:ascii="Times New Roman" w:hAnsi="Times New Roman" w:cs="Times New Roman" w:eastAsia="Times New Roman" w:hint="default"/>
        </w:rPr>
        <w:t>14.3</w:t>
      </w:r>
      <w:r>
        <w:rPr/>
        <w:t>后续计量及损益确认方法</w:t>
      </w:r>
    </w:p>
    <w:p>
      <w:pPr>
        <w:pStyle w:val="BodyText"/>
        <w:spacing w:line="271" w:lineRule="auto" w:before="21"/>
        <w:ind w:right="0"/>
        <w:jc w:val="left"/>
      </w:pPr>
      <w:r>
        <w:rPr>
          <w:rFonts w:ascii="Times New Roman" w:hAnsi="Times New Roman" w:cs="Times New Roman" w:eastAsia="Times New Roman" w:hint="default"/>
        </w:rPr>
        <w:t>14.3.1</w:t>
      </w:r>
      <w:r>
        <w:rPr>
          <w:rFonts w:ascii="Times New Roman" w:hAnsi="Times New Roman" w:cs="Times New Roman" w:eastAsia="Times New Roman" w:hint="default"/>
          <w:spacing w:val="29"/>
        </w:rPr>
        <w:t> </w:t>
      </w:r>
      <w:r>
        <w:rPr/>
        <w:t>成本法后续计量</w:t>
      </w:r>
      <w:r>
        <w:rPr>
          <w:spacing w:val="-103"/>
        </w:rPr>
        <w:t> </w:t>
      </w:r>
      <w:r>
        <w:rPr>
          <w:spacing w:val="-103"/>
        </w:rPr>
      </w:r>
      <w:r>
        <w:rPr/>
        <w:t>公司能够对被投资单位实施控制的长期股权投资采用成本法核算，长期股权投资按照初始投资成本计价。</w:t>
      </w:r>
      <w:r>
        <w:rPr>
          <w:w w:val="100"/>
        </w:rPr>
        <w:t> </w:t>
      </w:r>
      <w:r>
        <w:rPr>
          <w:spacing w:val="-5"/>
        </w:rPr>
        <w:t>追加或收回投资调整长期股权投资的成本。被投资单位宣告分派的现金股利或利润，确认为当期投资收益。</w:t>
      </w:r>
      <w:r>
        <w:rPr>
          <w:spacing w:val="-7"/>
        </w:rPr>
        <w:t> </w:t>
      </w:r>
      <w:r>
        <w:rPr>
          <w:spacing w:val="-7"/>
        </w:rPr>
      </w:r>
      <w:r>
        <w:rPr>
          <w:rFonts w:ascii="Times New Roman" w:hAnsi="Times New Roman" w:cs="Times New Roman" w:eastAsia="Times New Roman" w:hint="default"/>
        </w:rPr>
        <w:t>14.3.2</w:t>
      </w:r>
      <w:r>
        <w:rPr>
          <w:rFonts w:ascii="Times New Roman" w:hAnsi="Times New Roman" w:cs="Times New Roman" w:eastAsia="Times New Roman" w:hint="default"/>
          <w:spacing w:val="29"/>
        </w:rPr>
        <w:t> </w:t>
      </w:r>
      <w:r>
        <w:rPr/>
        <w:t>权益法后续计量</w:t>
      </w:r>
      <w:r>
        <w:rPr>
          <w:spacing w:val="-103"/>
        </w:rPr>
        <w:t> </w:t>
      </w:r>
      <w:r>
        <w:rPr>
          <w:spacing w:val="-103"/>
        </w:rPr>
      </w:r>
      <w:r>
        <w:rPr>
          <w:spacing w:val="-2"/>
        </w:rPr>
        <w:t>公司对联营企业和合营企业的长期股权投资，采用权益法核算，长期股权投资的初始投资成本大于投资时</w:t>
      </w:r>
      <w:r>
        <w:rPr>
          <w:spacing w:val="-43"/>
        </w:rPr>
        <w:t> </w:t>
      </w:r>
      <w:r>
        <w:rPr>
          <w:spacing w:val="-43"/>
        </w:rPr>
      </w:r>
      <w:r>
        <w:rPr>
          <w:spacing w:val="-2"/>
        </w:rPr>
        <w:t>应享有被投资单位可辨认净资产公允价值份额的，不调整长期股权投资的初始投资成本；长期股权投资的</w:t>
      </w:r>
      <w:r>
        <w:rPr>
          <w:spacing w:val="-43"/>
        </w:rPr>
        <w:t> </w:t>
      </w:r>
      <w:r>
        <w:rPr>
          <w:spacing w:val="-43"/>
        </w:rPr>
      </w:r>
      <w:r>
        <w:rPr>
          <w:spacing w:val="-2"/>
        </w:rPr>
        <w:t>初始投资成本小于投资时应享有被投资单位可辨认净资产公允价值份额的，其差额计入当期损益，同时调</w:t>
      </w:r>
      <w:r>
        <w:rPr>
          <w:spacing w:val="-43"/>
        </w:rPr>
        <w:t> </w:t>
      </w:r>
      <w:r>
        <w:rPr>
          <w:spacing w:val="-43"/>
        </w:rPr>
      </w:r>
      <w:r>
        <w:rPr/>
        <w:t>整长期股权投资的成本。</w:t>
      </w:r>
      <w:r>
        <w:rPr>
          <w:w w:val="100"/>
        </w:rPr>
        <w:t> </w:t>
      </w:r>
      <w:r>
        <w:rPr>
          <w:spacing w:val="-2"/>
        </w:rPr>
        <w:t>采用权益法核算时，投资方取得长期股权投资后，按照应享有或应分担的被投资单位实现的净损益和其他</w:t>
      </w:r>
      <w:r>
        <w:rPr>
          <w:spacing w:val="-41"/>
        </w:rPr>
        <w:t> </w:t>
      </w:r>
      <w:r>
        <w:rPr>
          <w:spacing w:val="-41"/>
        </w:rPr>
      </w:r>
      <w:r>
        <w:rPr>
          <w:spacing w:val="-2"/>
        </w:rPr>
        <w:t>综合收益的份额，分别确认投资收益和其他综合收益，同时调整长期股权投资的账面价值；投资方按照被</w:t>
      </w:r>
      <w:r>
        <w:rPr>
          <w:spacing w:val="-44"/>
        </w:rPr>
        <w:t> </w:t>
      </w:r>
      <w:r>
        <w:rPr>
          <w:spacing w:val="-44"/>
        </w:rPr>
      </w:r>
      <w:r>
        <w:rPr>
          <w:spacing w:val="-2"/>
        </w:rPr>
        <w:t>投资单位宣告分派的利润或现金股利计算应享有的部分，相应减少长期股权投资的账面价值；投资方对于</w:t>
      </w:r>
      <w:r>
        <w:rPr>
          <w:spacing w:val="-43"/>
        </w:rPr>
        <w:t> </w:t>
      </w:r>
      <w:r>
        <w:rPr>
          <w:spacing w:val="-43"/>
        </w:rPr>
      </w:r>
      <w:r>
        <w:rPr>
          <w:spacing w:val="-2"/>
        </w:rPr>
        <w:t>被投资单位除净损益、其他综合收益和利润分配以外所有者权益的其他变动，调整长期股权投资的账面价</w:t>
      </w:r>
      <w:r>
        <w:rPr>
          <w:spacing w:val="-44"/>
        </w:rPr>
        <w:t> </w:t>
      </w:r>
      <w:r>
        <w:rPr>
          <w:spacing w:val="-44"/>
        </w:rPr>
      </w:r>
      <w:r>
        <w:rPr>
          <w:spacing w:val="-2"/>
        </w:rPr>
        <w:t>值并计入所有者权益。投资方在确认应享有被投资单位净损益的份额时，以取得投资时被投资单位可辨认</w:t>
      </w:r>
      <w:r>
        <w:rPr>
          <w:spacing w:val="-44"/>
        </w:rPr>
        <w:t> </w:t>
      </w:r>
      <w:r>
        <w:rPr>
          <w:spacing w:val="-44"/>
        </w:rPr>
      </w:r>
      <w:r>
        <w:rPr>
          <w:spacing w:val="-2"/>
        </w:rPr>
        <w:t>净资产的公允价值为基础，对被投资单位的净利润进行调整后确认。被投资单位采用的会计政策及会计期</w:t>
      </w:r>
      <w:r>
        <w:rPr>
          <w:spacing w:val="-44"/>
        </w:rPr>
        <w:t> </w:t>
      </w:r>
      <w:r>
        <w:rPr>
          <w:spacing w:val="-44"/>
        </w:rPr>
      </w:r>
      <w:r>
        <w:rPr>
          <w:spacing w:val="-2"/>
        </w:rPr>
        <w:t>间与投资方不一致的，按照投资方的会计政策及会计期间对被投资单位的财务报表进行调整，并据以确认</w:t>
      </w:r>
      <w:r>
        <w:rPr>
          <w:spacing w:val="-44"/>
        </w:rPr>
        <w:t> </w:t>
      </w:r>
      <w:r>
        <w:rPr>
          <w:spacing w:val="-44"/>
        </w:rPr>
      </w:r>
      <w:r>
        <w:rPr/>
        <w:t>投资收益和其他综合收益等。</w:t>
      </w:r>
      <w:r>
        <w:rPr>
          <w:w w:val="100"/>
        </w:rPr>
        <w:t> </w:t>
      </w:r>
      <w:r>
        <w:rPr>
          <w:spacing w:val="-2"/>
        </w:rPr>
        <w:t>投资方确认被投资单位发生的净亏损，以长期股权投资的账面价值以及其他实质上构成对被投资单位净投</w:t>
      </w:r>
      <w:r>
        <w:rPr>
          <w:spacing w:val="-43"/>
        </w:rPr>
        <w:t> </w:t>
      </w:r>
      <w:r>
        <w:rPr>
          <w:spacing w:val="-43"/>
        </w:rPr>
      </w:r>
      <w:r>
        <w:rPr>
          <w:spacing w:val="-2"/>
        </w:rPr>
        <w:t>资的长期权益减记至零为限，投资方负有承担额外损失义务的除外。被投资单位以后实现净利润的，投资</w:t>
      </w:r>
      <w:r>
        <w:rPr>
          <w:spacing w:val="-43"/>
        </w:rPr>
        <w:t> </w:t>
      </w:r>
      <w:r>
        <w:rPr>
          <w:spacing w:val="-43"/>
        </w:rPr>
      </w:r>
      <w:r>
        <w:rPr/>
        <w:t>方在其收益分享额弥补未确认的亏损分担额后，恢复确认收益分享额。</w:t>
      </w:r>
      <w:r>
        <w:rPr>
          <w:w w:val="100"/>
        </w:rPr>
        <w:t> </w:t>
      </w:r>
      <w:r>
        <w:rPr>
          <w:spacing w:val="-2"/>
        </w:rPr>
        <w:t>投资方计算确认应享有或应分担被投资单位的净损益时，与联营企业、合营企业之间发生的未实现内部交</w:t>
      </w:r>
      <w:r>
        <w:rPr>
          <w:spacing w:val="-43"/>
        </w:rPr>
        <w:t> </w:t>
      </w:r>
      <w:r>
        <w:rPr>
          <w:spacing w:val="-43"/>
        </w:rPr>
      </w:r>
      <w:r>
        <w:rPr>
          <w:spacing w:val="-2"/>
        </w:rPr>
        <w:t>易损益按照应享有的比例计算归属于投资方的部分，予以抵销，在此基础上确认投资收益。投资方与被投</w:t>
      </w:r>
      <w:r>
        <w:rPr>
          <w:spacing w:val="-43"/>
        </w:rPr>
        <w:t> </w:t>
      </w:r>
      <w:r>
        <w:rPr>
          <w:spacing w:val="-43"/>
        </w:rPr>
      </w:r>
      <w:r>
        <w:rPr/>
        <w:t>资单位发生的未实现内部交易损失，按照《企业会计准则第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资产减值》等的有关规定属于资产减</w:t>
      </w:r>
      <w:r>
        <w:rPr>
          <w:w w:val="100"/>
        </w:rPr>
        <w:t> </w:t>
      </w:r>
      <w:r>
        <w:rPr/>
        <w:t>值损失的，全额确认。</w:t>
      </w:r>
      <w:r>
        <w:rPr>
          <w:w w:val="100"/>
        </w:rPr>
        <w:t> </w:t>
      </w:r>
      <w:r>
        <w:rPr>
          <w:spacing w:val="-2"/>
        </w:rPr>
        <w:t>投资方对联营企业的权益性投资，其中一部分通过风险投资机构、共同基金、信托公司或包括投连险基金</w:t>
      </w:r>
      <w:r>
        <w:rPr>
          <w:spacing w:val="-44"/>
        </w:rPr>
        <w:t> </w:t>
      </w:r>
      <w:r>
        <w:rPr>
          <w:spacing w:val="-44"/>
        </w:rPr>
      </w:r>
      <w:r>
        <w:rPr>
          <w:spacing w:val="-2"/>
        </w:rPr>
        <w:t>在内的类似主体间接持有的，无论以上主体是否对这部分投资具有重大影响，投资方都按照金融工具政策</w:t>
      </w:r>
      <w:r>
        <w:rPr>
          <w:spacing w:val="-44"/>
        </w:rPr>
        <w:t> </w:t>
      </w:r>
      <w:r>
        <w:rPr>
          <w:spacing w:val="-44"/>
        </w:rPr>
      </w:r>
      <w:r>
        <w:rPr>
          <w:spacing w:val="-2"/>
        </w:rPr>
        <w:t>的有关规定，对间接持有的该部分投资选择以公允价值计量且其变动计入损益，并对其余部分采用权益法</w:t>
      </w:r>
      <w:r>
        <w:rPr>
          <w:spacing w:val="-44"/>
        </w:rPr>
        <w:t> </w:t>
      </w:r>
      <w:r>
        <w:rPr>
          <w:spacing w:val="-44"/>
        </w:rPr>
      </w:r>
      <w:r>
        <w:rPr/>
        <w:t>核算。</w:t>
      </w:r>
    </w:p>
    <w:p>
      <w:pPr>
        <w:pStyle w:val="BodyText"/>
        <w:spacing w:line="261" w:lineRule="auto" w:before="10"/>
        <w:ind w:right="0"/>
        <w:jc w:val="left"/>
      </w:pPr>
      <w:r>
        <w:rPr>
          <w:rFonts w:ascii="Times New Roman" w:hAnsi="Times New Roman" w:cs="Times New Roman" w:eastAsia="Times New Roman" w:hint="default"/>
        </w:rPr>
        <w:t>14.3.3</w:t>
      </w:r>
      <w:r>
        <w:rPr>
          <w:rFonts w:ascii="Times New Roman" w:hAnsi="Times New Roman" w:cs="Times New Roman" w:eastAsia="Times New Roman" w:hint="default"/>
          <w:spacing w:val="29"/>
        </w:rPr>
        <w:t> </w:t>
      </w:r>
      <w:r>
        <w:rPr/>
        <w:t>因追加投资等原因能够对被投资单位施加重大影响或实施共同控制但不构成控制的处理</w:t>
      </w:r>
      <w:r>
        <w:rPr>
          <w:w w:val="100"/>
        </w:rPr>
        <w:t> </w:t>
      </w:r>
      <w:r>
        <w:rPr>
          <w:spacing w:val="-2"/>
        </w:rPr>
        <w:t>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金融工具确认和计量》确定的原持有的股权投资的公允价值加上新增投资</w:t>
      </w:r>
      <w:r>
        <w:rPr>
          <w:spacing w:val="-41"/>
        </w:rPr>
        <w:t> </w:t>
      </w:r>
      <w:r>
        <w:rPr>
          <w:spacing w:val="-41"/>
        </w:rPr>
      </w:r>
      <w:r>
        <w:rPr>
          <w:spacing w:val="-2"/>
        </w:rPr>
        <w:t>成本之和，作为改按权益法核算的初始投资成本。原持有的股权投资分类为可供出售金融资产的，其公允</w:t>
      </w:r>
      <w:r>
        <w:rPr>
          <w:spacing w:val="-44"/>
        </w:rPr>
        <w:t> </w:t>
      </w:r>
      <w:r>
        <w:rPr>
          <w:spacing w:val="-44"/>
        </w:rPr>
      </w:r>
      <w:r>
        <w:rPr>
          <w:spacing w:val="-2"/>
        </w:rPr>
        <w:t>价值与账面价值之间的差额，以及原计入其他综合收益的累计公允价值变动转入改按权益法核算的当期损</w:t>
      </w:r>
    </w:p>
    <w:p>
      <w:pPr>
        <w:spacing w:after="0" w:line="261"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益。</w:t>
      </w:r>
    </w:p>
    <w:p>
      <w:pPr>
        <w:pStyle w:val="BodyText"/>
        <w:spacing w:line="266" w:lineRule="auto" w:before="37"/>
        <w:ind w:right="0"/>
        <w:jc w:val="left"/>
      </w:pPr>
      <w:r>
        <w:rPr>
          <w:rFonts w:ascii="Times New Roman" w:hAnsi="Times New Roman" w:cs="Times New Roman" w:eastAsia="Times New Roman" w:hint="default"/>
        </w:rPr>
        <w:t>14.3.4</w:t>
      </w:r>
      <w:r>
        <w:rPr/>
        <w:t>处置部分股权的处理</w:t>
      </w:r>
      <w:r>
        <w:rPr>
          <w:w w:val="100"/>
        </w:rPr>
        <w:t> </w:t>
      </w:r>
      <w:r>
        <w:rPr>
          <w:spacing w:val="-2"/>
        </w:rPr>
        <w:t>因处置部分股权投资等原因丧失了对被投资单位的共同控制或重大影响的，处置后的剩余股权改按本附注</w:t>
      </w:r>
      <w:r>
        <w:rPr>
          <w:spacing w:val="-43"/>
        </w:rPr>
        <w:t> </w:t>
      </w:r>
      <w:r>
        <w:rPr>
          <w:spacing w:val="-43"/>
        </w:rPr>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的政策核算，其在丧失共同控制或重大影响之日的公允价值与账面价值之间的差额计入当期损</w:t>
      </w:r>
      <w:r>
        <w:rPr>
          <w:w w:val="100"/>
        </w:rPr>
        <w:t> </w:t>
      </w:r>
      <w:r>
        <w:rPr>
          <w:spacing w:val="-2"/>
        </w:rPr>
        <w:t>益。原股权投资因采用权益法核算而确认的其他综合收益，在终止采用权益法核算时采用与被投资单位直</w:t>
      </w:r>
      <w:r>
        <w:rPr>
          <w:spacing w:val="-44"/>
        </w:rPr>
        <w:t> </w:t>
      </w:r>
      <w:r>
        <w:rPr>
          <w:spacing w:val="-44"/>
        </w:rPr>
      </w:r>
      <w:r>
        <w:rPr/>
        <w:t>接处置相关资产或负债相同的基础进行会计处理。</w:t>
      </w:r>
      <w:r>
        <w:rPr>
          <w:w w:val="100"/>
        </w:rPr>
        <w:t> </w:t>
      </w:r>
      <w:r>
        <w:rPr/>
        <w:t>因处置部分权益性投资等原因丧失了对被投资单位的控制的，在编制个别财务报表时，处置后的剩余股权</w:t>
      </w:r>
      <w:r>
        <w:rPr>
          <w:w w:val="100"/>
        </w:rPr>
        <w:t> </w:t>
      </w:r>
      <w:r>
        <w:rPr>
          <w:spacing w:val="-2"/>
        </w:rPr>
        <w:t>能够对被投资单位实施共同控制或施加重大影响的，改按权益法核算，并对该剩余股权视同自取得时即采</w:t>
      </w:r>
      <w:r>
        <w:rPr>
          <w:spacing w:val="-43"/>
        </w:rPr>
        <w:t> </w:t>
      </w:r>
      <w:r>
        <w:rPr>
          <w:spacing w:val="-43"/>
        </w:rPr>
      </w:r>
      <w:r>
        <w:rPr/>
        <w:t>用权益法核算进行调整；处置后的剩余股权不能对被投资单位实施共同控制或施加重大影响的，改按本附</w:t>
      </w:r>
      <w:r>
        <w:rPr>
          <w:w w:val="100"/>
        </w:rPr>
        <w:t> </w:t>
      </w:r>
      <w:r>
        <w:rPr>
          <w:spacing w:val="-4"/>
          <w:w w:val="100"/>
        </w:rPr>
        <w:t>注</w:t>
      </w:r>
      <w:r>
        <w:rPr>
          <w:rFonts w:ascii="Times New Roman" w:hAnsi="Times New Roman" w:cs="Times New Roman" w:eastAsia="Times New Roman" w:hint="default"/>
          <w:spacing w:val="-4"/>
          <w:w w:val="100"/>
        </w:rPr>
        <w:t>“</w:t>
      </w:r>
      <w:r>
        <w:rPr>
          <w:spacing w:val="-4"/>
          <w:w w:val="100"/>
        </w:rPr>
        <w:t>金融工具</w:t>
      </w:r>
      <w:r>
        <w:rPr>
          <w:rFonts w:ascii="Times New Roman" w:hAnsi="Times New Roman" w:cs="Times New Roman" w:eastAsia="Times New Roman" w:hint="default"/>
          <w:spacing w:val="-4"/>
          <w:w w:val="100"/>
        </w:rPr>
        <w:t>”</w:t>
      </w:r>
      <w:r>
        <w:rPr>
          <w:spacing w:val="-4"/>
          <w:w w:val="100"/>
        </w:rPr>
        <w:t>的有关政策进行会计处理，其在丧失控制之日的公允价值与账面价值间的差额计入当期损益。</w:t>
      </w:r>
      <w:r>
        <w:rPr>
          <w:spacing w:val="-84"/>
          <w:w w:val="100"/>
        </w:rPr>
        <w:t> </w:t>
      </w:r>
      <w:r>
        <w:rPr>
          <w:spacing w:val="-84"/>
          <w:w w:val="100"/>
        </w:rPr>
      </w:r>
      <w:r>
        <w:rPr/>
        <w:t>在编制合并财务报表时，按照本附注</w:t>
      </w:r>
      <w:r>
        <w:rPr>
          <w:rFonts w:ascii="Times New Roman" w:hAnsi="Times New Roman" w:cs="Times New Roman" w:eastAsia="Times New Roman" w:hint="default"/>
        </w:rPr>
        <w:t>“</w:t>
      </w:r>
      <w:r>
        <w:rPr/>
        <w:t>合并财务报表的编制方法</w:t>
      </w:r>
      <w:r>
        <w:rPr>
          <w:rFonts w:ascii="Times New Roman" w:hAnsi="Times New Roman" w:cs="Times New Roman" w:eastAsia="Times New Roman" w:hint="default"/>
        </w:rPr>
        <w:t>”</w:t>
      </w:r>
      <w:r>
        <w:rPr/>
        <w:t>的相关内容处理。</w:t>
      </w:r>
      <w:r>
        <w:rPr>
          <w:w w:val="100"/>
        </w:rPr>
        <w:t> </w:t>
      </w:r>
      <w:r>
        <w:rPr>
          <w:rFonts w:ascii="Times New Roman" w:hAnsi="Times New Roman" w:cs="Times New Roman" w:eastAsia="Times New Roman" w:hint="default"/>
        </w:rPr>
        <w:t>14.3.5</w:t>
      </w:r>
      <w:r>
        <w:rPr/>
        <w:t>对联营企业或合营企业的权益性投资全部或部分分类为持有待售资产的处理</w:t>
      </w:r>
      <w:r>
        <w:rPr>
          <w:w w:val="100"/>
        </w:rPr>
        <w:t> </w:t>
      </w:r>
      <w:r>
        <w:rPr>
          <w:spacing w:val="-2"/>
        </w:rPr>
        <w:t>分类为持有待售资产的对联营企业或合营企业的权益性投资，以账面价值与公允价值减去处置费用孰低的</w:t>
      </w:r>
      <w:r>
        <w:rPr>
          <w:spacing w:val="-43"/>
        </w:rPr>
        <w:t> </w:t>
      </w:r>
      <w:r>
        <w:rPr>
          <w:spacing w:val="-43"/>
        </w:rPr>
      </w:r>
      <w:r>
        <w:rPr>
          <w:spacing w:val="-2"/>
        </w:rPr>
        <w:t>金额列示，公允价值减去处置费用低于原账面价值的金额，确认为资产减值损失。对于未划分为持有待售</w:t>
      </w:r>
      <w:r>
        <w:rPr>
          <w:spacing w:val="-44"/>
        </w:rPr>
        <w:t> </w:t>
      </w:r>
      <w:r>
        <w:rPr>
          <w:spacing w:val="-44"/>
        </w:rPr>
      </w:r>
      <w:r>
        <w:rPr>
          <w:spacing w:val="-2"/>
        </w:rPr>
        <w:t>资产的剩余权益性投资，采用权益法进行会计处理。已划分为持有待售的对联营企业或合营企业的权益性</w:t>
      </w:r>
      <w:r>
        <w:rPr>
          <w:spacing w:val="-43"/>
        </w:rPr>
        <w:t> </w:t>
      </w:r>
      <w:r>
        <w:rPr>
          <w:spacing w:val="-43"/>
        </w:rPr>
      </w:r>
      <w:r>
        <w:rPr>
          <w:spacing w:val="-2"/>
        </w:rPr>
        <w:t>投资，不再符合持有待售资产分类条件的，从被分类为持有待售资产之日起采用权益法进行追溯调整。分</w:t>
      </w:r>
      <w:r>
        <w:rPr>
          <w:spacing w:val="-44"/>
        </w:rPr>
        <w:t> </w:t>
      </w:r>
      <w:r>
        <w:rPr>
          <w:spacing w:val="-44"/>
        </w:rPr>
      </w:r>
      <w:r>
        <w:rPr/>
        <w:t>类为持有待售期间的财务报表作相应调整。</w:t>
      </w:r>
    </w:p>
    <w:p>
      <w:pPr>
        <w:pStyle w:val="BodyText"/>
        <w:spacing w:line="266" w:lineRule="auto" w:before="14"/>
        <w:ind w:right="0"/>
        <w:jc w:val="left"/>
      </w:pPr>
      <w:r>
        <w:rPr>
          <w:rFonts w:ascii="Times New Roman" w:hAnsi="Times New Roman" w:cs="Times New Roman" w:eastAsia="Times New Roman" w:hint="default"/>
        </w:rPr>
        <w:t>14.3.6</w:t>
      </w:r>
      <w:r>
        <w:rPr>
          <w:rFonts w:ascii="Times New Roman" w:hAnsi="Times New Roman" w:cs="Times New Roman" w:eastAsia="Times New Roman" w:hint="default"/>
          <w:spacing w:val="29"/>
        </w:rPr>
        <w:t> </w:t>
      </w:r>
      <w:r>
        <w:rPr/>
        <w:t>处置长期股权投资的处理</w:t>
      </w:r>
      <w:r>
        <w:rPr>
          <w:spacing w:val="-101"/>
        </w:rPr>
        <w:t> </w:t>
      </w:r>
      <w:r>
        <w:rPr>
          <w:spacing w:val="-101"/>
        </w:rPr>
      </w:r>
      <w:r>
        <w:rPr>
          <w:spacing w:val="-2"/>
        </w:rPr>
        <w:t>处置长期股权投资，其账面价值与实际取得价款之间的差额，计入当期损益。采用权益法核算的长期股权</w:t>
      </w:r>
      <w:r>
        <w:rPr>
          <w:spacing w:val="-44"/>
        </w:rPr>
        <w:t> </w:t>
      </w:r>
      <w:r>
        <w:rPr>
          <w:spacing w:val="-44"/>
        </w:rPr>
      </w:r>
      <w:r>
        <w:rPr>
          <w:spacing w:val="-2"/>
        </w:rPr>
        <w:t>投资，在处置该项投资时，采用与被投资单位直接处置相关资产或负债相同的基础，按相应比例对原计入</w:t>
      </w:r>
      <w:r>
        <w:rPr>
          <w:spacing w:val="-44"/>
        </w:rPr>
        <w:t> </w:t>
      </w:r>
      <w:r>
        <w:rPr>
          <w:spacing w:val="-44"/>
        </w:rPr>
      </w:r>
      <w:r>
        <w:rPr/>
        <w:t>其他综合收益的部分进行会计处理。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803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spacing w:line="316"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固定资产是指为生产商品、提供劳务、出租或经营管理而持有的，使用寿命超过一个会计年度的有形资产。固定资产同时满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足下列条件的，才能予以确认：</w:t>
      </w:r>
      <w:r>
        <w:rPr>
          <w:rFonts w:ascii="Times New Roman" w:hAnsi="Times New Roman" w:cs="Times New Roman" w:eastAsia="Times New Roman" w:hint="default"/>
          <w:sz w:val="18"/>
          <w:szCs w:val="18"/>
        </w:rPr>
        <w:t>(1)</w:t>
      </w:r>
      <w:r>
        <w:rPr>
          <w:rFonts w:ascii="宋体" w:hAnsi="宋体" w:cs="宋体" w:eastAsia="宋体" w:hint="default"/>
          <w:sz w:val="18"/>
          <w:szCs w:val="18"/>
        </w:rPr>
        <w:t>与该固定资产有关的经济利益很可能流入企业；</w:t>
      </w:r>
      <w:r>
        <w:rPr>
          <w:rFonts w:ascii="Times New Roman" w:hAnsi="Times New Roman" w:cs="Times New Roman" w:eastAsia="Times New Roman" w:hint="default"/>
          <w:sz w:val="18"/>
          <w:szCs w:val="18"/>
        </w:rPr>
        <w:t>(2)</w:t>
      </w:r>
      <w:r>
        <w:rPr>
          <w:rFonts w:ascii="宋体" w:hAnsi="宋体" w:cs="宋体" w:eastAsia="宋体" w:hint="default"/>
          <w:sz w:val="18"/>
          <w:szCs w:val="18"/>
        </w:rPr>
        <w:t>该固定资产的成本能够可靠地计量。</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20"/>
        </w:sectPr>
      </w:pPr>
    </w:p>
    <w:p>
      <w:pPr>
        <w:spacing w:line="240" w:lineRule="auto" w:before="10"/>
        <w:rPr>
          <w:rFonts w:ascii="宋体" w:hAnsi="宋体" w:cs="宋体" w:eastAsia="宋体" w:hint="default"/>
          <w:b/>
          <w:bCs/>
          <w:sz w:val="24"/>
          <w:szCs w:val="24"/>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46"/>
        <w:jc w:val="both"/>
      </w:pPr>
      <w:r>
        <w:rPr>
          <w:spacing w:val="-2"/>
        </w:rPr>
        <w:t>在建工程按实际发生的成本计量。实际成本包括建筑费用、其他为使在建工程达到预定可使用状态所发生</w:t>
      </w:r>
      <w:r>
        <w:rPr>
          <w:spacing w:val="-44"/>
        </w:rPr>
        <w:t> </w:t>
      </w:r>
      <w:r>
        <w:rPr>
          <w:spacing w:val="-44"/>
        </w:rPr>
      </w:r>
      <w:r>
        <w:rPr>
          <w:spacing w:val="-2"/>
        </w:rPr>
        <w:t>的必要支出以及在资产达到预定可使用状态之前所发生的符合资本化条件的借款费用。在建工程在达到预</w:t>
      </w:r>
      <w:r>
        <w:rPr>
          <w:spacing w:val="-43"/>
        </w:rPr>
        <w:t> </w:t>
      </w:r>
      <w:r>
        <w:rPr>
          <w:spacing w:val="-43"/>
        </w:rPr>
      </w:r>
      <w:r>
        <w:rPr/>
        <w:t>定可使用状态时，转入固定资产并自次月起开始计提折旧。</w:t>
      </w:r>
    </w:p>
    <w:p>
      <w:pPr>
        <w:spacing w:line="240" w:lineRule="auto" w:before="7"/>
        <w:rPr>
          <w:rFonts w:ascii="宋体" w:hAnsi="宋体" w:cs="宋体" w:eastAsia="宋体" w:hint="default"/>
          <w:sz w:val="23"/>
          <w:szCs w:val="23"/>
        </w:rPr>
      </w:pPr>
    </w:p>
    <w:p>
      <w:pPr>
        <w:pStyle w:val="Heading4"/>
        <w:spacing w:line="240" w:lineRule="auto"/>
        <w:ind w:right="146"/>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10"/>
        <w:rPr>
          <w:rFonts w:ascii="宋体" w:hAnsi="宋体" w:cs="宋体" w:eastAsia="宋体" w:hint="default"/>
          <w:b/>
          <w:bCs/>
          <w:sz w:val="24"/>
          <w:szCs w:val="24"/>
        </w:rPr>
      </w:pPr>
    </w:p>
    <w:p>
      <w:pPr>
        <w:pStyle w:val="BodyText"/>
        <w:spacing w:line="271" w:lineRule="auto"/>
        <w:ind w:right="146"/>
        <w:jc w:val="left"/>
      </w:pPr>
      <w:r>
        <w:rPr/>
        <w:t>发生的可直接归属于需要经过相当长时间的购建活动才能达到预定可使用状态之固定资产的购建的借款</w:t>
      </w:r>
      <w:r>
        <w:rPr>
          <w:w w:val="100"/>
        </w:rPr>
        <w:t> </w:t>
      </w:r>
      <w:r>
        <w:rPr>
          <w:spacing w:val="-2"/>
        </w:rPr>
        <w:t>费用，在资产支出及借款费用已经发生、为使资产达到预定可使用状态所必要的购建活动已经开始时，开</w:t>
      </w:r>
      <w:r>
        <w:rPr>
          <w:spacing w:val="-44"/>
        </w:rPr>
        <w:t> </w:t>
      </w:r>
      <w:r>
        <w:rPr>
          <w:spacing w:val="-44"/>
        </w:rPr>
      </w:r>
      <w:r>
        <w:rPr>
          <w:spacing w:val="-2"/>
        </w:rPr>
        <w:t>始资本化并计入该资产的成本。当购建的资产达到预定可使用状态时停止资本化，其后发生的借款费用计</w:t>
      </w:r>
      <w:r>
        <w:rPr>
          <w:spacing w:val="-42"/>
        </w:rPr>
        <w:t> </w:t>
      </w:r>
      <w:r>
        <w:rPr>
          <w:spacing w:val="-42"/>
        </w:rPr>
      </w:r>
      <w:r>
        <w:rPr/>
        <w:t>入当期损益。如果资产的购建活动发生非正常中断，并且中断时间连续超过</w:t>
      </w:r>
      <w:r>
        <w:rPr>
          <w:rFonts w:ascii="Times New Roman" w:hAnsi="Times New Roman" w:cs="Times New Roman" w:eastAsia="Times New Roman" w:hint="default"/>
        </w:rPr>
        <w:t>3</w:t>
      </w:r>
      <w:r>
        <w:rPr/>
        <w:t>个月，暂停借款费用的资本</w:t>
      </w:r>
      <w:r>
        <w:rPr>
          <w:w w:val="100"/>
        </w:rPr>
        <w:t> </w:t>
      </w:r>
      <w:r>
        <w:rPr/>
        <w:t>化，直至资产的购建活动重新开始。</w:t>
      </w:r>
      <w:r>
        <w:rPr>
          <w:w w:val="100"/>
        </w:rPr>
        <w:t> </w:t>
      </w:r>
      <w:r>
        <w:rPr>
          <w:spacing w:val="-2"/>
        </w:rPr>
        <w:t>在资本化期间内，专门借款（指为购建或者生产符合资本化条件的资产而专门借入的款项）以专门借款当</w:t>
      </w:r>
      <w:r>
        <w:rPr>
          <w:spacing w:val="-45"/>
        </w:rPr>
        <w:t> </w:t>
      </w:r>
      <w:r>
        <w:rPr>
          <w:spacing w:val="-45"/>
        </w:rPr>
      </w:r>
      <w:r>
        <w:rPr>
          <w:spacing w:val="-2"/>
        </w:rPr>
        <w:t>期实际发生的利息费用，减去将尚未动用的借款资金存入银行取得的利息收入或进行暂时性投资取得的投</w:t>
      </w:r>
      <w:r>
        <w:rPr>
          <w:spacing w:val="-43"/>
        </w:rPr>
        <w:t> </w:t>
      </w:r>
      <w:r>
        <w:rPr>
          <w:spacing w:val="-43"/>
        </w:rPr>
      </w:r>
      <w:r>
        <w:rPr>
          <w:spacing w:val="-2"/>
        </w:rPr>
        <w:t>资收益后确定应予资本化的利息金额；一般借款则根据累计资产支出超过专门借款部分的资产支出加权平</w:t>
      </w:r>
      <w:r>
        <w:rPr>
          <w:spacing w:val="-43"/>
        </w:rPr>
        <w:t> </w:t>
      </w:r>
      <w:r>
        <w:rPr>
          <w:spacing w:val="-43"/>
        </w:rPr>
      </w:r>
      <w:r>
        <w:rPr>
          <w:spacing w:val="-2"/>
        </w:rPr>
        <w:t>均数乘以所占用一般借款的资本化率，计算确定一般借款应予资本化的利息金额。资本化率根据一般借款</w:t>
      </w:r>
      <w:r>
        <w:rPr>
          <w:spacing w:val="-43"/>
        </w:rPr>
        <w:t> </w:t>
      </w:r>
      <w:r>
        <w:rPr>
          <w:spacing w:val="-43"/>
        </w:rPr>
      </w:r>
      <w:r>
        <w:rPr/>
        <w:t>加权平均利率计算确定。</w:t>
      </w:r>
      <w:r>
        <w:rPr>
          <w:w w:val="100"/>
        </w:rPr>
        <w:t> </w:t>
      </w:r>
      <w:r>
        <w:rPr>
          <w:spacing w:val="-2"/>
        </w:rPr>
        <w:t>借款存在折价或者溢价的，按照实际利率法确定每一会计期间应摊销的折价或者溢价金额，调整每期利息</w:t>
      </w:r>
      <w:r>
        <w:rPr>
          <w:spacing w:val="-43"/>
        </w:rPr>
        <w:t> </w:t>
      </w:r>
      <w:r>
        <w:rPr>
          <w:spacing w:val="-43"/>
        </w:rPr>
      </w:r>
      <w:r>
        <w:rPr/>
        <w:t>金额。</w:t>
      </w:r>
    </w:p>
    <w:p>
      <w:pPr>
        <w:spacing w:line="240" w:lineRule="auto" w:before="9"/>
        <w:rPr>
          <w:rFonts w:ascii="宋体" w:hAnsi="宋体" w:cs="宋体" w:eastAsia="宋体" w:hint="default"/>
          <w:sz w:val="23"/>
          <w:szCs w:val="23"/>
        </w:rPr>
      </w:pPr>
    </w:p>
    <w:p>
      <w:pPr>
        <w:pStyle w:val="Heading4"/>
        <w:spacing w:line="240" w:lineRule="auto"/>
        <w:ind w:right="146"/>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0"/>
        <w:rPr>
          <w:rFonts w:ascii="宋体" w:hAnsi="宋体" w:cs="宋体" w:eastAsia="宋体" w:hint="default"/>
          <w:b/>
          <w:bCs/>
          <w:sz w:val="24"/>
          <w:szCs w:val="24"/>
        </w:rPr>
      </w:pPr>
    </w:p>
    <w:p>
      <w:pPr>
        <w:pStyle w:val="BodyText"/>
        <w:spacing w:line="268" w:lineRule="auto"/>
        <w:ind w:right="146"/>
        <w:jc w:val="left"/>
      </w:pPr>
      <w:r>
        <w:rPr>
          <w:spacing w:val="-2"/>
        </w:rPr>
        <w:t>无形资产包括土地使用权、专利权及非专利技术、通过建设经营移交方式</w:t>
      </w:r>
      <w:r>
        <w:rPr>
          <w:rFonts w:ascii="Times New Roman" w:hAnsi="Times New Roman" w:cs="Times New Roman" w:eastAsia="Times New Roman" w:hint="default"/>
          <w:spacing w:val="-2"/>
        </w:rPr>
        <w:t>(BOT)</w:t>
      </w:r>
      <w:r>
        <w:rPr>
          <w:spacing w:val="-2"/>
        </w:rPr>
        <w:t>取得的资产等。无形资产</w:t>
      </w:r>
      <w:r>
        <w:rPr>
          <w:spacing w:val="-18"/>
        </w:rPr>
        <w:t> </w:t>
      </w:r>
      <w:r>
        <w:rPr>
          <w:spacing w:val="-18"/>
        </w:rPr>
      </w:r>
      <w:r>
        <w:rPr>
          <w:spacing w:val="-2"/>
        </w:rPr>
        <w:t>以实际成本计量。公司制改建时国有股股东投入的无形资产，按国有资产管理部门确认的评估值作为入账</w:t>
      </w:r>
      <w:r>
        <w:rPr>
          <w:spacing w:val="-43"/>
        </w:rPr>
        <w:t> </w:t>
      </w:r>
      <w:r>
        <w:rPr>
          <w:spacing w:val="-43"/>
        </w:rPr>
      </w:r>
      <w:r>
        <w:rPr/>
        <w:t>价值。</w:t>
      </w:r>
      <w:r>
        <w:rPr>
          <w:spacing w:val="-102"/>
        </w:rPr>
        <w:t> </w:t>
      </w:r>
      <w:r>
        <w:rPr/>
        <w:t>土地使用权按使用年限年平均摊销。外购土地及建筑物的价款难以在土地使用权与建筑物之间合理分配</w:t>
      </w:r>
      <w:r>
        <w:rPr>
          <w:w w:val="100"/>
        </w:rPr>
        <w:t> </w:t>
      </w:r>
      <w:r>
        <w:rPr>
          <w:spacing w:val="-2"/>
        </w:rPr>
        <w:t>的，全部作为固定资产。专利权按法律规定的有效年限年平均摊销。通过</w:t>
      </w:r>
      <w:r>
        <w:rPr>
          <w:rFonts w:ascii="Times New Roman" w:hAnsi="Times New Roman" w:cs="Times New Roman" w:eastAsia="Times New Roman" w:hint="default"/>
          <w:spacing w:val="-2"/>
        </w:rPr>
        <w:t>BOT</w:t>
      </w:r>
      <w:r>
        <w:rPr>
          <w:spacing w:val="-2"/>
        </w:rPr>
        <w:t>方式取得的资产按基础设施</w:t>
      </w:r>
      <w:r>
        <w:rPr>
          <w:spacing w:val="-46"/>
        </w:rPr>
        <w:t> </w:t>
      </w:r>
      <w:r>
        <w:rPr>
          <w:spacing w:val="-46"/>
        </w:rPr>
      </w:r>
      <w:r>
        <w:rPr/>
        <w:t>经营权期限年平均摊销。</w:t>
      </w:r>
      <w:r>
        <w:rPr>
          <w:w w:val="100"/>
        </w:rPr>
        <w:t> </w:t>
      </w:r>
      <w:r>
        <w:rPr/>
        <w:t>对使用寿命有限的无形资产的预计使用寿命及摊销方法于每年年度终了进行复核并作适当调整。</w:t>
      </w:r>
    </w:p>
    <w:p>
      <w:pPr>
        <w:spacing w:line="240" w:lineRule="auto" w:before="11"/>
        <w:rPr>
          <w:rFonts w:ascii="宋体" w:hAnsi="宋体" w:cs="宋体" w:eastAsia="宋体" w:hint="default"/>
          <w:sz w:val="23"/>
          <w:szCs w:val="23"/>
        </w:rPr>
      </w:pPr>
    </w:p>
    <w:p>
      <w:pPr>
        <w:pStyle w:val="Heading4"/>
        <w:spacing w:line="240" w:lineRule="auto"/>
        <w:ind w:right="146"/>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46"/>
        <w:jc w:val="left"/>
      </w:pPr>
      <w:r>
        <w:rPr>
          <w:spacing w:val="-2"/>
        </w:rPr>
        <w:t>根据内部研究开发项目支出的性质以及研发活动最终形成无形资产是否具有较大不确定性，分为研究阶段</w:t>
      </w:r>
      <w:r>
        <w:rPr>
          <w:spacing w:val="-43"/>
        </w:rPr>
        <w:t> </w:t>
      </w:r>
      <w:r>
        <w:rPr>
          <w:spacing w:val="-43"/>
        </w:rPr>
      </w:r>
      <w:r>
        <w:rPr/>
        <w:t>支出和开发阶段支出。</w:t>
      </w:r>
      <w:r>
        <w:rPr>
          <w:w w:val="100"/>
        </w:rPr>
        <w:t> </w:t>
      </w:r>
      <w:r>
        <w:rPr/>
        <w:t>研究阶段的支出，于发生时计入当期损益；开发阶段的支出，同时满足下列条件的，确认为无形资产：</w:t>
      </w:r>
      <w:r>
        <w:rPr>
          <w:w w:val="100"/>
        </w:rPr>
        <w:t> </w:t>
      </w:r>
      <w:r>
        <w:rPr>
          <w:rFonts w:ascii="Times New Roman" w:hAnsi="Times New Roman" w:cs="Times New Roman" w:eastAsia="Times New Roman" w:hint="default"/>
        </w:rPr>
        <w:t>1</w:t>
      </w:r>
      <w:r>
        <w:rPr/>
        <w:t>）完成该无形资产以使其能够使用或出售在技术上具有可行性；</w:t>
      </w:r>
    </w:p>
    <w:p>
      <w:pPr>
        <w:spacing w:after="0" w:line="273"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rFonts w:ascii="Times New Roman" w:hAnsi="Times New Roman" w:cs="Times New Roman" w:eastAsia="Times New Roman" w:hint="default"/>
        </w:rPr>
        <w:t>2</w:t>
      </w:r>
      <w:r>
        <w:rPr/>
        <w:t>）管理层具有完成该无形资产并使用或出售的意图；</w:t>
      </w:r>
    </w:p>
    <w:p>
      <w:pPr>
        <w:pStyle w:val="BodyText"/>
        <w:spacing w:line="240" w:lineRule="auto" w:before="21"/>
        <w:ind w:right="0"/>
        <w:jc w:val="left"/>
      </w:pPr>
      <w:r>
        <w:rPr>
          <w:rFonts w:ascii="Times New Roman" w:hAnsi="Times New Roman" w:cs="Times New Roman" w:eastAsia="Times New Roman" w:hint="default"/>
        </w:rPr>
        <w:t>3</w:t>
      </w:r>
      <w:r>
        <w:rPr/>
        <w:t>）能够证明该无形资产将如何产生经济利益；</w:t>
      </w:r>
    </w:p>
    <w:p>
      <w:pPr>
        <w:pStyle w:val="BodyText"/>
        <w:spacing w:line="256" w:lineRule="auto" w:before="21"/>
        <w:ind w:right="0"/>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w:t>
      </w:r>
      <w:r>
        <w:rPr>
          <w:spacing w:val="-22"/>
        </w:rPr>
        <w:t> </w:t>
      </w:r>
      <w:r>
        <w:rPr>
          <w:spacing w:val="-22"/>
        </w:rPr>
      </w:r>
      <w:r>
        <w:rPr/>
        <w:t>产；</w:t>
      </w:r>
    </w:p>
    <w:p>
      <w:pPr>
        <w:pStyle w:val="BodyText"/>
        <w:spacing w:line="266" w:lineRule="auto" w:before="22"/>
        <w:ind w:right="0"/>
        <w:jc w:val="left"/>
      </w:pPr>
      <w:r>
        <w:rPr>
          <w:rFonts w:ascii="Times New Roman" w:hAnsi="Times New Roman" w:cs="Times New Roman" w:eastAsia="Times New Roman" w:hint="default"/>
        </w:rPr>
        <w:t>5</w:t>
      </w:r>
      <w:r>
        <w:rPr/>
        <w:t>）归属于该无形资产开发阶段的支出能够可靠地计量。</w:t>
      </w:r>
      <w:r>
        <w:rPr>
          <w:w w:val="100"/>
        </w:rPr>
        <w:t> </w:t>
      </w:r>
      <w:r>
        <w:rPr>
          <w:spacing w:val="-2"/>
        </w:rPr>
        <w:t>不满足上述条件的开发阶段的支出，于发生时计入当期损益。前期已计入损益的开发支出不在以后期间确</w:t>
      </w:r>
      <w:r>
        <w:rPr>
          <w:spacing w:val="-42"/>
        </w:rPr>
        <w:t> </w:t>
      </w:r>
      <w:r>
        <w:rPr>
          <w:spacing w:val="-42"/>
        </w:rPr>
      </w:r>
      <w:r>
        <w:rPr>
          <w:spacing w:val="-2"/>
        </w:rPr>
        <w:t>认为资产。已资本化的开发阶段的支出在资产负债表上列示为开发支出，自该项目达到预定可使用状态之</w:t>
      </w:r>
      <w:r>
        <w:rPr>
          <w:spacing w:val="-43"/>
        </w:rPr>
        <w:t> </w:t>
      </w:r>
      <w:r>
        <w:rPr>
          <w:spacing w:val="-43"/>
        </w:rPr>
      </w:r>
      <w:r>
        <w:rPr/>
        <w:t>日起转为无形资产。</w:t>
      </w:r>
    </w:p>
    <w:p>
      <w:pPr>
        <w:pStyle w:val="BodyText"/>
        <w:spacing w:line="240" w:lineRule="auto" w:before="14"/>
        <w:ind w:right="0"/>
        <w:jc w:val="left"/>
      </w:pPr>
      <w:r>
        <w:rPr/>
        <w:t>当开发支出的可收回金额低于其账面价值时，账面价值减记至可收回金额。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06"/>
        <w:jc w:val="both"/>
      </w:pPr>
      <w:r>
        <w:rPr>
          <w:spacing w:val="-2"/>
        </w:rPr>
        <w:t>在财务报表中单独列示的商誉和使用寿命不确定的无形资产，无论是否存在减值迹象，至少每年进行减值</w:t>
      </w:r>
      <w:r>
        <w:rPr>
          <w:spacing w:val="-42"/>
        </w:rPr>
        <w:t> </w:t>
      </w:r>
      <w:r>
        <w:rPr>
          <w:spacing w:val="-42"/>
        </w:rPr>
      </w:r>
      <w:r>
        <w:rPr>
          <w:spacing w:val="-2"/>
        </w:rPr>
        <w:t>测试。固定资产、无形资产、以成本模式计量的投资性房地产及长期股权投资等，于资产负债表日存在减</w:t>
      </w:r>
      <w:r>
        <w:rPr>
          <w:spacing w:val="-47"/>
        </w:rPr>
        <w:t> </w:t>
      </w:r>
      <w:r>
        <w:rPr>
          <w:spacing w:val="-47"/>
        </w:rPr>
      </w:r>
      <w:r>
        <w:rPr>
          <w:spacing w:val="-2"/>
        </w:rPr>
        <w:t>值迹象的，进行减值测试。减值测试结果表明资产的可收回金额低于其账面价值的，按其差额计提减值准</w:t>
      </w:r>
      <w:r>
        <w:rPr>
          <w:spacing w:val="-44"/>
        </w:rPr>
        <w:t> </w:t>
      </w:r>
      <w:r>
        <w:rPr>
          <w:spacing w:val="-44"/>
        </w:rPr>
      </w:r>
      <w:r>
        <w:rPr>
          <w:spacing w:val="-2"/>
        </w:rPr>
        <w:t>备并计入减值损失。可收回金额为资产的公允价值减去处置费用后的净额与资产预计未来现金流量的现值</w:t>
      </w:r>
      <w:r>
        <w:rPr>
          <w:spacing w:val="-43"/>
        </w:rPr>
        <w:t> </w:t>
      </w:r>
      <w:r>
        <w:rPr>
          <w:spacing w:val="-43"/>
        </w:rPr>
      </w:r>
      <w:r>
        <w:rPr>
          <w:spacing w:val="-2"/>
        </w:rPr>
        <w:t>两者之间的较高者。资产减值准备按单项资产为基础计算并确认，如果难以对单项资产的可收回金额进行</w:t>
      </w:r>
      <w:r>
        <w:rPr>
          <w:spacing w:val="-42"/>
        </w:rPr>
        <w:t> </w:t>
      </w:r>
      <w:r>
        <w:rPr>
          <w:spacing w:val="-42"/>
        </w:rPr>
      </w:r>
      <w:r>
        <w:rPr>
          <w:spacing w:val="-2"/>
        </w:rPr>
        <w:t>估计的，以该资产所属的资产组确定资产组的可收回金额。资产组是能够独立产生现金流入的最小资产组</w:t>
      </w:r>
      <w:r>
        <w:rPr>
          <w:spacing w:val="-44"/>
        </w:rPr>
        <w:t> </w:t>
      </w:r>
      <w:r>
        <w:rPr>
          <w:spacing w:val="-44"/>
        </w:rPr>
      </w:r>
      <w:r>
        <w:rPr/>
        <w:t>合。前述资产减值损失一经确认，如果在以后期间价值得以恢复，也不予转回。</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2"/>
        </w:rPr>
        <w:t>长期待摊费用包括经营租入固定资产改良及其他已经发生但由本期和以后各期负担的分摊期限在一年以</w:t>
      </w:r>
      <w:r>
        <w:rPr>
          <w:spacing w:val="-21"/>
        </w:rPr>
        <w:t> </w:t>
      </w:r>
      <w:r>
        <w:rPr>
          <w:spacing w:val="-21"/>
        </w:rPr>
      </w:r>
      <w:r>
        <w:rPr/>
        <w:t>上的各项费用，按预计受益期间分期平均摊销，并以实际支出减去累计摊销后的净额列示。</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5"/>
        </w:rPr>
        <w:t>在职工为公司提供服务的会计期间，将实际发生的短期薪酬确认为负债，并计入当期损益或相关资产成本。 </w:t>
      </w:r>
      <w:r>
        <w:rPr>
          <w:spacing w:val="-2"/>
        </w:rPr>
        <w:t>发生的职工福利费，在实际发生时根据实际发生额计入当期损益或相关资产成本。职工福利费为非货币性</w:t>
      </w:r>
      <w:r>
        <w:rPr>
          <w:spacing w:val="-42"/>
        </w:rPr>
        <w:t> </w:t>
      </w:r>
      <w:r>
        <w:rPr>
          <w:spacing w:val="-42"/>
        </w:rPr>
      </w:r>
      <w:r>
        <w:rPr>
          <w:spacing w:val="-2"/>
        </w:rPr>
        <w:t>福利的，按照公允价值计量。为职工缴纳的医疗保险费、工伤保险费、生育保险费等社会保险费和住房公</w:t>
      </w:r>
      <w:r>
        <w:rPr>
          <w:spacing w:val="-47"/>
        </w:rPr>
        <w:t> </w:t>
      </w:r>
      <w:r>
        <w:rPr>
          <w:spacing w:val="-47"/>
        </w:rPr>
      </w:r>
      <w:r>
        <w:rPr>
          <w:spacing w:val="-2"/>
        </w:rPr>
        <w:t>积金，以及按规定提取的工会经费和职工教育经费，在职工为公司提供服务的会计期间，根据规定的计提</w:t>
      </w:r>
      <w:r>
        <w:rPr>
          <w:spacing w:val="-44"/>
        </w:rPr>
        <w:t> </w:t>
      </w:r>
      <w:r>
        <w:rPr>
          <w:spacing w:val="-44"/>
        </w:rPr>
      </w:r>
      <w:r>
        <w:rPr/>
        <w:t>基础和计提比例计算确定相应的职工薪酬金额，并确认相应负债，计入当期损益或相关资产成本。</w:t>
      </w:r>
      <w:r>
        <w:rPr>
          <w:w w:val="100"/>
        </w:rPr>
        <w:t> </w:t>
      </w:r>
      <w:r>
        <w:rPr>
          <w:spacing w:val="-2"/>
        </w:rPr>
        <w:t>在职工提供服务从而增加了其未来享有的带薪缺勤权利时，确认与累积带薪缺勤相关的职工薪酬，并以累</w:t>
      </w:r>
      <w:r>
        <w:rPr>
          <w:spacing w:val="-44"/>
        </w:rPr>
        <w:t> </w:t>
      </w:r>
      <w:r>
        <w:rPr>
          <w:spacing w:val="-44"/>
        </w:rPr>
      </w:r>
      <w:r>
        <w:rPr>
          <w:spacing w:val="-2"/>
        </w:rPr>
        <w:t>积未行使权利而增加的预期支付金额计量。在职工实际发生缺勤的会计期间确认与非累积带薪缺勤相关的</w:t>
      </w:r>
      <w:r>
        <w:rPr>
          <w:spacing w:val="-43"/>
        </w:rPr>
        <w:t> </w:t>
      </w:r>
      <w:r>
        <w:rPr>
          <w:spacing w:val="-43"/>
        </w:rPr>
      </w:r>
      <w:r>
        <w:rPr/>
        <w:t>职工薪酬。</w:t>
      </w:r>
    </w:p>
    <w:p>
      <w:pPr>
        <w:pStyle w:val="BodyText"/>
        <w:spacing w:line="240" w:lineRule="auto" w:before="7"/>
        <w:ind w:right="0"/>
        <w:jc w:val="left"/>
      </w:pPr>
      <w:r>
        <w:rPr/>
        <w:t>利润分享计划同时满足下列条件时，公司确认相关的应付职工薪酬：</w:t>
      </w:r>
    </w:p>
    <w:p>
      <w:pPr>
        <w:pStyle w:val="BodyText"/>
        <w:spacing w:line="240" w:lineRule="auto" w:before="37"/>
        <w:ind w:right="0"/>
        <w:jc w:val="left"/>
      </w:pPr>
      <w:r>
        <w:rPr>
          <w:rFonts w:ascii="Times New Roman" w:hAnsi="Times New Roman" w:cs="Times New Roman" w:eastAsia="Times New Roman" w:hint="default"/>
        </w:rPr>
        <w:t>1</w:t>
      </w:r>
      <w:r>
        <w:rPr/>
        <w:t>）因过去事项导致现在具有支付职工薪酬的法定义务或推定义务；</w:t>
      </w:r>
    </w:p>
    <w:p>
      <w:pPr>
        <w:pStyle w:val="BodyText"/>
        <w:spacing w:line="240" w:lineRule="auto" w:before="21"/>
        <w:ind w:right="0"/>
        <w:jc w:val="left"/>
      </w:pPr>
      <w:r>
        <w:rPr>
          <w:rFonts w:ascii="Times New Roman" w:hAnsi="Times New Roman" w:cs="Times New Roman" w:eastAsia="Times New Roman" w:hint="default"/>
        </w:rPr>
        <w:t>2</w:t>
      </w:r>
      <w:r>
        <w:rPr/>
        <w:t>）因利润分享计划所产生的应付职工薪酬义务金额能够可靠估计。</w:t>
      </w:r>
    </w:p>
    <w:p>
      <w:pPr>
        <w:spacing w:line="240" w:lineRule="auto" w:before="7"/>
        <w:rPr>
          <w:rFonts w:ascii="宋体" w:hAnsi="宋体" w:cs="宋体" w:eastAsia="宋体" w:hint="default"/>
          <w:sz w:val="24"/>
          <w:szCs w:val="24"/>
        </w:rPr>
      </w:pPr>
    </w:p>
    <w:p>
      <w:pPr>
        <w:spacing w:line="506" w:lineRule="auto"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公司在职工为其提供服务的会计期间，将根据设定提存计划计算的应缴存金额确认为负债，并计入当期损</w:t>
      </w:r>
    </w:p>
    <w:p>
      <w:pPr>
        <w:spacing w:after="0" w:line="506" w:lineRule="auto"/>
        <w:jc w:val="left"/>
        <w:rPr>
          <w:rFonts w:ascii="宋体" w:hAnsi="宋体" w:cs="宋体" w:eastAsia="宋体" w:hint="default"/>
          <w:sz w:val="21"/>
          <w:szCs w:val="21"/>
        </w:rPr>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68" w:lineRule="auto" w:before="36"/>
        <w:ind w:right="146"/>
        <w:jc w:val="left"/>
      </w:pPr>
      <w:r>
        <w:rPr>
          <w:spacing w:val="-2"/>
        </w:rPr>
        <w:t>益或相关资产成本。根据设定提存计划，预期不会在职工提供相关服务的年度报告期结束后十二个月内支</w:t>
      </w:r>
      <w:r>
        <w:rPr>
          <w:spacing w:val="-42"/>
        </w:rPr>
        <w:t> </w:t>
      </w:r>
      <w:r>
        <w:rPr>
          <w:spacing w:val="-42"/>
        </w:rPr>
      </w:r>
      <w:r>
        <w:rPr/>
        <w:t>付全部应缴存金额的，公司将全部应缴存金额以折现后的金额计量应付职工薪酬。</w:t>
      </w:r>
      <w:r>
        <w:rPr>
          <w:w w:val="100"/>
        </w:rPr>
        <w:t> </w:t>
      </w:r>
      <w:r>
        <w:rPr>
          <w:rFonts w:ascii="Times New Roman" w:hAnsi="Times New Roman" w:cs="Times New Roman" w:eastAsia="Times New Roman" w:hint="default"/>
        </w:rPr>
        <w:t>(1)</w:t>
      </w:r>
      <w:r>
        <w:rPr/>
        <w:t>根据预期累计福利单位法，采用无偏且相互一致的精算假设对有关人口统计变量和财务变量等做出估</w:t>
      </w:r>
      <w:r>
        <w:rPr>
          <w:w w:val="100"/>
        </w:rPr>
        <w:t> </w:t>
      </w:r>
      <w:r>
        <w:rPr>
          <w:spacing w:val="-2"/>
        </w:rPr>
        <w:t>计，计量设定受益计划所产生的义务，并确定相关义务的归属期间。公司将设定受益计划所产生的义务予</w:t>
      </w:r>
      <w:r>
        <w:rPr>
          <w:spacing w:val="-43"/>
        </w:rPr>
        <w:t> </w:t>
      </w:r>
      <w:r>
        <w:rPr>
          <w:spacing w:val="-43"/>
        </w:rPr>
      </w:r>
      <w:r>
        <w:rPr/>
        <w:t>以折现，以确定设定受益计划义务的现值和当期服务成本。</w:t>
      </w:r>
      <w:r>
        <w:rPr>
          <w:w w:val="100"/>
        </w:rPr>
        <w:t> </w:t>
      </w:r>
      <w:r>
        <w:rPr>
          <w:rFonts w:ascii="Times New Roman" w:hAnsi="Times New Roman" w:cs="Times New Roman" w:eastAsia="Times New Roman" w:hint="default"/>
          <w:spacing w:val="-3"/>
        </w:rPr>
        <w:t>(2)</w:t>
      </w:r>
      <w:r>
        <w:rPr>
          <w:spacing w:val="-3"/>
        </w:rPr>
        <w:t>设定受益计划存在资产的，公司将设定受益计划义务现值减去设定受益计划资产公允价值所形成的赤字</w:t>
      </w:r>
      <w:r>
        <w:rPr>
          <w:spacing w:val="-26"/>
        </w:rPr>
        <w:t> </w:t>
      </w:r>
      <w:r>
        <w:rPr>
          <w:spacing w:val="-26"/>
        </w:rPr>
      </w:r>
      <w:r>
        <w:rPr>
          <w:spacing w:val="-2"/>
        </w:rPr>
        <w:t>或盈余确认为一项设定受益计划净负债或净资产。设定受益计划存在盈余的，公司以设定受益计划的盈余</w:t>
      </w:r>
      <w:r>
        <w:rPr>
          <w:spacing w:val="-43"/>
        </w:rPr>
        <w:t> </w:t>
      </w:r>
      <w:r>
        <w:rPr>
          <w:spacing w:val="-43"/>
        </w:rPr>
      </w:r>
      <w:r>
        <w:rPr/>
        <w:t>和资产上限两项的孰低者计量设定受益计划净资产。</w:t>
      </w:r>
    </w:p>
    <w:p>
      <w:pPr>
        <w:pStyle w:val="BodyText"/>
        <w:spacing w:line="256" w:lineRule="auto" w:before="12"/>
        <w:ind w:right="3649"/>
        <w:jc w:val="left"/>
      </w:pPr>
      <w:r>
        <w:rPr>
          <w:rFonts w:ascii="Times New Roman" w:hAnsi="Times New Roman" w:cs="Times New Roman" w:eastAsia="Times New Roman" w:hint="default"/>
        </w:rPr>
        <w:t>(3)</w:t>
      </w:r>
      <w:r>
        <w:rPr/>
        <w:t>确定应当计入当期损益的金额。</w:t>
      </w:r>
      <w:r>
        <w:rPr>
          <w:w w:val="100"/>
        </w:rPr>
        <w:t> </w:t>
      </w:r>
      <w:r>
        <w:rPr>
          <w:rFonts w:ascii="Times New Roman" w:hAnsi="Times New Roman" w:cs="Times New Roman" w:eastAsia="Times New Roman" w:hint="default"/>
          <w:spacing w:val="-2"/>
        </w:rPr>
        <w:t>(4)</w:t>
      </w:r>
      <w:r>
        <w:rPr>
          <w:spacing w:val="-2"/>
        </w:rPr>
        <w:t>确定应当计入其他综合收益的金额。</w:t>
      </w:r>
    </w:p>
    <w:p>
      <w:pPr>
        <w:pStyle w:val="BodyText"/>
        <w:spacing w:line="273" w:lineRule="auto" w:before="5"/>
        <w:ind w:right="146"/>
        <w:jc w:val="left"/>
      </w:pPr>
      <w:r>
        <w:rPr>
          <w:spacing w:val="-2"/>
        </w:rPr>
        <w:t>公司根据预期累计福利单位法确定的公式将设定受益计划产生的福利义务归属于职工提供服务的期间，并</w:t>
      </w:r>
      <w:r>
        <w:rPr>
          <w:spacing w:val="-43"/>
        </w:rPr>
        <w:t> </w:t>
      </w:r>
      <w:r>
        <w:rPr>
          <w:spacing w:val="-43"/>
        </w:rPr>
      </w:r>
      <w:r>
        <w:rPr>
          <w:spacing w:val="-2"/>
        </w:rPr>
        <w:t>计入当期损益或相关资产成本。当职工后续年度的服务将导致其享有的设定受益计划福利水平显著高于以</w:t>
      </w:r>
      <w:r>
        <w:rPr>
          <w:spacing w:val="-43"/>
        </w:rPr>
        <w:t> </w:t>
      </w:r>
      <w:r>
        <w:rPr>
          <w:spacing w:val="-43"/>
        </w:rPr>
      </w:r>
      <w:r>
        <w:rPr>
          <w:spacing w:val="-2"/>
        </w:rPr>
        <w:t>前年度时，按照直线法将累计设定受益计划义务分摊确认于职工提供服务而导致企业第一次产生设定受益</w:t>
      </w:r>
      <w:r>
        <w:rPr>
          <w:spacing w:val="-43"/>
        </w:rPr>
        <w:t> </w:t>
      </w:r>
      <w:r>
        <w:rPr>
          <w:spacing w:val="-43"/>
        </w:rPr>
      </w:r>
      <w:r>
        <w:rPr/>
        <w:t>计划福利义务至职工提供服务不再导致该福利义务显著增加的期间。</w:t>
      </w:r>
      <w:r>
        <w:rPr>
          <w:w w:val="100"/>
        </w:rPr>
        <w:t> </w:t>
      </w:r>
      <w:r>
        <w:rPr>
          <w:spacing w:val="-2"/>
        </w:rPr>
        <w:t>报告期末，公司将设定受益计划产生的职工薪酬成本确认为：服务成本、设定受益计划净负债或净资产的</w:t>
      </w:r>
      <w:r>
        <w:rPr>
          <w:spacing w:val="-44"/>
        </w:rPr>
        <w:t> </w:t>
      </w:r>
      <w:r>
        <w:rPr>
          <w:spacing w:val="-44"/>
        </w:rPr>
      </w:r>
      <w:r>
        <w:rPr/>
        <w:t>利息净额，以及重新计量设定受益计划净负债或净资产所产生的变动。</w:t>
      </w:r>
      <w:r>
        <w:rPr>
          <w:w w:val="100"/>
        </w:rPr>
        <w:t> </w:t>
      </w:r>
      <w:r>
        <w:rPr/>
        <w:t>在设定受益计划下，公司在下列日期孰早日将过去服务成本确认为当期费用：</w:t>
      </w:r>
    </w:p>
    <w:p>
      <w:pPr>
        <w:pStyle w:val="BodyText"/>
        <w:spacing w:line="240" w:lineRule="auto" w:before="7"/>
        <w:ind w:right="146"/>
        <w:jc w:val="left"/>
      </w:pPr>
      <w:r>
        <w:rPr>
          <w:rFonts w:ascii="Times New Roman" w:hAnsi="Times New Roman" w:cs="Times New Roman" w:eastAsia="Times New Roman" w:hint="default"/>
        </w:rPr>
        <w:t>1</w:t>
      </w:r>
      <w:r>
        <w:rPr/>
        <w:t>）修改设定受益计划时。</w:t>
      </w:r>
    </w:p>
    <w:p>
      <w:pPr>
        <w:pStyle w:val="BodyText"/>
        <w:spacing w:line="256" w:lineRule="auto" w:before="21"/>
        <w:ind w:right="1179"/>
        <w:jc w:val="left"/>
      </w:pPr>
      <w:r>
        <w:rPr>
          <w:rFonts w:ascii="Times New Roman" w:hAnsi="Times New Roman" w:cs="Times New Roman" w:eastAsia="Times New Roman" w:hint="default"/>
        </w:rPr>
        <w:t>2</w:t>
      </w:r>
      <w:r>
        <w:rPr/>
        <w:t>）企业确认相关重组费用或辞退福利时。</w:t>
      </w:r>
      <w:r>
        <w:rPr>
          <w:w w:val="100"/>
        </w:rPr>
        <w:t> </w:t>
      </w:r>
      <w:r>
        <w:rPr>
          <w:spacing w:val="-2"/>
        </w:rPr>
        <w:t>公司在设定受益计划结算时，确认一项结算利得或损失。</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line="600" w:lineRule="atLeast" w:before="0"/>
        <w:ind w:left="152" w:right="1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公司向职工提供辞退福利的，在下列两者孰早日确认辞退福利产生的职工薪酬负债，并计入当期损益：</w:t>
      </w:r>
    </w:p>
    <w:p>
      <w:pPr>
        <w:pStyle w:val="BodyText"/>
        <w:spacing w:line="240" w:lineRule="auto" w:before="37"/>
        <w:ind w:right="146"/>
        <w:jc w:val="left"/>
      </w:pPr>
      <w:r>
        <w:rPr>
          <w:rFonts w:ascii="Times New Roman" w:hAnsi="Times New Roman" w:cs="Times New Roman" w:eastAsia="Times New Roman" w:hint="default"/>
        </w:rPr>
        <w:t>1</w:t>
      </w:r>
      <w:r>
        <w:rPr/>
        <w:t>）公司不能单方面撤回因解除劳动关系计划或裁减建议所提供的辞退福利时。</w:t>
      </w:r>
    </w:p>
    <w:p>
      <w:pPr>
        <w:pStyle w:val="BodyText"/>
        <w:spacing w:line="256" w:lineRule="auto" w:before="21"/>
        <w:ind w:right="146"/>
        <w:jc w:val="left"/>
      </w:pPr>
      <w:r>
        <w:rPr>
          <w:rFonts w:ascii="Times New Roman" w:hAnsi="Times New Roman" w:cs="Times New Roman" w:eastAsia="Times New Roman" w:hint="default"/>
        </w:rPr>
        <w:t>2</w:t>
      </w:r>
      <w:r>
        <w:rPr/>
        <w:t>）公司确认与涉及支付辞退福利的重组相关的成本或费用时。</w:t>
      </w:r>
      <w:r>
        <w:rPr>
          <w:w w:val="100"/>
        </w:rPr>
        <w:t> </w:t>
      </w:r>
      <w:r>
        <w:rPr>
          <w:spacing w:val="-2"/>
        </w:rPr>
        <w:t>公司按照辞退计划条款的规定，合理预计并确认辞退福利产生的应付职工薪酬。</w:t>
      </w:r>
    </w:p>
    <w:p>
      <w:pPr>
        <w:spacing w:line="240" w:lineRule="auto" w:before="8"/>
        <w:rPr>
          <w:rFonts w:ascii="宋体" w:hAnsi="宋体" w:cs="宋体" w:eastAsia="宋体" w:hint="default"/>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46"/>
        <w:jc w:val="left"/>
      </w:pPr>
      <w:r>
        <w:rPr>
          <w:spacing w:val="-2"/>
        </w:rPr>
        <w:t>公司向职工提供的其他长期职工福利，符合设定提存计划条件的，按照关于设定提存计划的有关政策进行</w:t>
      </w:r>
      <w:r>
        <w:rPr>
          <w:spacing w:val="-43"/>
        </w:rPr>
        <w:t> </w:t>
      </w:r>
      <w:r>
        <w:rPr>
          <w:spacing w:val="-43"/>
        </w:rPr>
      </w:r>
      <w:r>
        <w:rPr/>
        <w:t>处理。</w:t>
      </w:r>
      <w:r>
        <w:rPr>
          <w:spacing w:val="-102"/>
        </w:rPr>
        <w:t> </w:t>
      </w:r>
      <w:r>
        <w:rPr>
          <w:spacing w:val="-2"/>
        </w:rPr>
        <w:t>除上述情形外，公司按照关于设定受益计划的有关政策，确认和计量其他长期职工福利净负债或净资产。</w:t>
      </w:r>
      <w:r>
        <w:rPr>
          <w:spacing w:val="-21"/>
        </w:rPr>
        <w:t> </w:t>
      </w:r>
      <w:r>
        <w:rPr>
          <w:spacing w:val="-21"/>
        </w:rPr>
      </w:r>
      <w:r>
        <w:rPr/>
        <w:t>在报告期末，将其他长期职工福利产生的职工薪酬成本确认为下列组成部分：</w:t>
      </w:r>
    </w:p>
    <w:p>
      <w:pPr>
        <w:pStyle w:val="BodyText"/>
        <w:spacing w:line="256" w:lineRule="auto" w:before="7"/>
        <w:ind w:right="4014"/>
        <w:jc w:val="left"/>
      </w:pPr>
      <w:r>
        <w:rPr>
          <w:rFonts w:ascii="Times New Roman" w:hAnsi="Times New Roman" w:cs="Times New Roman" w:eastAsia="Times New Roman" w:hint="default"/>
        </w:rPr>
        <w:t>(1)</w:t>
      </w:r>
      <w:r>
        <w:rPr/>
        <w:t>服务成本。</w:t>
      </w:r>
      <w:r>
        <w:rPr>
          <w:spacing w:val="-103"/>
        </w:rPr>
        <w:t> </w:t>
      </w:r>
      <w:r>
        <w:rPr>
          <w:spacing w:val="-103"/>
        </w:rPr>
      </w:r>
      <w:r>
        <w:rPr>
          <w:rFonts w:ascii="Times New Roman" w:hAnsi="Times New Roman" w:cs="Times New Roman" w:eastAsia="Times New Roman" w:hint="default"/>
        </w:rPr>
        <w:t>(2)</w:t>
      </w:r>
      <w:r>
        <w:rPr/>
        <w:t>其他长期职工福利净负债或净资产的利息净额。</w:t>
      </w:r>
      <w:r>
        <w:rPr>
          <w:w w:val="100"/>
        </w:rPr>
        <w:t> </w:t>
      </w:r>
      <w:r>
        <w:rPr>
          <w:rFonts w:ascii="Times New Roman" w:hAnsi="Times New Roman" w:cs="Times New Roman" w:eastAsia="Times New Roman" w:hint="default"/>
          <w:spacing w:val="-2"/>
        </w:rPr>
        <w:t>(3)</w:t>
      </w:r>
      <w:r>
        <w:rPr>
          <w:spacing w:val="-2"/>
        </w:rPr>
        <w:t>重新计量其他长期职工福利净负债或净资产所产生的变动。</w:t>
      </w:r>
    </w:p>
    <w:p>
      <w:pPr>
        <w:pStyle w:val="BodyText"/>
        <w:spacing w:line="273" w:lineRule="auto" w:before="5"/>
        <w:ind w:right="146"/>
        <w:jc w:val="left"/>
      </w:pPr>
      <w:r>
        <w:rPr/>
        <w:t>为简化相关会计处理，上述项目的总净额应计入当期损益或相关资产成本。</w:t>
      </w:r>
      <w:r>
        <w:rPr>
          <w:w w:val="100"/>
        </w:rPr>
        <w:t> </w:t>
      </w:r>
      <w:r>
        <w:rPr>
          <w:spacing w:val="-2"/>
        </w:rPr>
        <w:t>长期残疾福利水平取决于职工提供服务期间长短的，公司在职工提供服务的期间确认应付长期残疾福利义</w:t>
      </w:r>
      <w:r>
        <w:rPr>
          <w:spacing w:val="-43"/>
        </w:rPr>
        <w:t> </w:t>
      </w:r>
      <w:r>
        <w:rPr>
          <w:spacing w:val="-43"/>
        </w:rPr>
      </w:r>
      <w:r>
        <w:rPr>
          <w:spacing w:val="-2"/>
        </w:rPr>
        <w:t>务；长期残疾福利与职工提供服务期间长短无关的，公司在导致职工长期残疾的事件发生的当期确认应付</w:t>
      </w:r>
      <w:r>
        <w:rPr>
          <w:spacing w:val="-44"/>
        </w:rPr>
        <w:t> </w:t>
      </w:r>
      <w:r>
        <w:rPr>
          <w:spacing w:val="-44"/>
        </w:rPr>
      </w:r>
      <w:r>
        <w:rPr/>
        <w:t>长期残疾福利义务。</w:t>
      </w:r>
    </w:p>
    <w:p>
      <w:pPr>
        <w:spacing w:after="0" w:line="273" w:lineRule="auto"/>
        <w:jc w:val="left"/>
        <w:sectPr>
          <w:footerReference w:type="default" r:id="rId17"/>
          <w:pgSz w:w="11910" w:h="16840"/>
          <w:pgMar w:footer="980" w:header="745" w:top="1060" w:bottom="1160" w:left="980" w:right="980"/>
          <w:pgNumType w:start="83"/>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46"/>
        <w:jc w:val="left"/>
      </w:pPr>
      <w:r>
        <w:rPr>
          <w:spacing w:val="-2"/>
        </w:rPr>
        <w:t>对因产品质量保证、亏损合同等形成的现时义务，其履行很可能导致经济利益的流出，在该义务的金额能</w:t>
      </w:r>
      <w:r>
        <w:rPr>
          <w:spacing w:val="-43"/>
        </w:rPr>
        <w:t> </w:t>
      </w:r>
      <w:r>
        <w:rPr>
          <w:spacing w:val="-43"/>
        </w:rPr>
      </w:r>
      <w:r>
        <w:rPr/>
        <w:t>够可靠计量时，确认为预计负债。对于未来经营亏损，不确认预计负债。</w:t>
      </w:r>
      <w:r>
        <w:rPr>
          <w:w w:val="100"/>
        </w:rPr>
        <w:t> </w:t>
      </w:r>
      <w:r>
        <w:rPr/>
        <w:t>预计负债按照履行相关现时义务所需支出的最佳估计数进行初始计量，并综合考虑与或有事项有关的风</w:t>
      </w:r>
      <w:r>
        <w:rPr>
          <w:w w:val="100"/>
        </w:rPr>
        <w:t> </w:t>
      </w:r>
      <w:r>
        <w:rPr>
          <w:spacing w:val="-2"/>
        </w:rPr>
        <w:t>险、不确定性和货币时间价值等因素。货币时间价值影响重大的，通过对相关未来现金流出进行折现后确</w:t>
      </w:r>
      <w:r>
        <w:rPr>
          <w:spacing w:val="-43"/>
        </w:rPr>
        <w:t> </w:t>
      </w:r>
      <w:r>
        <w:rPr>
          <w:spacing w:val="-43"/>
        </w:rPr>
      </w:r>
      <w:r>
        <w:rPr>
          <w:spacing w:val="-2"/>
        </w:rPr>
        <w:t>定最佳估计数；因随着时间推移所进行的折现还原而导致的预计负债账面价值的增加金额，确认为利息费</w:t>
      </w:r>
      <w:r>
        <w:rPr>
          <w:spacing w:val="-42"/>
        </w:rPr>
        <w:t> </w:t>
      </w:r>
      <w:r>
        <w:rPr>
          <w:spacing w:val="-42"/>
        </w:rPr>
      </w:r>
      <w:r>
        <w:rPr/>
        <w:t>用。</w:t>
      </w:r>
    </w:p>
    <w:p>
      <w:pPr>
        <w:pStyle w:val="BodyText"/>
        <w:spacing w:line="240" w:lineRule="auto" w:before="7"/>
        <w:ind w:right="146"/>
        <w:jc w:val="left"/>
      </w:pPr>
      <w:r>
        <w:rPr/>
        <w:t>于资产负债表日，对预计负债的账面价值进行复核并作适当调整，以反映当前的最佳估计数。</w:t>
      </w:r>
    </w:p>
    <w:p>
      <w:pPr>
        <w:spacing w:line="240" w:lineRule="auto" w:before="10"/>
        <w:rPr>
          <w:rFonts w:ascii="宋体" w:hAnsi="宋体" w:cs="宋体" w:eastAsia="宋体" w:hint="default"/>
          <w:sz w:val="25"/>
          <w:szCs w:val="25"/>
        </w:rPr>
      </w:pPr>
    </w:p>
    <w:p>
      <w:pPr>
        <w:pStyle w:val="Heading4"/>
        <w:spacing w:line="240" w:lineRule="auto"/>
        <w:ind w:right="146"/>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46"/>
        <w:jc w:val="left"/>
      </w:pPr>
      <w:r>
        <w:rPr>
          <w:spacing w:val="-2"/>
        </w:rPr>
        <w:t>收入的金额按照本公司在日常经营活动中销售商品和提供劳务时，已收或应收合同或协议价款的公允价值</w:t>
      </w:r>
      <w:r>
        <w:rPr>
          <w:spacing w:val="-43"/>
        </w:rPr>
        <w:t> </w:t>
      </w:r>
      <w:r>
        <w:rPr>
          <w:spacing w:val="-43"/>
        </w:rPr>
      </w:r>
      <w:r>
        <w:rPr/>
        <w:t>确定。收入按扣除增值税、商业折扣、销售折让及销售退回的净额列示。</w:t>
      </w:r>
      <w:r>
        <w:rPr>
          <w:w w:val="100"/>
        </w:rPr>
        <w:t> </w:t>
      </w:r>
      <w:r>
        <w:rPr>
          <w:spacing w:val="-2"/>
        </w:rPr>
        <w:t>与交易相关的经济利益能够流入本公司，相关的收入能够可靠计量且满足下列各项经营活动的特定收入确</w:t>
      </w:r>
      <w:r>
        <w:rPr>
          <w:spacing w:val="-43"/>
        </w:rPr>
        <w:t> </w:t>
      </w:r>
      <w:r>
        <w:rPr>
          <w:spacing w:val="-43"/>
        </w:rPr>
      </w:r>
      <w:r>
        <w:rPr/>
        <w:t>认标准时，确认相关的收入。</w:t>
      </w:r>
    </w:p>
    <w:p>
      <w:pPr>
        <w:spacing w:line="240" w:lineRule="auto" w:before="7"/>
        <w:rPr>
          <w:rFonts w:ascii="宋体" w:hAnsi="宋体" w:cs="宋体" w:eastAsia="宋体" w:hint="default"/>
          <w:sz w:val="23"/>
          <w:szCs w:val="23"/>
        </w:rPr>
      </w:pPr>
    </w:p>
    <w:p>
      <w:pPr>
        <w:pStyle w:val="Heading4"/>
        <w:spacing w:line="240" w:lineRule="auto"/>
        <w:ind w:right="146"/>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46"/>
        <w:jc w:val="both"/>
      </w:pPr>
      <w:r>
        <w:rPr>
          <w:spacing w:val="-2"/>
        </w:rPr>
        <w:t>与资产相关的政府补助，是指公司取得的、用于购建或以其他方式形成长期资产的政府补助。与资产相关</w:t>
      </w:r>
      <w:r>
        <w:rPr>
          <w:spacing w:val="-43"/>
        </w:rPr>
        <w:t> </w:t>
      </w:r>
      <w:r>
        <w:rPr>
          <w:spacing w:val="-43"/>
        </w:rPr>
      </w:r>
      <w:r>
        <w:rPr>
          <w:spacing w:val="-2"/>
        </w:rPr>
        <w:t>的政府补助，确认为递延收益，并在相关资产使用寿命内平均分配，计入当期损益。但是，按照名义金额</w:t>
      </w:r>
      <w:r>
        <w:rPr>
          <w:spacing w:val="-43"/>
        </w:rPr>
        <w:t> </w:t>
      </w:r>
      <w:r>
        <w:rPr>
          <w:spacing w:val="-43"/>
        </w:rPr>
      </w:r>
      <w:r>
        <w:rPr/>
        <w:t>计量的政府补助，直接计入当期损益。</w:t>
      </w:r>
    </w:p>
    <w:p>
      <w:pPr>
        <w:spacing w:line="240" w:lineRule="auto" w:before="7"/>
        <w:rPr>
          <w:rFonts w:ascii="宋体" w:hAnsi="宋体" w:cs="宋体" w:eastAsia="宋体" w:hint="default"/>
          <w:sz w:val="23"/>
          <w:szCs w:val="23"/>
        </w:rPr>
      </w:pPr>
    </w:p>
    <w:p>
      <w:pPr>
        <w:pStyle w:val="Heading4"/>
        <w:spacing w:line="240" w:lineRule="auto"/>
        <w:ind w:right="146"/>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46"/>
        <w:jc w:val="both"/>
      </w:pPr>
      <w:r>
        <w:rPr>
          <w:spacing w:val="-2"/>
        </w:rPr>
        <w:t>与收益相关的政府补助，是指除与资产相关的政府补助之外的政府补助。与收益相关的政府补助，用于补</w:t>
      </w:r>
      <w:r>
        <w:rPr>
          <w:spacing w:val="-44"/>
        </w:rPr>
        <w:t> </w:t>
      </w:r>
      <w:r>
        <w:rPr>
          <w:spacing w:val="-44"/>
        </w:rPr>
      </w:r>
      <w:r>
        <w:rPr>
          <w:spacing w:val="-2"/>
        </w:rPr>
        <w:t>偿公司以后期间的相关费用或损失的，确认为递延收益，并在确认相关费用的期间，计入当期损益；用于</w:t>
      </w:r>
      <w:r>
        <w:rPr>
          <w:spacing w:val="-47"/>
        </w:rPr>
        <w:t> </w:t>
      </w:r>
      <w:r>
        <w:rPr>
          <w:spacing w:val="-47"/>
        </w:rPr>
      </w:r>
      <w:r>
        <w:rPr/>
        <w:t>补偿公司已发生的相关费用或损失的，直接计入当期损益。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46"/>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46"/>
        <w:jc w:val="left"/>
      </w:pPr>
      <w:r>
        <w:rPr>
          <w:spacing w:val="-2"/>
        </w:rPr>
        <w:t>递延所得税资产和递延所得税负债根据资产和负债的计税基础与其账面价值的差额（包括应纳税暂时性差</w:t>
      </w:r>
      <w:r>
        <w:rPr>
          <w:spacing w:val="-43"/>
        </w:rPr>
        <w:t> </w:t>
      </w:r>
      <w:r>
        <w:rPr>
          <w:spacing w:val="-43"/>
        </w:rPr>
      </w:r>
      <w:r>
        <w:rPr>
          <w:spacing w:val="-2"/>
        </w:rPr>
        <w:t>异和可抵扣暂时性差异）计算确认。对于按照税法规定能够于以后年度抵减应纳税所得额的可抵扣亏损，</w:t>
      </w:r>
      <w:r>
        <w:rPr>
          <w:spacing w:val="-21"/>
        </w:rPr>
        <w:t> </w:t>
      </w:r>
      <w:r>
        <w:rPr>
          <w:spacing w:val="-21"/>
        </w:rPr>
      </w:r>
      <w:r>
        <w:rPr>
          <w:spacing w:val="-2"/>
        </w:rPr>
        <w:t>视同可抵扣暂时性差异。对于商誉的初始确认产生的暂时性差异，不确认相应的递延所得税负债。对于既</w:t>
      </w:r>
      <w:r>
        <w:rPr>
          <w:spacing w:val="-44"/>
        </w:rPr>
        <w:t> </w:t>
      </w:r>
      <w:r>
        <w:rPr>
          <w:spacing w:val="-44"/>
        </w:rPr>
      </w:r>
      <w:r>
        <w:rPr>
          <w:spacing w:val="-2"/>
        </w:rPr>
        <w:t>不影响会计利润也不影响应纳税所得额（或可抵扣亏损）的非企业合并的交易中产生的资产或负债的初始</w:t>
      </w:r>
      <w:r>
        <w:rPr>
          <w:spacing w:val="-43"/>
        </w:rPr>
        <w:t> </w:t>
      </w:r>
      <w:r>
        <w:rPr>
          <w:spacing w:val="-43"/>
        </w:rPr>
      </w:r>
      <w:r>
        <w:rPr>
          <w:spacing w:val="-2"/>
        </w:rPr>
        <w:t>确认形成的暂时性差异，不确认相应的递延所得税资产和递延所得税负债。于资产负债表日，递延所得税</w:t>
      </w:r>
      <w:r>
        <w:rPr>
          <w:spacing w:val="-43"/>
        </w:rPr>
        <w:t> </w:t>
      </w:r>
      <w:r>
        <w:rPr>
          <w:spacing w:val="-43"/>
        </w:rPr>
      </w:r>
      <w:r>
        <w:rPr/>
        <w:t>资产和递延所得税负债，按照预期收回该资产或清偿该负债期间的适用税率计量。</w:t>
      </w:r>
      <w:r>
        <w:rPr>
          <w:w w:val="100"/>
        </w:rPr>
        <w:t> </w:t>
      </w:r>
      <w:r>
        <w:rPr>
          <w:spacing w:val="-2"/>
        </w:rPr>
        <w:t>递延所得税资产的确认以本公司很可能取得用来抵扣可抵扣暂时性差异、可抵扣亏损和税款抵减的应纳税</w:t>
      </w:r>
    </w:p>
    <w:p>
      <w:pPr>
        <w:spacing w:after="0" w:line="273"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46"/>
        <w:jc w:val="left"/>
      </w:pPr>
      <w:r>
        <w:rPr/>
        <w:t>所得额为限。</w:t>
      </w:r>
      <w:r>
        <w:rPr>
          <w:w w:val="100"/>
        </w:rPr>
        <w:t> </w:t>
      </w:r>
      <w:r>
        <w:rPr>
          <w:spacing w:val="-2"/>
        </w:rPr>
        <w:t>对子公司、联营企业及合营企业投资相关的暂时性差异产生的递延所得税资产和递延所得税负债，予以确</w:t>
      </w:r>
      <w:r>
        <w:rPr>
          <w:spacing w:val="-43"/>
        </w:rPr>
        <w:t> </w:t>
      </w:r>
      <w:r>
        <w:rPr>
          <w:spacing w:val="-43"/>
        </w:rPr>
      </w:r>
      <w:r>
        <w:rPr>
          <w:spacing w:val="-2"/>
        </w:rPr>
        <w:t>认。但本公司能够控制暂时性差异转回的时间且该暂时性差异在可预见的未来很可能不会转回的，不予确</w:t>
      </w:r>
      <w:r>
        <w:rPr>
          <w:spacing w:val="-44"/>
        </w:rPr>
        <w:t> </w:t>
      </w:r>
      <w:r>
        <w:rPr>
          <w:spacing w:val="-44"/>
        </w:rPr>
      </w:r>
      <w:r>
        <w:rPr/>
        <w:t>认。</w:t>
      </w:r>
    </w:p>
    <w:p>
      <w:pPr>
        <w:spacing w:line="240" w:lineRule="auto" w:before="7"/>
        <w:rPr>
          <w:rFonts w:ascii="宋体" w:hAnsi="宋体" w:cs="宋体" w:eastAsia="宋体" w:hint="default"/>
          <w:sz w:val="23"/>
          <w:szCs w:val="23"/>
        </w:rPr>
      </w:pPr>
    </w:p>
    <w:p>
      <w:pPr>
        <w:pStyle w:val="Heading4"/>
        <w:spacing w:line="240" w:lineRule="auto"/>
        <w:ind w:right="146"/>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14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日起相继修订</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和发布了《企业会计准则第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薪酬</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表列报</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价值计量</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并财务报表</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《企业会计准</w:t>
            </w:r>
            <w:r>
              <w:rPr>
                <w:rFonts w:ascii="宋体" w:hAnsi="宋体" w:cs="宋体" w:eastAsia="宋体" w:hint="default"/>
                <w:spacing w:val="2"/>
                <w:sz w:val="18"/>
                <w:szCs w:val="18"/>
              </w:rPr>
              <w:t>则</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合营安排</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pacing w:val="-14"/>
                <w:sz w:val="18"/>
                <w:szCs w:val="18"/>
              </w:rPr>
              <w:t>期股权投资》、《企业会计准则第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在其他主体中权益的披露》和《企业会 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金融工具列报》等八项</w:t>
            </w:r>
          </w:p>
          <w:p>
            <w:pPr>
              <w:pStyle w:val="TableParagraph"/>
              <w:spacing w:line="309" w:lineRule="auto" w:before="5"/>
              <w:ind w:left="24" w:right="17"/>
              <w:jc w:val="left"/>
              <w:rPr>
                <w:rFonts w:ascii="宋体" w:hAnsi="宋体" w:cs="宋体" w:eastAsia="宋体" w:hint="default"/>
                <w:sz w:val="18"/>
                <w:szCs w:val="18"/>
              </w:rPr>
            </w:pPr>
            <w:r>
              <w:rPr>
                <w:rFonts w:ascii="宋体" w:hAnsi="宋体" w:cs="宋体" w:eastAsia="宋体" w:hint="default"/>
                <w:sz w:val="18"/>
                <w:szCs w:val="18"/>
              </w:rPr>
              <w:t>具体准则，要求自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 在所有执行企业会计准则的企业范围内 施行。</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07" w:lineRule="auto"/>
              <w:ind w:left="23"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日第二届董事会第十一 次会议审议通过《关于会计政策变更的 议案》</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309" w:lineRule="auto" w:before="8"/>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、公司根据财政部（财会</w:t>
      </w:r>
      <w:r>
        <w:rPr>
          <w:rFonts w:ascii="Times New Roman" w:hAnsi="Times New Roman" w:cs="Times New Roman" w:eastAsia="Times New Roman" w:hint="default"/>
          <w:spacing w:val="-1"/>
          <w:sz w:val="18"/>
          <w:szCs w:val="18"/>
        </w:rPr>
        <w:t>[2014]6</w:t>
      </w:r>
      <w:r>
        <w:rPr>
          <w:rFonts w:ascii="宋体" w:hAnsi="宋体" w:cs="宋体" w:eastAsia="宋体" w:hint="default"/>
          <w:spacing w:val="-1"/>
          <w:sz w:val="18"/>
          <w:szCs w:val="18"/>
        </w:rPr>
        <w:t>号）的通知要求，执行《企业会计准则第</w:t>
      </w:r>
      <w:r>
        <w:rPr>
          <w:rFonts w:ascii="Times New Roman" w:hAnsi="Times New Roman" w:cs="Times New Roman" w:eastAsia="Times New Roman" w:hint="default"/>
          <w:spacing w:val="-1"/>
          <w:sz w:val="18"/>
          <w:szCs w:val="18"/>
        </w:rPr>
        <w:t>39</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公允价值计量》，该会计政策的变更对公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司财务报表无重大影响。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、公司根据财政部（财会</w:t>
      </w:r>
      <w:r>
        <w:rPr>
          <w:rFonts w:ascii="Times New Roman" w:hAnsi="Times New Roman" w:cs="Times New Roman" w:eastAsia="Times New Roman" w:hint="default"/>
          <w:spacing w:val="-1"/>
          <w:sz w:val="18"/>
          <w:szCs w:val="18"/>
        </w:rPr>
        <w:t>[2014]7</w:t>
      </w:r>
      <w:r>
        <w:rPr>
          <w:rFonts w:ascii="宋体" w:hAnsi="宋体" w:cs="宋体" w:eastAsia="宋体" w:hint="default"/>
          <w:spacing w:val="-1"/>
          <w:sz w:val="18"/>
          <w:szCs w:val="18"/>
        </w:rPr>
        <w:t>号）的通知要求，执行《企业会计准则第</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财务报表列报》的会计准则，修改了财务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报表中的列报，该会计政策的变更对公司财务报表无重大影响。 </w:t>
      </w:r>
      <w:r>
        <w:rPr>
          <w:rFonts w:ascii="Times New Roman" w:hAnsi="Times New Roman" w:cs="Times New Roman" w:eastAsia="Times New Roman" w:hint="default"/>
          <w:sz w:val="18"/>
          <w:szCs w:val="18"/>
        </w:rPr>
        <w:t>3</w:t>
      </w:r>
      <w:r>
        <w:rPr>
          <w:rFonts w:ascii="宋体" w:hAnsi="宋体" w:cs="宋体" w:eastAsia="宋体" w:hint="default"/>
          <w:sz w:val="18"/>
          <w:szCs w:val="18"/>
        </w:rPr>
        <w:t>、公司根据财政部（财会</w:t>
      </w:r>
      <w:r>
        <w:rPr>
          <w:rFonts w:ascii="Times New Roman" w:hAnsi="Times New Roman" w:cs="Times New Roman" w:eastAsia="Times New Roman" w:hint="default"/>
          <w:sz w:val="18"/>
          <w:szCs w:val="18"/>
        </w:rPr>
        <w:t>[2014]8</w:t>
      </w:r>
      <w:r>
        <w:rPr>
          <w:rFonts w:ascii="宋体" w:hAnsi="宋体" w:cs="宋体" w:eastAsia="宋体" w:hint="default"/>
          <w:sz w:val="18"/>
          <w:szCs w:val="18"/>
        </w:rPr>
        <w:t>号）的通知要求，执行《企业会计准则第</w:t>
      </w:r>
      <w:r>
        <w:rPr>
          <w:rFonts w:ascii="Times New Roman" w:hAnsi="Times New Roman" w:cs="Times New Roman" w:eastAsia="Times New Roman" w:hint="default"/>
          <w:sz w:val="18"/>
          <w:szCs w:val="18"/>
        </w:rPr>
        <w:t>9</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职工薪酬》，该会计政策的变更对公司财 务报表无重大影响。 </w:t>
      </w:r>
      <w:r>
        <w:rPr>
          <w:rFonts w:ascii="Times New Roman" w:hAnsi="Times New Roman" w:cs="Times New Roman" w:eastAsia="Times New Roman" w:hint="default"/>
          <w:sz w:val="18"/>
          <w:szCs w:val="18"/>
        </w:rPr>
        <w:t>4</w:t>
      </w:r>
      <w:r>
        <w:rPr>
          <w:rFonts w:ascii="宋体" w:hAnsi="宋体" w:cs="宋体" w:eastAsia="宋体" w:hint="default"/>
          <w:sz w:val="18"/>
          <w:szCs w:val="18"/>
        </w:rPr>
        <w:t>、公司根据财政部（财会</w:t>
      </w:r>
      <w:r>
        <w:rPr>
          <w:rFonts w:ascii="Times New Roman" w:hAnsi="Times New Roman" w:cs="Times New Roman" w:eastAsia="Times New Roman" w:hint="default"/>
          <w:sz w:val="18"/>
          <w:szCs w:val="18"/>
        </w:rPr>
        <w:t>[2014]10</w:t>
      </w:r>
      <w:r>
        <w:rPr>
          <w:rFonts w:ascii="宋体" w:hAnsi="宋体" w:cs="宋体" w:eastAsia="宋体" w:hint="default"/>
          <w:sz w:val="18"/>
          <w:szCs w:val="18"/>
        </w:rPr>
        <w:t>号）的通知要求，执行《企业会计准则第</w:t>
      </w:r>
      <w:r>
        <w:rPr>
          <w:rFonts w:ascii="Times New Roman" w:hAnsi="Times New Roman" w:cs="Times New Roman" w:eastAsia="Times New Roman" w:hint="default"/>
          <w:sz w:val="18"/>
          <w:szCs w:val="18"/>
        </w:rPr>
        <w:t>33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合并财务报表》，该会计政策的变更对 公司财务报表无重大影响。 </w:t>
      </w:r>
      <w:r>
        <w:rPr>
          <w:rFonts w:ascii="Times New Roman" w:hAnsi="Times New Roman" w:cs="Times New Roman" w:eastAsia="Times New Roman" w:hint="default"/>
          <w:sz w:val="18"/>
          <w:szCs w:val="18"/>
        </w:rPr>
        <w:t>5</w:t>
      </w:r>
      <w:r>
        <w:rPr>
          <w:rFonts w:ascii="宋体" w:hAnsi="宋体" w:cs="宋体" w:eastAsia="宋体" w:hint="default"/>
          <w:sz w:val="18"/>
          <w:szCs w:val="18"/>
        </w:rPr>
        <w:t>、公司根据财政部（财会</w:t>
      </w:r>
      <w:r>
        <w:rPr>
          <w:rFonts w:ascii="Times New Roman" w:hAnsi="Times New Roman" w:cs="Times New Roman" w:eastAsia="Times New Roman" w:hint="default"/>
          <w:sz w:val="18"/>
          <w:szCs w:val="18"/>
        </w:rPr>
        <w:t>[2014]11</w:t>
      </w:r>
      <w:r>
        <w:rPr>
          <w:rFonts w:ascii="宋体" w:hAnsi="宋体" w:cs="宋体" w:eastAsia="宋体" w:hint="default"/>
          <w:sz w:val="18"/>
          <w:szCs w:val="18"/>
        </w:rPr>
        <w:t>号）的通知要求，执行《企业会计准则第</w:t>
      </w:r>
      <w:r>
        <w:rPr>
          <w:rFonts w:ascii="Times New Roman" w:hAnsi="Times New Roman" w:cs="Times New Roman" w:eastAsia="Times New Roman" w:hint="default"/>
          <w:sz w:val="18"/>
          <w:szCs w:val="18"/>
        </w:rPr>
        <w:t>40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合营安排》，该会计政策变更对公司财 务报表无重大影响。 </w:t>
      </w:r>
      <w:r>
        <w:rPr>
          <w:rFonts w:ascii="Times New Roman" w:hAnsi="Times New Roman" w:cs="Times New Roman" w:eastAsia="Times New Roman" w:hint="default"/>
          <w:sz w:val="18"/>
          <w:szCs w:val="18"/>
        </w:rPr>
        <w:t>6</w:t>
      </w:r>
      <w:r>
        <w:rPr>
          <w:rFonts w:ascii="宋体" w:hAnsi="宋体" w:cs="宋体" w:eastAsia="宋体" w:hint="default"/>
          <w:sz w:val="18"/>
          <w:szCs w:val="18"/>
        </w:rPr>
        <w:t>、公司根据财政部（财会</w:t>
      </w:r>
      <w:r>
        <w:rPr>
          <w:rFonts w:ascii="Times New Roman" w:hAnsi="Times New Roman" w:cs="Times New Roman" w:eastAsia="Times New Roman" w:hint="default"/>
          <w:sz w:val="18"/>
          <w:szCs w:val="18"/>
        </w:rPr>
        <w:t>[2014]14</w:t>
      </w:r>
      <w:r>
        <w:rPr>
          <w:rFonts w:ascii="宋体" w:hAnsi="宋体" w:cs="宋体" w:eastAsia="宋体" w:hint="default"/>
          <w:sz w:val="18"/>
          <w:szCs w:val="18"/>
        </w:rPr>
        <w:t>号）的通知要求，执行《企业会计准则第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长期股权投资》，对</w:t>
      </w:r>
      <w:r>
        <w:rPr>
          <w:rFonts w:ascii="Times New Roman" w:hAnsi="Times New Roman" w:cs="Times New Roman" w:eastAsia="Times New Roman" w:hint="default"/>
          <w:sz w:val="18"/>
          <w:szCs w:val="18"/>
        </w:rPr>
        <w:t>“</w:t>
      </w:r>
      <w:r>
        <w:rPr>
          <w:rFonts w:ascii="宋体" w:hAnsi="宋体" w:cs="宋体" w:eastAsia="宋体" w:hint="default"/>
          <w:sz w:val="18"/>
          <w:szCs w:val="18"/>
        </w:rPr>
        <w:t>投资方持有的对被 投资单位不具有控制、共同控制或重大影响，并在活跃市场中无报价、公允价值不能可靠计量的长期股权投资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，按《企业</w:t>
      </w:r>
    </w:p>
    <w:p>
      <w:pPr>
        <w:spacing w:after="0" w:line="309"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line="304" w:lineRule="auto" w:before="44"/>
        <w:ind w:left="152" w:right="204" w:firstLine="0"/>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Times New Roman" w:hAnsi="Times New Roman" w:cs="Times New Roman" w:eastAsia="Times New Roman" w:hint="default"/>
          <w:sz w:val="18"/>
          <w:szCs w:val="18"/>
        </w:rPr>
        <w:t>22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金融资产的确认和计量》核算，对被投资企业的投资采用成本法核算。 </w:t>
      </w:r>
      <w:r>
        <w:rPr>
          <w:rFonts w:ascii="Times New Roman" w:hAnsi="Times New Roman" w:cs="Times New Roman" w:eastAsia="Times New Roman" w:hint="default"/>
          <w:sz w:val="18"/>
          <w:szCs w:val="18"/>
        </w:rPr>
        <w:t>7</w:t>
      </w:r>
      <w:r>
        <w:rPr>
          <w:rFonts w:ascii="宋体" w:hAnsi="宋体" w:cs="宋体" w:eastAsia="宋体" w:hint="default"/>
          <w:sz w:val="18"/>
          <w:szCs w:val="18"/>
        </w:rPr>
        <w:t>、公司根据财政部（财会</w:t>
      </w:r>
      <w:r>
        <w:rPr>
          <w:rFonts w:ascii="Times New Roman" w:hAnsi="Times New Roman" w:cs="Times New Roman" w:eastAsia="Times New Roman" w:hint="default"/>
          <w:sz w:val="18"/>
          <w:szCs w:val="18"/>
        </w:rPr>
        <w:t>[2014]16</w:t>
      </w:r>
      <w:r>
        <w:rPr>
          <w:rFonts w:ascii="宋体" w:hAnsi="宋体" w:cs="宋体" w:eastAsia="宋体" w:hint="default"/>
          <w:sz w:val="18"/>
          <w:szCs w:val="18"/>
        </w:rPr>
        <w:t>号）的通知要求，执行《企业会计准则第</w:t>
      </w:r>
      <w:r>
        <w:rPr>
          <w:rFonts w:ascii="Times New Roman" w:hAnsi="Times New Roman" w:cs="Times New Roman" w:eastAsia="Times New Roman" w:hint="default"/>
          <w:sz w:val="18"/>
          <w:szCs w:val="18"/>
        </w:rPr>
        <w:t>41</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在其他主体中权益的披露》。该会计政 策的变更对公司财务报表无重大影响。 </w:t>
      </w:r>
      <w:r>
        <w:rPr>
          <w:rFonts w:ascii="Times New Roman" w:hAnsi="Times New Roman" w:cs="Times New Roman" w:eastAsia="Times New Roman" w:hint="default"/>
          <w:sz w:val="18"/>
          <w:szCs w:val="18"/>
        </w:rPr>
        <w:t>8</w:t>
      </w:r>
      <w:r>
        <w:rPr>
          <w:rFonts w:ascii="宋体" w:hAnsi="宋体" w:cs="宋体" w:eastAsia="宋体" w:hint="default"/>
          <w:sz w:val="18"/>
          <w:szCs w:val="18"/>
        </w:rPr>
        <w:t>、公司根据财政部（财会</w:t>
      </w:r>
      <w:r>
        <w:rPr>
          <w:rFonts w:ascii="Times New Roman" w:hAnsi="Times New Roman" w:cs="Times New Roman" w:eastAsia="Times New Roman" w:hint="default"/>
          <w:sz w:val="18"/>
          <w:szCs w:val="18"/>
        </w:rPr>
        <w:t>[2014]23</w:t>
      </w:r>
      <w:r>
        <w:rPr>
          <w:rFonts w:ascii="宋体" w:hAnsi="宋体" w:cs="宋体" w:eastAsia="宋体" w:hint="default"/>
          <w:sz w:val="18"/>
          <w:szCs w:val="18"/>
        </w:rPr>
        <w:t>号）的通知要求，执行《企业会计准则第</w:t>
      </w:r>
      <w:r>
        <w:rPr>
          <w:rFonts w:ascii="Times New Roman" w:hAnsi="Times New Roman" w:cs="Times New Roman" w:eastAsia="Times New Roman" w:hint="default"/>
          <w:sz w:val="18"/>
          <w:szCs w:val="18"/>
        </w:rPr>
        <w:t>37</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金融工具列表》。该会计政策的变更对 公司财务报表无重大影响。</w:t>
      </w:r>
    </w:p>
    <w:p>
      <w:pPr>
        <w:spacing w:before="28"/>
        <w:ind w:left="152" w:right="146" w:firstLine="0"/>
        <w:jc w:val="left"/>
        <w:rPr>
          <w:rFonts w:ascii="宋体" w:hAnsi="宋体" w:cs="宋体" w:eastAsia="宋体" w:hint="default"/>
          <w:sz w:val="18"/>
          <w:szCs w:val="18"/>
        </w:rPr>
      </w:pPr>
      <w:r>
        <w:rPr>
          <w:rFonts w:ascii="宋体" w:hAnsi="宋体" w:cs="宋体" w:eastAsia="宋体" w:hint="default"/>
          <w:sz w:val="18"/>
          <w:szCs w:val="18"/>
        </w:rPr>
        <w:t>本次会计政策变更的实施不会对公司</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年度和</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年已披露的财务报表项目金额产生重大影响。</w:t>
      </w:r>
    </w:p>
    <w:p>
      <w:pPr>
        <w:spacing w:line="240" w:lineRule="auto" w:before="2"/>
        <w:rPr>
          <w:rFonts w:ascii="宋体" w:hAnsi="宋体" w:cs="宋体" w:eastAsia="宋体" w:hint="default"/>
          <w:sz w:val="26"/>
          <w:szCs w:val="26"/>
        </w:rPr>
      </w:pPr>
    </w:p>
    <w:p>
      <w:pPr>
        <w:pStyle w:val="Heading4"/>
        <w:spacing w:line="240" w:lineRule="auto"/>
        <w:ind w:right="146"/>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line="487" w:lineRule="auto" w:before="0"/>
        <w:ind w:left="152" w:right="79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7" w:lineRule="auto" w:before="49"/>
              <w:ind w:left="17"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乘以适用税率扣除当期允计抵扣的进项 税后的余额计算</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当期应纳流转税额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当期应纳流转税额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73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4,304.91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14,350.01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1,019,094,023.51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135,247,295.60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65,899,147.96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88,775,439.32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1,084,997,476.38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224,037,084.93</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5"/>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46"/>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188,446,751.67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293,191,886.17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188,446,751.67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293,191,886.17</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91,655,3</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89.41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5,649,93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6.16%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86,005,45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8.54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77,188,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781.86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4,687,514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6.07%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72,501,267.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91,655,3</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89.41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5,649,93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0.87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6.16%</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86,005,45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8.54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77,188,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781.86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4,687,514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6.07%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72,501,267.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3"/>
        <w:gridCol w:w="2393"/>
      </w:tblGrid>
      <w:tr>
        <w:trPr>
          <w:trHeight w:val="205"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88,854,672.42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4,442,733.62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96.94%</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1,530,629.35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306,125.87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1.67%</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738,032.52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369,016.26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0.81%</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532,055.12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532,055.12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0.58%</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91,655,389.41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5,649,930.87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357"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7"/>
        <w:rPr>
          <w:rFonts w:ascii="宋体" w:hAnsi="宋体" w:cs="宋体" w:eastAsia="宋体" w:hint="default"/>
          <w:sz w:val="21"/>
          <w:szCs w:val="21"/>
        </w:rPr>
      </w:pPr>
    </w:p>
    <w:p>
      <w:pPr>
        <w:pStyle w:val="Heading4"/>
        <w:spacing w:line="240" w:lineRule="auto"/>
        <w:ind w:right="14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013" w:space="38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96"/>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96"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52" w:right="96"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right="96"/>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949"/>
        <w:gridCol w:w="235"/>
        <w:gridCol w:w="1162"/>
        <w:gridCol w:w="240"/>
        <w:gridCol w:w="1313"/>
        <w:gridCol w:w="238"/>
        <w:gridCol w:w="956"/>
        <w:gridCol w:w="281"/>
        <w:gridCol w:w="1368"/>
      </w:tblGrid>
      <w:tr>
        <w:trPr>
          <w:trHeight w:val="658" w:hRule="exact"/>
        </w:trPr>
        <w:tc>
          <w:tcPr>
            <w:tcW w:w="3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93" w:right="213"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240"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8"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90"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281"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19" w:right="223" w:hanging="92"/>
              <w:jc w:val="left"/>
              <w:rPr>
                <w:rFonts w:ascii="宋体" w:hAnsi="宋体" w:cs="宋体" w:eastAsia="宋体" w:hint="default"/>
                <w:sz w:val="18"/>
                <w:szCs w:val="18"/>
              </w:rPr>
            </w:pPr>
            <w:r>
              <w:rPr>
                <w:rFonts w:ascii="宋体" w:hAnsi="宋体" w:cs="宋体" w:eastAsia="宋体" w:hint="default"/>
                <w:sz w:val="18"/>
                <w:szCs w:val="18"/>
              </w:rPr>
              <w:t>占应收账款 总额比例</w:t>
            </w:r>
          </w:p>
        </w:tc>
      </w:tr>
      <w:tr>
        <w:trPr>
          <w:trHeight w:val="348" w:hRule="exact"/>
        </w:trPr>
        <w:tc>
          <w:tcPr>
            <w:tcW w:w="3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40"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14,224,162.88</w:t>
            </w:r>
          </w:p>
        </w:tc>
        <w:tc>
          <w:tcPr>
            <w:tcW w:w="238"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81"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15.52%</w:t>
            </w:r>
          </w:p>
        </w:tc>
      </w:tr>
      <w:tr>
        <w:trPr>
          <w:trHeight w:val="346" w:hRule="exact"/>
        </w:trPr>
        <w:tc>
          <w:tcPr>
            <w:tcW w:w="3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40"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6,660,000.00</w:t>
            </w:r>
          </w:p>
        </w:tc>
        <w:tc>
          <w:tcPr>
            <w:tcW w:w="238"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81"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7.27%</w:t>
            </w:r>
          </w:p>
        </w:tc>
      </w:tr>
      <w:tr>
        <w:trPr>
          <w:trHeight w:val="348" w:hRule="exact"/>
        </w:trPr>
        <w:tc>
          <w:tcPr>
            <w:tcW w:w="3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40"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5,570,359.20</w:t>
            </w:r>
          </w:p>
        </w:tc>
        <w:tc>
          <w:tcPr>
            <w:tcW w:w="238"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81"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6.08%</w:t>
            </w:r>
          </w:p>
        </w:tc>
      </w:tr>
      <w:tr>
        <w:trPr>
          <w:trHeight w:val="348" w:hRule="exact"/>
        </w:trPr>
        <w:tc>
          <w:tcPr>
            <w:tcW w:w="3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40"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5,255,776.40</w:t>
            </w:r>
          </w:p>
        </w:tc>
        <w:tc>
          <w:tcPr>
            <w:tcW w:w="238"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81"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5.73%</w:t>
            </w:r>
          </w:p>
        </w:tc>
      </w:tr>
      <w:tr>
        <w:trPr>
          <w:trHeight w:val="346" w:hRule="exact"/>
        </w:trPr>
        <w:tc>
          <w:tcPr>
            <w:tcW w:w="3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40"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4,799,632.01</w:t>
            </w:r>
          </w:p>
        </w:tc>
        <w:tc>
          <w:tcPr>
            <w:tcW w:w="238"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81"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5.24%</w:t>
            </w:r>
          </w:p>
        </w:tc>
      </w:tr>
      <w:tr>
        <w:trPr>
          <w:trHeight w:val="348" w:hRule="exact"/>
        </w:trPr>
        <w:tc>
          <w:tcPr>
            <w:tcW w:w="3949" w:type="dxa"/>
            <w:tcBorders>
              <w:top w:val="single" w:sz="6" w:space="0" w:color="000000"/>
              <w:left w:val="single" w:sz="6" w:space="0" w:color="000000"/>
              <w:bottom w:val="single" w:sz="6" w:space="0" w:color="000000"/>
              <w:right w:val="single" w:sz="6" w:space="0" w:color="000000"/>
            </w:tcBorders>
          </w:tcPr>
          <w:p>
            <w:pPr/>
          </w:p>
        </w:tc>
        <w:tc>
          <w:tcPr>
            <w:tcW w:w="23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240"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36,509,930.49</w:t>
            </w:r>
          </w:p>
        </w:tc>
        <w:tc>
          <w:tcPr>
            <w:tcW w:w="238"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
        </w:tc>
        <w:tc>
          <w:tcPr>
            <w:tcW w:w="281"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6"/>
        <w:ind w:right="96"/>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6"/>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2" w:right="9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6"/>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6"/>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3"/>
        <w:gridCol w:w="1915"/>
        <w:gridCol w:w="1916"/>
      </w:tblGrid>
      <w:tr>
        <w:trPr>
          <w:trHeight w:val="20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479,273,374.07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94.91%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226,866,558.47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96.26%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17,885,072.59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8,816,432.86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3.74%</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7,840,481.11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504,998,927.77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235,682,991.33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6"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after="0"/>
        <w:jc w:val="left"/>
        <w:rPr>
          <w:rFonts w:ascii="宋体" w:hAnsi="宋体" w:cs="宋体" w:eastAsia="宋体" w:hint="default"/>
          <w:sz w:val="18"/>
          <w:szCs w:val="18"/>
        </w:rPr>
        <w:sectPr>
          <w:pgSz w:w="11910" w:h="16840"/>
          <w:pgMar w:header="745" w:footer="980" w:top="1060" w:bottom="1160" w:left="980" w:right="900"/>
        </w:sectPr>
      </w:pP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63"/>
        <w:gridCol w:w="2348"/>
        <w:gridCol w:w="1781"/>
        <w:gridCol w:w="1179"/>
        <w:gridCol w:w="1948"/>
      </w:tblGrid>
      <w:tr>
        <w:trPr>
          <w:trHeight w:val="667" w:hRule="exact"/>
        </w:trPr>
        <w:tc>
          <w:tcPr>
            <w:tcW w:w="2563"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03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348"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38"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81"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51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79"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948"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78"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39" w:hRule="exact"/>
        </w:trPr>
        <w:tc>
          <w:tcPr>
            <w:tcW w:w="2563"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48"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336"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81"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280"/>
              <w:jc w:val="right"/>
              <w:rPr>
                <w:rFonts w:ascii="Times New Roman" w:hAnsi="Times New Roman" w:cs="Times New Roman" w:eastAsia="Times New Roman" w:hint="default"/>
                <w:sz w:val="18"/>
                <w:szCs w:val="18"/>
              </w:rPr>
            </w:pPr>
            <w:r>
              <w:rPr>
                <w:rFonts w:ascii="Times New Roman"/>
                <w:spacing w:val="-1"/>
                <w:sz w:val="18"/>
              </w:rPr>
              <w:t>13,298,940.43</w:t>
            </w:r>
          </w:p>
        </w:tc>
        <w:tc>
          <w:tcPr>
            <w:tcW w:w="117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48"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80" w:right="0"/>
              <w:jc w:val="center"/>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336" w:hRule="exact"/>
        </w:trPr>
        <w:tc>
          <w:tcPr>
            <w:tcW w:w="2563"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48"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336"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81"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79"/>
              <w:jc w:val="right"/>
              <w:rPr>
                <w:rFonts w:ascii="Times New Roman" w:hAnsi="Times New Roman" w:cs="Times New Roman" w:eastAsia="Times New Roman" w:hint="default"/>
                <w:sz w:val="18"/>
                <w:szCs w:val="18"/>
              </w:rPr>
            </w:pPr>
            <w:r>
              <w:rPr>
                <w:rFonts w:ascii="Times New Roman"/>
                <w:spacing w:val="-1"/>
                <w:sz w:val="18"/>
              </w:rPr>
              <w:t>7,443,724.49</w:t>
            </w:r>
          </w:p>
        </w:tc>
        <w:tc>
          <w:tcPr>
            <w:tcW w:w="117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948"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80" w:right="0"/>
              <w:jc w:val="center"/>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338" w:hRule="exact"/>
        </w:trPr>
        <w:tc>
          <w:tcPr>
            <w:tcW w:w="2563"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48"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336"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81"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79"/>
              <w:jc w:val="right"/>
              <w:rPr>
                <w:rFonts w:ascii="Times New Roman" w:hAnsi="Times New Roman" w:cs="Times New Roman" w:eastAsia="Times New Roman" w:hint="default"/>
                <w:sz w:val="18"/>
                <w:szCs w:val="18"/>
              </w:rPr>
            </w:pPr>
            <w:r>
              <w:rPr>
                <w:rFonts w:ascii="Times New Roman"/>
                <w:spacing w:val="-1"/>
                <w:sz w:val="18"/>
              </w:rPr>
              <w:t>1,139,939.67</w:t>
            </w:r>
          </w:p>
        </w:tc>
        <w:tc>
          <w:tcPr>
            <w:tcW w:w="117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48"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80" w:right="0"/>
              <w:jc w:val="center"/>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336" w:hRule="exact"/>
        </w:trPr>
        <w:tc>
          <w:tcPr>
            <w:tcW w:w="2563" w:type="dxa"/>
            <w:tcBorders>
              <w:top w:val="single" w:sz="6" w:space="0" w:color="000000"/>
              <w:left w:val="nil" w:sz="6" w:space="0" w:color="auto"/>
              <w:bottom w:val="single" w:sz="6" w:space="0" w:color="000000"/>
              <w:right w:val="nil" w:sz="6" w:space="0" w:color="auto"/>
            </w:tcBorders>
          </w:tcPr>
          <w:p>
            <w:pPr/>
          </w:p>
        </w:tc>
        <w:tc>
          <w:tcPr>
            <w:tcW w:w="2348" w:type="dxa"/>
            <w:tcBorders>
              <w:top w:val="single" w:sz="6" w:space="0" w:color="000000"/>
              <w:left w:val="nil" w:sz="6" w:space="0" w:color="auto"/>
              <w:bottom w:val="single" w:sz="6" w:space="0" w:color="000000"/>
              <w:right w:val="nil" w:sz="6" w:space="0" w:color="auto"/>
            </w:tcBorders>
          </w:tcPr>
          <w:p>
            <w:pPr/>
          </w:p>
        </w:tc>
        <w:tc>
          <w:tcPr>
            <w:tcW w:w="1781"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80"/>
              <w:jc w:val="right"/>
              <w:rPr>
                <w:rFonts w:ascii="Times New Roman" w:hAnsi="Times New Roman" w:cs="Times New Roman" w:eastAsia="Times New Roman" w:hint="default"/>
                <w:sz w:val="18"/>
                <w:szCs w:val="18"/>
              </w:rPr>
            </w:pPr>
            <w:r>
              <w:rPr>
                <w:rFonts w:ascii="Times New Roman"/>
                <w:spacing w:val="-1"/>
                <w:sz w:val="18"/>
              </w:rPr>
              <w:t>21,882,604.59</w:t>
            </w:r>
          </w:p>
        </w:tc>
        <w:tc>
          <w:tcPr>
            <w:tcW w:w="1179" w:type="dxa"/>
            <w:tcBorders>
              <w:top w:val="single" w:sz="6" w:space="0" w:color="000000"/>
              <w:left w:val="nil" w:sz="6" w:space="0" w:color="auto"/>
              <w:bottom w:val="single" w:sz="6" w:space="0" w:color="000000"/>
              <w:right w:val="nil" w:sz="6" w:space="0" w:color="auto"/>
            </w:tcBorders>
          </w:tcPr>
          <w:p>
            <w:pPr/>
          </w:p>
        </w:tc>
        <w:tc>
          <w:tcPr>
            <w:tcW w:w="1948" w:type="dxa"/>
            <w:tcBorders>
              <w:top w:val="single" w:sz="6" w:space="0" w:color="000000"/>
              <w:left w:val="nil" w:sz="6" w:space="0" w:color="auto"/>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left="132" w:right="96"/>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1"/>
          <w:szCs w:val="11"/>
        </w:rPr>
      </w:pPr>
    </w:p>
    <w:tbl>
      <w:tblPr>
        <w:tblW w:w="0" w:type="auto"/>
        <w:jc w:val="left"/>
        <w:tblInd w:w="118" w:type="dxa"/>
        <w:tblLayout w:type="fixed"/>
        <w:tblCellMar>
          <w:top w:w="0" w:type="dxa"/>
          <w:left w:w="0" w:type="dxa"/>
          <w:bottom w:w="0" w:type="dxa"/>
          <w:right w:w="0" w:type="dxa"/>
        </w:tblCellMar>
        <w:tblLook w:val="01E0"/>
      </w:tblPr>
      <w:tblGrid>
        <w:gridCol w:w="2548"/>
        <w:gridCol w:w="2301"/>
        <w:gridCol w:w="1774"/>
        <w:gridCol w:w="1284"/>
        <w:gridCol w:w="1896"/>
      </w:tblGrid>
      <w:tr>
        <w:trPr>
          <w:trHeight w:val="265" w:hRule="exact"/>
        </w:trPr>
        <w:tc>
          <w:tcPr>
            <w:tcW w:w="2548" w:type="dxa"/>
            <w:tcBorders>
              <w:top w:val="nil" w:sz="6" w:space="0" w:color="auto"/>
              <w:left w:val="nil" w:sz="6" w:space="0" w:color="auto"/>
              <w:bottom w:val="single" w:sz="6" w:space="0" w:color="000000"/>
              <w:right w:val="nil" w:sz="6" w:space="0" w:color="auto"/>
            </w:tcBorders>
          </w:tcPr>
          <w:p>
            <w:pPr>
              <w:pStyle w:val="TableParagraph"/>
              <w:spacing w:line="180" w:lineRule="exact"/>
              <w:ind w:left="10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301" w:type="dxa"/>
            <w:tcBorders>
              <w:top w:val="nil" w:sz="6" w:space="0" w:color="auto"/>
              <w:left w:val="nil" w:sz="6" w:space="0" w:color="auto"/>
              <w:bottom w:val="single" w:sz="6" w:space="0" w:color="000000"/>
              <w:right w:val="nil" w:sz="6" w:space="0" w:color="auto"/>
            </w:tcBorders>
          </w:tcPr>
          <w:p>
            <w:pPr>
              <w:pStyle w:val="TableParagraph"/>
              <w:spacing w:line="180" w:lineRule="exact"/>
              <w:ind w:left="385"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74" w:type="dxa"/>
            <w:tcBorders>
              <w:top w:val="nil" w:sz="6" w:space="0" w:color="auto"/>
              <w:left w:val="nil" w:sz="6" w:space="0" w:color="auto"/>
              <w:bottom w:val="single" w:sz="6" w:space="0" w:color="000000"/>
              <w:right w:val="nil" w:sz="6" w:space="0" w:color="auto"/>
            </w:tcBorders>
          </w:tcPr>
          <w:p>
            <w:pPr>
              <w:pStyle w:val="TableParagraph"/>
              <w:spacing w:line="180" w:lineRule="exact"/>
              <w:ind w:left="56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84" w:type="dxa"/>
            <w:tcBorders>
              <w:top w:val="nil" w:sz="6" w:space="0" w:color="auto"/>
              <w:left w:val="nil" w:sz="6" w:space="0" w:color="auto"/>
              <w:bottom w:val="single" w:sz="6" w:space="0" w:color="000000"/>
              <w:right w:val="nil" w:sz="6" w:space="0" w:color="auto"/>
            </w:tcBorders>
          </w:tcPr>
          <w:p>
            <w:pPr>
              <w:pStyle w:val="TableParagraph"/>
              <w:spacing w:line="180" w:lineRule="exact"/>
              <w:ind w:right="192"/>
              <w:jc w:val="center"/>
              <w:rPr>
                <w:rFonts w:ascii="宋体" w:hAnsi="宋体" w:cs="宋体" w:eastAsia="宋体" w:hint="default"/>
                <w:sz w:val="18"/>
                <w:szCs w:val="18"/>
              </w:rPr>
            </w:pPr>
            <w:r>
              <w:rPr>
                <w:rFonts w:ascii="宋体" w:hAnsi="宋体" w:cs="宋体" w:eastAsia="宋体" w:hint="default"/>
                <w:sz w:val="18"/>
                <w:szCs w:val="18"/>
              </w:rPr>
              <w:t>账龄</w:t>
            </w:r>
          </w:p>
        </w:tc>
        <w:tc>
          <w:tcPr>
            <w:tcW w:w="1896" w:type="dxa"/>
            <w:tcBorders>
              <w:top w:val="nil" w:sz="6" w:space="0" w:color="auto"/>
              <w:left w:val="nil" w:sz="6" w:space="0" w:color="auto"/>
              <w:bottom w:val="single" w:sz="6" w:space="0" w:color="000000"/>
              <w:right w:val="nil" w:sz="6" w:space="0" w:color="auto"/>
            </w:tcBorders>
          </w:tcPr>
          <w:p>
            <w:pPr>
              <w:pStyle w:val="TableParagraph"/>
              <w:spacing w:line="180" w:lineRule="exact"/>
              <w:ind w:left="26"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38" w:hRule="exact"/>
        </w:trPr>
        <w:tc>
          <w:tcPr>
            <w:tcW w:w="2548"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01"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382"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74"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28"/>
              <w:jc w:val="right"/>
              <w:rPr>
                <w:rFonts w:ascii="Times New Roman" w:hAnsi="Times New Roman" w:cs="Times New Roman" w:eastAsia="Times New Roman" w:hint="default"/>
                <w:sz w:val="18"/>
                <w:szCs w:val="18"/>
              </w:rPr>
            </w:pPr>
            <w:r>
              <w:rPr>
                <w:rFonts w:ascii="Times New Roman"/>
                <w:spacing w:val="-1"/>
                <w:sz w:val="18"/>
              </w:rPr>
              <w:t>156,247,619.57</w:t>
            </w:r>
          </w:p>
        </w:tc>
        <w:tc>
          <w:tcPr>
            <w:tcW w:w="1284"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19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96"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29" w:right="0"/>
              <w:jc w:val="center"/>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337" w:hRule="exact"/>
        </w:trPr>
        <w:tc>
          <w:tcPr>
            <w:tcW w:w="2548"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01"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382"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74"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28"/>
              <w:jc w:val="right"/>
              <w:rPr>
                <w:rFonts w:ascii="Times New Roman" w:hAnsi="Times New Roman" w:cs="Times New Roman" w:eastAsia="Times New Roman" w:hint="default"/>
                <w:sz w:val="18"/>
                <w:szCs w:val="18"/>
              </w:rPr>
            </w:pPr>
            <w:r>
              <w:rPr>
                <w:rFonts w:ascii="Times New Roman"/>
                <w:spacing w:val="-1"/>
                <w:sz w:val="18"/>
              </w:rPr>
              <w:t>83,805,000.00</w:t>
            </w:r>
          </w:p>
        </w:tc>
        <w:tc>
          <w:tcPr>
            <w:tcW w:w="1284"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19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96"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29" w:right="0"/>
              <w:jc w:val="center"/>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336" w:hRule="exact"/>
        </w:trPr>
        <w:tc>
          <w:tcPr>
            <w:tcW w:w="2548"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01"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382"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74"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28"/>
              <w:jc w:val="right"/>
              <w:rPr>
                <w:rFonts w:ascii="Times New Roman" w:hAnsi="Times New Roman" w:cs="Times New Roman" w:eastAsia="Times New Roman" w:hint="default"/>
                <w:sz w:val="18"/>
                <w:szCs w:val="18"/>
              </w:rPr>
            </w:pPr>
            <w:r>
              <w:rPr>
                <w:rFonts w:ascii="Times New Roman"/>
                <w:spacing w:val="-1"/>
                <w:sz w:val="18"/>
              </w:rPr>
              <w:t>63,032,970.00</w:t>
            </w:r>
          </w:p>
        </w:tc>
        <w:tc>
          <w:tcPr>
            <w:tcW w:w="1284"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19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96"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29" w:right="0"/>
              <w:jc w:val="center"/>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338" w:hRule="exact"/>
        </w:trPr>
        <w:tc>
          <w:tcPr>
            <w:tcW w:w="2548"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0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382"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74"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228"/>
              <w:jc w:val="right"/>
              <w:rPr>
                <w:rFonts w:ascii="Times New Roman" w:hAnsi="Times New Roman" w:cs="Times New Roman" w:eastAsia="Times New Roman" w:hint="default"/>
                <w:sz w:val="18"/>
                <w:szCs w:val="18"/>
              </w:rPr>
            </w:pPr>
            <w:r>
              <w:rPr>
                <w:rFonts w:ascii="Times New Roman"/>
                <w:spacing w:val="-1"/>
                <w:sz w:val="18"/>
              </w:rPr>
              <w:t>55,901,999.98</w:t>
            </w:r>
          </w:p>
        </w:tc>
        <w:tc>
          <w:tcPr>
            <w:tcW w:w="1284"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19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9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29" w:right="0"/>
              <w:jc w:val="center"/>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336" w:hRule="exact"/>
        </w:trPr>
        <w:tc>
          <w:tcPr>
            <w:tcW w:w="2548"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01"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382"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74"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28"/>
              <w:jc w:val="right"/>
              <w:rPr>
                <w:rFonts w:ascii="Times New Roman" w:hAnsi="Times New Roman" w:cs="Times New Roman" w:eastAsia="Times New Roman" w:hint="default"/>
                <w:sz w:val="18"/>
                <w:szCs w:val="18"/>
              </w:rPr>
            </w:pPr>
            <w:r>
              <w:rPr>
                <w:rFonts w:ascii="Times New Roman"/>
                <w:spacing w:val="-1"/>
                <w:sz w:val="18"/>
              </w:rPr>
              <w:t>28,028,000.00</w:t>
            </w:r>
          </w:p>
        </w:tc>
        <w:tc>
          <w:tcPr>
            <w:tcW w:w="1284"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19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96"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29" w:right="0"/>
              <w:jc w:val="center"/>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338" w:hRule="exact"/>
        </w:trPr>
        <w:tc>
          <w:tcPr>
            <w:tcW w:w="2548" w:type="dxa"/>
            <w:tcBorders>
              <w:top w:val="single" w:sz="6" w:space="0" w:color="000000"/>
              <w:left w:val="nil" w:sz="6" w:space="0" w:color="auto"/>
              <w:bottom w:val="single" w:sz="6" w:space="0" w:color="000000"/>
              <w:right w:val="nil" w:sz="6" w:space="0" w:color="auto"/>
            </w:tcBorders>
          </w:tcPr>
          <w:p>
            <w:pPr/>
          </w:p>
        </w:tc>
        <w:tc>
          <w:tcPr>
            <w:tcW w:w="2301" w:type="dxa"/>
            <w:tcBorders>
              <w:top w:val="single" w:sz="6" w:space="0" w:color="000000"/>
              <w:left w:val="nil" w:sz="6" w:space="0" w:color="auto"/>
              <w:bottom w:val="single" w:sz="6" w:space="0" w:color="000000"/>
              <w:right w:val="nil" w:sz="6" w:space="0" w:color="auto"/>
            </w:tcBorders>
          </w:tcPr>
          <w:p>
            <w:pPr/>
          </w:p>
        </w:tc>
        <w:tc>
          <w:tcPr>
            <w:tcW w:w="1774"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26"/>
              <w:jc w:val="right"/>
              <w:rPr>
                <w:rFonts w:ascii="Times New Roman" w:hAnsi="Times New Roman" w:cs="Times New Roman" w:eastAsia="Times New Roman" w:hint="default"/>
                <w:sz w:val="18"/>
                <w:szCs w:val="18"/>
              </w:rPr>
            </w:pPr>
            <w:r>
              <w:rPr>
                <w:rFonts w:ascii="Times New Roman"/>
                <w:spacing w:val="-1"/>
                <w:sz w:val="18"/>
              </w:rPr>
              <w:t>387,015,589.55</w:t>
            </w:r>
          </w:p>
        </w:tc>
        <w:tc>
          <w:tcPr>
            <w:tcW w:w="1284" w:type="dxa"/>
            <w:tcBorders>
              <w:top w:val="single" w:sz="6" w:space="0" w:color="000000"/>
              <w:left w:val="nil" w:sz="6" w:space="0" w:color="auto"/>
              <w:bottom w:val="single" w:sz="6" w:space="0" w:color="000000"/>
              <w:right w:val="nil" w:sz="6" w:space="0" w:color="auto"/>
            </w:tcBorders>
          </w:tcPr>
          <w:p>
            <w:pPr/>
          </w:p>
        </w:tc>
        <w:tc>
          <w:tcPr>
            <w:tcW w:w="1896" w:type="dxa"/>
            <w:tcBorders>
              <w:top w:val="single" w:sz="6" w:space="0" w:color="000000"/>
              <w:left w:val="nil" w:sz="6" w:space="0" w:color="auto"/>
              <w:bottom w:val="single" w:sz="6" w:space="0" w:color="000000"/>
              <w:right w:val="nil" w:sz="6" w:space="0" w:color="auto"/>
            </w:tcBorders>
          </w:tcPr>
          <w:p>
            <w:pPr/>
          </w:p>
        </w:tc>
      </w:tr>
    </w:tbl>
    <w:p>
      <w:pPr>
        <w:spacing w:line="240" w:lineRule="auto" w:before="2"/>
        <w:rPr>
          <w:rFonts w:ascii="宋体" w:hAnsi="宋体" w:cs="宋体" w:eastAsia="宋体" w:hint="default"/>
          <w:b/>
          <w:bCs/>
          <w:sz w:val="24"/>
          <w:szCs w:val="24"/>
        </w:rPr>
      </w:pPr>
    </w:p>
    <w:p>
      <w:pPr>
        <w:spacing w:before="44"/>
        <w:ind w:left="132" w:right="9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left="132" w:right="96"/>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2" w:right="96"/>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spacing w:before="44"/>
        <w:ind w:left="0" w:right="2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募集资金定期利息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4,242,197.92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489,988.89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4,242,197.92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489,988.89</w:t>
            </w:r>
          </w:p>
        </w:tc>
      </w:tr>
    </w:tbl>
    <w:p>
      <w:pPr>
        <w:spacing w:line="240" w:lineRule="auto" w:before="3"/>
        <w:rPr>
          <w:rFonts w:ascii="宋体" w:hAnsi="宋体" w:cs="宋体" w:eastAsia="宋体" w:hint="default"/>
          <w:sz w:val="19"/>
          <w:szCs w:val="19"/>
        </w:rPr>
      </w:pPr>
    </w:p>
    <w:p>
      <w:pPr>
        <w:pStyle w:val="Heading4"/>
        <w:spacing w:line="240" w:lineRule="auto" w:before="36"/>
        <w:ind w:left="132" w:right="96"/>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32" w:right="9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left="132" w:right="96"/>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2" w:right="96"/>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2"/>
        <w:rPr>
          <w:rFonts w:ascii="宋体" w:hAnsi="宋体" w:cs="宋体" w:eastAsia="宋体" w:hint="default"/>
          <w:b/>
          <w:bCs/>
          <w:sz w:val="22"/>
          <w:szCs w:val="22"/>
        </w:rPr>
      </w:pPr>
    </w:p>
    <w:p>
      <w:pPr>
        <w:spacing w:before="44"/>
        <w:ind w:left="0" w:right="2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1000" w:right="8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2,924,48</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0.71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486,051.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16.62%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2,438,428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3,604,9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93.21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422,782.6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11.73%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3,182,210.6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2,924,48</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0.71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486,051.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16.62%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2,438,428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3,604,9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93.21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422,782.6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11.73%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3,182,210.6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394"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60" w:lineRule="auto" w:before="115"/>
        <w:ind w:left="152" w:right="16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组合中，按账龄分析法计提坏账准备的其他应收款：</w:t>
      </w:r>
    </w:p>
    <w:p>
      <w:pPr>
        <w:spacing w:before="27"/>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3"/>
        <w:gridCol w:w="2393"/>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4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1,676,786.43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83,839.32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57.34%</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1,014,327.15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202,865.43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34.68%</w:t>
            </w:r>
          </w:p>
        </w:tc>
      </w:tr>
      <w:tr>
        <w:trPr>
          <w:trHeight w:val="404"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102,933.76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68,913.85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3.52%</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130,433.37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130,433.37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2,924,480.71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486,051.97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357" w:lineRule="auto" w:before="49"/>
        <w:ind w:left="152" w:right="52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60" w:lineRule="auto" w:before="29"/>
        <w:ind w:left="152" w:right="56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组合中，采用其他方法计提坏账准备的其他应收款：</w:t>
      </w:r>
    </w:p>
    <w:p>
      <w:pPr>
        <w:spacing w:before="25"/>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013" w:space="38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员工暂支款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2,255,758.48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3,260,653.59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668,722.23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344,339.62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2,924,480.71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3,604,993.21</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line="240" w:lineRule="auto" w:before="4"/>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299,683,603.39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296,683,603.39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341,596,829.44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341,596,829.44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2,753,830.06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2,753,830.06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1,837,263.09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1,837,263.09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450,129,691.34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450,129,691.34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396,851,651.80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396,851,651.80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752,567,124.79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749,567,124.79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740,285,744.33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740,285,744.33</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146"/>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8"/>
        <w:gridCol w:w="1196"/>
        <w:gridCol w:w="1248"/>
        <w:gridCol w:w="1369"/>
        <w:gridCol w:w="1366"/>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5,194,200.00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5,194,200.00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5,194,200.00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5,194,200.00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5,194,200.00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5,194,200.00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5,194,200.00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5,194,200.00</w:t>
            </w:r>
          </w:p>
        </w:tc>
      </w:tr>
      <w:tr>
        <w:trPr>
          <w:trHeight w:val="40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5,194,200.00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5,194,200.00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5,194,200.00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5,194,200.00</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7"/>
        <w:gridCol w:w="1916"/>
        <w:gridCol w:w="1916"/>
        <w:gridCol w:w="1915"/>
        <w:gridCol w:w="1916"/>
      </w:tblGrid>
      <w:tr>
        <w:trPr>
          <w:trHeight w:val="713" w:hRule="exact"/>
        </w:trPr>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15" w:right="23" w:hanging="384"/>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1"/>
        <w:gridCol w:w="869"/>
        <w:gridCol w:w="871"/>
        <w:gridCol w:w="869"/>
        <w:gridCol w:w="871"/>
        <w:gridCol w:w="869"/>
        <w:gridCol w:w="872"/>
        <w:gridCol w:w="869"/>
        <w:gridCol w:w="871"/>
      </w:tblGrid>
      <w:tr>
        <w:trPr>
          <w:trHeight w:val="401"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2"/>
        <w:gridCol w:w="1325"/>
        <w:gridCol w:w="1330"/>
        <w:gridCol w:w="1328"/>
        <w:gridCol w:w="1327"/>
        <w:gridCol w:w="1328"/>
        <w:gridCol w:w="1330"/>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16" w:right="75"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80" w:right="26" w:hanging="452"/>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8" w:right="27"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9" w:right="27" w:hanging="92"/>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79" w:right="29" w:hanging="452"/>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5"/>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6384"/>
        <w:gridCol w:w="799"/>
        <w:gridCol w:w="785"/>
      </w:tblGrid>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2"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2"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85"/>
        <w:gridCol w:w="797"/>
        <w:gridCol w:w="797"/>
        <w:gridCol w:w="809"/>
        <w:gridCol w:w="788"/>
        <w:gridCol w:w="797"/>
        <w:gridCol w:w="800"/>
        <w:gridCol w:w="797"/>
        <w:gridCol w:w="787"/>
        <w:gridCol w:w="809"/>
        <w:gridCol w:w="798"/>
        <w:gridCol w:w="797"/>
      </w:tblGrid>
      <w:tr>
        <w:trPr>
          <w:trHeight w:val="161" w:hRule="exact"/>
        </w:trPr>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809" w:type="dxa"/>
            <w:vMerge w:val="restart"/>
            <w:tcBorders>
              <w:top w:val="single" w:sz="4" w:space="0" w:color="000000"/>
              <w:left w:val="single" w:sz="4" w:space="0" w:color="000000"/>
              <w:right w:val="single" w:sz="4" w:space="0" w:color="000000"/>
            </w:tcBorders>
            <w:shd w:val="clear" w:color="auto" w:fill="D2D2D2"/>
          </w:tcPr>
          <w:p>
            <w:pP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1"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2"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9" w:type="dxa"/>
            <w:vMerge w:val="restart"/>
            <w:tcBorders>
              <w:top w:val="single" w:sz="4" w:space="0" w:color="000000"/>
              <w:left w:val="single" w:sz="4" w:space="0" w:color="000000"/>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6" w:hRule="exact"/>
        </w:trPr>
        <w:tc>
          <w:tcPr>
            <w:tcW w:w="78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2"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2"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2" w:right="2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809"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tcPr>
          <w:p>
            <w:pPr/>
          </w:p>
        </w:tc>
      </w:tr>
      <w:tr>
        <w:trPr>
          <w:trHeight w:val="371" w:hRule="exact"/>
        </w:trPr>
        <w:tc>
          <w:tcPr>
            <w:tcW w:w="785" w:type="dxa"/>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8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tcPr>
          <w:p>
            <w:pPr/>
          </w:p>
        </w:tc>
      </w:tr>
      <w:tr>
        <w:trPr>
          <w:trHeight w:val="156" w:hRule="exact"/>
        </w:trPr>
        <w:tc>
          <w:tcPr>
            <w:tcW w:w="78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tcPr>
          <w:p>
            <w:pPr/>
          </w:p>
        </w:tc>
      </w:tr>
      <w:tr>
        <w:trPr>
          <w:trHeight w:val="162" w:hRule="exact"/>
        </w:trPr>
        <w:tc>
          <w:tcPr>
            <w:tcW w:w="78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tcPr>
          <w:p>
            <w:pPr/>
          </w:p>
        </w:tc>
      </w:tr>
      <w:tr>
        <w:trPr>
          <w:trHeight w:val="402" w:hRule="exact"/>
        </w:trPr>
        <w:tc>
          <w:tcPr>
            <w:tcW w:w="956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6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50"/>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21"/>
        <w:gridCol w:w="1197"/>
        <w:gridCol w:w="1195"/>
        <w:gridCol w:w="1196"/>
        <w:gridCol w:w="1195"/>
        <w:gridCol w:w="1287"/>
        <w:gridCol w:w="1368"/>
      </w:tblGrid>
      <w:tr>
        <w:trPr>
          <w:trHeight w:val="403"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7"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389,716,805.06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2,197,641,175.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6,400,043.71</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4,293,680.67</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2,598,051,705.27</w:t>
            </w:r>
          </w:p>
        </w:tc>
      </w:tr>
      <w:tr>
        <w:trPr>
          <w:trHeight w:val="394" w:hRule="exact"/>
        </w:trPr>
        <w:tc>
          <w:tcPr>
            <w:tcW w:w="21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7" w:type="dxa"/>
            <w:vMerge/>
            <w:tcBorders>
              <w:left w:val="single" w:sz="10" w:space="0" w:color="D2D2D2"/>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161" w:hRule="exact"/>
        </w:trPr>
        <w:tc>
          <w:tcPr>
            <w:tcW w:w="21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10" w:space="0" w:color="D2D2D2"/>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401"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115,728,056.15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426,765,845.82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617,952.28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543,111,854.25</w:t>
            </w:r>
          </w:p>
        </w:tc>
      </w:tr>
      <w:tr>
        <w:trPr>
          <w:trHeight w:val="403"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7"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7"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7"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1"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7"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418,670,330.21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418,670,330.21</w:t>
            </w:r>
          </w:p>
        </w:tc>
      </w:tr>
      <w:tr>
        <w:trPr>
          <w:trHeight w:val="401"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7"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1"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32"/>
        <w:gridCol w:w="1198"/>
        <w:gridCol w:w="1195"/>
        <w:gridCol w:w="1196"/>
        <w:gridCol w:w="1195"/>
        <w:gridCol w:w="1287"/>
        <w:gridCol w:w="1368"/>
      </w:tblGrid>
      <w:tr>
        <w:trPr>
          <w:trHeight w:val="71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505,444,861.21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2,205,736,691.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6,400,043.71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4,911,632.95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2,722,493,229.31</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47,707,673.11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626,945,670.20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4,286,427.30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1,796,150.95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680,735,921.56</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18,611,651.22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201,158,395.63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648,482.00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745,031.10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4" w:right="0"/>
              <w:jc w:val="center"/>
              <w:rPr>
                <w:rFonts w:ascii="Times New Roman" w:hAnsi="Times New Roman" w:cs="Times New Roman" w:eastAsia="Times New Roman" w:hint="default"/>
                <w:sz w:val="18"/>
                <w:szCs w:val="18"/>
              </w:rPr>
            </w:pPr>
            <w:r>
              <w:rPr>
                <w:rFonts w:ascii="Times New Roman"/>
                <w:sz w:val="18"/>
              </w:rPr>
              <w:t>221,163,559.95</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204,521,919.46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204,521,919.46</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66,319,324.33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623,582,146.37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4,934,909.30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2,541,182.05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4" w:right="0"/>
              <w:jc w:val="center"/>
              <w:rPr>
                <w:rFonts w:ascii="Times New Roman" w:hAnsi="Times New Roman" w:cs="Times New Roman" w:eastAsia="Times New Roman" w:hint="default"/>
                <w:sz w:val="18"/>
                <w:szCs w:val="18"/>
              </w:rPr>
            </w:pPr>
            <w:r>
              <w:rPr>
                <w:rFonts w:ascii="Times New Roman"/>
                <w:sz w:val="18"/>
              </w:rPr>
              <w:t>697,377,562.05</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439,125,536.88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1,582,154,545.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1,465,134.41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2,370,450.90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2,025,115,667.26</w:t>
            </w:r>
          </w:p>
        </w:tc>
      </w:tr>
      <w:tr>
        <w:trPr>
          <w:trHeight w:val="715"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342,009,131.95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1,570,695,505.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2,113,616.41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2,497,529.72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1,917,315,783.71</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区厂房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87,247,863.26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87,247,863.26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区厂房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3,394,158.00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3,394,158.00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11,718,693.86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11,718,693.86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职工服务中心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聚酯薄膜生产线</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456,217,630.07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456,217,630.07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聚酯薄膜线技术 改良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218,078,265.58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218,078,265.58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光学薄膜生产线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409,848,517.12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409,848,517.12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34,358,915.20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34,358,915.20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658,470,940.70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658,470,940.70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589,543,102.39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589,543,102.39</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4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区厂 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87,247,8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63.26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38,037,7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84.17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98,285,6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47.43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27,000,0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区厂 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11,718,6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1,002,75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9,327,29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3.86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3,394,15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40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职工服</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150,000.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150,000.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36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务中心</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聚酯薄 膜生产 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456,217,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630.07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1,038,57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419,383,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858.81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37,872,3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44.65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聚酯薄 膜线技 术改良</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218,078,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265.58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218,078,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265.58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光学薄 膜生产 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34,358,9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15.20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375,489,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601.92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409,848,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517.12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589,543,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102.39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633,796,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983.06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526,996,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800.10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37,872,3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44.65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658,470,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940.70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5"/>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63"/>
        <w:gridCol w:w="1397"/>
        <w:gridCol w:w="1368"/>
        <w:gridCol w:w="1382"/>
        <w:gridCol w:w="1381"/>
        <w:gridCol w:w="1579"/>
      </w:tblGrid>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108,645,993.58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116,645,993.58</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160,205.84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160,205.84</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108,806,199.42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116,806,199.42</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7,370,965.29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5,754,166.88</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13,125,132.17</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2,204,380.64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1,399,999.78</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3,604,380.42</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9,575,345.93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7,154,166.66</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16,729,512.59</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845,833.34</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845,833.34</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80" w:header="745"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51"/>
        <w:gridCol w:w="1408"/>
        <w:gridCol w:w="1368"/>
        <w:gridCol w:w="1382"/>
        <w:gridCol w:w="1381"/>
        <w:gridCol w:w="1579"/>
      </w:tblGrid>
      <w:tr>
        <w:trPr>
          <w:trHeight w:val="401" w:hRule="exact"/>
        </w:trPr>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1"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845,833.34</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845,833.34</w:t>
            </w:r>
          </w:p>
        </w:tc>
      </w:tr>
      <w:tr>
        <w:trPr>
          <w:trHeight w:val="403" w:hRule="exact"/>
        </w:trPr>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3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99,230,853.49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99,230,853.49</w:t>
            </w:r>
          </w:p>
        </w:tc>
      </w:tr>
      <w:tr>
        <w:trPr>
          <w:trHeight w:val="403" w:hRule="exact"/>
        </w:trPr>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3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101,275,028.29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1,399,999.78</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102,675,028.07</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3" w:hanging="452"/>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357" w:lineRule="auto" w:before="49"/>
        <w:ind w:left="152" w:right="5094"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after="0" w:line="357" w:lineRule="auto"/>
        <w:jc w:val="left"/>
        <w:rPr>
          <w:rFonts w:ascii="宋体" w:hAnsi="宋体" w:cs="宋体" w:eastAsia="宋体" w:hint="default"/>
          <w:sz w:val="18"/>
          <w:szCs w:val="18"/>
        </w:rPr>
        <w:sectPr>
          <w:footerReference w:type="default" r:id="rId19"/>
          <w:pgSz w:w="11910" w:h="16840"/>
          <w:pgMar w:footer="980" w:header="745" w:top="1060" w:bottom="1160" w:left="980" w:right="980"/>
          <w:pgNumType w:start="101"/>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5"/>
        <w:gridCol w:w="1905"/>
        <w:gridCol w:w="1914"/>
        <w:gridCol w:w="1914"/>
        <w:gridCol w:w="1914"/>
      </w:tblGrid>
      <w:tr>
        <w:trPr>
          <w:trHeight w:val="161" w:hRule="exact"/>
        </w:trPr>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1,370,397.43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9" w:right="0"/>
              <w:jc w:val="left"/>
              <w:rPr>
                <w:rFonts w:ascii="Times New Roman" w:hAnsi="Times New Roman" w:cs="Times New Roman" w:eastAsia="Times New Roman" w:hint="default"/>
                <w:sz w:val="18"/>
                <w:szCs w:val="18"/>
              </w:rPr>
            </w:pPr>
            <w:r>
              <w:rPr>
                <w:rFonts w:ascii="Times New Roman"/>
                <w:sz w:val="18"/>
              </w:rPr>
              <w:t>766,544.50</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预付设备工程款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213,232,246.18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213,232,246.18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20,609,467.20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20,609,467.20</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152" w:right="146"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4"/>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497,210,100.00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514,436,420.00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497,210,100.00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514,436,420.00</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30,144,448.30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48,111,609.95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154,943.64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633,371.73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560,040.34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287,211.25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30,859,432.28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49,032,192.93</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21,391,447.98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20,017,934.21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743,485.81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1,336,860.12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1,165,121.16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713,737.93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23,300,054.95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22,068,532.26</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15,312,246.67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54,197,881.97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56,412,179.77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13,097,948.87</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142,982.91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3,628,898.72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3,771,881.63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15,455,229.58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57,942,780.69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60,300,061.40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13,097,948.87</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15,252,666.67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48,330,530.11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51,772,427.91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11,810,768.87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1,908,541.98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1,908,541.98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1,578,485.78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1,578,485.78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1,220,980.15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1,220,980.15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188,630.44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188,630.44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168,875.19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168,875.19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1,987,506.00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759,906.00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1,287,180.00</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392,818.10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392,818.10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15,312,246.67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54,197,881.97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56,412,179.77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13,097,948.87</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142,982.91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3,375,682.99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3,518,665.90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253,215.73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253,215.73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142,982.91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3,628,898.72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3,771,881.63</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-143,830,784.25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-155,763,091.49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-853,680.18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1,803,554.60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36,019.34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42,050.36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608,011.65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493,760.15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876,898.47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759,866.98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51,072.70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65,226.20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-143,112,462.27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-152,598,633.20</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0"/>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3"/>
        <w:rPr>
          <w:rFonts w:ascii="宋体" w:hAnsi="宋体" w:cs="宋体" w:eastAsia="宋体" w:hint="default"/>
          <w:sz w:val="25"/>
          <w:szCs w:val="25"/>
        </w:rPr>
      </w:pPr>
    </w:p>
    <w:p>
      <w:pPr>
        <w:pStyle w:val="Heading4"/>
        <w:spacing w:line="240" w:lineRule="auto"/>
        <w:ind w:right="146"/>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52,885,302.18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34,569,285.72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24,227,487.83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14,410,085.41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360,341.19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630,412.96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305,411.25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77,778,542.45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49,609,784.09</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江苏金土木建设集团有限公司钢结构工 程公司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14,387,266.87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无锡北人协民印刷机械有限公司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6,607,732.19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南通华荣建设集团有限公司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保定三伊电力有限公司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23,015,799.06</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146"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9"/>
        <w:gridCol w:w="799"/>
        <w:gridCol w:w="797"/>
        <w:gridCol w:w="799"/>
        <w:gridCol w:w="797"/>
        <w:gridCol w:w="797"/>
        <w:gridCol w:w="798"/>
        <w:gridCol w:w="796"/>
        <w:gridCol w:w="797"/>
        <w:gridCol w:w="797"/>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3" w:right="31"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60" w:lineRule="auto" w:before="49"/>
        <w:ind w:left="152" w:right="761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2"/>
        <w:rPr>
          <w:rFonts w:ascii="宋体" w:hAnsi="宋体" w:cs="宋体" w:eastAsia="宋体" w:hint="default"/>
          <w:sz w:val="20"/>
          <w:szCs w:val="20"/>
        </w:rPr>
      </w:pPr>
    </w:p>
    <w:p>
      <w:pPr>
        <w:pStyle w:val="Heading4"/>
        <w:spacing w:line="240" w:lineRule="auto"/>
        <w:ind w:right="146"/>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9"/>
        <w:gridCol w:w="799"/>
        <w:gridCol w:w="797"/>
        <w:gridCol w:w="799"/>
        <w:gridCol w:w="797"/>
        <w:gridCol w:w="797"/>
        <w:gridCol w:w="798"/>
        <w:gridCol w:w="796"/>
        <w:gridCol w:w="797"/>
        <w:gridCol w:w="797"/>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3" w:right="31"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653" w:space="417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52" w:right="653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2"/>
        <w:rPr>
          <w:rFonts w:ascii="宋体" w:hAnsi="宋体" w:cs="宋体" w:eastAsia="宋体" w:hint="default"/>
          <w:sz w:val="20"/>
          <w:szCs w:val="20"/>
        </w:rPr>
      </w:pPr>
    </w:p>
    <w:p>
      <w:pPr>
        <w:pStyle w:val="Heading4"/>
        <w:spacing w:line="240" w:lineRule="auto"/>
        <w:ind w:right="146"/>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spacing w:before="44"/>
        <w:ind w:left="152" w:right="146"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52" w:right="146"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49"/>
        <w:ind w:left="152" w:right="257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5"/>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bl>
    <w:p>
      <w:pPr>
        <w:spacing w:before="50"/>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416,000,000.00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135,790,494.00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135,790,494.00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551,790,494.00</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49"/>
        <w:ind w:left="152" w:right="365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6"/>
        <w:rPr>
          <w:rFonts w:ascii="宋体" w:hAnsi="宋体" w:cs="宋体" w:eastAsia="宋体" w:hint="default"/>
          <w:sz w:val="20"/>
          <w:szCs w:val="20"/>
        </w:rPr>
      </w:pPr>
    </w:p>
    <w:p>
      <w:pPr>
        <w:pStyle w:val="Heading4"/>
        <w:spacing w:line="240" w:lineRule="auto"/>
        <w:ind w:right="146"/>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2,570,126,816.24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1,232,148,883.08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3,802,275,699.32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623" w:right="0"/>
              <w:jc w:val="left"/>
              <w:rPr>
                <w:rFonts w:ascii="Times New Roman" w:hAnsi="Times New Roman" w:cs="Times New Roman" w:eastAsia="Times New Roman" w:hint="default"/>
                <w:sz w:val="18"/>
                <w:szCs w:val="18"/>
              </w:rPr>
            </w:pPr>
            <w:r>
              <w:rPr>
                <w:rFonts w:ascii="Times New Roman"/>
                <w:sz w:val="18"/>
              </w:rPr>
              <w:t>2,570,126,816.24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1" w:right="0"/>
              <w:jc w:val="left"/>
              <w:rPr>
                <w:rFonts w:ascii="Times New Roman" w:hAnsi="Times New Roman" w:cs="Times New Roman" w:eastAsia="Times New Roman" w:hint="default"/>
                <w:sz w:val="18"/>
                <w:szCs w:val="18"/>
              </w:rPr>
            </w:pPr>
            <w:r>
              <w:rPr>
                <w:rFonts w:ascii="Times New Roman"/>
                <w:sz w:val="18"/>
              </w:rPr>
              <w:t>1,232,148,883.08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2" w:right="0"/>
              <w:jc w:val="left"/>
              <w:rPr>
                <w:rFonts w:ascii="Times New Roman" w:hAnsi="Times New Roman" w:cs="Times New Roman" w:eastAsia="Times New Roman" w:hint="default"/>
                <w:sz w:val="18"/>
                <w:szCs w:val="18"/>
              </w:rPr>
            </w:pPr>
            <w:r>
              <w:rPr>
                <w:rFonts w:ascii="Times New Roman"/>
                <w:sz w:val="18"/>
              </w:rPr>
              <w:t>3,802,275,699.32</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after="0"/>
        <w:jc w:val="left"/>
        <w:rPr>
          <w:rFonts w:ascii="宋体" w:hAnsi="宋体" w:cs="宋体" w:eastAsia="宋体" w:hint="default"/>
          <w:sz w:val="18"/>
          <w:szCs w:val="18"/>
        </w:rPr>
        <w:sectPr>
          <w:footerReference w:type="default" r:id="rId20"/>
          <w:pgSz w:w="11910" w:h="16840"/>
          <w:pgMar w:footer="980" w:header="745" w:top="1060" w:bottom="1160" w:left="980" w:right="980"/>
          <w:pgNumType w:start="11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0"/>
        <w:gridCol w:w="936"/>
        <w:gridCol w:w="937"/>
        <w:gridCol w:w="936"/>
        <w:gridCol w:w="799"/>
      </w:tblGrid>
      <w:tr>
        <w:trPr>
          <w:trHeight w:val="401"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8"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 w:right="27"/>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85"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87,273,025.68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10,038,483.76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97,311,509.44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7,715,823.92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7,715,823.92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94,988,849.60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10,038,483.76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105,027,333.36</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585,137,174.03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545,703,269.55</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585,137,174.03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545,703,269.55</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100,384,837.64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90,037,671.64</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10,038,483.76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9,003,767.16</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41,600,000.00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6" w:right="0"/>
              <w:jc w:val="left"/>
              <w:rPr>
                <w:rFonts w:ascii="Times New Roman" w:hAnsi="Times New Roman" w:cs="Times New Roman" w:eastAsia="Times New Roman" w:hint="default"/>
                <w:sz w:val="18"/>
                <w:szCs w:val="18"/>
              </w:rPr>
            </w:pPr>
            <w:r>
              <w:rPr>
                <w:rFonts w:ascii="Times New Roman"/>
                <w:sz w:val="18"/>
              </w:rPr>
              <w:t>665,083,527.91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585,137,174.03</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3"/>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1"/>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3"/>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13"/>
        <w:rPr>
          <w:rFonts w:ascii="宋体" w:hAnsi="宋体" w:cs="宋体" w:eastAsia="宋体" w:hint="default"/>
          <w:sz w:val="25"/>
          <w:szCs w:val="25"/>
        </w:rPr>
      </w:pPr>
    </w:p>
    <w:p>
      <w:pPr>
        <w:pStyle w:val="Heading4"/>
        <w:spacing w:line="240" w:lineRule="auto"/>
        <w:ind w:right="146"/>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2,254,802,656.29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2,061,272,641.76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2,448,470,748.73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2,240,369,872.05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10,674,686.12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6,209,140.14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896,752.35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2,265,477,342.41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2,061,272,641.76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2,454,679,888.87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2,241,266,624.40</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26,105.20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18,646.57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44,751.77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35,748,261.02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36,413,321.64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35,748,261.02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36,413,321.64</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97,548,648.45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108,839,788.71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97,548,648.45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108,839,788.71</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4,065,883.12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1,458,477.99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25,198,678.55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8,482,947.03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-21,132,795.43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-7,024,469.04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-4,190,453.78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875,003.99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1,214,552.96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1,384,290.67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-24,108,696.25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-4,765,174.38</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1,025,686.18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321,739.00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845,833.34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4,025,686.18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1,167,572.34</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146"/>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924,165.00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924,165.00</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924,165.00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924,165.00</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22,946,711.00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29,907,400.00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22,946,711.00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22,946,711.04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29,907,400.00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22,946,711.04</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专项补助资金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年度市级专利 专项资助经费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商务发展专项资金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732,400.00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科技创新券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创新创业领军奖励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both"/>
              <w:rPr>
                <w:rFonts w:ascii="宋体" w:hAnsi="宋体" w:cs="宋体" w:eastAsia="宋体" w:hint="default"/>
                <w:sz w:val="18"/>
                <w:szCs w:val="18"/>
              </w:rPr>
            </w:pPr>
            <w:r>
              <w:rPr>
                <w:rFonts w:ascii="宋体" w:hAnsi="宋体" w:cs="宋体" w:eastAsia="宋体" w:hint="default"/>
                <w:sz w:val="18"/>
                <w:szCs w:val="18"/>
              </w:rPr>
              <w:t>省级科技创新与成果转化专 项引导资金项专项补助资金 及贷款贴息</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年度省、市专利资助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2"/>
                <w:sz w:val="18"/>
              </w:rPr>
              <w:t>6,078,111.00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16,454,400.00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专项补助资金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4,655,200.00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22,946,711.00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29,907,400.00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6"/>
        <w:gridCol w:w="2393"/>
        <w:gridCol w:w="2393"/>
      </w:tblGrid>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153,200.00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15,035,940.81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12,446,710.37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-603,852.93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-48,260.85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14,432,087.88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12,398,449.52</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114,816,925.52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17,222,538.83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292,747.69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-138,624.75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626,521.42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-2,967,242.38</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14,432,087.88</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2"/>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6,670,672.45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2,753,802.45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22,946,711.04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29,907,400.00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其他款项往来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841,333.39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263,349.24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30,458,716.88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32,924,551.69</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支付的各项费用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71,201,932.34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91,663,761.11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其他款项往来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6,031.02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5,783,078.93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71,207,963.36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97,600,040.04</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募集资金定期存款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157,980,000.00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募集资金利息净收入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14,775,797.07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8,082,328.79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14,775,797.07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166,062,328.79</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募集资金定期存款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705,479,999.95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705,479,999.95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52" w:right="146"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100,384,837.64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90,037,671.64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4,025,686.18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1,167,572.34</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221,163,559.95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179,292,450.64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3,604,380.42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3,357,044.07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-19,842,451.32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-3,012,439.99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-924,165.00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-924,165.00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-603,852.93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-48,260.85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-57,849,000.46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-245,961,522.56</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-582,653,853.90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-147,615,614.13</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379,559,560.96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146,654,049.21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46,864,701.54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22,946,785.37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262,497,476.43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107,017,084.93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107,017,084.93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152,700,674.24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155,480,391.50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-45,683,589.31</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262,497,476.43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107,017,084.93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262,497,476.43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107,017,084.93</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75</w:t>
      </w:r>
      <w:r>
        <w:rPr/>
        <w:t>、所有者权益变动表项目注释</w:t>
      </w:r>
      <w:r>
        <w:rPr>
          <w:b w:val="0"/>
          <w:bCs w:val="0"/>
        </w:rPr>
      </w:r>
    </w:p>
    <w:p>
      <w:pPr>
        <w:spacing w:line="240" w:lineRule="auto" w:before="4"/>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说明对上年期末余额进行调整的“其他”项目名称及调整金额等事项：</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rFonts w:ascii="Times New Roman" w:hAnsi="Times New Roman" w:cs="Times New Roman" w:eastAsia="Times New Roman" w:hint="default"/>
        </w:rPr>
        <w:t>76</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9"/>
        <w:gridCol w:w="3172"/>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1"/>
        <w:gridCol w:w="237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59" w:lineRule="auto" w:before="118"/>
        <w:ind w:right="146"/>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5"/>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line="477" w:lineRule="auto" w:before="118"/>
        <w:ind w:left="152" w:right="6883"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八、与金融工具相关的风险</w:t>
      </w:r>
      <w:r>
        <w:rPr>
          <w:rFonts w:ascii="宋体" w:hAnsi="宋体" w:cs="宋体" w:eastAsia="宋体" w:hint="default"/>
          <w:b/>
          <w:bCs/>
          <w:w w:val="99"/>
          <w:sz w:val="24"/>
          <w:szCs w:val="24"/>
        </w:rPr>
        <w:t> </w:t>
      </w:r>
      <w:r>
        <w:rPr>
          <w:rFonts w:ascii="宋体" w:hAnsi="宋体" w:cs="宋体" w:eastAsia="宋体" w:hint="default"/>
          <w:b/>
          <w:bCs/>
          <w:sz w:val="24"/>
          <w:szCs w:val="24"/>
        </w:rPr>
        <w:t>九、公允价值的披露</w:t>
      </w:r>
      <w:r>
        <w:rPr>
          <w:rFonts w:ascii="宋体" w:hAnsi="宋体" w:cs="宋体" w:eastAsia="宋体" w:hint="default"/>
          <w:sz w:val="24"/>
          <w:szCs w:val="24"/>
        </w:rPr>
      </w:r>
    </w:p>
    <w:p>
      <w:pPr>
        <w:pStyle w:val="Heading4"/>
        <w:spacing w:line="240" w:lineRule="auto" w:before="85"/>
        <w:ind w:right="146"/>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4"/>
        <w:spacing w:line="240" w:lineRule="auto" w:before="36"/>
        <w:ind w:right="146"/>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2" w:right="77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5"/>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5"/>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99" w:lineRule="auto" w:before="0"/>
        <w:ind w:left="152" w:right="7365"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十一、承诺及或有事项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Heading4"/>
        <w:spacing w:line="240" w:lineRule="auto" w:before="161"/>
        <w:ind w:right="146"/>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5"/>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spacing w:line="487" w:lineRule="auto" w:before="120"/>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21"/>
          <w:pgSz w:w="11910" w:h="16840"/>
          <w:pgMar w:footer="980" w:header="745" w:top="1060" w:bottom="1160" w:left="980" w:right="980"/>
          <w:pgNumType w:start="12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73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4"/>
          <w:szCs w:val="24"/>
        </w:rPr>
        <w:t>十三、其他重要事项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81"/>
        <w:ind w:right="146"/>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6"/>
        <w:ind w:right="146"/>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2" w:right="5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4"/>
        <w:ind w:right="146"/>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91,655,3</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89.41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5,649,93</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6.16%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86,005,45</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8.54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77,188,</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781.86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4,687,514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6.07%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72,501,267.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91,655,3</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89.41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5,649,93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0.87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6.16%</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86,005,45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8.54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77,188,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781.86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4,687,514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6.07%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72,501,267.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60" w:lineRule="auto" w:before="115"/>
        <w:ind w:left="152" w:right="16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组合中，按账龄分析法计提坏账准备的应收账款：</w:t>
      </w:r>
    </w:p>
    <w:p>
      <w:pPr>
        <w:spacing w:before="25"/>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5"/>
        <w:gridCol w:w="2295"/>
        <w:gridCol w:w="2391"/>
        <w:gridCol w:w="2390"/>
      </w:tblGrid>
      <w:tr>
        <w:trPr>
          <w:trHeight w:val="206" w:hRule="exact"/>
        </w:trPr>
        <w:tc>
          <w:tcPr>
            <w:tcW w:w="24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95"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88,854,672.42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4,442,733.62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96.94%</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1,530,629.35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306,125.87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738,032.52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369,016.26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0.81%</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532,055.12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532,055.12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0.58%</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91,655,389.41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5,649,930.87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357" w:lineRule="auto" w:before="49"/>
        <w:ind w:left="152" w:right="55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57" w:lineRule="auto" w:before="29"/>
        <w:ind w:left="152" w:right="58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组合中，采用其他方法计提坏账准备的应收账款：</w:t>
      </w:r>
    </w:p>
    <w:p>
      <w:pPr>
        <w:spacing w:line="240" w:lineRule="auto" w:before="6"/>
        <w:rPr>
          <w:rFonts w:ascii="宋体" w:hAnsi="宋体" w:cs="宋体" w:eastAsia="宋体" w:hint="default"/>
          <w:sz w:val="20"/>
          <w:szCs w:val="20"/>
        </w:rPr>
      </w:pPr>
    </w:p>
    <w:p>
      <w:pPr>
        <w:pStyle w:val="Heading4"/>
        <w:spacing w:line="240" w:lineRule="auto"/>
        <w:ind w:right="9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0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00"/>
          <w:cols w:num="2" w:equalWidth="0">
            <w:col w:w="5013" w:space="3816"/>
            <w:col w:w="12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4"/>
        <w:spacing w:line="240" w:lineRule="auto" w:before="36"/>
        <w:ind w:right="96"/>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96"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96"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right="96"/>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949"/>
        <w:gridCol w:w="235"/>
        <w:gridCol w:w="1162"/>
        <w:gridCol w:w="240"/>
        <w:gridCol w:w="1313"/>
        <w:gridCol w:w="238"/>
        <w:gridCol w:w="956"/>
        <w:gridCol w:w="281"/>
        <w:gridCol w:w="1368"/>
      </w:tblGrid>
      <w:tr>
        <w:trPr>
          <w:trHeight w:val="660" w:hRule="exact"/>
        </w:trPr>
        <w:tc>
          <w:tcPr>
            <w:tcW w:w="3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93" w:right="213"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240"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8"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0"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281"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19" w:right="223" w:hanging="92"/>
              <w:jc w:val="left"/>
              <w:rPr>
                <w:rFonts w:ascii="宋体" w:hAnsi="宋体" w:cs="宋体" w:eastAsia="宋体" w:hint="default"/>
                <w:sz w:val="18"/>
                <w:szCs w:val="18"/>
              </w:rPr>
            </w:pPr>
            <w:r>
              <w:rPr>
                <w:rFonts w:ascii="宋体" w:hAnsi="宋体" w:cs="宋体" w:eastAsia="宋体" w:hint="default"/>
                <w:sz w:val="18"/>
                <w:szCs w:val="18"/>
              </w:rPr>
              <w:t>占应收账款 总额比例</w:t>
            </w:r>
          </w:p>
        </w:tc>
      </w:tr>
      <w:tr>
        <w:trPr>
          <w:trHeight w:val="346" w:hRule="exact"/>
        </w:trPr>
        <w:tc>
          <w:tcPr>
            <w:tcW w:w="3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40"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14,224,162.88</w:t>
            </w:r>
          </w:p>
        </w:tc>
        <w:tc>
          <w:tcPr>
            <w:tcW w:w="238"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81"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15.52%</w:t>
            </w:r>
          </w:p>
        </w:tc>
      </w:tr>
      <w:tr>
        <w:trPr>
          <w:trHeight w:val="348" w:hRule="exact"/>
        </w:trPr>
        <w:tc>
          <w:tcPr>
            <w:tcW w:w="3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40"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6,660,000.00</w:t>
            </w:r>
          </w:p>
        </w:tc>
        <w:tc>
          <w:tcPr>
            <w:tcW w:w="238"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81"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7.27%</w:t>
            </w:r>
          </w:p>
        </w:tc>
      </w:tr>
      <w:tr>
        <w:trPr>
          <w:trHeight w:val="349" w:hRule="exact"/>
        </w:trPr>
        <w:tc>
          <w:tcPr>
            <w:tcW w:w="3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40"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5,570,359.20</w:t>
            </w:r>
          </w:p>
        </w:tc>
        <w:tc>
          <w:tcPr>
            <w:tcW w:w="238"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81"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6.08%</w:t>
            </w:r>
          </w:p>
        </w:tc>
      </w:tr>
      <w:tr>
        <w:trPr>
          <w:trHeight w:val="346" w:hRule="exact"/>
        </w:trPr>
        <w:tc>
          <w:tcPr>
            <w:tcW w:w="3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40"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5,255,776.40</w:t>
            </w:r>
          </w:p>
        </w:tc>
        <w:tc>
          <w:tcPr>
            <w:tcW w:w="238"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81"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5.73%</w:t>
            </w:r>
          </w:p>
        </w:tc>
      </w:tr>
      <w:tr>
        <w:trPr>
          <w:trHeight w:val="348" w:hRule="exact"/>
        </w:trPr>
        <w:tc>
          <w:tcPr>
            <w:tcW w:w="3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40"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4,799,632.01</w:t>
            </w:r>
          </w:p>
        </w:tc>
        <w:tc>
          <w:tcPr>
            <w:tcW w:w="238"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81"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5.24%</w:t>
            </w:r>
          </w:p>
        </w:tc>
      </w:tr>
      <w:tr>
        <w:trPr>
          <w:trHeight w:val="348" w:hRule="exact"/>
        </w:trPr>
        <w:tc>
          <w:tcPr>
            <w:tcW w:w="3949" w:type="dxa"/>
            <w:tcBorders>
              <w:top w:val="single" w:sz="6" w:space="0" w:color="000000"/>
              <w:left w:val="single" w:sz="6" w:space="0" w:color="000000"/>
              <w:bottom w:val="single" w:sz="6" w:space="0" w:color="000000"/>
              <w:right w:val="single" w:sz="6" w:space="0" w:color="000000"/>
            </w:tcBorders>
          </w:tcPr>
          <w:p>
            <w:pPr/>
          </w:p>
        </w:tc>
        <w:tc>
          <w:tcPr>
            <w:tcW w:w="23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240"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36,509,930.49</w:t>
            </w:r>
          </w:p>
        </w:tc>
        <w:tc>
          <w:tcPr>
            <w:tcW w:w="238"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
        </w:tc>
        <w:tc>
          <w:tcPr>
            <w:tcW w:w="281"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60" w:bottom="1160" w:left="980" w:right="900"/>
        </w:sectPr>
      </w:pPr>
    </w:p>
    <w:p>
      <w:pPr>
        <w:spacing w:line="240" w:lineRule="auto" w:before="10"/>
        <w:rPr>
          <w:rFonts w:ascii="宋体" w:hAnsi="宋体" w:cs="宋体" w:eastAsia="宋体" w:hint="default"/>
          <w:b/>
          <w:bCs/>
          <w:sz w:val="24"/>
          <w:szCs w:val="24"/>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2,924,48</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0.71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486,051.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16.62%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2,438,428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3,604,9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93.21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422,782.6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11.73%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3,182,210.6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2,924,48</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0.71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486,051.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16.62%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2,438,428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3,604,9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93.21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422,782.6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11.73%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3,182,210.6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3" w:space="4356"/>
            <w:col w:w="112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5"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1,676,786.43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83,839.32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57.34%</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1,014,327.15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202,865.43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34.68%</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102,933.76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68,913.85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130,433.37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130,433.37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4.46%</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2,924,480.71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486,051.97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357" w:lineRule="auto" w:before="49"/>
        <w:ind w:left="152" w:right="52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013" w:space="38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146"/>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员工暂支款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2,255,758.48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3,260,653.59</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668,722.23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344,339.62</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2,924,480.71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3,604,993.21</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line="240" w:lineRule="auto" w:before="4"/>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46"/>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6"/>
        <w:gridCol w:w="1337"/>
        <w:gridCol w:w="1334"/>
        <w:gridCol w:w="1335"/>
        <w:gridCol w:w="1334"/>
        <w:gridCol w:w="1390"/>
        <w:gridCol w:w="1390"/>
      </w:tblGrid>
      <w:tr>
        <w:trPr>
          <w:trHeight w:val="713"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7"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2,254,802,656.29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2,061,272,641.76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2,448,470,748.73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2,240,369,872.05</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10,674,686.12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6,209,140.14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896,752.35</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2,265,477,342.41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2,061,272,641.76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2,454,679,888.87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2,241,266,624.40</w:t>
            </w:r>
          </w:p>
        </w:tc>
      </w:tr>
    </w:tbl>
    <w:p>
      <w:pPr>
        <w:spacing w:before="49"/>
        <w:ind w:left="152" w:right="1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924,165.00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924,165.00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924,165.00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924,165.00</w:t>
            </w:r>
          </w:p>
        </w:tc>
      </w:tr>
    </w:tbl>
    <w:p>
      <w:pPr>
        <w:spacing w:line="240" w:lineRule="auto" w:before="3"/>
        <w:rPr>
          <w:rFonts w:ascii="宋体" w:hAnsi="宋体" w:cs="宋体" w:eastAsia="宋体" w:hint="default"/>
          <w:sz w:val="19"/>
          <w:szCs w:val="19"/>
        </w:rPr>
      </w:pPr>
    </w:p>
    <w:p>
      <w:pPr>
        <w:pStyle w:val="Heading4"/>
        <w:spacing w:line="240" w:lineRule="auto" w:before="36"/>
        <w:ind w:right="146"/>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46"/>
        <w:jc w:val="left"/>
        <w:rPr>
          <w:b w:val="0"/>
          <w:bCs w:val="0"/>
        </w:rPr>
      </w:pPr>
      <w:r>
        <w:rPr/>
        <w:t>十五、补充资料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22,946,711.00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3,442,006.66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19,504,704.38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46"/>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0.21</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0.17</w:t>
            </w:r>
          </w:p>
        </w:tc>
      </w:tr>
    </w:tbl>
    <w:p>
      <w:pPr>
        <w:spacing w:line="240" w:lineRule="auto" w:before="3"/>
        <w:rPr>
          <w:rFonts w:ascii="宋体" w:hAnsi="宋体" w:cs="宋体" w:eastAsia="宋体" w:hint="default"/>
          <w:b/>
          <w:bCs/>
          <w:sz w:val="19"/>
          <w:szCs w:val="19"/>
        </w:rPr>
      </w:pPr>
    </w:p>
    <w:p>
      <w:pPr>
        <w:pStyle w:val="Heading4"/>
        <w:spacing w:line="240" w:lineRule="auto" w:before="36"/>
        <w:ind w:right="146"/>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6"/>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6"/>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59" w:lineRule="auto"/>
        <w:ind w:right="146"/>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46"/>
        <w:jc w:val="left"/>
        <w:rPr>
          <w:b w:val="0"/>
          <w:bCs w:val="0"/>
        </w:rPr>
      </w:pPr>
      <w:r>
        <w:rPr>
          <w:rFonts w:ascii="Times New Roman" w:hAnsi="Times New Roman" w:cs="Times New Roman" w:eastAsia="Times New Roman" w:hint="default"/>
        </w:rPr>
        <w:t>4</w:t>
      </w:r>
      <w:r>
        <w:rPr/>
        <w:t>、会计政策变更相关补充资料</w:t>
      </w:r>
      <w:r>
        <w:rPr>
          <w:b w:val="0"/>
          <w:bCs w:val="0"/>
        </w:rPr>
      </w:r>
    </w:p>
    <w:p>
      <w:pPr>
        <w:spacing w:line="240" w:lineRule="auto" w:before="2"/>
        <w:rPr>
          <w:rFonts w:ascii="宋体" w:hAnsi="宋体" w:cs="宋体" w:eastAsia="宋体" w:hint="default"/>
          <w:b/>
          <w:bCs/>
          <w:sz w:val="26"/>
          <w:szCs w:val="26"/>
        </w:rPr>
      </w:pPr>
    </w:p>
    <w:p>
      <w:pPr>
        <w:spacing w:before="0"/>
        <w:ind w:left="152"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46"/>
        <w:jc w:val="left"/>
        <w:rPr>
          <w:b w:val="0"/>
          <w:bCs w:val="0"/>
        </w:rPr>
      </w:pP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227"/>
        <w:jc w:val="left"/>
        <w:rPr>
          <w:b w:val="0"/>
          <w:bCs w:val="0"/>
        </w:rPr>
      </w:pPr>
      <w:bookmarkStart w:name="_TOC_250000" w:id="12"/>
      <w:r>
        <w:rPr/>
        <w:t>第十二节</w:t>
      </w:r>
      <w:r>
        <w:rPr>
          <w:spacing w:val="-6"/>
        </w:rPr>
        <w:t> </w:t>
      </w:r>
      <w:r>
        <w:rPr/>
        <w:t>备查文件目录</w:t>
      </w:r>
      <w:bookmarkEnd w:id="12"/>
      <w:r>
        <w:rPr>
          <w:b w:val="0"/>
          <w:bCs w:val="0"/>
        </w:rPr>
      </w:r>
    </w:p>
    <w:p>
      <w:pPr>
        <w:spacing w:line="240" w:lineRule="auto" w:before="10"/>
        <w:rPr>
          <w:rFonts w:ascii="宋体" w:hAnsi="宋体" w:cs="宋体" w:eastAsia="宋体" w:hint="default"/>
          <w:b/>
          <w:bCs/>
          <w:sz w:val="38"/>
          <w:szCs w:val="38"/>
        </w:rPr>
      </w:pPr>
    </w:p>
    <w:p>
      <w:pPr>
        <w:pStyle w:val="Heading3"/>
        <w:spacing w:line="240" w:lineRule="auto"/>
        <w:ind w:left="633" w:right="227"/>
        <w:jc w:val="left"/>
      </w:pPr>
      <w:r>
        <w:rPr>
          <w:rFonts w:ascii="Times New Roman" w:hAnsi="Times New Roman" w:cs="Times New Roman" w:eastAsia="Times New Roman" w:hint="default"/>
        </w:rPr>
        <w:t>1</w:t>
      </w:r>
      <w:r>
        <w:rPr/>
        <w:t>、载有公司全体董事、高级管理人员签名确认的</w:t>
      </w:r>
      <w:r>
        <w:rPr>
          <w:rFonts w:ascii="Times New Roman" w:hAnsi="Times New Roman" w:cs="Times New Roman" w:eastAsia="Times New Roman" w:hint="default"/>
        </w:rPr>
        <w:t>2014</w:t>
      </w:r>
      <w:r>
        <w:rPr/>
        <w:t>年年度报告正本。</w:t>
      </w:r>
    </w:p>
    <w:p>
      <w:pPr>
        <w:pStyle w:val="Heading3"/>
        <w:spacing w:line="312" w:lineRule="exact" w:before="130"/>
        <w:ind w:right="84" w:firstLine="480"/>
        <w:jc w:val="left"/>
      </w:pPr>
      <w:r>
        <w:rPr>
          <w:rFonts w:ascii="Times New Roman" w:hAnsi="Times New Roman" w:cs="Times New Roman" w:eastAsia="Times New Roman" w:hint="default"/>
          <w:spacing w:val="-3"/>
        </w:rPr>
        <w:t>2</w:t>
      </w:r>
      <w:r>
        <w:rPr>
          <w:spacing w:val="-3"/>
        </w:rPr>
        <w:t>、载有公司法定代表人吴培服、主管会计工作负责人周海燕及会计机构负责人邹雪梅签</w:t>
      </w:r>
      <w:r>
        <w:rPr/>
        <w:t> 名并盖章的会计报表。</w:t>
      </w:r>
    </w:p>
    <w:p>
      <w:pPr>
        <w:pStyle w:val="Heading3"/>
        <w:spacing w:line="312" w:lineRule="exact" w:before="120"/>
        <w:ind w:right="84" w:firstLine="480"/>
        <w:jc w:val="left"/>
      </w:pPr>
      <w:r>
        <w:rPr>
          <w:rFonts w:ascii="Times New Roman" w:hAnsi="Times New Roman" w:cs="Times New Roman" w:eastAsia="Times New Roman" w:hint="default"/>
          <w:spacing w:val="-3"/>
        </w:rPr>
        <w:t>3</w:t>
      </w:r>
      <w:r>
        <w:rPr>
          <w:spacing w:val="-3"/>
        </w:rPr>
        <w:t>、载有众华会计师事务所（特殊普通合伙）盖章，注册会计师陆仕敏、蒯薏苡签名并盖</w:t>
      </w:r>
      <w:r>
        <w:rPr/>
        <w:t> 章的公司</w:t>
      </w:r>
      <w:r>
        <w:rPr>
          <w:rFonts w:ascii="Times New Roman" w:hAnsi="Times New Roman" w:cs="Times New Roman" w:eastAsia="Times New Roman" w:hint="default"/>
        </w:rPr>
        <w:t>2014</w:t>
      </w:r>
      <w:r>
        <w:rPr/>
        <w:t>年度审计报告原件。</w:t>
      </w:r>
    </w:p>
    <w:p>
      <w:pPr>
        <w:pStyle w:val="Heading3"/>
        <w:spacing w:line="240" w:lineRule="auto" w:before="89"/>
        <w:ind w:left="633" w:right="0"/>
        <w:jc w:val="left"/>
      </w:pPr>
      <w:r>
        <w:rPr>
          <w:rFonts w:ascii="Times New Roman" w:hAnsi="Times New Roman" w:cs="Times New Roman" w:eastAsia="Times New Roman" w:hint="default"/>
        </w:rPr>
        <w:t>4</w:t>
      </w:r>
      <w:r>
        <w:rPr/>
        <w:t>、报告期内在中国证监会指定报纸上公开披露过的所有公司文件的正本及公告的原稿。</w:t>
      </w:r>
    </w:p>
    <w:p>
      <w:pPr>
        <w:pStyle w:val="Heading3"/>
        <w:spacing w:line="240" w:lineRule="auto" w:before="99"/>
        <w:ind w:left="633" w:right="227"/>
        <w:jc w:val="left"/>
      </w:pPr>
      <w:r>
        <w:rPr>
          <w:rFonts w:ascii="Times New Roman" w:hAnsi="Times New Roman" w:cs="Times New Roman" w:eastAsia="Times New Roman" w:hint="default"/>
        </w:rPr>
        <w:t>5</w:t>
      </w:r>
      <w:r>
        <w:rPr/>
        <w:t>、备查文件备置地点：董事会办公室。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1"/>
          <w:szCs w:val="31"/>
        </w:rPr>
      </w:pPr>
    </w:p>
    <w:p>
      <w:pPr>
        <w:pStyle w:val="Heading2"/>
        <w:spacing w:line="595" w:lineRule="auto"/>
        <w:ind w:left="6415" w:right="897" w:hanging="960"/>
        <w:jc w:val="left"/>
        <w:rPr>
          <w:b w:val="0"/>
          <w:bCs w:val="0"/>
        </w:rPr>
      </w:pPr>
      <w:r>
        <w:rPr/>
        <w:t>江苏双星彩塑新材料股份有限公司</w:t>
      </w:r>
      <w:r>
        <w:rPr>
          <w:w w:val="99"/>
        </w:rPr>
        <w:t> </w:t>
      </w:r>
      <w:r>
        <w:rPr/>
        <w:t>董事长：吴培服</w:t>
      </w:r>
      <w:r>
        <w:rPr>
          <w:b w:val="0"/>
          <w:bCs w:val="0"/>
        </w:rPr>
      </w:r>
    </w:p>
    <w:p>
      <w:pPr>
        <w:pStyle w:val="Heading2"/>
        <w:spacing w:line="240" w:lineRule="auto" w:before="110"/>
        <w:ind w:left="6053" w:right="227"/>
        <w:jc w:val="left"/>
        <w:rPr>
          <w:b w:val="0"/>
          <w:bCs w:val="0"/>
        </w:rPr>
      </w:pPr>
      <w:r>
        <w:rPr/>
        <w:t>二〇一五年四月二十六日</w:t>
      </w:r>
      <w:r>
        <w:rPr>
          <w:b w:val="0"/>
          <w:bCs w:val="0"/>
        </w:rPr>
      </w:r>
    </w:p>
    <w:sectPr>
      <w:pgSz w:w="11910" w:h="16840"/>
      <w:pgMar w:header="745" w:footer="980" w:top="1060" w:bottom="1160" w:left="9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5852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585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585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585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5851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585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585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585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265610pt;width:222.75pt;height:11.5pt;mso-position-horizontal-relative:page;mso-position-vertical-relative:page;z-index:-5853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224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huangxingcaisu.com/" TargetMode="External"/><Relationship Id="rId10" Type="http://schemas.openxmlformats.org/officeDocument/2006/relationships/hyperlink" Target="mailto:wudi@shuangxingcaisu.com" TargetMode="External"/><Relationship Id="rId11" Type="http://schemas.openxmlformats.org/officeDocument/2006/relationships/hyperlink" Target="mailto:002585@shuangxingcaisu.com" TargetMode="External"/><Relationship Id="rId12" Type="http://schemas.openxmlformats.org/officeDocument/2006/relationships/hyperlink" Target="http://www.cninfo.com.cn/" TargetMode="External"/><Relationship Id="rId13" Type="http://schemas.openxmlformats.org/officeDocument/2006/relationships/image" Target="media/image2.jpeg"/><Relationship Id="rId14" Type="http://schemas.openxmlformats.org/officeDocument/2006/relationships/footer" Target="footer3.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江苏双星彩塑新材料股份有限公司</dc:creator>
  <dc:title>江苏双星彩塑新材料股份有限公司2014年年度报告全文</dc:title>
  <dcterms:created xsi:type="dcterms:W3CDTF">2020-05-06T17:52:52Z</dcterms:created>
  <dcterms:modified xsi:type="dcterms:W3CDTF">2020-05-06T17:52:52Z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2015-04-27T00:00:00Z</vt:filetime>
  </property>
  <property fmtid="{D5CDD505-2E9C-101B-9397-08002B2CF9AE}" pid="3" name="Creator">
    <vt:lpwstr>Microsoft? Office Word 2007</vt:lpwstr>
  </property>
  <property fmtid="{D5CDD505-2E9C-101B-9397-08002B2CF9AE}" pid="4" name="LastSaved">
    <vt:filetime>2020-05-06T00:00:00Z</vt:filetime>
  </property>
</Properties>
</file>